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5D" w:rsidRPr="002B065D" w:rsidRDefault="002B065D" w:rsidP="002B065D">
      <w:pPr>
        <w:spacing w:after="0" w:line="240" w:lineRule="auto"/>
        <w:jc w:val="center"/>
        <w:rPr>
          <w:rFonts w:ascii="Verdana" w:eastAsia="Times New Roman" w:hAnsi="Verdana" w:cs="Times New Roman"/>
          <w:b/>
          <w:bCs/>
          <w:color w:val="24689B"/>
          <w:sz w:val="20"/>
          <w:szCs w:val="20"/>
        </w:rPr>
      </w:pPr>
      <w:bookmarkStart w:id="0" w:name="_GoBack"/>
      <w:bookmarkEnd w:id="0"/>
      <w:r w:rsidRPr="002B065D">
        <w:rPr>
          <w:rFonts w:ascii="Verdana" w:eastAsia="Times New Roman" w:hAnsi="Verdana" w:cs="Times New Roman"/>
          <w:b/>
          <w:bCs/>
          <w:color w:val="24689B"/>
          <w:sz w:val="20"/>
          <w:szCs w:val="20"/>
        </w:rPr>
        <w:t>Anexa nr. 11</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ANTET</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(structura teritorială a autorităţii publice centrale care răspunde de vânătoare/</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structura teritorială a autorităţii publice centrale pentru protecţia mediului)</w:t>
      </w:r>
    </w:p>
    <w:p w:rsidR="002B065D" w:rsidRPr="002B065D" w:rsidRDefault="002B065D" w:rsidP="002B065D">
      <w:pPr>
        <w:spacing w:after="0" w:line="240" w:lineRule="auto"/>
        <w:ind w:left="225"/>
        <w:jc w:val="center"/>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DECIZIA</w:t>
      </w:r>
    </w:p>
    <w:p w:rsidR="002B065D" w:rsidRPr="002B065D" w:rsidRDefault="002B065D" w:rsidP="002B065D">
      <w:pPr>
        <w:spacing w:after="0" w:line="240" w:lineRule="auto"/>
        <w:ind w:left="225"/>
        <w:jc w:val="center"/>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Nr. ........./........................</w:t>
      </w:r>
    </w:p>
    <w:p w:rsidR="002B065D" w:rsidRPr="002B065D" w:rsidRDefault="002B065D" w:rsidP="002B065D">
      <w:pPr>
        <w:spacing w:after="0" w:line="240" w:lineRule="auto"/>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 xml:space="preserve">În temeiul prevederilor art. 7 din Hotărârea Guvernului nr. 3/2023 privind modalitatea de acordare a despăgubirilor pentru pagubele sau daunele produse de speciile de faună cinegetică din </w:t>
      </w:r>
      <w:r w:rsidRPr="002B065D">
        <w:rPr>
          <w:rFonts w:ascii="Verdana" w:eastAsia="Times New Roman" w:hAnsi="Verdana" w:cs="Times New Roman"/>
          <w:color w:val="0000FF"/>
          <w:sz w:val="20"/>
          <w:szCs w:val="20"/>
          <w:u w:val="single"/>
          <w:shd w:val="clear" w:color="auto" w:fill="FFFFFF"/>
        </w:rPr>
        <w:t>anexele nr. 1</w:t>
      </w:r>
      <w:r w:rsidRPr="002B065D">
        <w:rPr>
          <w:rFonts w:ascii="Verdana" w:eastAsia="Times New Roman" w:hAnsi="Verdana" w:cs="Times New Roman"/>
          <w:color w:val="000000"/>
          <w:sz w:val="20"/>
          <w:szCs w:val="20"/>
          <w:shd w:val="clear" w:color="auto" w:fill="FFFFFF"/>
        </w:rPr>
        <w:t xml:space="preserve"> şi </w:t>
      </w:r>
      <w:r w:rsidRPr="002B065D">
        <w:rPr>
          <w:rFonts w:ascii="Verdana" w:eastAsia="Times New Roman" w:hAnsi="Verdana" w:cs="Times New Roman"/>
          <w:color w:val="0000FF"/>
          <w:sz w:val="20"/>
          <w:szCs w:val="20"/>
          <w:u w:val="single"/>
          <w:shd w:val="clear" w:color="auto" w:fill="FFFFFF"/>
        </w:rPr>
        <w:t>2 la Legea vânătorii şi a protecţiei fondului cinegetic nr. 407/2006</w:t>
      </w:r>
      <w:r w:rsidRPr="002B065D">
        <w:rPr>
          <w:rFonts w:ascii="Verdana" w:eastAsia="Times New Roman" w:hAnsi="Verdana" w:cs="Times New Roman"/>
          <w:color w:val="000000"/>
          <w:sz w:val="20"/>
          <w:szCs w:val="20"/>
          <w:shd w:val="clear" w:color="auto" w:fill="FFFFFF"/>
        </w:rPr>
        <w:t>, cu modificările şi completările ulterioare, şi unele măsuri de punere în aplicare a acesteia,</w:t>
      </w:r>
    </w:p>
    <w:p w:rsidR="002B065D" w:rsidRPr="002B065D" w:rsidRDefault="002B065D" w:rsidP="002B065D">
      <w:pPr>
        <w:spacing w:after="0" w:line="240" w:lineRule="auto"/>
        <w:ind w:left="225"/>
        <w:jc w:val="both"/>
        <w:rPr>
          <w:rFonts w:ascii="Times New Roman" w:eastAsia="Times New Roman" w:hAnsi="Times New Roman" w:cs="Times New Roman"/>
          <w:sz w:val="24"/>
          <w:szCs w:val="24"/>
        </w:rPr>
      </w:pPr>
      <w:r w:rsidRPr="002B065D">
        <w:rPr>
          <w:rFonts w:ascii="Verdana" w:eastAsia="Times New Roman" w:hAnsi="Verdana" w:cs="Times New Roman"/>
          <w:color w:val="000000"/>
          <w:sz w:val="20"/>
          <w:szCs w:val="20"/>
          <w:shd w:val="clear" w:color="auto" w:fill="FFFFFF"/>
        </w:rPr>
        <w:t>în baza Dosarului înregistrat cu nr. ............./..............., întocmit conform prevederilor art. 6 alin. (9) din Hotărârea Guvernului nr. 3/2023, parte integrantă din prezenta decizie, constituit din următoarele înscrisuri (se va menţiona fiecare înscris din dosar): ....................................................................................................,</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(conducătorul structurii teritoriale a autorităţii publice centrale care răspunde de vânătoare/conducătorul autorităţii publice teritoriale pentru protecţia mediului) ..........................................</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emite următoarea decizie:</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b/>
          <w:bCs/>
          <w:color w:val="24689B"/>
          <w:sz w:val="20"/>
          <w:szCs w:val="20"/>
          <w:shd w:val="clear" w:color="auto" w:fill="FFFFFF"/>
        </w:rPr>
        <w:t>Articolul 1</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 xml:space="preserve">Cu data prezentei, se aprobă/nu se aprobă răspunderea civilă stabilită de către comisie prin Procesul-verbal nr. ........./............, </w:t>
      </w:r>
    </w:p>
    <w:p w:rsidR="002B065D" w:rsidRPr="002B065D" w:rsidRDefault="002B065D" w:rsidP="002B065D">
      <w:pPr>
        <w:spacing w:after="0" w:line="240" w:lineRule="auto"/>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 xml:space="preserve">pentru pagubele produse culturilor agricole/culturilor silvice/animalelor domestice/stupinelor/autovehiculelor, proprietate a ........................ de către exemplare din specia .................., faună de interes cinegetic din anexa nr. .... la </w:t>
      </w:r>
      <w:r w:rsidRPr="002B065D">
        <w:rPr>
          <w:rFonts w:ascii="Verdana" w:eastAsia="Times New Roman" w:hAnsi="Verdana" w:cs="Times New Roman"/>
          <w:color w:val="0000FF"/>
          <w:sz w:val="20"/>
          <w:szCs w:val="20"/>
          <w:u w:val="single"/>
          <w:shd w:val="clear" w:color="auto" w:fill="FFFFFF"/>
        </w:rPr>
        <w:t>Legea nr. 407/2006</w:t>
      </w:r>
      <w:r w:rsidRPr="002B065D">
        <w:rPr>
          <w:rFonts w:ascii="Verdana" w:eastAsia="Times New Roman" w:hAnsi="Verdana" w:cs="Times New Roman"/>
          <w:color w:val="000000"/>
          <w:sz w:val="20"/>
          <w:szCs w:val="20"/>
          <w:shd w:val="clear" w:color="auto" w:fill="FFFFFF"/>
        </w:rPr>
        <w:t>, cu modificările şi completările ulterioare, conform Raportului de evaluare nr. ............... *</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b/>
          <w:bCs/>
          <w:color w:val="24689B"/>
          <w:sz w:val="20"/>
          <w:szCs w:val="20"/>
          <w:shd w:val="clear" w:color="auto" w:fill="FFFFFF"/>
        </w:rPr>
        <w:t>Articolul 2</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color w:val="000000"/>
          <w:sz w:val="20"/>
          <w:szCs w:val="20"/>
          <w:shd w:val="clear" w:color="auto" w:fill="FFFFFF"/>
        </w:rPr>
        <w:t xml:space="preserve">** - Despăgubirea pentru pagubele menţionate la </w:t>
      </w:r>
      <w:r w:rsidRPr="002B065D">
        <w:rPr>
          <w:rFonts w:ascii="Verdana" w:eastAsia="Times New Roman" w:hAnsi="Verdana" w:cs="Times New Roman"/>
          <w:color w:val="006400"/>
          <w:sz w:val="20"/>
          <w:szCs w:val="20"/>
          <w:u w:val="single"/>
          <w:shd w:val="clear" w:color="auto" w:fill="FFFFFF"/>
        </w:rPr>
        <w:t>art. 1</w:t>
      </w:r>
      <w:r w:rsidRPr="002B065D">
        <w:rPr>
          <w:rFonts w:ascii="Verdana" w:eastAsia="Times New Roman" w:hAnsi="Verdana" w:cs="Times New Roman"/>
          <w:color w:val="000000"/>
          <w:sz w:val="20"/>
          <w:szCs w:val="20"/>
          <w:shd w:val="clear" w:color="auto" w:fill="FFFFFF"/>
        </w:rPr>
        <w:t>, în sumă de ................. lei, se achită proprietarului păgubit..............., identificat prin .........................., prin virarea în contul nr. .............. deschis la ................., sau prin mandat poştal la adresa ..............................., în termen de 30 de zile calendaristice de la data comunicării prezentei.</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b/>
          <w:bCs/>
          <w:color w:val="24689B"/>
          <w:sz w:val="20"/>
          <w:szCs w:val="20"/>
          <w:shd w:val="clear" w:color="auto" w:fill="FFFFFF"/>
        </w:rPr>
        <w:t>Articolul 3</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color w:val="000000"/>
          <w:sz w:val="20"/>
          <w:szCs w:val="20"/>
          <w:shd w:val="clear" w:color="auto" w:fill="FFFFFF"/>
        </w:rPr>
        <w:t xml:space="preserve">*** - Persoana prevăzută la </w:t>
      </w:r>
      <w:r w:rsidRPr="002B065D">
        <w:rPr>
          <w:rFonts w:ascii="Verdana" w:eastAsia="Times New Roman" w:hAnsi="Verdana" w:cs="Times New Roman"/>
          <w:color w:val="006400"/>
          <w:sz w:val="20"/>
          <w:szCs w:val="20"/>
          <w:u w:val="single"/>
          <w:shd w:val="clear" w:color="auto" w:fill="FFFFFF"/>
        </w:rPr>
        <w:t>art. 2</w:t>
      </w:r>
      <w:r w:rsidRPr="002B065D">
        <w:rPr>
          <w:rFonts w:ascii="Verdana" w:eastAsia="Times New Roman" w:hAnsi="Verdana" w:cs="Times New Roman"/>
          <w:color w:val="000000"/>
          <w:sz w:val="20"/>
          <w:szCs w:val="20"/>
          <w:shd w:val="clear" w:color="auto" w:fill="FFFFFF"/>
        </w:rPr>
        <w:t xml:space="preserve"> poate accepta echivalenţa în produse a valorii de despăgubire în termenul stabilit la </w:t>
      </w:r>
      <w:r w:rsidRPr="002B065D">
        <w:rPr>
          <w:rFonts w:ascii="Verdana" w:eastAsia="Times New Roman" w:hAnsi="Verdana" w:cs="Times New Roman"/>
          <w:color w:val="006400"/>
          <w:sz w:val="20"/>
          <w:szCs w:val="20"/>
          <w:u w:val="single"/>
          <w:shd w:val="clear" w:color="auto" w:fill="FFFFFF"/>
        </w:rPr>
        <w:t>art. 2</w:t>
      </w:r>
      <w:r w:rsidRPr="002B065D">
        <w:rPr>
          <w:rFonts w:ascii="Verdana" w:eastAsia="Times New Roman" w:hAnsi="Verdana" w:cs="Times New Roman"/>
          <w:color w:val="000000"/>
          <w:sz w:val="20"/>
          <w:szCs w:val="20"/>
          <w:shd w:val="clear" w:color="auto" w:fill="FFFFFF"/>
        </w:rPr>
        <w:t>.</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b/>
          <w:bCs/>
          <w:color w:val="24689B"/>
          <w:sz w:val="20"/>
          <w:szCs w:val="20"/>
          <w:shd w:val="clear" w:color="auto" w:fill="FFFFFF"/>
        </w:rPr>
        <w:t>Articolul 4</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Persoana căreia îi revine răspunderea civilă duce la îndeplinire prevederile prezentei decizii şi va face, la subscrisa autoritate, dovada achitării despăgubirii în termen de 45 de zile calendaristice de la data comunicării prezentei.</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b/>
          <w:bCs/>
          <w:color w:val="24689B"/>
          <w:sz w:val="20"/>
          <w:szCs w:val="20"/>
          <w:shd w:val="clear" w:color="auto" w:fill="FFFFFF"/>
        </w:rPr>
        <w:t>Articolul 5</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Prin plata despăgubirii, atât în bani, cât şi în produse, se sting orice pretenţii privind paguba care face obiectul prezentei decizii.</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b/>
          <w:bCs/>
          <w:color w:val="24689B"/>
          <w:sz w:val="20"/>
          <w:szCs w:val="20"/>
          <w:shd w:val="clear" w:color="auto" w:fill="FFFFFF"/>
        </w:rPr>
        <w:t>Articolul 6</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color w:val="000000"/>
          <w:sz w:val="20"/>
          <w:szCs w:val="20"/>
          <w:shd w:val="clear" w:color="auto" w:fill="FFFFFF"/>
        </w:rPr>
        <w:t xml:space="preserve">Prezenta decizie poate fi contestată potrivit </w:t>
      </w:r>
      <w:r w:rsidRPr="002B065D">
        <w:rPr>
          <w:rFonts w:ascii="Verdana" w:eastAsia="Times New Roman" w:hAnsi="Verdana" w:cs="Times New Roman"/>
          <w:color w:val="0000FF"/>
          <w:sz w:val="20"/>
          <w:szCs w:val="20"/>
          <w:u w:val="single"/>
          <w:shd w:val="clear" w:color="auto" w:fill="FFFFFF"/>
        </w:rPr>
        <w:t>capitolului II art. 7</w:t>
      </w:r>
      <w:r w:rsidRPr="002B065D">
        <w:rPr>
          <w:rFonts w:ascii="Verdana" w:eastAsia="Times New Roman" w:hAnsi="Verdana" w:cs="Times New Roman"/>
          <w:color w:val="000000"/>
          <w:sz w:val="20"/>
          <w:szCs w:val="20"/>
          <w:shd w:val="clear" w:color="auto" w:fill="FFFFFF"/>
        </w:rPr>
        <w:t xml:space="preserve"> şi </w:t>
      </w:r>
      <w:r w:rsidRPr="002B065D">
        <w:rPr>
          <w:rFonts w:ascii="Verdana" w:eastAsia="Times New Roman" w:hAnsi="Verdana" w:cs="Times New Roman"/>
          <w:color w:val="0000FF"/>
          <w:sz w:val="20"/>
          <w:szCs w:val="20"/>
          <w:u w:val="single"/>
          <w:shd w:val="clear" w:color="auto" w:fill="FFFFFF"/>
        </w:rPr>
        <w:t>8 din Legea contenciosului administrativ nr. 554/2004</w:t>
      </w:r>
      <w:r w:rsidRPr="002B065D">
        <w:rPr>
          <w:rFonts w:ascii="Verdana" w:eastAsia="Times New Roman" w:hAnsi="Verdana" w:cs="Times New Roman"/>
          <w:color w:val="000000"/>
          <w:sz w:val="20"/>
          <w:szCs w:val="20"/>
          <w:shd w:val="clear" w:color="auto" w:fill="FFFFFF"/>
        </w:rPr>
        <w:t>, cu modificările şi completările ulterioare.</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b/>
          <w:bCs/>
          <w:color w:val="24689B"/>
          <w:sz w:val="20"/>
          <w:szCs w:val="20"/>
          <w:shd w:val="clear" w:color="auto" w:fill="FFFFFF"/>
        </w:rPr>
        <w:t>Articolul 7</w:t>
      </w:r>
    </w:p>
    <w:p w:rsidR="002B065D" w:rsidRPr="002B065D" w:rsidRDefault="002B065D" w:rsidP="002B065D">
      <w:pPr>
        <w:spacing w:after="0" w:line="240" w:lineRule="auto"/>
        <w:jc w:val="both"/>
        <w:rPr>
          <w:rFonts w:ascii="Verdana" w:eastAsia="Times New Roman" w:hAnsi="Verdana" w:cs="Times New Roman"/>
          <w:b/>
          <w:bCs/>
          <w:color w:val="24689B"/>
          <w:sz w:val="20"/>
          <w:szCs w:val="20"/>
          <w:shd w:val="clear" w:color="auto" w:fill="FFFFFF"/>
        </w:rPr>
      </w:pPr>
      <w:r w:rsidRPr="002B065D">
        <w:rPr>
          <w:rFonts w:ascii="Verdana" w:eastAsia="Times New Roman" w:hAnsi="Verdana" w:cs="Times New Roman"/>
          <w:color w:val="000000"/>
          <w:sz w:val="20"/>
          <w:szCs w:val="20"/>
          <w:shd w:val="clear" w:color="auto" w:fill="FFFFFF"/>
        </w:rPr>
        <w:t xml:space="preserve">Prezenta decizie se comunică proprietarului păgubit şi persoanei care poartă răspunderea civilă prevăzută la </w:t>
      </w:r>
      <w:r w:rsidRPr="002B065D">
        <w:rPr>
          <w:rFonts w:ascii="Verdana" w:eastAsia="Times New Roman" w:hAnsi="Verdana" w:cs="Times New Roman"/>
          <w:color w:val="006400"/>
          <w:sz w:val="20"/>
          <w:szCs w:val="20"/>
          <w:u w:val="single"/>
          <w:shd w:val="clear" w:color="auto" w:fill="FFFFFF"/>
        </w:rPr>
        <w:t>art. 1</w:t>
      </w:r>
      <w:r w:rsidRPr="002B065D">
        <w:rPr>
          <w:rFonts w:ascii="Verdana" w:eastAsia="Times New Roman" w:hAnsi="Verdana" w:cs="Times New Roman"/>
          <w:color w:val="000000"/>
          <w:sz w:val="20"/>
          <w:szCs w:val="20"/>
          <w:shd w:val="clear" w:color="auto" w:fill="FFFFFF"/>
        </w:rPr>
        <w:t xml:space="preserve"> de către ........................................................</w:t>
      </w:r>
    </w:p>
    <w:p w:rsidR="002B065D" w:rsidRPr="002B065D" w:rsidRDefault="002B065D" w:rsidP="002B065D">
      <w:pPr>
        <w:spacing w:after="0" w:line="240" w:lineRule="auto"/>
        <w:ind w:left="225"/>
        <w:jc w:val="center"/>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Conducătorul autorităţii,</w:t>
      </w:r>
    </w:p>
    <w:p w:rsidR="002B065D" w:rsidRPr="002B065D" w:rsidRDefault="002B065D" w:rsidP="002B065D">
      <w:pPr>
        <w:spacing w:after="0" w:line="240" w:lineRule="auto"/>
        <w:ind w:left="225"/>
        <w:jc w:val="center"/>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w:t>
      </w:r>
    </w:p>
    <w:p w:rsidR="002B065D" w:rsidRPr="002B065D" w:rsidRDefault="002B065D" w:rsidP="002B065D">
      <w:pPr>
        <w:spacing w:after="0" w:line="240" w:lineRule="auto"/>
        <w:ind w:left="225"/>
        <w:jc w:val="center"/>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(numele şi prenumele, funcţia, semnătura şi ştampila autorităţii)</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 Pentru fiecare pagubă în parte se va întocmi un raport de evaluare, emis de entitatea emitentă a deciziei, privind respectarea prevederilor legale în vigoare.</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t>** Art. 2 se completează dacă răspunderea civilă revine altei persoane decât a celei păgubite.</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shd w:val="clear" w:color="auto" w:fill="FFFFFF"/>
        </w:rPr>
      </w:pPr>
      <w:r w:rsidRPr="002B065D">
        <w:rPr>
          <w:rFonts w:ascii="Verdana" w:eastAsia="Times New Roman" w:hAnsi="Verdana" w:cs="Times New Roman"/>
          <w:color w:val="000000"/>
          <w:sz w:val="20"/>
          <w:szCs w:val="20"/>
          <w:shd w:val="clear" w:color="auto" w:fill="FFFFFF"/>
        </w:rPr>
        <w:lastRenderedPageBreak/>
        <w:t xml:space="preserve">*** Plata despăgubirii, prin echivalenţa în produse, se realizează de către gestionarul fondului cinegetic căruia îi revine răspunderea civilă, respectiv ........................ </w:t>
      </w:r>
    </w:p>
    <w:p w:rsidR="002B065D" w:rsidRPr="002B065D" w:rsidRDefault="002B065D" w:rsidP="002B065D">
      <w:pPr>
        <w:spacing w:after="0" w:line="240" w:lineRule="auto"/>
        <w:ind w:left="225"/>
        <w:jc w:val="both"/>
        <w:rPr>
          <w:rFonts w:ascii="Verdana" w:eastAsia="Times New Roman" w:hAnsi="Verdana" w:cs="Times New Roman"/>
          <w:color w:val="000000"/>
          <w:sz w:val="20"/>
          <w:szCs w:val="20"/>
        </w:rPr>
      </w:pPr>
      <w:r w:rsidRPr="002B065D">
        <w:rPr>
          <w:rFonts w:ascii="Verdana" w:eastAsia="Times New Roman" w:hAnsi="Verdana" w:cs="Times New Roman"/>
          <w:color w:val="000000"/>
          <w:sz w:val="20"/>
          <w:szCs w:val="20"/>
        </w:rPr>
        <w:t>-------</w:t>
      </w:r>
    </w:p>
    <w:p w:rsidR="00482E94" w:rsidRDefault="00482E94"/>
    <w:sectPr w:rsidR="00482E94" w:rsidSect="00E46D8E">
      <w:pgSz w:w="11907" w:h="16840" w:code="9"/>
      <w:pgMar w:top="720" w:right="567" w:bottom="284" w:left="720"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3F"/>
    <w:rsid w:val="002B065D"/>
    <w:rsid w:val="00482E94"/>
    <w:rsid w:val="005221B6"/>
    <w:rsid w:val="00DA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FA3EC-13EE-4350-A11A-BEA973A0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Voda</dc:creator>
  <cp:keywords/>
  <dc:description/>
  <cp:lastModifiedBy>Dana Voda</cp:lastModifiedBy>
  <cp:revision>2</cp:revision>
  <dcterms:created xsi:type="dcterms:W3CDTF">2023-01-26T09:24:00Z</dcterms:created>
  <dcterms:modified xsi:type="dcterms:W3CDTF">2023-01-26T09:24:00Z</dcterms:modified>
</cp:coreProperties>
</file>