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8" w:type="dxa"/>
        <w:tblLook w:val="04A0"/>
      </w:tblPr>
      <w:tblGrid>
        <w:gridCol w:w="10278"/>
      </w:tblGrid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A540CC">
              <w:rPr>
                <w:rFonts w:ascii="Times New Roman" w:hAnsi="Times New Roman" w:cs="Times New Roman"/>
                <w:bCs/>
              </w:rPr>
              <w:t xml:space="preserve">ORDIN Nr. 119 din 4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februarie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2014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aprobarea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Normelor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igienă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sănătate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publică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privind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mediul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viaţă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al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populaţiei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</w:rPr>
            </w:pPr>
            <w:r w:rsidRPr="00A540CC">
              <w:rPr>
                <w:rFonts w:ascii="Times New Roman" w:hAnsi="Times New Roman" w:cs="Times New Roman"/>
                <w:bCs/>
              </w:rPr>
              <w:t xml:space="preserve">ORDIN Nr. 1108/2007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privind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aprobarea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Nomenclatorului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lucrărilor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serviciilor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care se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prestează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către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autorităţile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publice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pentru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protecţia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mediului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regim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tarifare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şi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cuantumul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tarifelor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aferente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540CC">
              <w:rPr>
                <w:rFonts w:ascii="Times New Roman" w:hAnsi="Times New Roman" w:cs="Times New Roman"/>
                <w:bCs/>
              </w:rPr>
              <w:t>acestora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modificat</w:t>
            </w:r>
            <w:proofErr w:type="spellEnd"/>
            <w:proofErr w:type="gramEnd"/>
            <w:r w:rsidRPr="00A540CC">
              <w:rPr>
                <w:rFonts w:ascii="Times New Roman" w:hAnsi="Times New Roman" w:cs="Times New Roman"/>
                <w:bCs/>
              </w:rPr>
              <w:t xml:space="preserve"> de:</w:t>
            </w:r>
            <w:r w:rsidRPr="00A540CC">
              <w:rPr>
                <w:rFonts w:ascii="Times New Roman" w:hAnsi="Times New Roman" w:cs="Times New Roman"/>
              </w:rPr>
              <w:t xml:space="preserve"> </w:t>
            </w:r>
            <w:r w:rsidRPr="009E399F">
              <w:rPr>
                <w:rFonts w:ascii="Times New Roman" w:hAnsi="Times New Roman" w:cs="Times New Roman"/>
                <w:vanish/>
              </w:rPr>
              <w:t>&lt;LLNK 12009   890 50CS01   0 33&gt;</w:t>
            </w:r>
            <w:r w:rsidRPr="009E399F">
              <w:rPr>
                <w:rFonts w:ascii="Times New Roman" w:hAnsi="Times New Roman" w:cs="Times New Roman"/>
              </w:rPr>
              <w:t xml:space="preserve">ORDINUL nr. 890 din 16 </w:t>
            </w:r>
            <w:proofErr w:type="spellStart"/>
            <w:r w:rsidRPr="009E399F">
              <w:rPr>
                <w:rFonts w:ascii="Times New Roman" w:hAnsi="Times New Roman" w:cs="Times New Roman"/>
              </w:rPr>
              <w:t>iunie</w:t>
            </w:r>
            <w:proofErr w:type="spellEnd"/>
            <w:r w:rsidRPr="009E399F">
              <w:rPr>
                <w:rFonts w:ascii="Times New Roman" w:hAnsi="Times New Roman" w:cs="Times New Roman"/>
              </w:rPr>
              <w:t xml:space="preserve"> 2009; </w:t>
            </w:r>
            <w:r w:rsidRPr="009E399F">
              <w:rPr>
                <w:rFonts w:ascii="Times New Roman" w:hAnsi="Times New Roman" w:cs="Times New Roman"/>
                <w:vanish/>
              </w:rPr>
              <w:t>&lt;LLNK 12014   825 50JU01   0 31&gt;</w:t>
            </w:r>
            <w:r w:rsidRPr="009E399F">
              <w:rPr>
                <w:rFonts w:ascii="Times New Roman" w:hAnsi="Times New Roman" w:cs="Times New Roman"/>
              </w:rPr>
              <w:t xml:space="preserve">ORDINUL nr. 825 din 27 </w:t>
            </w:r>
            <w:proofErr w:type="spellStart"/>
            <w:r w:rsidRPr="009E399F">
              <w:rPr>
                <w:rFonts w:ascii="Times New Roman" w:hAnsi="Times New Roman" w:cs="Times New Roman"/>
              </w:rPr>
              <w:t>mai</w:t>
            </w:r>
            <w:proofErr w:type="spellEnd"/>
            <w:r w:rsidRPr="009E399F">
              <w:rPr>
                <w:rFonts w:ascii="Times New Roman" w:hAnsi="Times New Roman" w:cs="Times New Roman"/>
              </w:rPr>
              <w:t xml:space="preserve"> 2014; </w:t>
            </w:r>
            <w:r w:rsidRPr="009E399F">
              <w:rPr>
                <w:rFonts w:ascii="Times New Roman" w:hAnsi="Times New Roman" w:cs="Times New Roman"/>
                <w:vanish/>
              </w:rPr>
              <w:t>&lt;LLNK 12014   865 50JU01   0 32&gt;</w:t>
            </w:r>
            <w:r w:rsidRPr="009E399F">
              <w:rPr>
                <w:rFonts w:ascii="Times New Roman" w:hAnsi="Times New Roman" w:cs="Times New Roman"/>
              </w:rPr>
              <w:t xml:space="preserve">ORDINUL nr. 865 din 3 </w:t>
            </w:r>
            <w:proofErr w:type="spellStart"/>
            <w:r w:rsidRPr="009E399F">
              <w:rPr>
                <w:rFonts w:ascii="Times New Roman" w:hAnsi="Times New Roman" w:cs="Times New Roman"/>
              </w:rPr>
              <w:t>iunie</w:t>
            </w:r>
            <w:proofErr w:type="spellEnd"/>
            <w:r w:rsidRPr="009E399F">
              <w:rPr>
                <w:rFonts w:ascii="Times New Roman" w:hAnsi="Times New Roman" w:cs="Times New Roman"/>
              </w:rPr>
              <w:t xml:space="preserve"> 2014;</w:t>
            </w:r>
            <w:r w:rsidRPr="00A540CC">
              <w:rPr>
                <w:rFonts w:ascii="Times New Roman" w:hAnsi="Times New Roman" w:cs="Times New Roman"/>
              </w:rPr>
              <w:t xml:space="preserve"> </w:t>
            </w:r>
            <w:r w:rsidRPr="00A540CC">
              <w:rPr>
                <w:rFonts w:ascii="Times New Roman" w:hAnsi="Times New Roman" w:cs="Times New Roman"/>
                <w:vanish/>
              </w:rPr>
              <w:t>&lt;LLNK 12014   938 50JU01   0 33&gt;</w:t>
            </w:r>
            <w:r w:rsidRPr="00A540CC">
              <w:rPr>
                <w:rFonts w:ascii="Times New Roman" w:hAnsi="Times New Roman" w:cs="Times New Roman"/>
                <w:u w:val="single"/>
              </w:rPr>
              <w:t xml:space="preserve">ORDINUL nr. 938 din 19 </w:t>
            </w:r>
            <w:proofErr w:type="spellStart"/>
            <w:r w:rsidRPr="00A540CC">
              <w:rPr>
                <w:rFonts w:ascii="Times New Roman" w:hAnsi="Times New Roman" w:cs="Times New Roman"/>
                <w:u w:val="single"/>
              </w:rPr>
              <w:t>iunie</w:t>
            </w:r>
            <w:proofErr w:type="spellEnd"/>
            <w:r w:rsidRPr="00A540CC">
              <w:rPr>
                <w:rFonts w:ascii="Times New Roman" w:hAnsi="Times New Roman" w:cs="Times New Roman"/>
                <w:u w:val="single"/>
              </w:rPr>
              <w:t xml:space="preserve"> 2014</w:t>
            </w:r>
            <w:r w:rsidRPr="00A540CC">
              <w:rPr>
                <w:rFonts w:ascii="Times New Roman" w:hAnsi="Times New Roman" w:cs="Times New Roman"/>
              </w:rPr>
              <w:t>.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A540CC">
              <w:rPr>
                <w:rFonts w:ascii="Times New Roman" w:hAnsi="Times New Roman" w:cs="Times New Roman"/>
                <w:bCs/>
              </w:rPr>
              <w:t xml:space="preserve">ORDIN nr. 148 din 15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mai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2012 </w:t>
            </w:r>
            <w:proofErr w:type="spellStart"/>
            <w:r w:rsidRPr="00A540CC">
              <w:rPr>
                <w:rFonts w:ascii="Times New Roman" w:hAnsi="Times New Roman" w:cs="Times New Roman"/>
              </w:rPr>
              <w:t>pentru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aprobarea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Listei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oficiale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A540CC">
              <w:rPr>
                <w:rFonts w:ascii="Times New Roman" w:hAnsi="Times New Roman" w:cs="Times New Roman"/>
              </w:rPr>
              <w:t>mijloacelor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</w:rPr>
              <w:t>măsurare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supuse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controlului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metrologic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legal L.O. - 2012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6B541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A540CC">
              <w:rPr>
                <w:rFonts w:ascii="Times New Roman" w:hAnsi="Times New Roman" w:cs="Times New Roman"/>
                <w:lang w:val="ro-RO"/>
              </w:rPr>
              <w:t>OUG 34 / 2006 Atribuirea de contracte de achizitii publice, a contractelor de concesiune si a contractelor de concesiune de servicii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A540CC">
              <w:rPr>
                <w:rFonts w:ascii="Times New Roman" w:hAnsi="Times New Roman" w:cs="Times New Roman"/>
                <w:lang w:val="ro-RO"/>
              </w:rPr>
              <w:t>Legea 16/1996 Legea a Arhivelor Naţionale (republicata)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791FA9">
            <w:pPr>
              <w:pStyle w:val="BodyText2"/>
              <w:spacing w:after="0" w:line="240" w:lineRule="auto"/>
              <w:rPr>
                <w:sz w:val="22"/>
                <w:szCs w:val="22"/>
                <w:lang w:val="ro-RO"/>
              </w:rPr>
            </w:pPr>
            <w:r w:rsidRPr="00A540CC">
              <w:rPr>
                <w:sz w:val="22"/>
                <w:szCs w:val="22"/>
                <w:lang w:val="es-CO"/>
              </w:rPr>
              <w:t xml:space="preserve">HG 440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din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28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aprilie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2010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privind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“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Stabilirea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unor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masuri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pentru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limitarea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emisiilor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anumitor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poluanti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in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aer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proveniti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din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instalatii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mari de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ardere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>”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791FA9">
            <w:pPr>
              <w:pStyle w:val="BodyText2"/>
              <w:spacing w:after="0" w:line="240" w:lineRule="auto"/>
              <w:jc w:val="both"/>
              <w:rPr>
                <w:sz w:val="22"/>
                <w:szCs w:val="22"/>
                <w:lang w:val="es-CO"/>
              </w:rPr>
            </w:pPr>
            <w:r w:rsidRPr="00A540CC">
              <w:rPr>
                <w:sz w:val="22"/>
                <w:szCs w:val="22"/>
                <w:lang w:val="es-CO"/>
              </w:rPr>
              <w:t xml:space="preserve">HG 128/2002 –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privind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“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Incinerarea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deseurilor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>”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pStyle w:val="BodyText2"/>
              <w:spacing w:after="0" w:line="240" w:lineRule="auto"/>
              <w:rPr>
                <w:sz w:val="22"/>
                <w:szCs w:val="22"/>
                <w:lang w:val="es-CO"/>
              </w:rPr>
            </w:pPr>
            <w:r w:rsidRPr="00A540CC">
              <w:rPr>
                <w:sz w:val="22"/>
                <w:szCs w:val="22"/>
                <w:lang w:val="es-CO"/>
              </w:rPr>
              <w:t xml:space="preserve">HG 699/2003 –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privind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“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Stabilirea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unor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masuri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pentru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reducerea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emisiilor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de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compusi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organici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volatili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datorate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utilizarii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solventilor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in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anumite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activitati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si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instalatii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”,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modificata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si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completata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A540CC">
              <w:rPr>
                <w:sz w:val="22"/>
                <w:szCs w:val="22"/>
                <w:lang w:val="es-CO"/>
              </w:rPr>
              <w:t>cu</w:t>
            </w:r>
            <w:proofErr w:type="spellEnd"/>
            <w:r w:rsidRPr="00A540CC">
              <w:rPr>
                <w:sz w:val="22"/>
                <w:szCs w:val="22"/>
                <w:lang w:val="es-CO"/>
              </w:rPr>
              <w:t xml:space="preserve"> HG 1902/2004 si HG 1339/2006.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o-RO"/>
              </w:rPr>
            </w:pPr>
            <w:r w:rsidRPr="00A540CC">
              <w:rPr>
                <w:rFonts w:ascii="Times New Roman" w:hAnsi="Times New Roman" w:cs="Times New Roman"/>
                <w:bCs/>
              </w:rPr>
              <w:t xml:space="preserve">ORDIN nr. 14 din 24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ianuarie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2000 </w:t>
            </w:r>
            <w:proofErr w:type="spellStart"/>
            <w:r w:rsidRPr="00A540CC">
              <w:rPr>
                <w:rFonts w:ascii="Times New Roman" w:hAnsi="Times New Roman" w:cs="Times New Roman"/>
              </w:rPr>
              <w:t>pentru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aprobarea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Normelor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fundamentale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</w:rPr>
              <w:t>securitate</w:t>
            </w:r>
            <w:proofErr w:type="spellEnd"/>
            <w:r w:rsidRPr="00A540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</w:rPr>
              <w:t>radiologică</w:t>
            </w:r>
            <w:proofErr w:type="spellEnd"/>
          </w:p>
        </w:tc>
      </w:tr>
      <w:tr w:rsidR="00791FA9" w:rsidRPr="00A540CC" w:rsidTr="00791FA9">
        <w:tc>
          <w:tcPr>
            <w:tcW w:w="10278" w:type="dxa"/>
          </w:tcPr>
          <w:p w:rsidR="00791FA9" w:rsidRPr="00A540CC" w:rsidRDefault="00791FA9" w:rsidP="00C008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Ordinul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1978/19.11.2010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privind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aprobarea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Regulamentului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organizare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și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funcționare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Rețelei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Naționale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de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Supraveghere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a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Radioactivității</w:t>
            </w:r>
            <w:proofErr w:type="spellEnd"/>
            <w:r w:rsidRPr="00A540C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540CC">
              <w:rPr>
                <w:rFonts w:ascii="Times New Roman" w:hAnsi="Times New Roman" w:cs="Times New Roman"/>
                <w:bCs/>
              </w:rPr>
              <w:t>Mediului</w:t>
            </w:r>
            <w:proofErr w:type="spellEnd"/>
          </w:p>
        </w:tc>
      </w:tr>
      <w:tr w:rsidR="00791FA9" w:rsidRPr="00A540CC" w:rsidTr="00791FA9">
        <w:tc>
          <w:tcPr>
            <w:tcW w:w="10278" w:type="dxa"/>
          </w:tcPr>
          <w:p w:rsidR="00791FA9" w:rsidRPr="00791FA9" w:rsidRDefault="00791FA9" w:rsidP="007D3CBB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91FA9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ro-RO"/>
              </w:rPr>
              <w:t>Directiva 2002/49/EC referitoare la evaluarea şi managementul zgomotului în mediu înconjurător – Declaraţia Comisiei formulată în cadrul Comitetului de Conciliere privind evaluarea şi managementul zgomotului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791FA9" w:rsidRDefault="00791FA9" w:rsidP="007D3CBB">
            <w:pPr>
              <w:tabs>
                <w:tab w:val="num" w:pos="540"/>
              </w:tabs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91FA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ro-RO"/>
              </w:rPr>
              <w:t>HG nr. 321/14.04.2005 (M.O. nr. 27.04.2005) privind evaluarea şi gestionarea zgomotului ambiental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791FA9" w:rsidRDefault="00791FA9" w:rsidP="007D3CBB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Ordin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nr. 678/1344/915/1397 din 2006,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ghidului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metodele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interimare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calcul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indicatorilor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zgomot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zgomotul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produs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activităţile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zonele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industriale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de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traficul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rutier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feroviar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aerian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din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vecinătatea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>aeroporturilor</w:t>
            </w:r>
            <w:proofErr w:type="spellEnd"/>
            <w:r w:rsidRPr="00791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791FA9" w:rsidRDefault="00791FA9" w:rsidP="007D3CBB">
            <w:pPr>
              <w:pStyle w:val="Heading3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791FA9">
              <w:rPr>
                <w:rFonts w:ascii="Times New Roman" w:hAnsi="Times New Roman"/>
                <w:b w:val="0"/>
                <w:sz w:val="24"/>
                <w:szCs w:val="24"/>
              </w:rPr>
              <w:t xml:space="preserve">Ordin nr. 152/558/1119/532 din 13 februarie 2008 pentru aprobarea Ghidului privind adoptarea valorilor-limită şi a modului de aplicare a acestora atunci când se elaborează planurile de acţiune, pentru indicatorii L_zsn şi L_noapte, în cazul zgomotului produs de traficul rutier pe drumurile principale şi în aglomerări, traficul feroviar pe căile ferate principale şi în aglomerări, traficul aerian pe aeroporturile mari şi/sau urbane şi pentru zgomotul produs în zonele din aglomerări unde se desfăşoară activităţi industriale prevăzute în anexa nr. 1 la Ordonanţa de urgenţă a Guvernului nr. 152/2005 privind prevenirea şi controlul integrat al poluării, aprobată cu modificări şi completări prin Legea nr. 84/2006 </w:t>
            </w:r>
          </w:p>
        </w:tc>
      </w:tr>
      <w:tr w:rsidR="00791FA9" w:rsidRPr="00A540CC" w:rsidTr="00791FA9">
        <w:tc>
          <w:tcPr>
            <w:tcW w:w="10278" w:type="dxa"/>
          </w:tcPr>
          <w:p w:rsidR="00791FA9" w:rsidRPr="00791FA9" w:rsidRDefault="00791FA9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Ordinul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ministrului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dezvoltării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durabile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nr.1830/2007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Ghidului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analizarea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hărților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strategice</w:t>
            </w:r>
            <w:proofErr w:type="spellEnd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91FA9">
              <w:rPr>
                <w:rFonts w:ascii="Times New Roman" w:hAnsi="Times New Roman" w:cs="Times New Roman"/>
                <w:sz w:val="24"/>
                <w:szCs w:val="24"/>
              </w:rPr>
              <w:t>zgomot</w:t>
            </w:r>
            <w:proofErr w:type="spellEnd"/>
          </w:p>
        </w:tc>
      </w:tr>
      <w:tr w:rsidR="006B541B" w:rsidRPr="00A540CC" w:rsidTr="00791FA9">
        <w:tc>
          <w:tcPr>
            <w:tcW w:w="10278" w:type="dxa"/>
          </w:tcPr>
          <w:p w:rsidR="006B541B" w:rsidRPr="00C53A74" w:rsidRDefault="006B541B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LEGE Nr. 104/2011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calitatea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aerului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înconjurător</w:t>
            </w:r>
            <w:proofErr w:type="spellEnd"/>
          </w:p>
        </w:tc>
      </w:tr>
      <w:tr w:rsidR="006B541B" w:rsidRPr="00A540CC" w:rsidTr="00791FA9">
        <w:tc>
          <w:tcPr>
            <w:tcW w:w="10278" w:type="dxa"/>
          </w:tcPr>
          <w:p w:rsidR="006B541B" w:rsidRPr="00C53A74" w:rsidRDefault="006B541B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3A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Ordin 462/1993 Norme metodologice privind determinarea emisiilor de poluanţi atmosferici produşi de surse staționare</w:t>
            </w:r>
          </w:p>
        </w:tc>
      </w:tr>
      <w:tr w:rsidR="006B541B" w:rsidRPr="00A540CC" w:rsidTr="00791FA9">
        <w:tc>
          <w:tcPr>
            <w:tcW w:w="10278" w:type="dxa"/>
          </w:tcPr>
          <w:p w:rsidR="006B541B" w:rsidRPr="00C53A74" w:rsidRDefault="006B541B" w:rsidP="007D3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Hotarare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440/2010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stabilirea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limitarea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emisiilor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anumitor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poluanţi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proveniţi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instalaţiile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mari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ardere</w:t>
            </w:r>
            <w:proofErr w:type="spellEnd"/>
          </w:p>
        </w:tc>
      </w:tr>
      <w:tr w:rsidR="006B541B" w:rsidRPr="00A540CC" w:rsidTr="00791FA9">
        <w:tc>
          <w:tcPr>
            <w:tcW w:w="10278" w:type="dxa"/>
          </w:tcPr>
          <w:p w:rsidR="006B541B" w:rsidRPr="00C53A74" w:rsidRDefault="006B541B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Legea 273/2013 Legea privind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emisiile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industriale</w:t>
            </w:r>
            <w:proofErr w:type="spellEnd"/>
          </w:p>
        </w:tc>
      </w:tr>
      <w:tr w:rsidR="006B541B" w:rsidRPr="00A540CC" w:rsidTr="00791FA9">
        <w:tc>
          <w:tcPr>
            <w:tcW w:w="10278" w:type="dxa"/>
          </w:tcPr>
          <w:p w:rsidR="006B541B" w:rsidRPr="00C53A74" w:rsidRDefault="006B541B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A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Ordin  95/2005 Ordin privind stabilirea criterilor de acceptare şi a procedurilor preliminare de acceptare a deşeurilor la depozitare şi lista naţională de deşeuri acceptate în fiecare clasă de depozit de deşeu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modificărilor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completărilor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aduse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A74">
              <w:rPr>
                <w:rFonts w:ascii="Times New Roman" w:hAnsi="Times New Roman" w:cs="Times New Roman"/>
                <w:vanish/>
                <w:sz w:val="24"/>
                <w:szCs w:val="24"/>
              </w:rPr>
              <w:t>&lt;LLNK 12012  3838 50IX01   0 38&gt;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ORDINUL nr. 3.838 din 9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noiembrie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2012.</w:t>
            </w:r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Hotărâre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352 /2005 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 privind condiţiile de descărcare în mediu acvatic a apelor uzate</w:t>
            </w:r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Hotărâre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351 /2005 </w:t>
            </w:r>
            <w:r w:rsidRPr="00C53A74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Hotărâre</w:t>
            </w:r>
            <w:r w:rsidRPr="00C53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privind aprobarea Programului de eliminare treptată </w:t>
            </w:r>
            <w:proofErr w:type="gramStart"/>
            <w:r w:rsidRPr="00C53A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</w:t>
            </w:r>
            <w:proofErr w:type="gramEnd"/>
            <w:r w:rsidRPr="00C53A74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evacuărilor, emisiilor şi pierderilor de substanţe prioritar periculoase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includerea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tuturor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modificărilor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completărilor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aduse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A74">
              <w:rPr>
                <w:rFonts w:ascii="Times New Roman" w:hAnsi="Times New Roman" w:cs="Times New Roman"/>
                <w:vanish/>
                <w:sz w:val="24"/>
                <w:szCs w:val="24"/>
              </w:rPr>
              <w:t>&lt;LLNK 12006   783 20 301   0 35&gt;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HOTĂRÂREA nr. 783 din 14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iunie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2006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3A74">
              <w:rPr>
                <w:rFonts w:ascii="Times New Roman" w:hAnsi="Times New Roman" w:cs="Times New Roman"/>
                <w:vanish/>
                <w:sz w:val="24"/>
                <w:szCs w:val="24"/>
              </w:rPr>
              <w:t>&lt;LLNK 12007   210 20 301   0 39&gt;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HOTĂRÂREA nr. 210 din 28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februarie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2007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3A74">
              <w:rPr>
                <w:rFonts w:ascii="Times New Roman" w:hAnsi="Times New Roman" w:cs="Times New Roman"/>
                <w:vanish/>
                <w:sz w:val="24"/>
                <w:szCs w:val="24"/>
              </w:rPr>
              <w:t>&lt;LLNK 12010  1038 20 301   0 41&gt;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HOTĂRÂREA nr. 1.038 din 13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octombrie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2010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3A74">
              <w:rPr>
                <w:rFonts w:ascii="Times New Roman" w:hAnsi="Times New Roman" w:cs="Times New Roman"/>
                <w:vanish/>
                <w:sz w:val="24"/>
                <w:szCs w:val="24"/>
              </w:rPr>
              <w:t>&lt;LLNK 12013   707 20 301   0 40&gt;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HOTĂRÂREA nr. 707 din 18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septembrie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2013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53A74">
              <w:rPr>
                <w:rFonts w:ascii="Times New Roman" w:hAnsi="Times New Roman" w:cs="Times New Roman"/>
                <w:vanish/>
                <w:sz w:val="24"/>
                <w:szCs w:val="24"/>
              </w:rPr>
              <w:t>&lt;LLNK 12015   196 10 201   0 30&gt;</w:t>
            </w:r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LEGEA nr. 196 din 9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iulie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2015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A74" w:rsidRPr="00C53A74" w:rsidRDefault="00C53A74" w:rsidP="007D3C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hotărârii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modifică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conf. art 1 </w:t>
            </w:r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HOTĂRÂRE nr. 1.038 din 13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octombrie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2010</w:t>
            </w:r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va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avea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următorul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cuprins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:    "HOTĂRÂRE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aprobarea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Programului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măsuri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împotriva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poluării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substanţe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chimice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Ordin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  756 /1997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Reglementării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evaluarea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poluării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mediului</w:t>
            </w:r>
            <w:proofErr w:type="spellEnd"/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H.G. 856 din 16 august 2002 (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actualizata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evidenţa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gestiunii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deşeurilor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aprobarea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listei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cuprinzând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deşeurile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inclusiv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deşeurile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periculoase</w:t>
            </w:r>
            <w:proofErr w:type="spellEnd"/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Lege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211/2011 (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republicata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regimul</w:t>
            </w:r>
            <w:proofErr w:type="spellEnd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>deseurilor</w:t>
            </w:r>
            <w:proofErr w:type="spellEnd"/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53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HG 1408_2008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clasificarea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ambalarea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etichetarea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substanţelor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>periculoase</w:t>
            </w:r>
            <w:proofErr w:type="spellEnd"/>
            <w:r w:rsidRPr="00C53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A74" w:rsidRPr="00A540CC" w:rsidTr="00791FA9">
        <w:tc>
          <w:tcPr>
            <w:tcW w:w="10278" w:type="dxa"/>
          </w:tcPr>
          <w:p w:rsidR="00C53A74" w:rsidRPr="00C53A74" w:rsidRDefault="00C53A74" w:rsidP="007D3CBB">
            <w:pPr>
              <w:pStyle w:val="Default"/>
              <w:rPr>
                <w:color w:val="auto"/>
                <w:lang w:val="ro-RO"/>
              </w:rPr>
            </w:pPr>
            <w:proofErr w:type="spellStart"/>
            <w:r w:rsidRPr="00C53A74">
              <w:rPr>
                <w:color w:val="auto"/>
              </w:rPr>
              <w:t>Regulamentul</w:t>
            </w:r>
            <w:proofErr w:type="spellEnd"/>
            <w:r w:rsidRPr="00C53A74">
              <w:rPr>
                <w:color w:val="auto"/>
              </w:rPr>
              <w:t xml:space="preserve"> (CE) nr. 273/2004 al </w:t>
            </w:r>
            <w:proofErr w:type="spellStart"/>
            <w:r w:rsidRPr="00C53A74">
              <w:rPr>
                <w:color w:val="auto"/>
              </w:rPr>
              <w:t>Parlamentului</w:t>
            </w:r>
            <w:proofErr w:type="spellEnd"/>
            <w:r w:rsidRPr="00C53A74">
              <w:rPr>
                <w:color w:val="auto"/>
              </w:rPr>
              <w:t xml:space="preserve"> European </w:t>
            </w:r>
            <w:proofErr w:type="spellStart"/>
            <w:r w:rsidRPr="00C53A74">
              <w:rPr>
                <w:color w:val="auto"/>
              </w:rPr>
              <w:t>şi</w:t>
            </w:r>
            <w:proofErr w:type="spellEnd"/>
            <w:r w:rsidRPr="00C53A74">
              <w:rPr>
                <w:color w:val="auto"/>
              </w:rPr>
              <w:t xml:space="preserve"> al </w:t>
            </w:r>
            <w:proofErr w:type="spellStart"/>
            <w:r w:rsidRPr="00C53A74">
              <w:rPr>
                <w:color w:val="auto"/>
              </w:rPr>
              <w:t>Consiliului</w:t>
            </w:r>
            <w:proofErr w:type="spellEnd"/>
            <w:r w:rsidRPr="00C53A74">
              <w:rPr>
                <w:color w:val="auto"/>
              </w:rPr>
              <w:t xml:space="preserve"> din 11 </w:t>
            </w:r>
            <w:proofErr w:type="spellStart"/>
            <w:r w:rsidRPr="00C53A74">
              <w:rPr>
                <w:color w:val="auto"/>
              </w:rPr>
              <w:t>februarie</w:t>
            </w:r>
            <w:proofErr w:type="spellEnd"/>
            <w:r w:rsidRPr="00C53A74">
              <w:rPr>
                <w:color w:val="auto"/>
              </w:rPr>
              <w:t xml:space="preserve"> 2004 </w:t>
            </w:r>
            <w:proofErr w:type="spellStart"/>
            <w:r w:rsidRPr="00C53A74">
              <w:rPr>
                <w:color w:val="auto"/>
              </w:rPr>
              <w:t>privind</w:t>
            </w:r>
            <w:proofErr w:type="spellEnd"/>
            <w:r w:rsidRPr="00C53A74">
              <w:rPr>
                <w:color w:val="auto"/>
              </w:rPr>
              <w:t xml:space="preserve"> </w:t>
            </w:r>
            <w:proofErr w:type="spellStart"/>
            <w:r w:rsidRPr="00C53A74">
              <w:rPr>
                <w:color w:val="auto"/>
              </w:rPr>
              <w:t>precursorii</w:t>
            </w:r>
            <w:proofErr w:type="spellEnd"/>
            <w:r w:rsidRPr="00C53A74">
              <w:rPr>
                <w:color w:val="auto"/>
              </w:rPr>
              <w:t xml:space="preserve"> </w:t>
            </w:r>
            <w:proofErr w:type="spellStart"/>
            <w:r w:rsidRPr="00C53A74">
              <w:rPr>
                <w:color w:val="auto"/>
              </w:rPr>
              <w:t>drogurilor</w:t>
            </w:r>
            <w:proofErr w:type="spellEnd"/>
          </w:p>
        </w:tc>
      </w:tr>
    </w:tbl>
    <w:p w:rsidR="00871238" w:rsidRDefault="00871238"/>
    <w:sectPr w:rsidR="00871238" w:rsidSect="003A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compat>
    <w:useFELayout/>
  </w:compat>
  <w:rsids>
    <w:rsidRoot w:val="00A540CC"/>
    <w:rsid w:val="00251C02"/>
    <w:rsid w:val="003A424B"/>
    <w:rsid w:val="00602806"/>
    <w:rsid w:val="006B541B"/>
    <w:rsid w:val="00791FA9"/>
    <w:rsid w:val="008549D0"/>
    <w:rsid w:val="00871238"/>
    <w:rsid w:val="009E399F"/>
    <w:rsid w:val="00A540CC"/>
    <w:rsid w:val="00AF219A"/>
    <w:rsid w:val="00C5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24B"/>
  </w:style>
  <w:style w:type="paragraph" w:styleId="Heading3">
    <w:name w:val="heading 3"/>
    <w:basedOn w:val="Normal"/>
    <w:next w:val="Normal"/>
    <w:link w:val="Heading3Char"/>
    <w:qFormat/>
    <w:rsid w:val="00791FA9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6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540C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A540CC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3Char">
    <w:name w:val="Heading 3 Char"/>
    <w:basedOn w:val="DefaultParagraphFont"/>
    <w:link w:val="Heading3"/>
    <w:rsid w:val="00791FA9"/>
    <w:rPr>
      <w:rFonts w:ascii="Arial" w:eastAsia="Times New Roman" w:hAnsi="Arial" w:cs="Times New Roman"/>
      <w:b/>
      <w:sz w:val="36"/>
      <w:szCs w:val="20"/>
      <w:lang w:val="ro-RO"/>
    </w:rPr>
  </w:style>
  <w:style w:type="paragraph" w:customStyle="1" w:styleId="Default">
    <w:name w:val="Default"/>
    <w:rsid w:val="00C53A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bc.corina.pricope</dc:creator>
  <cp:keywords/>
  <dc:description/>
  <cp:lastModifiedBy>bc.corina.pricope</cp:lastModifiedBy>
  <cp:revision>7</cp:revision>
  <cp:lastPrinted>2015-09-02T04:16:00Z</cp:lastPrinted>
  <dcterms:created xsi:type="dcterms:W3CDTF">2015-09-01T12:41:00Z</dcterms:created>
  <dcterms:modified xsi:type="dcterms:W3CDTF">2015-09-02T11:27:00Z</dcterms:modified>
</cp:coreProperties>
</file>