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0.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1.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2.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5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73.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74.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75.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76.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77.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78.xml" ContentType="application/vnd.openxmlformats-officedocument.drawingml.chart+xml"/>
  <Override PartName="/word/charts/style40.xml" ContentType="application/vnd.ms-office.chartstyle+xml"/>
  <Override PartName="/word/charts/colors4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2962" w:rsidRPr="00412071" w:rsidRDefault="006E2962" w:rsidP="00755618">
      <w:pPr>
        <w:tabs>
          <w:tab w:val="left" w:pos="851"/>
          <w:tab w:val="left" w:leader="dot" w:pos="9356"/>
        </w:tabs>
        <w:spacing w:line="360" w:lineRule="auto"/>
        <w:jc w:val="center"/>
        <w:rPr>
          <w:rFonts w:ascii="Arial" w:hAnsi="Arial" w:cs="Arial"/>
          <w:b/>
          <w:color w:val="FF0000"/>
          <w:lang w:val="en-US"/>
        </w:rPr>
      </w:pPr>
    </w:p>
    <w:p w:rsidR="006E2962" w:rsidRPr="006B01A5" w:rsidRDefault="006E2962" w:rsidP="00755618">
      <w:pPr>
        <w:tabs>
          <w:tab w:val="left" w:pos="851"/>
          <w:tab w:val="left" w:leader="dot" w:pos="9356"/>
        </w:tabs>
        <w:spacing w:line="360" w:lineRule="auto"/>
        <w:jc w:val="center"/>
        <w:rPr>
          <w:rFonts w:ascii="Arial" w:hAnsi="Arial" w:cs="Arial"/>
          <w:b/>
          <w:color w:val="FF0000"/>
          <w:lang w:val="ro-RO"/>
        </w:rPr>
      </w:pPr>
    </w:p>
    <w:p w:rsidR="00755618" w:rsidRPr="006B01A5" w:rsidRDefault="00755618" w:rsidP="00755618">
      <w:pPr>
        <w:tabs>
          <w:tab w:val="left" w:pos="851"/>
          <w:tab w:val="left" w:leader="dot" w:pos="9356"/>
        </w:tabs>
        <w:spacing w:line="360" w:lineRule="auto"/>
        <w:jc w:val="center"/>
        <w:rPr>
          <w:rFonts w:ascii="Arial" w:hAnsi="Arial" w:cs="Arial"/>
          <w:b/>
          <w:color w:val="FF0000"/>
          <w:lang w:val="ro-RO"/>
        </w:rPr>
      </w:pPr>
    </w:p>
    <w:p w:rsidR="006E2962" w:rsidRPr="006B01A5" w:rsidRDefault="006E2962" w:rsidP="00755618">
      <w:pPr>
        <w:tabs>
          <w:tab w:val="left" w:pos="851"/>
          <w:tab w:val="left" w:leader="dot" w:pos="9356"/>
        </w:tabs>
        <w:spacing w:line="360" w:lineRule="auto"/>
        <w:jc w:val="center"/>
        <w:rPr>
          <w:rFonts w:ascii="Arial" w:hAnsi="Arial" w:cs="Arial"/>
          <w:b/>
          <w:sz w:val="36"/>
          <w:szCs w:val="36"/>
          <w:lang w:val="ro-RO"/>
        </w:rPr>
      </w:pPr>
      <w:r w:rsidRPr="006B01A5">
        <w:rPr>
          <w:rFonts w:ascii="Arial" w:hAnsi="Arial" w:cs="Arial"/>
          <w:b/>
          <w:sz w:val="36"/>
          <w:szCs w:val="36"/>
          <w:lang w:val="ro-RO"/>
        </w:rPr>
        <w:t>Capitolul I</w:t>
      </w:r>
    </w:p>
    <w:p w:rsidR="006E2962" w:rsidRPr="006B01A5" w:rsidRDefault="006E2962" w:rsidP="00755618">
      <w:pPr>
        <w:tabs>
          <w:tab w:val="left" w:pos="851"/>
          <w:tab w:val="left" w:leader="dot" w:pos="9356"/>
        </w:tabs>
        <w:spacing w:line="360" w:lineRule="auto"/>
        <w:jc w:val="center"/>
        <w:rPr>
          <w:rFonts w:ascii="Arial" w:hAnsi="Arial" w:cs="Arial"/>
          <w:b/>
          <w:sz w:val="36"/>
          <w:szCs w:val="36"/>
          <w:lang w:val="ro-RO"/>
        </w:rPr>
      </w:pPr>
      <w:r w:rsidRPr="006B01A5">
        <w:rPr>
          <w:rFonts w:ascii="Arial" w:hAnsi="Arial" w:cs="Arial"/>
          <w:b/>
          <w:sz w:val="36"/>
          <w:szCs w:val="36"/>
          <w:lang w:val="ro-RO"/>
        </w:rPr>
        <w:t>CALITATEA ŞI POLUAREA AERULUI ÎNCONJURĂTOR</w:t>
      </w:r>
    </w:p>
    <w:p w:rsidR="00137997" w:rsidRPr="006B01A5" w:rsidRDefault="009E2B31" w:rsidP="00755618">
      <w:pPr>
        <w:tabs>
          <w:tab w:val="left" w:pos="851"/>
          <w:tab w:val="left" w:leader="dot" w:pos="9356"/>
        </w:tabs>
        <w:spacing w:line="360" w:lineRule="auto"/>
        <w:jc w:val="center"/>
        <w:rPr>
          <w:rFonts w:ascii="Arial" w:hAnsi="Arial" w:cs="Arial"/>
          <w:b/>
          <w:color w:val="FF0000"/>
          <w:lang w:val="ro-RO"/>
        </w:rPr>
      </w:pPr>
      <w:r>
        <w:rPr>
          <w:noProof/>
          <w:lang w:val="en-US"/>
        </w:rPr>
        <w:drawing>
          <wp:inline distT="0" distB="0" distL="0" distR="0">
            <wp:extent cx="4387719" cy="2926080"/>
            <wp:effectExtent l="0" t="0" r="0" b="7620"/>
            <wp:docPr id="30" name="Imagine 30" descr="https://respirainsiguranta.ro/wp-content/uploads/2022/01/poluarea-aerulu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pirainsiguranta.ro/wp-content/uploads/2022/01/poluarea-aerului-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937" cy="2928893"/>
                    </a:xfrm>
                    <a:prstGeom prst="rect">
                      <a:avLst/>
                    </a:prstGeom>
                    <a:noFill/>
                    <a:ln>
                      <a:noFill/>
                    </a:ln>
                  </pic:spPr>
                </pic:pic>
              </a:graphicData>
            </a:graphic>
          </wp:inline>
        </w:drawing>
      </w:r>
    </w:p>
    <w:p w:rsidR="00755618" w:rsidRPr="006B01A5" w:rsidRDefault="00755618" w:rsidP="00755618">
      <w:pPr>
        <w:tabs>
          <w:tab w:val="left" w:pos="851"/>
          <w:tab w:val="left" w:leader="dot" w:pos="9356"/>
        </w:tabs>
        <w:spacing w:line="360" w:lineRule="auto"/>
        <w:jc w:val="center"/>
        <w:rPr>
          <w:rFonts w:ascii="Arial" w:hAnsi="Arial" w:cs="Arial"/>
          <w:b/>
          <w:color w:val="FF0000"/>
          <w:lang w:val="ro-RO"/>
        </w:rPr>
      </w:pPr>
    </w:p>
    <w:p w:rsidR="006E2962" w:rsidRPr="008C6581" w:rsidRDefault="006E2962" w:rsidP="00755618">
      <w:pPr>
        <w:tabs>
          <w:tab w:val="left" w:pos="851"/>
          <w:tab w:val="left" w:leader="dot" w:pos="9356"/>
        </w:tabs>
        <w:jc w:val="center"/>
        <w:rPr>
          <w:rFonts w:ascii="Arial" w:hAnsi="Arial" w:cs="Arial"/>
          <w:b/>
          <w:caps/>
          <w:sz w:val="32"/>
          <w:szCs w:val="32"/>
          <w:lang w:val="ro-RO"/>
        </w:rPr>
      </w:pPr>
      <w:r w:rsidRPr="008C6581">
        <w:rPr>
          <w:rFonts w:ascii="Arial" w:hAnsi="Arial" w:cs="Arial"/>
          <w:b/>
          <w:caps/>
          <w:sz w:val="32"/>
          <w:szCs w:val="32"/>
          <w:lang w:val="ro-RO"/>
        </w:rPr>
        <w:t>I.1. Calitatea aerului înconjurător: stare şi consecinţe</w:t>
      </w:r>
    </w:p>
    <w:p w:rsidR="00F95C68" w:rsidRPr="006B01A5" w:rsidRDefault="00F95C68" w:rsidP="00755618">
      <w:pPr>
        <w:tabs>
          <w:tab w:val="left" w:pos="851"/>
          <w:tab w:val="left" w:leader="dot" w:pos="9356"/>
        </w:tabs>
        <w:rPr>
          <w:rFonts w:ascii="Arial" w:hAnsi="Arial" w:cs="Arial"/>
          <w:b/>
          <w:sz w:val="32"/>
          <w:szCs w:val="32"/>
          <w:lang w:val="ro-RO"/>
        </w:rPr>
      </w:pPr>
    </w:p>
    <w:p w:rsidR="00F95C68" w:rsidRPr="00840EC9" w:rsidRDefault="00F95C68" w:rsidP="00755618">
      <w:pPr>
        <w:tabs>
          <w:tab w:val="left" w:pos="851"/>
          <w:tab w:val="left" w:leader="dot" w:pos="9356"/>
        </w:tabs>
        <w:jc w:val="center"/>
        <w:rPr>
          <w:rFonts w:ascii="Arial" w:hAnsi="Arial" w:cs="Arial"/>
          <w:b/>
          <w:caps/>
          <w:sz w:val="28"/>
          <w:szCs w:val="28"/>
          <w:lang w:val="ro-RO"/>
        </w:rPr>
      </w:pPr>
      <w:r w:rsidRPr="00840EC9">
        <w:rPr>
          <w:rFonts w:ascii="Arial" w:hAnsi="Arial" w:cs="Arial"/>
          <w:b/>
          <w:caps/>
          <w:sz w:val="28"/>
          <w:szCs w:val="28"/>
          <w:lang w:val="ro-RO"/>
        </w:rPr>
        <w:t>I.1.1. Starea de calitate a aerului înconjurător</w:t>
      </w:r>
    </w:p>
    <w:p w:rsidR="00F95C68" w:rsidRPr="006B01A5" w:rsidRDefault="00F95C68" w:rsidP="00755618">
      <w:pPr>
        <w:tabs>
          <w:tab w:val="left" w:pos="851"/>
          <w:tab w:val="left" w:leader="dot" w:pos="9356"/>
        </w:tabs>
        <w:rPr>
          <w:rFonts w:ascii="Arial" w:hAnsi="Arial" w:cs="Arial"/>
          <w:b/>
          <w:lang w:val="ro-RO"/>
        </w:rPr>
      </w:pPr>
    </w:p>
    <w:p w:rsidR="00F95C68" w:rsidRPr="00840EC9" w:rsidRDefault="00F95C68" w:rsidP="00755618">
      <w:pPr>
        <w:tabs>
          <w:tab w:val="left" w:pos="851"/>
          <w:tab w:val="left" w:leader="dot" w:pos="9356"/>
        </w:tabs>
        <w:jc w:val="center"/>
        <w:rPr>
          <w:rFonts w:ascii="Arial" w:hAnsi="Arial" w:cs="Arial"/>
          <w:b/>
          <w:sz w:val="28"/>
          <w:lang w:val="ro-RO"/>
        </w:rPr>
      </w:pPr>
      <w:r w:rsidRPr="00840EC9">
        <w:rPr>
          <w:rFonts w:ascii="Arial" w:hAnsi="Arial" w:cs="Arial"/>
          <w:b/>
          <w:sz w:val="28"/>
          <w:lang w:val="ro-RO"/>
        </w:rPr>
        <w:t xml:space="preserve">I.1.1.1. Nivelul concentraţiilor medii anuale ale poluanţilor atmosferici </w:t>
      </w:r>
    </w:p>
    <w:p w:rsidR="00F95C68" w:rsidRPr="00840EC9" w:rsidRDefault="00F95C68" w:rsidP="00755618">
      <w:pPr>
        <w:tabs>
          <w:tab w:val="left" w:pos="851"/>
          <w:tab w:val="left" w:leader="dot" w:pos="9356"/>
        </w:tabs>
        <w:jc w:val="center"/>
        <w:rPr>
          <w:rFonts w:ascii="Arial" w:hAnsi="Arial" w:cs="Arial"/>
          <w:b/>
          <w:sz w:val="28"/>
          <w:lang w:val="ro-RO"/>
        </w:rPr>
      </w:pPr>
      <w:r w:rsidRPr="00840EC9">
        <w:rPr>
          <w:rFonts w:ascii="Arial" w:hAnsi="Arial" w:cs="Arial"/>
          <w:b/>
          <w:sz w:val="28"/>
          <w:lang w:val="ro-RO"/>
        </w:rPr>
        <w:t>în aerul înconjurător</w:t>
      </w:r>
    </w:p>
    <w:p w:rsidR="00F95C68" w:rsidRPr="006B01A5" w:rsidRDefault="00F95C68" w:rsidP="00755618">
      <w:pPr>
        <w:tabs>
          <w:tab w:val="left" w:pos="851"/>
          <w:tab w:val="left" w:leader="dot" w:pos="9356"/>
        </w:tabs>
        <w:jc w:val="center"/>
        <w:rPr>
          <w:rFonts w:ascii="Arial" w:hAnsi="Arial" w:cs="Arial"/>
          <w:b/>
          <w:color w:val="FF0000"/>
          <w:lang w:val="ro-RO"/>
        </w:rPr>
      </w:pPr>
    </w:p>
    <w:p w:rsidR="00F95C68" w:rsidRPr="00DD6935" w:rsidRDefault="00F95C68" w:rsidP="00755618">
      <w:pPr>
        <w:tabs>
          <w:tab w:val="left" w:pos="851"/>
        </w:tabs>
        <w:jc w:val="both"/>
        <w:rPr>
          <w:rFonts w:ascii="Arial" w:hAnsi="Arial" w:cs="Arial"/>
          <w:lang w:val="ro-RO"/>
        </w:rPr>
      </w:pPr>
      <w:r w:rsidRPr="00DD6935">
        <w:rPr>
          <w:rFonts w:ascii="Arial" w:hAnsi="Arial" w:cs="Arial"/>
          <w:lang w:val="ro-RO"/>
        </w:rPr>
        <w:tab/>
        <w:t>În jude</w:t>
      </w:r>
      <w:r w:rsidRPr="00DD6935">
        <w:rPr>
          <w:rFonts w:ascii="Arial" w:hAnsi="Tahoma" w:cs="Arial"/>
          <w:lang w:val="ro-RO"/>
        </w:rPr>
        <w:t>ț</w:t>
      </w:r>
      <w:r w:rsidRPr="00DD6935">
        <w:rPr>
          <w:rFonts w:ascii="Arial" w:hAnsi="Arial" w:cs="Arial"/>
          <w:lang w:val="ro-RO"/>
        </w:rPr>
        <w:t>ul Bistri</w:t>
      </w:r>
      <w:r w:rsidRPr="00DD6935">
        <w:rPr>
          <w:rFonts w:ascii="Arial" w:hAnsi="Tahoma" w:cs="Arial"/>
          <w:lang w:val="ro-RO"/>
        </w:rPr>
        <w:t>ț</w:t>
      </w:r>
      <w:r w:rsidRPr="00DD6935">
        <w:rPr>
          <w:rFonts w:ascii="Arial" w:hAnsi="Arial" w:cs="Arial"/>
          <w:lang w:val="ro-RO"/>
        </w:rPr>
        <w:t>a-Năsăud monitorizarea calită</w:t>
      </w:r>
      <w:r w:rsidRPr="00DD6935">
        <w:rPr>
          <w:rFonts w:ascii="Arial" w:hAnsi="Tahoma" w:cs="Arial"/>
          <w:lang w:val="ro-RO"/>
        </w:rPr>
        <w:t>ț</w:t>
      </w:r>
      <w:r w:rsidRPr="00DD6935">
        <w:rPr>
          <w:rFonts w:ascii="Arial" w:hAnsi="Arial" w:cs="Arial"/>
          <w:lang w:val="ro-RO"/>
        </w:rPr>
        <w:t xml:space="preserve">ii aerului se realizează prin monitorizare automată </w:t>
      </w:r>
      <w:r w:rsidRPr="00DD6935">
        <w:rPr>
          <w:rFonts w:ascii="Arial" w:hAnsi="Tahoma" w:cs="Arial"/>
          <w:lang w:val="ro-RO"/>
        </w:rPr>
        <w:t>ș</w:t>
      </w:r>
      <w:r w:rsidRPr="00DD6935">
        <w:rPr>
          <w:rFonts w:ascii="Arial" w:hAnsi="Arial" w:cs="Arial"/>
          <w:lang w:val="ro-RO"/>
        </w:rPr>
        <w:t>i monitorizare manuală.</w:t>
      </w:r>
    </w:p>
    <w:p w:rsidR="00EE01C2" w:rsidRPr="006B01A5" w:rsidRDefault="00F95C68" w:rsidP="00EE01C2">
      <w:pPr>
        <w:pStyle w:val="NormalWeb"/>
        <w:tabs>
          <w:tab w:val="left" w:pos="851"/>
        </w:tabs>
        <w:spacing w:before="0" w:beforeAutospacing="0" w:after="0" w:afterAutospacing="0"/>
        <w:jc w:val="both"/>
        <w:rPr>
          <w:rFonts w:ascii="Arial" w:hAnsi="Arial" w:cs="Arial"/>
          <w:color w:val="FF0000"/>
        </w:rPr>
      </w:pPr>
      <w:r w:rsidRPr="006B01A5">
        <w:rPr>
          <w:rFonts w:ascii="Arial" w:hAnsi="Arial" w:cs="Arial"/>
          <w:color w:val="FF0000"/>
        </w:rPr>
        <w:tab/>
      </w:r>
    </w:p>
    <w:p w:rsidR="00EE01C2" w:rsidRPr="006B01A5" w:rsidRDefault="00EE01C2" w:rsidP="00EE01C2">
      <w:pPr>
        <w:pStyle w:val="NormalWeb"/>
        <w:tabs>
          <w:tab w:val="left" w:pos="851"/>
        </w:tabs>
        <w:spacing w:before="0" w:beforeAutospacing="0" w:after="0" w:afterAutospacing="0"/>
        <w:jc w:val="both"/>
        <w:rPr>
          <w:rFonts w:ascii="Arial" w:hAnsi="Arial" w:cs="Arial"/>
          <w:color w:val="FF0000"/>
        </w:rPr>
      </w:pPr>
      <w:r w:rsidRPr="006B01A5">
        <w:rPr>
          <w:rFonts w:ascii="Arial" w:hAnsi="Arial" w:cs="Arial"/>
          <w:color w:val="FF0000"/>
        </w:rPr>
        <w:tab/>
      </w:r>
      <w:r w:rsidRPr="00DD6935">
        <w:rPr>
          <w:rFonts w:ascii="Arial" w:hAnsi="Arial" w:cs="Arial"/>
          <w:b/>
        </w:rPr>
        <w:t>Monitorizarea automată</w:t>
      </w:r>
      <w:r w:rsidRPr="00DD6935">
        <w:rPr>
          <w:rFonts w:ascii="Arial" w:hAnsi="Arial" w:cs="Arial"/>
        </w:rPr>
        <w:t xml:space="preserve"> a calității aerului se realizează cu ajutorul stației automate de monitorizare a calității aerului, cod BN-1, care face parte din Reţeaua Naţională de Monitorizare a Calităţii Aerului.</w:t>
      </w:r>
    </w:p>
    <w:p w:rsidR="00EE01C2" w:rsidRPr="002070B1" w:rsidRDefault="00EE01C2" w:rsidP="00EE01C2">
      <w:pPr>
        <w:tabs>
          <w:tab w:val="left" w:pos="851"/>
        </w:tabs>
        <w:jc w:val="both"/>
        <w:rPr>
          <w:rFonts w:ascii="Arial" w:hAnsi="Arial" w:cs="Arial"/>
          <w:lang w:val="ro-RO"/>
        </w:rPr>
      </w:pPr>
      <w:r w:rsidRPr="006B01A5">
        <w:rPr>
          <w:rFonts w:ascii="Arial" w:hAnsi="Arial" w:cs="Arial"/>
          <w:color w:val="FF0000"/>
          <w:lang w:val="ro-RO"/>
        </w:rPr>
        <w:tab/>
      </w:r>
      <w:r w:rsidRPr="002070B1">
        <w:rPr>
          <w:rFonts w:ascii="Arial" w:hAnsi="Arial" w:cs="Arial"/>
          <w:lang w:val="ro-RO"/>
        </w:rPr>
        <w:t>Este o stație de tip fond urban, având o arie de reprezentativitate de câțiva  km</w:t>
      </w:r>
      <w:r w:rsidRPr="002070B1">
        <w:rPr>
          <w:rFonts w:ascii="Arial" w:hAnsi="Arial" w:cs="Arial"/>
          <w:vertAlign w:val="superscript"/>
          <w:lang w:val="ro-RO"/>
        </w:rPr>
        <w:t>2</w:t>
      </w:r>
      <w:r w:rsidRPr="002070B1">
        <w:rPr>
          <w:rFonts w:ascii="Arial" w:hAnsi="Arial" w:cs="Arial"/>
          <w:lang w:val="ro-RO"/>
        </w:rPr>
        <w:t xml:space="preserve">. Aria de reprezentativitate este aria în care concentraţia nu diferă de concentraţia măsurată la staţie mai mult decât cu o "cantitate specifică" (+/- 20%). Staţia de fond urban este destinată evaluării calităţii aerului la distanţă suficientă faţă de sursele punctuale sau mobile. Staţia BN–1 este amplasată în incinta Agenţiei pentru Protecţia Mediului Bistriţa-Năsăud, în zona de sud a municipiului Bistriţa, limitrof parcului municipal și zonei rezidenţiale. </w:t>
      </w:r>
    </w:p>
    <w:p w:rsidR="00EE01C2" w:rsidRPr="002070B1" w:rsidRDefault="00EE01C2" w:rsidP="00EE01C2">
      <w:pPr>
        <w:pStyle w:val="NormalWeb"/>
        <w:tabs>
          <w:tab w:val="left" w:pos="851"/>
        </w:tabs>
        <w:spacing w:before="0" w:beforeAutospacing="0" w:after="0" w:afterAutospacing="0"/>
        <w:jc w:val="both"/>
        <w:rPr>
          <w:rFonts w:ascii="Arial" w:hAnsi="Arial" w:cs="Arial"/>
        </w:rPr>
      </w:pPr>
      <w:r w:rsidRPr="00B60913">
        <w:rPr>
          <w:rFonts w:ascii="Arial" w:hAnsi="Arial" w:cs="Arial"/>
          <w:color w:val="00B050"/>
        </w:rPr>
        <w:lastRenderedPageBreak/>
        <w:tab/>
      </w:r>
      <w:r w:rsidRPr="002070B1">
        <w:rPr>
          <w:rFonts w:ascii="Arial" w:hAnsi="Arial" w:cs="Arial"/>
        </w:rPr>
        <w:t>Poluanţii monitorizaţi de staţie sunt dioxid de sulf (SO</w:t>
      </w:r>
      <w:r w:rsidRPr="002070B1">
        <w:rPr>
          <w:rFonts w:ascii="Arial" w:hAnsi="Arial" w:cs="Arial"/>
          <w:vertAlign w:val="subscript"/>
        </w:rPr>
        <w:t>2</w:t>
      </w:r>
      <w:r w:rsidRPr="002070B1">
        <w:rPr>
          <w:rFonts w:ascii="Arial" w:hAnsi="Arial" w:cs="Arial"/>
        </w:rPr>
        <w:t>), oxizii de azot (NO</w:t>
      </w:r>
      <w:r w:rsidRPr="002070B1">
        <w:rPr>
          <w:rFonts w:ascii="Arial" w:hAnsi="Arial" w:cs="Arial"/>
          <w:vertAlign w:val="subscript"/>
        </w:rPr>
        <w:t>2</w:t>
      </w:r>
      <w:r w:rsidRPr="002070B1">
        <w:rPr>
          <w:rFonts w:ascii="Arial" w:hAnsi="Arial" w:cs="Arial"/>
        </w:rPr>
        <w:t>, NO, NO</w:t>
      </w:r>
      <w:r w:rsidRPr="002070B1">
        <w:rPr>
          <w:rFonts w:ascii="Arial" w:hAnsi="Arial" w:cs="Arial"/>
          <w:vertAlign w:val="subscript"/>
        </w:rPr>
        <w:t>x</w:t>
      </w:r>
      <w:r w:rsidRPr="002070B1">
        <w:rPr>
          <w:rFonts w:ascii="Arial" w:hAnsi="Arial" w:cs="Arial"/>
        </w:rPr>
        <w:t xml:space="preserve"> ), monoxid de carbon (CO), ozon (O</w:t>
      </w:r>
      <w:r w:rsidRPr="002070B1">
        <w:rPr>
          <w:rFonts w:ascii="Arial" w:hAnsi="Arial" w:cs="Arial"/>
          <w:vertAlign w:val="subscript"/>
        </w:rPr>
        <w:t>3</w:t>
      </w:r>
      <w:r w:rsidRPr="002070B1">
        <w:rPr>
          <w:rFonts w:ascii="Arial" w:hAnsi="Arial" w:cs="Arial"/>
        </w:rPr>
        <w:t>), pulberi în suspensie (PM10) şi benzen (C</w:t>
      </w:r>
      <w:r w:rsidRPr="002070B1">
        <w:rPr>
          <w:rFonts w:ascii="Arial" w:hAnsi="Arial" w:cs="Arial"/>
          <w:vertAlign w:val="subscript"/>
        </w:rPr>
        <w:t>6</w:t>
      </w:r>
      <w:r w:rsidRPr="002070B1">
        <w:rPr>
          <w:rFonts w:ascii="Arial" w:hAnsi="Arial" w:cs="Arial"/>
        </w:rPr>
        <w:t>H</w:t>
      </w:r>
      <w:r w:rsidRPr="002070B1">
        <w:rPr>
          <w:rFonts w:ascii="Arial" w:hAnsi="Arial" w:cs="Arial"/>
          <w:vertAlign w:val="subscript"/>
        </w:rPr>
        <w:t>6</w:t>
      </w:r>
      <w:r w:rsidRPr="002070B1">
        <w:rPr>
          <w:rFonts w:ascii="Arial" w:hAnsi="Arial" w:cs="Arial"/>
        </w:rPr>
        <w:t>) și sunt evaluaţi în conformitate cu prevederile din Legea nr. 104/2011.</w:t>
      </w:r>
    </w:p>
    <w:p w:rsidR="00EE01C2" w:rsidRPr="002070B1" w:rsidRDefault="00EE01C2" w:rsidP="00EE01C2">
      <w:pPr>
        <w:pStyle w:val="NormalWeb"/>
        <w:tabs>
          <w:tab w:val="left" w:pos="851"/>
        </w:tabs>
        <w:spacing w:before="0" w:beforeAutospacing="0" w:after="0" w:afterAutospacing="0"/>
        <w:jc w:val="both"/>
        <w:rPr>
          <w:rFonts w:ascii="Arial" w:hAnsi="Arial" w:cs="Arial"/>
        </w:rPr>
      </w:pPr>
      <w:r w:rsidRPr="002070B1">
        <w:rPr>
          <w:rFonts w:ascii="Arial" w:hAnsi="Arial" w:cs="Arial"/>
        </w:rPr>
        <w:tab/>
        <w:t xml:space="preserve">Staţia este dotată şi cu un sistem de monitorizare a parametrilor meteo, respectiv direcţia şi viteza vântului, temperatură, umiditate relativă, presiune atmosferică, radiaţie solară şi precipitaţii. </w:t>
      </w:r>
    </w:p>
    <w:p w:rsidR="00EE01C2" w:rsidRPr="002070B1" w:rsidRDefault="00EE01C2" w:rsidP="00EE01C2">
      <w:pPr>
        <w:tabs>
          <w:tab w:val="left" w:pos="851"/>
        </w:tabs>
        <w:jc w:val="both"/>
        <w:rPr>
          <w:rFonts w:ascii="Arial" w:hAnsi="Arial" w:cs="Arial"/>
          <w:lang w:val="ro-RO"/>
        </w:rPr>
      </w:pPr>
      <w:r w:rsidRPr="002070B1">
        <w:rPr>
          <w:rFonts w:ascii="Arial" w:hAnsi="Arial" w:cs="Arial"/>
          <w:lang w:val="ro-RO"/>
        </w:rPr>
        <w:tab/>
        <w:t>Calitatea aerului se determină prin raportarea rezultatele monitorizate la valorile limită, valorile ţintă, praguri de alertă sau de informare, stabilite în legislaţia specifică pentru fiecare poluant. Conform prevederilor din Legea nr.104/2011 privind calitatea mediului înconjurător, depășirile pragurilor superior și inferior de evaluare se determină în baza concentrațiilor din 5 ani , dacă sunt disponibile suficiente date, Se consideră că un prag de evaluare a fost depășit dacă a fost depășit în cel puțin 3 din cei 5 ani anteriori.</w:t>
      </w:r>
    </w:p>
    <w:p w:rsidR="00EE01C2" w:rsidRPr="002070B1" w:rsidRDefault="00EE01C2" w:rsidP="00EE01C2">
      <w:pPr>
        <w:tabs>
          <w:tab w:val="left" w:pos="851"/>
        </w:tabs>
        <w:jc w:val="both"/>
        <w:rPr>
          <w:rFonts w:ascii="Arial" w:hAnsi="Arial" w:cs="Arial"/>
          <w:lang w:val="ro-RO"/>
        </w:rPr>
      </w:pPr>
      <w:r w:rsidRPr="002070B1">
        <w:rPr>
          <w:rFonts w:ascii="Arial" w:hAnsi="Arial" w:cs="Arial"/>
          <w:lang w:val="ro-RO"/>
        </w:rPr>
        <w:tab/>
        <w:t xml:space="preserve">În continuare sunt prezentate datele privind calitatea aerului pentru anul </w:t>
      </w:r>
      <w:r w:rsidR="00CA572B">
        <w:rPr>
          <w:rFonts w:ascii="Arial" w:hAnsi="Arial" w:cs="Arial"/>
          <w:lang w:val="ro-RO"/>
        </w:rPr>
        <w:t>2021</w:t>
      </w:r>
      <w:r w:rsidRPr="002070B1">
        <w:rPr>
          <w:rFonts w:ascii="Arial" w:hAnsi="Arial" w:cs="Arial"/>
          <w:lang w:val="ro-RO"/>
        </w:rPr>
        <w:t>. Graficele sunt realizate pe baza măsurărilor efectuate în staţia automată de monitorizare a calităţii aerului, cu respectarea obiectivelor de calitate a datelor stabilite în Anexa nr.4 din Legea 104/2011, totodată fiind utilizate criteriile de agregare şi calculul parametrilor statistici, conform Anexei 3, B.1 şi D.2 din Legea nr. 104/2011.</w:t>
      </w:r>
    </w:p>
    <w:p w:rsidR="00EE01C2" w:rsidRPr="002070B1" w:rsidRDefault="00EE01C2" w:rsidP="00EE01C2">
      <w:pPr>
        <w:tabs>
          <w:tab w:val="left" w:pos="851"/>
        </w:tabs>
        <w:rPr>
          <w:rFonts w:ascii="Arial" w:hAnsi="Arial" w:cs="Arial"/>
          <w:b/>
          <w:bCs/>
          <w:lang w:val="ro-RO"/>
        </w:rPr>
      </w:pPr>
    </w:p>
    <w:p w:rsidR="00306FE1" w:rsidRPr="002070B1" w:rsidRDefault="00306FE1" w:rsidP="00306FE1">
      <w:pPr>
        <w:tabs>
          <w:tab w:val="left" w:pos="851"/>
        </w:tabs>
        <w:rPr>
          <w:rFonts w:ascii="Arial" w:hAnsi="Arial" w:cs="Arial"/>
          <w:b/>
          <w:bCs/>
          <w:lang w:val="ro-RO"/>
        </w:rPr>
      </w:pPr>
      <w:r w:rsidRPr="002070B1">
        <w:rPr>
          <w:rFonts w:ascii="Arial" w:hAnsi="Arial" w:cs="Arial"/>
          <w:b/>
          <w:bCs/>
          <w:lang w:val="ro-RO"/>
        </w:rPr>
        <w:t>Dioxidul de sulf (SO2)</w:t>
      </w:r>
    </w:p>
    <w:p w:rsidR="00306FE1" w:rsidRPr="002070B1" w:rsidRDefault="00306FE1" w:rsidP="00306FE1">
      <w:pPr>
        <w:tabs>
          <w:tab w:val="left" w:pos="851"/>
        </w:tabs>
        <w:rPr>
          <w:rFonts w:ascii="Arial" w:hAnsi="Arial" w:cs="Arial"/>
          <w:lang w:val="ro-RO"/>
        </w:rPr>
      </w:pPr>
    </w:p>
    <w:p w:rsidR="00306FE1" w:rsidRPr="002070B1" w:rsidRDefault="00306FE1" w:rsidP="00306FE1">
      <w:pPr>
        <w:pStyle w:val="Default"/>
        <w:tabs>
          <w:tab w:val="left" w:pos="851"/>
        </w:tabs>
        <w:jc w:val="both"/>
        <w:rPr>
          <w:iCs/>
          <w:color w:val="auto"/>
        </w:rPr>
      </w:pPr>
      <w:r w:rsidRPr="002070B1">
        <w:rPr>
          <w:color w:val="auto"/>
        </w:rPr>
        <w:tab/>
        <w:t xml:space="preserve">Concentraţiile de SO2 din aerul înconjurător se evaluează folosind </w:t>
      </w:r>
      <w:r w:rsidRPr="002070B1">
        <w:rPr>
          <w:iCs/>
          <w:color w:val="auto"/>
        </w:rPr>
        <w:t xml:space="preserve">valoarea limită orară pentru protecţia sănătăţii umane </w:t>
      </w:r>
      <w:r w:rsidRPr="002070B1">
        <w:rPr>
          <w:color w:val="auto"/>
        </w:rPr>
        <w:t>(350µ</w:t>
      </w:r>
      <w:r w:rsidRPr="002070B1">
        <w:rPr>
          <w:iCs/>
          <w:color w:val="auto"/>
        </w:rPr>
        <w:t>g/</w:t>
      </w:r>
      <w:r w:rsidRPr="002070B1">
        <w:rPr>
          <w:color w:val="auto"/>
        </w:rPr>
        <w:t>m</w:t>
      </w:r>
      <w:r w:rsidRPr="002070B1">
        <w:rPr>
          <w:color w:val="auto"/>
          <w:vertAlign w:val="superscript"/>
        </w:rPr>
        <w:t>3</w:t>
      </w:r>
      <w:r w:rsidRPr="002070B1">
        <w:rPr>
          <w:iCs/>
          <w:color w:val="auto"/>
        </w:rPr>
        <w:t xml:space="preserve">), </w:t>
      </w:r>
      <w:r w:rsidRPr="002070B1">
        <w:rPr>
          <w:color w:val="auto"/>
        </w:rPr>
        <w:t xml:space="preserve">care nu trebuie depăşită de mai mult de 24 ori/an calendaristic, </w:t>
      </w:r>
      <w:r w:rsidRPr="002070B1">
        <w:rPr>
          <w:iCs/>
          <w:color w:val="auto"/>
        </w:rPr>
        <w:t>valoarea limită zilnică pentru protecţia sănătăţii umane (125</w:t>
      </w:r>
      <w:r w:rsidRPr="002070B1">
        <w:rPr>
          <w:color w:val="auto"/>
        </w:rPr>
        <w:t>µ</w:t>
      </w:r>
      <w:r w:rsidRPr="002070B1">
        <w:rPr>
          <w:iCs/>
          <w:color w:val="auto"/>
        </w:rPr>
        <w:t>g/</w:t>
      </w:r>
      <w:r w:rsidRPr="002070B1">
        <w:rPr>
          <w:color w:val="auto"/>
        </w:rPr>
        <w:t xml:space="preserve"> m</w:t>
      </w:r>
      <w:r w:rsidRPr="002070B1">
        <w:rPr>
          <w:color w:val="auto"/>
          <w:vertAlign w:val="superscript"/>
        </w:rPr>
        <w:t>3</w:t>
      </w:r>
      <w:r w:rsidRPr="002070B1">
        <w:rPr>
          <w:iCs/>
          <w:color w:val="auto"/>
        </w:rPr>
        <w:t xml:space="preserve">), </w:t>
      </w:r>
      <w:r w:rsidRPr="002070B1">
        <w:rPr>
          <w:color w:val="auto"/>
        </w:rPr>
        <w:t xml:space="preserve">care nu trebuie depăşită de mai mult de 3 ori/an, </w:t>
      </w:r>
      <w:r w:rsidRPr="002070B1">
        <w:rPr>
          <w:iCs/>
          <w:color w:val="auto"/>
        </w:rPr>
        <w:t>pragul superior</w:t>
      </w:r>
      <w:r>
        <w:rPr>
          <w:iCs/>
          <w:color w:val="auto"/>
        </w:rPr>
        <w:t xml:space="preserve"> respectiv </w:t>
      </w:r>
      <w:r w:rsidRPr="002070B1">
        <w:rPr>
          <w:iCs/>
          <w:color w:val="auto"/>
        </w:rPr>
        <w:t xml:space="preserve">pragul inferior de evaluare pentru protecția sănătății umane </w:t>
      </w:r>
      <w:r>
        <w:rPr>
          <w:color w:val="auto"/>
        </w:rPr>
        <w:t>raportat la valoarea zilnică</w:t>
      </w:r>
      <w:r>
        <w:rPr>
          <w:iCs/>
          <w:color w:val="auto"/>
        </w:rPr>
        <w:t xml:space="preserve"> (</w:t>
      </w:r>
      <w:r w:rsidRPr="002070B1">
        <w:rPr>
          <w:iCs/>
          <w:color w:val="auto"/>
        </w:rPr>
        <w:t>75</w:t>
      </w:r>
      <w:r w:rsidRPr="002070B1">
        <w:rPr>
          <w:color w:val="auto"/>
        </w:rPr>
        <w:t xml:space="preserve"> µ</w:t>
      </w:r>
      <w:r w:rsidRPr="002070B1">
        <w:rPr>
          <w:iCs/>
          <w:color w:val="auto"/>
        </w:rPr>
        <w:t>g/</w:t>
      </w:r>
      <w:r w:rsidRPr="002070B1">
        <w:rPr>
          <w:color w:val="auto"/>
        </w:rPr>
        <w:t>m</w:t>
      </w:r>
      <w:r w:rsidRPr="002070B1">
        <w:rPr>
          <w:color w:val="auto"/>
          <w:vertAlign w:val="superscript"/>
        </w:rPr>
        <w:t>3</w:t>
      </w:r>
      <w:r>
        <w:rPr>
          <w:color w:val="auto"/>
          <w:vertAlign w:val="superscript"/>
        </w:rPr>
        <w:t xml:space="preserve"> </w:t>
      </w:r>
      <w:r w:rsidRPr="00395BB1">
        <w:rPr>
          <w:color w:val="auto"/>
        </w:rPr>
        <w:t>respectiv</w:t>
      </w:r>
      <w:r>
        <w:rPr>
          <w:color w:val="auto"/>
        </w:rPr>
        <w:t xml:space="preserve"> </w:t>
      </w:r>
      <w:r w:rsidRPr="002070B1">
        <w:rPr>
          <w:iCs/>
          <w:color w:val="auto"/>
        </w:rPr>
        <w:t xml:space="preserve">50 </w:t>
      </w:r>
      <w:r w:rsidRPr="002070B1">
        <w:rPr>
          <w:color w:val="auto"/>
        </w:rPr>
        <w:t>µ</w:t>
      </w:r>
      <w:r w:rsidRPr="002070B1">
        <w:rPr>
          <w:iCs/>
          <w:color w:val="auto"/>
        </w:rPr>
        <w:t>g/</w:t>
      </w:r>
      <w:r w:rsidRPr="002070B1">
        <w:rPr>
          <w:color w:val="auto"/>
        </w:rPr>
        <w:t>m</w:t>
      </w:r>
      <w:r w:rsidRPr="002070B1">
        <w:rPr>
          <w:color w:val="auto"/>
          <w:vertAlign w:val="superscript"/>
        </w:rPr>
        <w:t>3</w:t>
      </w:r>
      <w:r>
        <w:rPr>
          <w:color w:val="auto"/>
        </w:rPr>
        <w:t>)</w:t>
      </w:r>
      <w:r>
        <w:rPr>
          <w:color w:val="auto"/>
          <w:vertAlign w:val="superscript"/>
        </w:rPr>
        <w:t xml:space="preserve"> </w:t>
      </w:r>
      <w:r w:rsidRPr="002070B1">
        <w:rPr>
          <w:rFonts w:ascii="Tahoma" w:hAnsi="Tahoma"/>
          <w:color w:val="auto"/>
        </w:rPr>
        <w:t>ș</w:t>
      </w:r>
      <w:r w:rsidRPr="002070B1">
        <w:rPr>
          <w:color w:val="auto"/>
        </w:rPr>
        <w:t>i pragul de alertă (</w:t>
      </w:r>
      <w:r w:rsidRPr="002070B1">
        <w:rPr>
          <w:iCs/>
          <w:color w:val="auto"/>
        </w:rPr>
        <w:t>500</w:t>
      </w:r>
      <w:r w:rsidRPr="002070B1">
        <w:rPr>
          <w:color w:val="auto"/>
        </w:rPr>
        <w:t>µ</w:t>
      </w:r>
      <w:r w:rsidRPr="002070B1">
        <w:rPr>
          <w:iCs/>
          <w:color w:val="auto"/>
        </w:rPr>
        <w:t>g/</w:t>
      </w:r>
      <w:r w:rsidRPr="002070B1">
        <w:rPr>
          <w:color w:val="auto"/>
        </w:rPr>
        <w:t>m</w:t>
      </w:r>
      <w:r w:rsidRPr="002070B1">
        <w:rPr>
          <w:color w:val="auto"/>
          <w:vertAlign w:val="superscript"/>
        </w:rPr>
        <w:t>3</w:t>
      </w:r>
      <w:r w:rsidRPr="002070B1">
        <w:rPr>
          <w:color w:val="auto"/>
        </w:rPr>
        <w:t>, concentra</w:t>
      </w:r>
      <w:r w:rsidRPr="002070B1">
        <w:rPr>
          <w:rFonts w:ascii="Tahoma" w:hAnsi="Tahoma"/>
          <w:color w:val="auto"/>
        </w:rPr>
        <w:t>ț</w:t>
      </w:r>
      <w:r w:rsidRPr="002070B1">
        <w:rPr>
          <w:color w:val="auto"/>
        </w:rPr>
        <w:t xml:space="preserve">ie </w:t>
      </w:r>
      <w:r w:rsidRPr="002070B1">
        <w:rPr>
          <w:iCs/>
          <w:color w:val="auto"/>
        </w:rPr>
        <w:t>măsurată timp de 3 ore consecutive).</w:t>
      </w:r>
    </w:p>
    <w:p w:rsidR="00306FE1" w:rsidRPr="002070B1" w:rsidRDefault="00306FE1" w:rsidP="00306FE1">
      <w:pPr>
        <w:pStyle w:val="Default"/>
        <w:tabs>
          <w:tab w:val="left" w:pos="851"/>
        </w:tabs>
        <w:jc w:val="both"/>
        <w:rPr>
          <w:color w:val="auto"/>
        </w:rPr>
      </w:pPr>
      <w:r w:rsidRPr="002070B1">
        <w:rPr>
          <w:color w:val="auto"/>
        </w:rPr>
        <w:tab/>
        <w:t>Dioxidul de sulf se măsoară automat în staţia BN-1 cu analizorul de SO</w:t>
      </w:r>
      <w:r w:rsidRPr="002070B1">
        <w:rPr>
          <w:color w:val="auto"/>
          <w:vertAlign w:val="subscript"/>
        </w:rPr>
        <w:t>2</w:t>
      </w:r>
      <w:r w:rsidRPr="002070B1">
        <w:rPr>
          <w:color w:val="auto"/>
        </w:rPr>
        <w:t xml:space="preserve">, model ML 9850B prin metoda fluorescenţei în ultraviolet, </w:t>
      </w:r>
      <w:r w:rsidRPr="002070B1">
        <w:rPr>
          <w:color w:val="auto"/>
          <w:sz w:val="23"/>
          <w:szCs w:val="23"/>
        </w:rPr>
        <w:t>metodă de referință standardizată prin SR EN 14212.</w:t>
      </w:r>
    </w:p>
    <w:p w:rsidR="00306FE1" w:rsidRPr="006B1A5F" w:rsidRDefault="00306FE1" w:rsidP="00306FE1">
      <w:pPr>
        <w:pStyle w:val="Default"/>
        <w:tabs>
          <w:tab w:val="left" w:pos="851"/>
        </w:tabs>
        <w:jc w:val="both"/>
        <w:rPr>
          <w:color w:val="auto"/>
        </w:rPr>
      </w:pPr>
      <w:r w:rsidRPr="002070B1">
        <w:rPr>
          <w:color w:val="auto"/>
        </w:rPr>
        <w:tab/>
        <w:t>În cursul anului 202</w:t>
      </w:r>
      <w:r>
        <w:rPr>
          <w:color w:val="auto"/>
        </w:rPr>
        <w:t>1</w:t>
      </w:r>
      <w:r w:rsidRPr="002070B1">
        <w:rPr>
          <w:color w:val="auto"/>
        </w:rPr>
        <w:t xml:space="preserve"> nu au fost depășite valorile limită menționate mai sus</w:t>
      </w:r>
      <w:r w:rsidRPr="002070B1">
        <w:rPr>
          <w:iCs/>
          <w:color w:val="auto"/>
        </w:rPr>
        <w:t xml:space="preserve">. Valoarea medie anuală a fost </w:t>
      </w:r>
      <w:r w:rsidRPr="006B1A5F">
        <w:rPr>
          <w:iCs/>
          <w:color w:val="auto"/>
        </w:rPr>
        <w:t>de 6</w:t>
      </w:r>
      <w:r>
        <w:rPr>
          <w:iCs/>
          <w:color w:val="auto"/>
        </w:rPr>
        <w:t>,</w:t>
      </w:r>
      <w:r w:rsidRPr="006B1A5F">
        <w:rPr>
          <w:iCs/>
          <w:color w:val="auto"/>
        </w:rPr>
        <w:t xml:space="preserve">02 </w:t>
      </w:r>
      <w:r w:rsidRPr="006B1A5F">
        <w:rPr>
          <w:color w:val="auto"/>
        </w:rPr>
        <w:t>µ</w:t>
      </w:r>
      <w:r w:rsidRPr="006B1A5F">
        <w:rPr>
          <w:iCs/>
          <w:color w:val="auto"/>
        </w:rPr>
        <w:t>g/</w:t>
      </w:r>
      <w:r w:rsidRPr="006B1A5F">
        <w:rPr>
          <w:color w:val="auto"/>
        </w:rPr>
        <w:t>m</w:t>
      </w:r>
      <w:r w:rsidRPr="006B1A5F">
        <w:rPr>
          <w:color w:val="auto"/>
          <w:vertAlign w:val="superscript"/>
        </w:rPr>
        <w:t>3</w:t>
      </w:r>
      <w:r w:rsidRPr="006B1A5F">
        <w:rPr>
          <w:color w:val="auto"/>
        </w:rPr>
        <w:t xml:space="preserve">, la o captură anuală de  95,09%. </w:t>
      </w:r>
    </w:p>
    <w:p w:rsidR="00306FE1" w:rsidRPr="002070B1" w:rsidRDefault="00306FE1" w:rsidP="00306FE1">
      <w:pPr>
        <w:pStyle w:val="Default"/>
        <w:tabs>
          <w:tab w:val="left" w:pos="851"/>
        </w:tabs>
        <w:jc w:val="center"/>
        <w:rPr>
          <w:b/>
          <w:color w:val="auto"/>
          <w:sz w:val="22"/>
          <w:szCs w:val="22"/>
        </w:rPr>
      </w:pPr>
    </w:p>
    <w:p w:rsidR="00306FE1" w:rsidRPr="002070B1" w:rsidRDefault="00306FE1" w:rsidP="00306FE1">
      <w:pPr>
        <w:pStyle w:val="Default"/>
        <w:tabs>
          <w:tab w:val="left" w:pos="851"/>
        </w:tabs>
        <w:jc w:val="center"/>
        <w:rPr>
          <w:b/>
          <w:color w:val="auto"/>
          <w:sz w:val="22"/>
          <w:szCs w:val="22"/>
        </w:rPr>
      </w:pPr>
      <w:r w:rsidRPr="002070B1">
        <w:rPr>
          <w:b/>
          <w:color w:val="auto"/>
          <w:sz w:val="22"/>
          <w:szCs w:val="22"/>
        </w:rPr>
        <w:t>Figura I.1.1.1.1. Stația de fond urban BN-1 Bistrița</w:t>
      </w:r>
    </w:p>
    <w:p w:rsidR="00306FE1" w:rsidRPr="002070B1" w:rsidRDefault="00306FE1" w:rsidP="00306FE1">
      <w:pPr>
        <w:pStyle w:val="Default"/>
        <w:tabs>
          <w:tab w:val="left" w:pos="851"/>
        </w:tabs>
        <w:jc w:val="center"/>
        <w:rPr>
          <w:b/>
          <w:color w:val="auto"/>
          <w:sz w:val="22"/>
          <w:szCs w:val="22"/>
        </w:rPr>
      </w:pPr>
      <w:r w:rsidRPr="002070B1">
        <w:rPr>
          <w:b/>
          <w:color w:val="auto"/>
          <w:sz w:val="22"/>
          <w:szCs w:val="22"/>
        </w:rPr>
        <w:t>Evoluția concentrațiilor medii lunare ale SO</w:t>
      </w:r>
      <w:r w:rsidRPr="002070B1">
        <w:rPr>
          <w:b/>
          <w:color w:val="auto"/>
          <w:sz w:val="22"/>
          <w:szCs w:val="22"/>
          <w:vertAlign w:val="subscript"/>
        </w:rPr>
        <w:t>2</w:t>
      </w:r>
      <w:r>
        <w:rPr>
          <w:b/>
          <w:color w:val="auto"/>
          <w:sz w:val="22"/>
          <w:szCs w:val="22"/>
        </w:rPr>
        <w:t xml:space="preserve"> în anul 2021</w:t>
      </w:r>
    </w:p>
    <w:p w:rsidR="00306FE1" w:rsidRPr="002070B1" w:rsidRDefault="00E93F2C" w:rsidP="00306FE1">
      <w:pPr>
        <w:pStyle w:val="Default"/>
        <w:tabs>
          <w:tab w:val="left" w:pos="851"/>
        </w:tabs>
        <w:jc w:val="center"/>
        <w:rPr>
          <w:color w:val="auto"/>
          <w:sz w:val="16"/>
          <w:szCs w:val="16"/>
        </w:rPr>
      </w:pPr>
      <w:r>
        <w:rPr>
          <w:noProof/>
          <w:lang w:val="en-US"/>
        </w:rPr>
        <w:drawing>
          <wp:inline distT="0" distB="0" distL="0" distR="0" wp14:anchorId="40339882" wp14:editId="2C51695A">
            <wp:extent cx="5173980" cy="2461260"/>
            <wp:effectExtent l="0" t="0" r="7620" b="15240"/>
            <wp:docPr id="33" name="Diagramă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06FE1" w:rsidRPr="002070B1" w:rsidRDefault="00306FE1" w:rsidP="00306FE1">
      <w:pPr>
        <w:tabs>
          <w:tab w:val="left" w:pos="1920"/>
        </w:tabs>
        <w:jc w:val="center"/>
        <w:rPr>
          <w:rFonts w:ascii="Arial" w:hAnsi="Arial" w:cs="Arial"/>
          <w:lang w:val="ro-RO"/>
        </w:rPr>
      </w:pPr>
      <w:r w:rsidRPr="002070B1">
        <w:rPr>
          <w:rFonts w:ascii="Arial" w:hAnsi="Arial" w:cs="Arial"/>
          <w:sz w:val="20"/>
          <w:szCs w:val="20"/>
          <w:lang w:val="ro-RO"/>
        </w:rPr>
        <w:t>Sursa: Agenţia pentru Protecţia Mediului Bistriţa-Năsăud</w:t>
      </w:r>
    </w:p>
    <w:p w:rsidR="00306FE1" w:rsidRPr="002070B1" w:rsidRDefault="00306FE1" w:rsidP="00306FE1">
      <w:pPr>
        <w:tabs>
          <w:tab w:val="left" w:pos="1920"/>
        </w:tabs>
        <w:rPr>
          <w:rFonts w:ascii="Arial" w:hAnsi="Arial" w:cs="Arial"/>
          <w:b/>
          <w:bCs/>
          <w:lang w:val="ro-RO"/>
        </w:rPr>
      </w:pPr>
      <w:r w:rsidRPr="002070B1">
        <w:rPr>
          <w:rFonts w:ascii="Arial" w:hAnsi="Arial" w:cs="Arial"/>
          <w:b/>
          <w:bCs/>
          <w:lang w:val="ro-RO"/>
        </w:rPr>
        <w:t>Dioxidul de azot (NO</w:t>
      </w:r>
      <w:r w:rsidRPr="002070B1">
        <w:rPr>
          <w:rFonts w:ascii="Arial" w:hAnsi="Arial" w:cs="Arial"/>
          <w:b/>
          <w:bCs/>
          <w:vertAlign w:val="subscript"/>
          <w:lang w:val="ro-RO"/>
        </w:rPr>
        <w:t>2</w:t>
      </w:r>
      <w:r w:rsidRPr="002070B1">
        <w:rPr>
          <w:rFonts w:ascii="Arial" w:hAnsi="Arial" w:cs="Arial"/>
          <w:b/>
          <w:bCs/>
          <w:lang w:val="ro-RO"/>
        </w:rPr>
        <w:t>) şi oxizii de azot (NO</w:t>
      </w:r>
      <w:r w:rsidRPr="002070B1">
        <w:rPr>
          <w:rFonts w:ascii="Arial" w:hAnsi="Arial" w:cs="Arial"/>
          <w:b/>
          <w:bCs/>
          <w:vertAlign w:val="subscript"/>
          <w:lang w:val="ro-RO"/>
        </w:rPr>
        <w:t>x</w:t>
      </w:r>
      <w:r w:rsidRPr="002070B1">
        <w:rPr>
          <w:rFonts w:ascii="Arial" w:hAnsi="Arial" w:cs="Arial"/>
          <w:b/>
          <w:bCs/>
          <w:lang w:val="ro-RO"/>
        </w:rPr>
        <w:t>)</w:t>
      </w:r>
    </w:p>
    <w:p w:rsidR="00306FE1" w:rsidRPr="002070B1" w:rsidRDefault="00306FE1" w:rsidP="00306FE1">
      <w:pPr>
        <w:tabs>
          <w:tab w:val="left" w:pos="1920"/>
        </w:tabs>
        <w:rPr>
          <w:rFonts w:ascii="Arial" w:hAnsi="Arial" w:cs="Arial"/>
          <w:b/>
          <w:bCs/>
          <w:lang w:val="ro-RO"/>
        </w:rPr>
      </w:pPr>
    </w:p>
    <w:p w:rsidR="00306FE1" w:rsidRPr="002070B1" w:rsidRDefault="00306FE1" w:rsidP="00306FE1">
      <w:pPr>
        <w:tabs>
          <w:tab w:val="left" w:pos="851"/>
        </w:tabs>
        <w:jc w:val="both"/>
        <w:rPr>
          <w:rFonts w:ascii="Arial" w:hAnsi="Arial" w:cs="Arial"/>
          <w:lang w:val="ro-RO"/>
        </w:rPr>
      </w:pPr>
      <w:r w:rsidRPr="002070B1">
        <w:rPr>
          <w:rFonts w:ascii="Arial" w:hAnsi="Arial" w:cs="Arial"/>
          <w:lang w:val="ro-RO"/>
        </w:rPr>
        <w:tab/>
        <w:t xml:space="preserve">Concentraţiile de dioxid de azot din aerul înconjurător se evaluează folosind </w:t>
      </w:r>
      <w:r w:rsidRPr="002070B1">
        <w:rPr>
          <w:rFonts w:ascii="Arial" w:hAnsi="Arial" w:cs="Arial"/>
          <w:iCs/>
          <w:lang w:val="ro-RO"/>
        </w:rPr>
        <w:t xml:space="preserve">valoarea limită orară pentru protecţia sănătăţii umane </w:t>
      </w:r>
      <w:r w:rsidRPr="002070B1">
        <w:rPr>
          <w:rFonts w:ascii="Arial" w:hAnsi="Arial" w:cs="Arial"/>
          <w:lang w:val="ro-RO"/>
        </w:rPr>
        <w:t>(200µ</w:t>
      </w:r>
      <w:r w:rsidRPr="002070B1">
        <w:rPr>
          <w:rFonts w:ascii="Arial" w:hAnsi="Arial" w:cs="Arial"/>
          <w:iCs/>
          <w:lang w:val="ro-RO"/>
        </w:rPr>
        <w:t>g/m</w:t>
      </w:r>
      <w:r w:rsidRPr="002070B1">
        <w:rPr>
          <w:rFonts w:ascii="Arial" w:hAnsi="Arial" w:cs="Arial"/>
          <w:iCs/>
          <w:vertAlign w:val="superscript"/>
          <w:lang w:val="ro-RO"/>
        </w:rPr>
        <w:t>3</w:t>
      </w:r>
      <w:r w:rsidRPr="002070B1">
        <w:rPr>
          <w:rFonts w:ascii="Arial" w:hAnsi="Arial" w:cs="Arial"/>
          <w:iCs/>
          <w:lang w:val="ro-RO"/>
        </w:rPr>
        <w:t xml:space="preserve">), </w:t>
      </w:r>
      <w:r w:rsidRPr="002070B1">
        <w:rPr>
          <w:rFonts w:ascii="Arial" w:hAnsi="Arial" w:cs="Arial"/>
          <w:lang w:val="ro-RO"/>
        </w:rPr>
        <w:t xml:space="preserve">care nu trebuie depăşită mai mult de 18 ori/an, </w:t>
      </w:r>
      <w:r w:rsidRPr="002070B1">
        <w:rPr>
          <w:rFonts w:ascii="Arial" w:hAnsi="Arial" w:cs="Arial"/>
          <w:iCs/>
          <w:lang w:val="ro-RO"/>
        </w:rPr>
        <w:t>valoarea limită anuală pentru protecţia sănătăţii umane (40</w:t>
      </w:r>
      <w:r w:rsidRPr="002070B1">
        <w:rPr>
          <w:rFonts w:ascii="Arial" w:hAnsi="Arial" w:cs="Arial"/>
          <w:lang w:val="ro-RO"/>
        </w:rPr>
        <w:t xml:space="preserve"> µ</w:t>
      </w:r>
      <w:r w:rsidRPr="002070B1">
        <w:rPr>
          <w:rFonts w:ascii="Arial" w:hAnsi="Arial" w:cs="Arial"/>
          <w:iCs/>
          <w:lang w:val="ro-RO"/>
        </w:rPr>
        <w:t>g/m</w:t>
      </w:r>
      <w:r w:rsidRPr="002070B1">
        <w:rPr>
          <w:rFonts w:ascii="Arial" w:hAnsi="Arial" w:cs="Arial"/>
          <w:iCs/>
          <w:vertAlign w:val="superscript"/>
          <w:lang w:val="ro-RO"/>
        </w:rPr>
        <w:t>3</w:t>
      </w:r>
      <w:r w:rsidRPr="002070B1">
        <w:rPr>
          <w:rFonts w:ascii="Arial" w:hAnsi="Arial" w:cs="Arial"/>
          <w:iCs/>
          <w:lang w:val="ro-RO"/>
        </w:rPr>
        <w:t>), pragul superior</w:t>
      </w:r>
      <w:r w:rsidRPr="002070B1">
        <w:rPr>
          <w:iCs/>
          <w:lang w:val="ro-RO"/>
        </w:rPr>
        <w:t xml:space="preserve"> </w:t>
      </w:r>
      <w:r w:rsidRPr="002070B1">
        <w:rPr>
          <w:rFonts w:ascii="Arial" w:hAnsi="Arial" w:cs="Arial"/>
          <w:iCs/>
          <w:lang w:val="ro-RO"/>
        </w:rPr>
        <w:t>de evaluare pentru protecția sănătății (140</w:t>
      </w:r>
      <w:r w:rsidRPr="002070B1">
        <w:rPr>
          <w:rFonts w:ascii="Arial" w:hAnsi="Arial" w:cs="Arial"/>
          <w:lang w:val="ro-RO"/>
        </w:rPr>
        <w:t xml:space="preserve"> µ</w:t>
      </w:r>
      <w:r w:rsidRPr="002070B1">
        <w:rPr>
          <w:rFonts w:ascii="Arial" w:hAnsi="Arial" w:cs="Arial"/>
          <w:iCs/>
          <w:lang w:val="ro-RO"/>
        </w:rPr>
        <w:t>g/</w:t>
      </w:r>
      <w:r w:rsidRPr="002070B1">
        <w:rPr>
          <w:rFonts w:ascii="Arial" w:hAnsi="Arial" w:cs="Arial"/>
          <w:lang w:val="ro-RO"/>
        </w:rPr>
        <w:t>m</w:t>
      </w:r>
      <w:r w:rsidRPr="002070B1">
        <w:rPr>
          <w:rFonts w:ascii="Arial" w:hAnsi="Arial" w:cs="Arial"/>
          <w:vertAlign w:val="superscript"/>
          <w:lang w:val="ro-RO"/>
        </w:rPr>
        <w:t xml:space="preserve">3 </w:t>
      </w:r>
      <w:r w:rsidRPr="002070B1">
        <w:rPr>
          <w:rFonts w:ascii="Arial" w:hAnsi="Arial" w:cs="Arial"/>
          <w:lang w:val="ro-RO"/>
        </w:rPr>
        <w:t xml:space="preserve">raportat la limita orară și </w:t>
      </w:r>
      <w:r w:rsidRPr="002070B1">
        <w:rPr>
          <w:rFonts w:ascii="Arial" w:hAnsi="Arial" w:cs="Arial"/>
          <w:iCs/>
          <w:lang w:val="ro-RO"/>
        </w:rPr>
        <w:t>32</w:t>
      </w:r>
      <w:r w:rsidRPr="002070B1">
        <w:rPr>
          <w:rFonts w:ascii="Arial" w:hAnsi="Arial" w:cs="Arial"/>
          <w:lang w:val="ro-RO"/>
        </w:rPr>
        <w:t xml:space="preserve"> µ</w:t>
      </w:r>
      <w:r w:rsidRPr="002070B1">
        <w:rPr>
          <w:rFonts w:ascii="Arial" w:hAnsi="Arial" w:cs="Arial"/>
          <w:iCs/>
          <w:lang w:val="ro-RO"/>
        </w:rPr>
        <w:t>g/</w:t>
      </w:r>
      <w:r w:rsidRPr="002070B1">
        <w:rPr>
          <w:rFonts w:ascii="Arial" w:hAnsi="Arial" w:cs="Arial"/>
          <w:lang w:val="ro-RO"/>
        </w:rPr>
        <w:t>m</w:t>
      </w:r>
      <w:r w:rsidRPr="002070B1">
        <w:rPr>
          <w:rFonts w:ascii="Arial" w:hAnsi="Arial" w:cs="Arial"/>
          <w:vertAlign w:val="superscript"/>
          <w:lang w:val="ro-RO"/>
        </w:rPr>
        <w:t xml:space="preserve">3 </w:t>
      </w:r>
      <w:r w:rsidRPr="002070B1">
        <w:rPr>
          <w:rFonts w:ascii="Arial" w:hAnsi="Arial" w:cs="Arial"/>
          <w:lang w:val="ro-RO"/>
        </w:rPr>
        <w:t>raportat la limita anuală),</w:t>
      </w:r>
      <w:r w:rsidRPr="002070B1">
        <w:rPr>
          <w:rFonts w:ascii="Arial" w:hAnsi="Arial" w:cs="Arial"/>
          <w:iCs/>
          <w:lang w:val="ro-RO"/>
        </w:rPr>
        <w:t xml:space="preserve"> pragul inferior de evaluare pentru protecția sănătății (100</w:t>
      </w:r>
      <w:r w:rsidRPr="002070B1">
        <w:rPr>
          <w:rFonts w:ascii="Arial" w:hAnsi="Arial" w:cs="Arial"/>
          <w:lang w:val="ro-RO"/>
        </w:rPr>
        <w:t xml:space="preserve"> µ</w:t>
      </w:r>
      <w:r w:rsidRPr="002070B1">
        <w:rPr>
          <w:rFonts w:ascii="Arial" w:hAnsi="Arial" w:cs="Arial"/>
          <w:iCs/>
          <w:lang w:val="ro-RO"/>
        </w:rPr>
        <w:t>g/m</w:t>
      </w:r>
      <w:r w:rsidRPr="002070B1">
        <w:rPr>
          <w:rFonts w:ascii="Arial" w:hAnsi="Arial" w:cs="Arial"/>
          <w:iCs/>
          <w:vertAlign w:val="superscript"/>
          <w:lang w:val="ro-RO"/>
        </w:rPr>
        <w:t>3</w:t>
      </w:r>
      <w:r w:rsidRPr="002070B1">
        <w:rPr>
          <w:rFonts w:ascii="Arial" w:hAnsi="Arial" w:cs="Arial"/>
          <w:vertAlign w:val="superscript"/>
          <w:lang w:val="ro-RO"/>
        </w:rPr>
        <w:t xml:space="preserve"> </w:t>
      </w:r>
      <w:r w:rsidRPr="002070B1">
        <w:rPr>
          <w:rFonts w:ascii="Arial" w:hAnsi="Arial" w:cs="Arial"/>
          <w:lang w:val="ro-RO"/>
        </w:rPr>
        <w:t xml:space="preserve">raportat la limita orară și </w:t>
      </w:r>
      <w:r w:rsidRPr="002070B1">
        <w:rPr>
          <w:rFonts w:ascii="Arial" w:hAnsi="Arial" w:cs="Arial"/>
          <w:iCs/>
          <w:lang w:val="ro-RO"/>
        </w:rPr>
        <w:t>26</w:t>
      </w:r>
      <w:r w:rsidRPr="002070B1">
        <w:rPr>
          <w:rFonts w:ascii="Arial" w:hAnsi="Arial" w:cs="Arial"/>
          <w:lang w:val="ro-RO"/>
        </w:rPr>
        <w:t xml:space="preserve"> µ</w:t>
      </w:r>
      <w:r w:rsidRPr="002070B1">
        <w:rPr>
          <w:rFonts w:ascii="Arial" w:hAnsi="Arial" w:cs="Arial"/>
          <w:iCs/>
          <w:lang w:val="ro-RO"/>
        </w:rPr>
        <w:t>g/</w:t>
      </w:r>
      <w:r w:rsidRPr="002070B1">
        <w:rPr>
          <w:rFonts w:ascii="Arial" w:hAnsi="Arial" w:cs="Arial"/>
          <w:lang w:val="ro-RO"/>
        </w:rPr>
        <w:t>m</w:t>
      </w:r>
      <w:r w:rsidRPr="002070B1">
        <w:rPr>
          <w:rFonts w:ascii="Arial" w:hAnsi="Arial" w:cs="Arial"/>
          <w:vertAlign w:val="superscript"/>
          <w:lang w:val="ro-RO"/>
        </w:rPr>
        <w:t xml:space="preserve">3 </w:t>
      </w:r>
      <w:r w:rsidRPr="002070B1">
        <w:rPr>
          <w:rFonts w:ascii="Arial" w:hAnsi="Arial" w:cs="Arial"/>
          <w:lang w:val="ro-RO"/>
        </w:rPr>
        <w:t xml:space="preserve">raportat la limita anuală) </w:t>
      </w:r>
      <w:r w:rsidRPr="002070B1">
        <w:rPr>
          <w:rFonts w:ascii="Arial" w:hAnsi="Arial" w:cs="Arial"/>
          <w:iCs/>
          <w:lang w:val="ro-RO"/>
        </w:rPr>
        <w:t xml:space="preserve">și </w:t>
      </w:r>
      <w:r w:rsidRPr="002070B1">
        <w:rPr>
          <w:rFonts w:ascii="Arial" w:hAnsi="Arial" w:cs="Arial"/>
          <w:lang w:val="ro-RO"/>
        </w:rPr>
        <w:t>pragul de alertă (</w:t>
      </w:r>
      <w:r w:rsidRPr="002070B1">
        <w:rPr>
          <w:rFonts w:ascii="Arial" w:hAnsi="Arial" w:cs="Arial"/>
          <w:iCs/>
          <w:lang w:val="ro-RO"/>
        </w:rPr>
        <w:t xml:space="preserve">400 </w:t>
      </w:r>
      <w:r w:rsidRPr="002070B1">
        <w:rPr>
          <w:rFonts w:ascii="Arial" w:hAnsi="Arial" w:cs="Arial"/>
          <w:lang w:val="ro-RO"/>
        </w:rPr>
        <w:t>µ</w:t>
      </w:r>
      <w:r w:rsidRPr="002070B1">
        <w:rPr>
          <w:rFonts w:ascii="Arial" w:hAnsi="Arial" w:cs="Arial"/>
          <w:iCs/>
          <w:lang w:val="ro-RO"/>
        </w:rPr>
        <w:t>g/</w:t>
      </w:r>
      <w:r w:rsidRPr="002070B1">
        <w:rPr>
          <w:rFonts w:ascii="Arial" w:hAnsi="Arial" w:cs="Arial"/>
          <w:lang w:val="ro-RO"/>
        </w:rPr>
        <w:t>m</w:t>
      </w:r>
      <w:r w:rsidRPr="002070B1">
        <w:rPr>
          <w:rFonts w:ascii="Arial" w:hAnsi="Arial" w:cs="Arial"/>
          <w:vertAlign w:val="superscript"/>
          <w:lang w:val="ro-RO"/>
        </w:rPr>
        <w:t>3</w:t>
      </w:r>
      <w:r w:rsidRPr="002070B1">
        <w:rPr>
          <w:rFonts w:ascii="Arial" w:hAnsi="Arial" w:cs="Arial"/>
          <w:lang w:val="ro-RO"/>
        </w:rPr>
        <w:t xml:space="preserve">, </w:t>
      </w:r>
      <w:r w:rsidRPr="002070B1">
        <w:rPr>
          <w:rFonts w:ascii="Arial" w:hAnsi="Arial" w:cs="Arial"/>
          <w:iCs/>
          <w:lang w:val="ro-RO"/>
        </w:rPr>
        <w:t>măsurată timp de 3 ore consecutiv).</w:t>
      </w:r>
      <w:r w:rsidRPr="002070B1">
        <w:rPr>
          <w:rFonts w:ascii="Arial" w:hAnsi="Arial" w:cs="Arial"/>
          <w:lang w:val="ro-RO"/>
        </w:rPr>
        <w:t xml:space="preserve"> </w:t>
      </w:r>
    </w:p>
    <w:p w:rsidR="00306FE1" w:rsidRPr="002070B1" w:rsidRDefault="00306FE1" w:rsidP="00306FE1">
      <w:pPr>
        <w:tabs>
          <w:tab w:val="left" w:pos="851"/>
        </w:tabs>
        <w:jc w:val="both"/>
        <w:rPr>
          <w:rFonts w:ascii="Arial" w:hAnsi="Arial" w:cs="Arial"/>
        </w:rPr>
      </w:pPr>
      <w:r w:rsidRPr="002070B1">
        <w:rPr>
          <w:rFonts w:ascii="Arial" w:hAnsi="Arial" w:cs="Arial"/>
          <w:lang w:val="ro-RO"/>
        </w:rPr>
        <w:tab/>
        <w:t>Oxizii de azot se măsoară automat în staţia BN-1 cu ajutorul analizorului NO</w:t>
      </w:r>
      <w:r w:rsidRPr="002070B1">
        <w:rPr>
          <w:rFonts w:ascii="Arial" w:hAnsi="Arial" w:cs="Arial"/>
          <w:vertAlign w:val="subscript"/>
          <w:lang w:val="ro-RO"/>
        </w:rPr>
        <w:t>X</w:t>
      </w:r>
      <w:r w:rsidRPr="002070B1">
        <w:rPr>
          <w:rFonts w:ascii="Arial" w:hAnsi="Arial" w:cs="Arial"/>
          <w:lang w:val="ro-RO"/>
        </w:rPr>
        <w:t>, model ML 9841B prin metoda chemiluminescenţei,</w:t>
      </w:r>
      <w:r w:rsidRPr="002070B1">
        <w:rPr>
          <w:rFonts w:ascii="Arial" w:hAnsi="Arial" w:cs="Arial"/>
          <w:sz w:val="23"/>
          <w:szCs w:val="23"/>
        </w:rPr>
        <w:t xml:space="preserve"> </w:t>
      </w:r>
      <w:r w:rsidRPr="002070B1">
        <w:rPr>
          <w:rFonts w:ascii="Arial" w:hAnsi="Arial" w:cs="Arial"/>
        </w:rPr>
        <w:t xml:space="preserve">metodă de referință standardizată prin SR EN 14211. </w:t>
      </w:r>
    </w:p>
    <w:p w:rsidR="00306FE1" w:rsidRPr="002070B1" w:rsidRDefault="00306FE1" w:rsidP="00306FE1">
      <w:pPr>
        <w:tabs>
          <w:tab w:val="left" w:pos="851"/>
        </w:tabs>
        <w:jc w:val="both"/>
        <w:rPr>
          <w:rFonts w:ascii="Arial" w:hAnsi="Arial" w:cs="Arial"/>
          <w:sz w:val="23"/>
          <w:szCs w:val="23"/>
        </w:rPr>
      </w:pPr>
      <w:r w:rsidRPr="002070B1">
        <w:rPr>
          <w:rFonts w:ascii="Arial" w:hAnsi="Arial" w:cs="Arial"/>
          <w:sz w:val="23"/>
          <w:szCs w:val="23"/>
        </w:rPr>
        <w:tab/>
      </w:r>
      <w:r w:rsidRPr="002070B1">
        <w:rPr>
          <w:rFonts w:ascii="Arial" w:hAnsi="Arial" w:cs="Arial"/>
          <w:lang w:val="ro-RO"/>
        </w:rPr>
        <w:t>În cursul anului 202</w:t>
      </w:r>
      <w:r>
        <w:rPr>
          <w:rFonts w:ascii="Arial" w:hAnsi="Arial" w:cs="Arial"/>
          <w:lang w:val="ro-RO"/>
        </w:rPr>
        <w:t>1</w:t>
      </w:r>
      <w:r w:rsidRPr="002070B1">
        <w:rPr>
          <w:rFonts w:ascii="Arial" w:hAnsi="Arial" w:cs="Arial"/>
          <w:lang w:val="ro-RO"/>
        </w:rPr>
        <w:t xml:space="preserve"> valoarea medie la indicatorul NO</w:t>
      </w:r>
      <w:r w:rsidRPr="002070B1">
        <w:rPr>
          <w:rFonts w:ascii="Arial" w:hAnsi="Arial" w:cs="Arial"/>
          <w:vertAlign w:val="subscript"/>
          <w:lang w:val="ro-RO"/>
        </w:rPr>
        <w:t>2</w:t>
      </w:r>
      <w:r w:rsidRPr="002070B1">
        <w:rPr>
          <w:rFonts w:ascii="Arial" w:hAnsi="Arial" w:cs="Arial"/>
          <w:lang w:val="ro-RO"/>
        </w:rPr>
        <w:t xml:space="preserve"> a fost de  </w:t>
      </w:r>
      <w:r>
        <w:rPr>
          <w:rFonts w:ascii="Arial" w:hAnsi="Arial" w:cs="Arial"/>
          <w:lang w:val="ro-RO"/>
        </w:rPr>
        <w:t>25,72</w:t>
      </w:r>
      <w:r w:rsidRPr="002070B1">
        <w:rPr>
          <w:rFonts w:ascii="Arial" w:hAnsi="Arial" w:cs="Arial"/>
          <w:lang w:val="ro-RO"/>
        </w:rPr>
        <w:t xml:space="preserve"> µ</w:t>
      </w:r>
      <w:r w:rsidRPr="002070B1">
        <w:rPr>
          <w:rFonts w:ascii="Arial" w:hAnsi="Arial" w:cs="Arial"/>
          <w:i/>
          <w:iCs/>
          <w:lang w:val="ro-RO"/>
        </w:rPr>
        <w:t>g/</w:t>
      </w:r>
      <w:r w:rsidRPr="002070B1">
        <w:rPr>
          <w:rFonts w:ascii="Arial" w:hAnsi="Arial" w:cs="Arial"/>
          <w:lang w:val="ro-RO"/>
        </w:rPr>
        <w:t xml:space="preserve"> m</w:t>
      </w:r>
      <w:r w:rsidRPr="002070B1">
        <w:rPr>
          <w:rFonts w:ascii="Arial" w:hAnsi="Arial" w:cs="Arial"/>
          <w:vertAlign w:val="superscript"/>
          <w:lang w:val="ro-RO"/>
        </w:rPr>
        <w:t>3</w:t>
      </w:r>
      <w:r w:rsidRPr="002070B1">
        <w:rPr>
          <w:rFonts w:ascii="Arial" w:hAnsi="Arial" w:cs="Arial"/>
          <w:lang w:val="ro-RO"/>
        </w:rPr>
        <w:t xml:space="preserve"> iar captura de date 9</w:t>
      </w:r>
      <w:r>
        <w:rPr>
          <w:rFonts w:ascii="Arial" w:hAnsi="Arial" w:cs="Arial"/>
          <w:lang w:val="ro-RO"/>
        </w:rPr>
        <w:t>0</w:t>
      </w:r>
      <w:r w:rsidRPr="002070B1">
        <w:rPr>
          <w:rFonts w:ascii="Arial" w:hAnsi="Arial" w:cs="Arial"/>
          <w:lang w:val="ro-RO"/>
        </w:rPr>
        <w:t>,</w:t>
      </w:r>
      <w:r>
        <w:rPr>
          <w:rFonts w:ascii="Arial" w:hAnsi="Arial" w:cs="Arial"/>
          <w:lang w:val="ro-RO"/>
        </w:rPr>
        <w:t>97</w:t>
      </w:r>
      <w:r w:rsidRPr="002070B1">
        <w:rPr>
          <w:rFonts w:ascii="Arial" w:hAnsi="Arial" w:cs="Arial"/>
          <w:lang w:val="ro-RO"/>
        </w:rPr>
        <w:t xml:space="preserve">%. Nu au existat depășiri ale valorior limită și nici ale pragurilor de evaluare stabilite pentru acest poluant. </w:t>
      </w:r>
    </w:p>
    <w:p w:rsidR="00306FE1" w:rsidRPr="002070B1" w:rsidRDefault="00306FE1" w:rsidP="00306FE1">
      <w:pPr>
        <w:pStyle w:val="Default"/>
        <w:tabs>
          <w:tab w:val="left" w:pos="851"/>
        </w:tabs>
        <w:jc w:val="center"/>
        <w:rPr>
          <w:b/>
          <w:color w:val="auto"/>
          <w:sz w:val="22"/>
          <w:szCs w:val="22"/>
        </w:rPr>
      </w:pPr>
    </w:p>
    <w:p w:rsidR="00306FE1" w:rsidRPr="002070B1" w:rsidRDefault="00306FE1" w:rsidP="00306FE1">
      <w:pPr>
        <w:pStyle w:val="Default"/>
        <w:tabs>
          <w:tab w:val="left" w:pos="851"/>
        </w:tabs>
        <w:jc w:val="center"/>
        <w:rPr>
          <w:b/>
          <w:color w:val="auto"/>
          <w:sz w:val="22"/>
          <w:szCs w:val="22"/>
        </w:rPr>
      </w:pPr>
    </w:p>
    <w:p w:rsidR="00306FE1" w:rsidRPr="00160A4B" w:rsidRDefault="00306FE1" w:rsidP="00306FE1">
      <w:pPr>
        <w:pStyle w:val="Default"/>
        <w:tabs>
          <w:tab w:val="left" w:pos="851"/>
        </w:tabs>
        <w:jc w:val="center"/>
        <w:rPr>
          <w:b/>
          <w:color w:val="auto"/>
          <w:sz w:val="22"/>
          <w:szCs w:val="22"/>
        </w:rPr>
      </w:pPr>
      <w:r w:rsidRPr="00160A4B">
        <w:rPr>
          <w:b/>
          <w:color w:val="auto"/>
          <w:sz w:val="22"/>
          <w:szCs w:val="22"/>
        </w:rPr>
        <w:t>Figura I.1.1.1.2. Stația de fond urban BN-1 Bistrița</w:t>
      </w:r>
    </w:p>
    <w:p w:rsidR="00306FE1" w:rsidRPr="00160A4B" w:rsidRDefault="00306FE1" w:rsidP="00306FE1">
      <w:pPr>
        <w:pStyle w:val="Default"/>
        <w:tabs>
          <w:tab w:val="left" w:pos="851"/>
        </w:tabs>
        <w:jc w:val="center"/>
        <w:rPr>
          <w:b/>
          <w:color w:val="auto"/>
          <w:sz w:val="22"/>
          <w:szCs w:val="22"/>
        </w:rPr>
      </w:pPr>
      <w:r w:rsidRPr="00160A4B">
        <w:rPr>
          <w:b/>
          <w:color w:val="auto"/>
          <w:sz w:val="22"/>
          <w:szCs w:val="22"/>
        </w:rPr>
        <w:t>Evoluția concentrațiilor medii lunare ale NO</w:t>
      </w:r>
      <w:r w:rsidRPr="00160A4B">
        <w:rPr>
          <w:b/>
          <w:color w:val="auto"/>
          <w:sz w:val="22"/>
          <w:szCs w:val="22"/>
          <w:vertAlign w:val="subscript"/>
        </w:rPr>
        <w:t>2</w:t>
      </w:r>
      <w:r w:rsidRPr="00160A4B">
        <w:rPr>
          <w:b/>
          <w:color w:val="auto"/>
          <w:sz w:val="22"/>
          <w:szCs w:val="22"/>
        </w:rPr>
        <w:t xml:space="preserve"> în anul 2020</w:t>
      </w:r>
    </w:p>
    <w:p w:rsidR="00306FE1" w:rsidRPr="002070B1" w:rsidRDefault="00E93F2C" w:rsidP="00306FE1">
      <w:pPr>
        <w:pStyle w:val="Default"/>
        <w:tabs>
          <w:tab w:val="left" w:pos="851"/>
        </w:tabs>
        <w:jc w:val="center"/>
        <w:rPr>
          <w:b/>
          <w:color w:val="auto"/>
          <w:sz w:val="22"/>
          <w:szCs w:val="22"/>
        </w:rPr>
      </w:pPr>
      <w:r>
        <w:rPr>
          <w:noProof/>
          <w:lang w:val="en-US"/>
        </w:rPr>
        <w:drawing>
          <wp:inline distT="0" distB="0" distL="0" distR="0" wp14:anchorId="5AC38742" wp14:editId="1A28E717">
            <wp:extent cx="5113020" cy="2369820"/>
            <wp:effectExtent l="0" t="0" r="0" b="0"/>
            <wp:docPr id="39" name="Diagramă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6FE1" w:rsidRPr="002070B1" w:rsidRDefault="00306FE1" w:rsidP="00306FE1">
      <w:pPr>
        <w:tabs>
          <w:tab w:val="left" w:pos="1920"/>
        </w:tabs>
        <w:jc w:val="center"/>
        <w:rPr>
          <w:rFonts w:ascii="Arial" w:hAnsi="Arial" w:cs="Arial"/>
          <w:lang w:val="ro-RO"/>
        </w:rPr>
      </w:pPr>
      <w:r w:rsidRPr="002070B1">
        <w:rPr>
          <w:rFonts w:ascii="Arial" w:hAnsi="Arial" w:cs="Arial"/>
          <w:sz w:val="20"/>
          <w:szCs w:val="20"/>
          <w:lang w:val="ro-RO"/>
        </w:rPr>
        <w:t>Sursa: Agenţia pentru Protecţia Mediului Bistriţa-Năsăud</w:t>
      </w:r>
    </w:p>
    <w:p w:rsidR="00306FE1" w:rsidRPr="002070B1" w:rsidRDefault="00306FE1" w:rsidP="00306FE1">
      <w:pPr>
        <w:tabs>
          <w:tab w:val="left" w:pos="851"/>
        </w:tabs>
        <w:rPr>
          <w:rFonts w:ascii="Arial" w:hAnsi="Arial" w:cs="Arial"/>
          <w:b/>
          <w:bCs/>
          <w:lang w:val="ro-RO"/>
        </w:rPr>
      </w:pPr>
    </w:p>
    <w:p w:rsidR="00306FE1" w:rsidRPr="002070B1" w:rsidRDefault="00306FE1" w:rsidP="00306FE1">
      <w:pPr>
        <w:tabs>
          <w:tab w:val="left" w:pos="851"/>
        </w:tabs>
        <w:rPr>
          <w:rFonts w:ascii="Arial" w:hAnsi="Arial" w:cs="Arial"/>
          <w:b/>
          <w:bCs/>
          <w:lang w:val="ro-RO"/>
        </w:rPr>
      </w:pPr>
      <w:r w:rsidRPr="002070B1">
        <w:rPr>
          <w:rFonts w:ascii="Arial" w:hAnsi="Arial" w:cs="Arial"/>
          <w:b/>
          <w:bCs/>
          <w:lang w:val="ro-RO"/>
        </w:rPr>
        <w:t>Monoxidul de carbon (CO)</w:t>
      </w:r>
    </w:p>
    <w:p w:rsidR="00306FE1" w:rsidRPr="002070B1" w:rsidRDefault="00306FE1" w:rsidP="00306FE1">
      <w:pPr>
        <w:tabs>
          <w:tab w:val="left" w:pos="851"/>
        </w:tabs>
        <w:rPr>
          <w:rFonts w:ascii="Arial" w:hAnsi="Arial" w:cs="Arial"/>
          <w:lang w:val="ro-RO"/>
        </w:rPr>
      </w:pPr>
    </w:p>
    <w:p w:rsidR="00306FE1" w:rsidRPr="002070B1" w:rsidRDefault="00306FE1" w:rsidP="00306FE1">
      <w:pPr>
        <w:tabs>
          <w:tab w:val="left" w:pos="851"/>
        </w:tabs>
        <w:jc w:val="both"/>
        <w:rPr>
          <w:rFonts w:ascii="Arial" w:hAnsi="Arial" w:cs="Arial"/>
          <w:lang w:val="ro-RO"/>
        </w:rPr>
      </w:pPr>
      <w:r w:rsidRPr="002070B1">
        <w:rPr>
          <w:rFonts w:ascii="Arial" w:hAnsi="Arial" w:cs="Arial"/>
          <w:lang w:val="ro-RO"/>
        </w:rPr>
        <w:tab/>
        <w:t xml:space="preserve">Concentraţiile de monoxid de carbon din aerul înconjurător se evaluează folosind </w:t>
      </w:r>
      <w:r w:rsidRPr="002070B1">
        <w:rPr>
          <w:rFonts w:ascii="Arial" w:hAnsi="Arial" w:cs="Arial"/>
          <w:iCs/>
          <w:lang w:val="ro-RO"/>
        </w:rPr>
        <w:t xml:space="preserve">valoarea limită pentru protecţia sănătăţii umane </w:t>
      </w:r>
      <w:r w:rsidRPr="002070B1">
        <w:rPr>
          <w:rFonts w:ascii="Arial" w:hAnsi="Arial" w:cs="Arial"/>
          <w:lang w:val="ro-RO"/>
        </w:rPr>
        <w:t>(10</w:t>
      </w:r>
      <w:r w:rsidRPr="002070B1">
        <w:rPr>
          <w:rFonts w:ascii="Arial" w:hAnsi="Arial" w:cs="Arial"/>
          <w:iCs/>
          <w:lang w:val="ro-RO"/>
        </w:rPr>
        <w:t>mg/m</w:t>
      </w:r>
      <w:r w:rsidRPr="002070B1">
        <w:rPr>
          <w:rFonts w:ascii="Arial" w:hAnsi="Arial" w:cs="Arial"/>
          <w:iCs/>
          <w:vertAlign w:val="superscript"/>
          <w:lang w:val="ro-RO"/>
        </w:rPr>
        <w:t>3</w:t>
      </w:r>
      <w:r w:rsidRPr="002070B1">
        <w:rPr>
          <w:rFonts w:ascii="Arial" w:hAnsi="Arial" w:cs="Arial"/>
          <w:iCs/>
          <w:lang w:val="ro-RO"/>
        </w:rPr>
        <w:t>)</w:t>
      </w:r>
      <w:r w:rsidRPr="002070B1">
        <w:rPr>
          <w:rFonts w:ascii="Arial" w:hAnsi="Arial" w:cs="Arial"/>
          <w:lang w:val="ro-RO"/>
        </w:rPr>
        <w:t>, calculată ca valoare maximă zilnică a mediilor pe 8 ore (medie mobilă), pragul superior de evaluare (7mg/m</w:t>
      </w:r>
      <w:r w:rsidRPr="002070B1">
        <w:rPr>
          <w:rFonts w:ascii="Arial" w:hAnsi="Arial" w:cs="Arial"/>
          <w:vertAlign w:val="superscript"/>
          <w:lang w:val="ro-RO"/>
        </w:rPr>
        <w:t>3</w:t>
      </w:r>
      <w:r w:rsidRPr="002070B1">
        <w:rPr>
          <w:rFonts w:ascii="Arial" w:hAnsi="Arial" w:cs="Arial"/>
          <w:lang w:val="ro-RO"/>
        </w:rPr>
        <w:t>) și pragul inferior de evaluare (5mg/m</w:t>
      </w:r>
      <w:r w:rsidRPr="002070B1">
        <w:rPr>
          <w:rFonts w:ascii="Arial" w:hAnsi="Arial" w:cs="Arial"/>
          <w:vertAlign w:val="superscript"/>
          <w:lang w:val="ro-RO"/>
        </w:rPr>
        <w:t>3</w:t>
      </w:r>
      <w:r w:rsidRPr="002070B1">
        <w:rPr>
          <w:rFonts w:ascii="Arial" w:hAnsi="Arial" w:cs="Arial"/>
          <w:lang w:val="ro-RO"/>
        </w:rPr>
        <w:t>).</w:t>
      </w:r>
    </w:p>
    <w:p w:rsidR="00306FE1" w:rsidRPr="002070B1" w:rsidRDefault="00306FE1" w:rsidP="00306FE1">
      <w:pPr>
        <w:tabs>
          <w:tab w:val="left" w:pos="851"/>
        </w:tabs>
        <w:jc w:val="both"/>
        <w:rPr>
          <w:rFonts w:ascii="Arial" w:hAnsi="Arial" w:cs="Arial"/>
          <w:lang w:val="ro-RO"/>
        </w:rPr>
      </w:pPr>
      <w:r w:rsidRPr="002070B1">
        <w:rPr>
          <w:rFonts w:ascii="Arial" w:hAnsi="Arial" w:cs="Arial"/>
          <w:lang w:val="ro-RO"/>
        </w:rPr>
        <w:tab/>
        <w:t xml:space="preserve">Monoxidul de carbon se măsoară automat în staţia BN-1 cu ajutorul analizorului de CO,  ML 9830B prin spectroscopie în infraroşu nedispersiv, </w:t>
      </w:r>
      <w:r w:rsidRPr="002070B1">
        <w:rPr>
          <w:rFonts w:ascii="Arial" w:hAnsi="Arial" w:cs="Arial"/>
        </w:rPr>
        <w:t xml:space="preserve">metodă de referință standardizată prin SR EN 14626. </w:t>
      </w:r>
      <w:r w:rsidRPr="002070B1">
        <w:rPr>
          <w:rFonts w:ascii="Arial" w:hAnsi="Arial" w:cs="Arial"/>
          <w:lang w:val="ro-RO"/>
        </w:rPr>
        <w:t xml:space="preserve">  </w:t>
      </w:r>
    </w:p>
    <w:p w:rsidR="00306FE1" w:rsidRPr="003A5727" w:rsidRDefault="00306FE1" w:rsidP="00306FE1">
      <w:pPr>
        <w:tabs>
          <w:tab w:val="left" w:pos="851"/>
        </w:tabs>
        <w:jc w:val="both"/>
        <w:rPr>
          <w:rFonts w:ascii="Arial" w:hAnsi="Arial" w:cs="Arial"/>
          <w:lang w:val="ro-RO"/>
        </w:rPr>
      </w:pPr>
      <w:r w:rsidRPr="002070B1">
        <w:rPr>
          <w:rFonts w:ascii="Arial" w:hAnsi="Arial" w:cs="Arial"/>
          <w:bCs/>
          <w:lang w:val="ro-RO"/>
        </w:rPr>
        <w:tab/>
        <w:t>În cursul anului 202</w:t>
      </w:r>
      <w:r>
        <w:rPr>
          <w:rFonts w:ascii="Arial" w:hAnsi="Arial" w:cs="Arial"/>
          <w:bCs/>
          <w:lang w:val="ro-RO"/>
        </w:rPr>
        <w:t>1</w:t>
      </w:r>
      <w:r w:rsidRPr="002070B1">
        <w:rPr>
          <w:rFonts w:ascii="Arial" w:hAnsi="Arial" w:cs="Arial"/>
          <w:bCs/>
          <w:lang w:val="ro-RO"/>
        </w:rPr>
        <w:t xml:space="preserve"> nu </w:t>
      </w:r>
      <w:r>
        <w:rPr>
          <w:rFonts w:ascii="Arial" w:hAnsi="Arial" w:cs="Arial"/>
          <w:bCs/>
          <w:lang w:val="ro-RO"/>
        </w:rPr>
        <w:t xml:space="preserve">au fost depășiri ale </w:t>
      </w:r>
      <w:r w:rsidRPr="002070B1">
        <w:rPr>
          <w:rFonts w:ascii="Arial" w:hAnsi="Arial" w:cs="Arial"/>
          <w:lang w:val="ro-RO"/>
        </w:rPr>
        <w:t>valo</w:t>
      </w:r>
      <w:r>
        <w:rPr>
          <w:rFonts w:ascii="Arial" w:hAnsi="Arial" w:cs="Arial"/>
          <w:lang w:val="ro-RO"/>
        </w:rPr>
        <w:t>rii</w:t>
      </w:r>
      <w:r w:rsidRPr="002070B1">
        <w:rPr>
          <w:rFonts w:ascii="Arial" w:hAnsi="Arial" w:cs="Arial"/>
          <w:lang w:val="ro-RO"/>
        </w:rPr>
        <w:t xml:space="preserve"> limită</w:t>
      </w:r>
      <w:r w:rsidRPr="002070B1">
        <w:rPr>
          <w:rFonts w:ascii="Arial" w:hAnsi="Arial" w:cs="Arial"/>
          <w:iCs/>
          <w:lang w:val="ro-RO"/>
        </w:rPr>
        <w:t xml:space="preserve"> pentru protecţia sănătăţii umane</w:t>
      </w:r>
      <w:r>
        <w:rPr>
          <w:rFonts w:ascii="Arial" w:hAnsi="Arial" w:cs="Arial"/>
          <w:lang w:val="ro-RO"/>
        </w:rPr>
        <w:t xml:space="preserve"> sau ale pragurilor de evaluare. V</w:t>
      </w:r>
      <w:r w:rsidRPr="002070B1">
        <w:rPr>
          <w:rFonts w:ascii="Arial" w:hAnsi="Arial" w:cs="Arial"/>
          <w:lang w:val="ro-RO"/>
        </w:rPr>
        <w:t xml:space="preserve">aloarea maximă anuală a mediilor pe 8 ore a fost de </w:t>
      </w:r>
      <w:r>
        <w:rPr>
          <w:rFonts w:ascii="Arial" w:hAnsi="Arial" w:cs="Arial"/>
          <w:lang w:val="ro-RO"/>
        </w:rPr>
        <w:t>2,88</w:t>
      </w:r>
      <w:r w:rsidRPr="003A5727">
        <w:rPr>
          <w:rFonts w:ascii="Arial" w:hAnsi="Arial" w:cs="Arial"/>
          <w:color w:val="FF0000"/>
          <w:lang w:val="ro-RO"/>
        </w:rPr>
        <w:t xml:space="preserve"> </w:t>
      </w:r>
      <w:r w:rsidRPr="003A5727">
        <w:rPr>
          <w:rFonts w:ascii="Arial" w:hAnsi="Arial" w:cs="Arial"/>
          <w:lang w:val="ro-RO"/>
        </w:rPr>
        <w:t>mg/m</w:t>
      </w:r>
      <w:r w:rsidRPr="003A5727">
        <w:rPr>
          <w:rFonts w:ascii="Arial" w:hAnsi="Arial" w:cs="Arial"/>
          <w:vertAlign w:val="superscript"/>
          <w:lang w:val="ro-RO"/>
        </w:rPr>
        <w:t>3</w:t>
      </w:r>
      <w:r w:rsidRPr="003A5727">
        <w:rPr>
          <w:rFonts w:ascii="Arial" w:hAnsi="Arial" w:cs="Arial"/>
          <w:lang w:val="ro-RO"/>
        </w:rPr>
        <w:t>. Valoarea medie anuală a fost de 0,36 mg/m</w:t>
      </w:r>
      <w:r w:rsidRPr="003A5727">
        <w:rPr>
          <w:rFonts w:ascii="Arial" w:hAnsi="Arial" w:cs="Arial"/>
          <w:vertAlign w:val="superscript"/>
          <w:lang w:val="ro-RO"/>
        </w:rPr>
        <w:t>3</w:t>
      </w:r>
      <w:r w:rsidRPr="003A5727">
        <w:rPr>
          <w:rFonts w:ascii="Arial" w:hAnsi="Arial" w:cs="Arial"/>
          <w:lang w:val="ro-RO"/>
        </w:rPr>
        <w:t xml:space="preserve"> la o captură de date de 94,89%. </w:t>
      </w:r>
    </w:p>
    <w:p w:rsidR="00306FE1" w:rsidRPr="002070B1" w:rsidRDefault="00306FE1" w:rsidP="00306FE1">
      <w:pPr>
        <w:tabs>
          <w:tab w:val="left" w:pos="851"/>
        </w:tabs>
        <w:jc w:val="both"/>
        <w:rPr>
          <w:rFonts w:ascii="Arial" w:hAnsi="Arial" w:cs="Arial"/>
          <w:b/>
          <w:sz w:val="20"/>
          <w:szCs w:val="20"/>
          <w:lang w:val="ro-RO"/>
        </w:rPr>
      </w:pPr>
    </w:p>
    <w:p w:rsidR="00306FE1" w:rsidRDefault="00306FE1" w:rsidP="00306FE1">
      <w:pPr>
        <w:tabs>
          <w:tab w:val="left" w:pos="851"/>
        </w:tabs>
        <w:jc w:val="center"/>
        <w:rPr>
          <w:rFonts w:ascii="Arial" w:hAnsi="Arial" w:cs="Arial"/>
          <w:b/>
          <w:sz w:val="22"/>
          <w:szCs w:val="22"/>
          <w:lang w:val="ro-RO"/>
        </w:rPr>
      </w:pPr>
    </w:p>
    <w:p w:rsidR="00306FE1" w:rsidRPr="00160A4B" w:rsidRDefault="00306FE1" w:rsidP="00306FE1">
      <w:pPr>
        <w:tabs>
          <w:tab w:val="left" w:pos="851"/>
        </w:tabs>
        <w:jc w:val="center"/>
        <w:rPr>
          <w:rFonts w:ascii="Arial" w:hAnsi="Arial" w:cs="Arial"/>
          <w:b/>
          <w:sz w:val="22"/>
          <w:szCs w:val="22"/>
          <w:lang w:val="ro-RO"/>
        </w:rPr>
      </w:pPr>
      <w:r w:rsidRPr="00160A4B">
        <w:rPr>
          <w:rFonts w:ascii="Arial" w:hAnsi="Arial" w:cs="Arial"/>
          <w:b/>
          <w:sz w:val="22"/>
          <w:szCs w:val="22"/>
          <w:lang w:val="ro-RO"/>
        </w:rPr>
        <w:t>Figura I.1.1.1.3. – Stația de fond urban BN-1 Bistrița</w:t>
      </w:r>
    </w:p>
    <w:p w:rsidR="00306FE1" w:rsidRPr="00160A4B" w:rsidRDefault="00306FE1" w:rsidP="00306FE1">
      <w:pPr>
        <w:tabs>
          <w:tab w:val="left" w:pos="851"/>
        </w:tabs>
        <w:jc w:val="center"/>
        <w:rPr>
          <w:rFonts w:ascii="Arial" w:hAnsi="Arial" w:cs="Arial"/>
          <w:b/>
          <w:sz w:val="22"/>
          <w:szCs w:val="22"/>
          <w:lang w:val="ro-RO"/>
        </w:rPr>
      </w:pPr>
      <w:r w:rsidRPr="00160A4B">
        <w:rPr>
          <w:rFonts w:ascii="Arial" w:hAnsi="Arial" w:cs="Arial"/>
          <w:b/>
          <w:sz w:val="22"/>
          <w:szCs w:val="22"/>
          <w:lang w:val="ro-RO"/>
        </w:rPr>
        <w:t xml:space="preserve"> Evoluția maximului lunar al mediei mobile la CO în  anul 2021</w:t>
      </w:r>
    </w:p>
    <w:p w:rsidR="00306FE1" w:rsidRPr="002070B1" w:rsidRDefault="00E93F2C" w:rsidP="00306FE1">
      <w:pPr>
        <w:tabs>
          <w:tab w:val="left" w:pos="851"/>
          <w:tab w:val="center" w:pos="4536"/>
        </w:tabs>
        <w:jc w:val="center"/>
        <w:rPr>
          <w:rFonts w:ascii="Arial" w:hAnsi="Arial" w:cs="Arial"/>
          <w:sz w:val="20"/>
          <w:szCs w:val="20"/>
          <w:lang w:val="ro-RO"/>
        </w:rPr>
      </w:pPr>
      <w:r>
        <w:rPr>
          <w:noProof/>
          <w:lang w:val="en-US"/>
        </w:rPr>
        <w:drawing>
          <wp:inline distT="0" distB="0" distL="0" distR="0" wp14:anchorId="28C8998E" wp14:editId="4AAADE9E">
            <wp:extent cx="4792980" cy="2293620"/>
            <wp:effectExtent l="0" t="0" r="7620" b="11430"/>
            <wp:docPr id="72" name="Diagramă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306FE1" w:rsidRPr="002070B1">
        <w:rPr>
          <w:rFonts w:ascii="Arial" w:hAnsi="Arial" w:cs="Arial"/>
          <w:sz w:val="20"/>
          <w:szCs w:val="20"/>
          <w:lang w:val="ro-RO"/>
        </w:rPr>
        <w:t xml:space="preserve">                                                                                                                                               </w:t>
      </w:r>
    </w:p>
    <w:p w:rsidR="00306FE1" w:rsidRPr="002070B1" w:rsidRDefault="00306FE1" w:rsidP="00306FE1">
      <w:pPr>
        <w:tabs>
          <w:tab w:val="left" w:pos="851"/>
          <w:tab w:val="center" w:pos="4536"/>
        </w:tabs>
        <w:jc w:val="center"/>
        <w:rPr>
          <w:rFonts w:ascii="Arial" w:hAnsi="Arial" w:cs="Arial"/>
          <w:lang w:val="ro-RO"/>
        </w:rPr>
      </w:pPr>
      <w:r w:rsidRPr="002070B1">
        <w:rPr>
          <w:rFonts w:ascii="Arial" w:hAnsi="Arial" w:cs="Arial"/>
          <w:sz w:val="20"/>
          <w:szCs w:val="20"/>
          <w:lang w:val="ro-RO"/>
        </w:rPr>
        <w:t>Sursa: Agenţia pentru Protecţia Mediului Bistriţa-Năsăud</w:t>
      </w:r>
      <w:r w:rsidRPr="002070B1">
        <w:rPr>
          <w:rFonts w:ascii="Arial" w:hAnsi="Arial" w:cs="Arial"/>
          <w:lang w:val="ro-RO"/>
        </w:rPr>
        <w:br w:type="textWrapping" w:clear="all"/>
      </w:r>
    </w:p>
    <w:p w:rsidR="00306FE1" w:rsidRPr="002070B1" w:rsidRDefault="00306FE1" w:rsidP="00306FE1">
      <w:pPr>
        <w:tabs>
          <w:tab w:val="left" w:pos="0"/>
        </w:tabs>
        <w:jc w:val="both"/>
        <w:rPr>
          <w:rFonts w:ascii="Arial" w:hAnsi="Arial" w:cs="Arial"/>
          <w:b/>
          <w:lang w:val="ro-RO"/>
        </w:rPr>
      </w:pPr>
      <w:r w:rsidRPr="002070B1">
        <w:rPr>
          <w:rFonts w:ascii="Arial" w:hAnsi="Arial" w:cs="Arial"/>
          <w:b/>
          <w:lang w:val="ro-RO"/>
        </w:rPr>
        <w:t>Ozonul (O3)</w:t>
      </w:r>
    </w:p>
    <w:p w:rsidR="00306FE1" w:rsidRPr="002070B1" w:rsidRDefault="00306FE1" w:rsidP="00306FE1">
      <w:pPr>
        <w:tabs>
          <w:tab w:val="left" w:pos="0"/>
        </w:tabs>
        <w:jc w:val="both"/>
        <w:rPr>
          <w:rFonts w:ascii="Arial" w:hAnsi="Arial" w:cs="Arial"/>
          <w:b/>
          <w:lang w:val="ro-RO"/>
        </w:rPr>
      </w:pPr>
    </w:p>
    <w:p w:rsidR="00306FE1" w:rsidRPr="002070B1" w:rsidRDefault="00306FE1" w:rsidP="00306FE1">
      <w:pPr>
        <w:tabs>
          <w:tab w:val="left" w:pos="851"/>
        </w:tabs>
        <w:jc w:val="both"/>
        <w:rPr>
          <w:rFonts w:ascii="Arial" w:hAnsi="Arial" w:cs="Arial"/>
          <w:lang w:val="ro-RO"/>
        </w:rPr>
      </w:pPr>
      <w:r w:rsidRPr="002070B1">
        <w:rPr>
          <w:rFonts w:ascii="Arial" w:hAnsi="Arial" w:cs="Arial"/>
          <w:lang w:val="ro-RO"/>
        </w:rPr>
        <w:tab/>
        <w:t xml:space="preserve">Concentraţiile de ozon din aerul înconjurător se evaluează folosind </w:t>
      </w:r>
      <w:r w:rsidRPr="002070B1">
        <w:rPr>
          <w:rFonts w:ascii="Arial" w:hAnsi="Arial" w:cs="Arial"/>
          <w:iCs/>
          <w:lang w:val="ro-RO"/>
        </w:rPr>
        <w:t xml:space="preserve">pragul de alertă (240 </w:t>
      </w:r>
      <w:r w:rsidRPr="002070B1">
        <w:rPr>
          <w:rFonts w:ascii="Arial" w:hAnsi="Arial" w:cs="Arial"/>
          <w:lang w:val="ro-RO"/>
        </w:rPr>
        <w:t>µ</w:t>
      </w:r>
      <w:r w:rsidRPr="002070B1">
        <w:rPr>
          <w:rFonts w:ascii="Arial" w:hAnsi="Arial" w:cs="Arial"/>
          <w:iCs/>
          <w:lang w:val="ro-RO"/>
        </w:rPr>
        <w:t>g/m</w:t>
      </w:r>
      <w:r w:rsidRPr="002070B1">
        <w:rPr>
          <w:rFonts w:ascii="Arial" w:hAnsi="Arial" w:cs="Arial"/>
          <w:iCs/>
          <w:vertAlign w:val="superscript"/>
          <w:lang w:val="ro-RO"/>
        </w:rPr>
        <w:t>3</w:t>
      </w:r>
      <w:r w:rsidRPr="002070B1">
        <w:rPr>
          <w:rFonts w:ascii="Arial" w:hAnsi="Arial" w:cs="Arial"/>
          <w:iCs/>
          <w:lang w:val="ro-RO"/>
        </w:rPr>
        <w:t xml:space="preserve"> </w:t>
      </w:r>
      <w:r w:rsidRPr="002070B1">
        <w:rPr>
          <w:rFonts w:ascii="Arial" w:hAnsi="Arial" w:cs="Arial"/>
          <w:lang w:val="ro-RO"/>
        </w:rPr>
        <w:t>măsurat timp de 3 ore consecutiv</w:t>
      </w:r>
      <w:r w:rsidRPr="002070B1">
        <w:rPr>
          <w:rFonts w:ascii="Arial" w:hAnsi="Arial" w:cs="Arial"/>
          <w:iCs/>
          <w:lang w:val="ro-RO"/>
        </w:rPr>
        <w:t xml:space="preserve">) </w:t>
      </w:r>
      <w:r w:rsidRPr="002070B1">
        <w:rPr>
          <w:rFonts w:ascii="Arial" w:hAnsi="Arial" w:cs="Arial"/>
          <w:lang w:val="ro-RO"/>
        </w:rPr>
        <w:t xml:space="preserve">calculat ca medie a concentraţiilor orare, </w:t>
      </w:r>
      <w:r w:rsidRPr="002070B1">
        <w:rPr>
          <w:rFonts w:ascii="Arial" w:hAnsi="Arial" w:cs="Arial"/>
          <w:iCs/>
          <w:lang w:val="ro-RO"/>
        </w:rPr>
        <w:t>pragul de informare (180</w:t>
      </w:r>
      <w:r w:rsidRPr="002070B1">
        <w:rPr>
          <w:rFonts w:ascii="Arial" w:hAnsi="Arial" w:cs="Arial"/>
          <w:lang w:val="ro-RO"/>
        </w:rPr>
        <w:t xml:space="preserve"> µ</w:t>
      </w:r>
      <w:r w:rsidRPr="002070B1">
        <w:rPr>
          <w:rFonts w:ascii="Arial" w:hAnsi="Arial" w:cs="Arial"/>
          <w:iCs/>
          <w:lang w:val="ro-RO"/>
        </w:rPr>
        <w:t>g/m</w:t>
      </w:r>
      <w:r w:rsidRPr="002070B1">
        <w:rPr>
          <w:rFonts w:ascii="Arial" w:hAnsi="Arial" w:cs="Arial"/>
          <w:iCs/>
          <w:vertAlign w:val="superscript"/>
          <w:lang w:val="ro-RO"/>
        </w:rPr>
        <w:t>3</w:t>
      </w:r>
      <w:r w:rsidRPr="002070B1">
        <w:rPr>
          <w:rFonts w:ascii="Arial" w:hAnsi="Arial" w:cs="Arial"/>
          <w:iCs/>
          <w:lang w:val="ro-RO"/>
        </w:rPr>
        <w:t xml:space="preserve">) </w:t>
      </w:r>
      <w:r w:rsidRPr="002070B1">
        <w:rPr>
          <w:rFonts w:ascii="Arial" w:hAnsi="Arial" w:cs="Arial"/>
          <w:lang w:val="ro-RO"/>
        </w:rPr>
        <w:t xml:space="preserve">calculat ca medie a concentraţiilor orare şi </w:t>
      </w:r>
      <w:r w:rsidRPr="002070B1">
        <w:rPr>
          <w:rFonts w:ascii="Arial" w:hAnsi="Arial" w:cs="Arial"/>
          <w:iCs/>
          <w:lang w:val="ro-RO"/>
        </w:rPr>
        <w:t xml:space="preserve">valoarea ţintă pentru protecţia sănătăţii umane </w:t>
      </w:r>
      <w:r w:rsidRPr="002070B1">
        <w:rPr>
          <w:rFonts w:ascii="Arial" w:hAnsi="Arial" w:cs="Arial"/>
          <w:lang w:val="ro-RO"/>
        </w:rPr>
        <w:t>(120 µ</w:t>
      </w:r>
      <w:r w:rsidRPr="002070B1">
        <w:rPr>
          <w:rFonts w:ascii="Arial" w:hAnsi="Arial" w:cs="Arial"/>
          <w:iCs/>
          <w:lang w:val="ro-RO"/>
        </w:rPr>
        <w:t>g/m</w:t>
      </w:r>
      <w:r w:rsidRPr="002070B1">
        <w:rPr>
          <w:rFonts w:ascii="Arial" w:hAnsi="Arial" w:cs="Arial"/>
          <w:iCs/>
          <w:vertAlign w:val="superscript"/>
          <w:lang w:val="ro-RO"/>
        </w:rPr>
        <w:t>3</w:t>
      </w:r>
      <w:r w:rsidRPr="002070B1">
        <w:rPr>
          <w:rFonts w:ascii="Arial" w:hAnsi="Arial" w:cs="Arial"/>
          <w:iCs/>
          <w:lang w:val="ro-RO"/>
        </w:rPr>
        <w:t xml:space="preserve">) </w:t>
      </w:r>
      <w:r w:rsidRPr="002070B1">
        <w:rPr>
          <w:rFonts w:ascii="Arial" w:hAnsi="Arial" w:cs="Arial"/>
          <w:lang w:val="ro-RO"/>
        </w:rPr>
        <w:t>calculată ca valoare maximă zilnică a mediilor pe 8 ore (medie mobilă), care nu trebuie depăşită mai mult de 25 ori/an.</w:t>
      </w:r>
    </w:p>
    <w:p w:rsidR="00306FE1" w:rsidRPr="002070B1" w:rsidRDefault="00306FE1" w:rsidP="00306FE1">
      <w:pPr>
        <w:tabs>
          <w:tab w:val="left" w:pos="851"/>
        </w:tabs>
        <w:jc w:val="both"/>
        <w:rPr>
          <w:rFonts w:ascii="Arial" w:hAnsi="Arial" w:cs="Arial"/>
        </w:rPr>
      </w:pPr>
      <w:r w:rsidRPr="002070B1">
        <w:rPr>
          <w:rFonts w:ascii="Arial" w:hAnsi="Arial" w:cs="Arial"/>
          <w:lang w:val="ro-RO"/>
        </w:rPr>
        <w:tab/>
        <w:t>Ozonul se măsoară automat în staţia BN-1 cu ajutorul analizorului de O</w:t>
      </w:r>
      <w:r w:rsidRPr="002070B1">
        <w:rPr>
          <w:rFonts w:ascii="Arial" w:hAnsi="Arial" w:cs="Arial"/>
          <w:vertAlign w:val="subscript"/>
          <w:lang w:val="ro-RO"/>
        </w:rPr>
        <w:t>3</w:t>
      </w:r>
      <w:r w:rsidRPr="002070B1">
        <w:rPr>
          <w:rFonts w:ascii="Arial" w:hAnsi="Arial" w:cs="Arial"/>
          <w:lang w:val="ro-RO"/>
        </w:rPr>
        <w:t xml:space="preserve">, model ML 9810B prin fotometrie în ultraviolet, </w:t>
      </w:r>
      <w:r w:rsidRPr="002070B1">
        <w:rPr>
          <w:rFonts w:ascii="Arial" w:hAnsi="Arial" w:cs="Arial"/>
        </w:rPr>
        <w:t xml:space="preserve">metodă de referință standardizată prin SR EN 14626. </w:t>
      </w:r>
    </w:p>
    <w:p w:rsidR="00306FE1" w:rsidRPr="002070B1" w:rsidRDefault="00306FE1" w:rsidP="00306FE1">
      <w:pPr>
        <w:tabs>
          <w:tab w:val="left" w:pos="851"/>
        </w:tabs>
        <w:jc w:val="both"/>
        <w:rPr>
          <w:rFonts w:ascii="Arial" w:hAnsi="Arial" w:cs="Arial"/>
          <w:b/>
          <w:sz w:val="22"/>
          <w:szCs w:val="22"/>
          <w:lang w:val="ro-RO"/>
        </w:rPr>
      </w:pPr>
      <w:r w:rsidRPr="002070B1">
        <w:rPr>
          <w:rFonts w:ascii="Arial" w:hAnsi="Arial" w:cs="Arial"/>
          <w:b/>
          <w:bCs/>
          <w:lang w:val="ro-RO"/>
        </w:rPr>
        <w:tab/>
      </w:r>
      <w:r w:rsidRPr="002070B1">
        <w:rPr>
          <w:rFonts w:ascii="Arial" w:hAnsi="Arial" w:cs="Arial"/>
          <w:bCs/>
          <w:lang w:val="ro-RO"/>
        </w:rPr>
        <w:t>Valoarea medie anuală pentru O</w:t>
      </w:r>
      <w:r w:rsidRPr="002070B1">
        <w:rPr>
          <w:rFonts w:ascii="Arial" w:hAnsi="Arial" w:cs="Arial"/>
          <w:bCs/>
          <w:vertAlign w:val="subscript"/>
          <w:lang w:val="ro-RO"/>
        </w:rPr>
        <w:t>3</w:t>
      </w:r>
      <w:r w:rsidRPr="002070B1">
        <w:rPr>
          <w:rFonts w:ascii="Arial" w:hAnsi="Arial" w:cs="Arial"/>
          <w:bCs/>
          <w:lang w:val="ro-RO"/>
        </w:rPr>
        <w:t xml:space="preserve"> pe anul 202</w:t>
      </w:r>
      <w:r>
        <w:rPr>
          <w:rFonts w:ascii="Arial" w:hAnsi="Arial" w:cs="Arial"/>
          <w:bCs/>
          <w:lang w:val="ro-RO"/>
        </w:rPr>
        <w:t>1</w:t>
      </w:r>
      <w:r w:rsidRPr="002070B1">
        <w:rPr>
          <w:rFonts w:ascii="Arial" w:hAnsi="Arial" w:cs="Arial"/>
          <w:bCs/>
          <w:lang w:val="ro-RO"/>
        </w:rPr>
        <w:t xml:space="preserve"> a fost de 4</w:t>
      </w:r>
      <w:r>
        <w:rPr>
          <w:rFonts w:ascii="Arial" w:hAnsi="Arial" w:cs="Arial"/>
          <w:bCs/>
          <w:lang w:val="ro-RO"/>
        </w:rPr>
        <w:t>7,50</w:t>
      </w:r>
      <w:r w:rsidRPr="002070B1">
        <w:rPr>
          <w:rFonts w:ascii="Arial" w:hAnsi="Arial" w:cs="Arial"/>
          <w:lang w:val="ro-RO"/>
        </w:rPr>
        <w:t>µ</w:t>
      </w:r>
      <w:r w:rsidRPr="002070B1">
        <w:rPr>
          <w:rFonts w:ascii="Arial" w:hAnsi="Arial" w:cs="Arial"/>
          <w:iCs/>
          <w:lang w:val="ro-RO"/>
        </w:rPr>
        <w:t>g/m</w:t>
      </w:r>
      <w:r w:rsidRPr="002070B1">
        <w:rPr>
          <w:rFonts w:ascii="Arial" w:hAnsi="Arial" w:cs="Arial"/>
          <w:iCs/>
          <w:vertAlign w:val="superscript"/>
          <w:lang w:val="ro-RO"/>
        </w:rPr>
        <w:t>3</w:t>
      </w:r>
      <w:r w:rsidRPr="002070B1">
        <w:rPr>
          <w:rFonts w:ascii="Arial" w:hAnsi="Arial" w:cs="Arial"/>
          <w:iCs/>
          <w:lang w:val="ro-RO"/>
        </w:rPr>
        <w:t xml:space="preserve">, iar captura anuală de date </w:t>
      </w:r>
      <w:r>
        <w:rPr>
          <w:rFonts w:ascii="Arial" w:hAnsi="Arial" w:cs="Arial"/>
          <w:iCs/>
          <w:lang w:val="ro-RO"/>
        </w:rPr>
        <w:t>94,84</w:t>
      </w:r>
      <w:r w:rsidRPr="002070B1">
        <w:rPr>
          <w:rFonts w:ascii="Arial" w:hAnsi="Arial" w:cs="Arial"/>
          <w:iCs/>
          <w:lang w:val="ro-RO"/>
        </w:rPr>
        <w:t xml:space="preserve">%. </w:t>
      </w:r>
      <w:r w:rsidRPr="002070B1">
        <w:rPr>
          <w:rFonts w:ascii="Arial" w:hAnsi="Arial" w:cs="Arial"/>
          <w:bCs/>
          <w:lang w:val="ro-RO"/>
        </w:rPr>
        <w:t xml:space="preserve">În </w:t>
      </w:r>
      <w:r>
        <w:rPr>
          <w:rFonts w:ascii="Arial" w:hAnsi="Arial" w:cs="Arial"/>
          <w:bCs/>
          <w:lang w:val="ro-RO"/>
        </w:rPr>
        <w:t xml:space="preserve">cursul </w:t>
      </w:r>
      <w:r w:rsidRPr="002070B1">
        <w:rPr>
          <w:rFonts w:ascii="Arial" w:hAnsi="Arial" w:cs="Arial"/>
          <w:bCs/>
          <w:lang w:val="ro-RO"/>
        </w:rPr>
        <w:t>anul</w:t>
      </w:r>
      <w:r>
        <w:rPr>
          <w:rFonts w:ascii="Arial" w:hAnsi="Arial" w:cs="Arial"/>
          <w:bCs/>
          <w:lang w:val="ro-RO"/>
        </w:rPr>
        <w:t>ui</w:t>
      </w:r>
      <w:r w:rsidRPr="002070B1">
        <w:rPr>
          <w:rFonts w:ascii="Arial" w:hAnsi="Arial" w:cs="Arial"/>
          <w:bCs/>
          <w:lang w:val="ro-RO"/>
        </w:rPr>
        <w:t xml:space="preserve"> 202</w:t>
      </w:r>
      <w:r>
        <w:rPr>
          <w:rFonts w:ascii="Arial" w:hAnsi="Arial" w:cs="Arial"/>
          <w:bCs/>
          <w:lang w:val="ro-RO"/>
        </w:rPr>
        <w:t>1</w:t>
      </w:r>
      <w:r w:rsidRPr="002070B1">
        <w:rPr>
          <w:rFonts w:ascii="Arial" w:hAnsi="Arial" w:cs="Arial"/>
          <w:bCs/>
          <w:lang w:val="ro-RO"/>
        </w:rPr>
        <w:t xml:space="preserve"> s-a</w:t>
      </w:r>
      <w:r>
        <w:rPr>
          <w:rFonts w:ascii="Arial" w:hAnsi="Arial" w:cs="Arial"/>
          <w:bCs/>
          <w:lang w:val="ro-RO"/>
        </w:rPr>
        <w:t xml:space="preserve">u înregistrat 3 depășirii ale </w:t>
      </w:r>
      <w:r w:rsidRPr="002070B1">
        <w:rPr>
          <w:rFonts w:ascii="Arial" w:hAnsi="Arial" w:cs="Arial"/>
          <w:bCs/>
          <w:lang w:val="ro-RO"/>
        </w:rPr>
        <w:t xml:space="preserve"> </w:t>
      </w:r>
      <w:r w:rsidRPr="002070B1">
        <w:rPr>
          <w:rFonts w:ascii="Arial" w:hAnsi="Arial" w:cs="Arial"/>
          <w:iCs/>
          <w:lang w:val="ro-RO"/>
        </w:rPr>
        <w:t>valoar</w:t>
      </w:r>
      <w:r>
        <w:rPr>
          <w:rFonts w:ascii="Arial" w:hAnsi="Arial" w:cs="Arial"/>
          <w:iCs/>
          <w:lang w:val="ro-RO"/>
        </w:rPr>
        <w:t>ii</w:t>
      </w:r>
      <w:r w:rsidRPr="002070B1">
        <w:rPr>
          <w:rFonts w:ascii="Arial" w:hAnsi="Arial" w:cs="Arial"/>
          <w:iCs/>
          <w:lang w:val="ro-RO"/>
        </w:rPr>
        <w:t xml:space="preserve"> ţintă pentru protecţia sănătăţii umane</w:t>
      </w:r>
      <w:r w:rsidRPr="002070B1">
        <w:rPr>
          <w:rFonts w:ascii="Arial" w:hAnsi="Arial" w:cs="Arial"/>
          <w:lang w:val="ro-RO"/>
        </w:rPr>
        <w:t>(120 µ</w:t>
      </w:r>
      <w:r w:rsidRPr="002070B1">
        <w:rPr>
          <w:rFonts w:ascii="Arial" w:hAnsi="Arial" w:cs="Arial"/>
          <w:iCs/>
          <w:lang w:val="ro-RO"/>
        </w:rPr>
        <w:t>g/m</w:t>
      </w:r>
      <w:r w:rsidRPr="002070B1">
        <w:rPr>
          <w:rFonts w:ascii="Arial" w:hAnsi="Arial" w:cs="Arial"/>
          <w:iCs/>
          <w:vertAlign w:val="superscript"/>
          <w:lang w:val="ro-RO"/>
        </w:rPr>
        <w:t>3</w:t>
      </w:r>
      <w:r>
        <w:rPr>
          <w:rFonts w:ascii="Arial" w:hAnsi="Arial" w:cs="Arial"/>
          <w:iCs/>
          <w:lang w:val="ro-RO"/>
        </w:rPr>
        <w:t>).</w:t>
      </w:r>
      <w:r w:rsidRPr="002070B1">
        <w:rPr>
          <w:rFonts w:ascii="Arial" w:hAnsi="Arial" w:cs="Arial"/>
          <w:lang w:val="ro-RO"/>
        </w:rPr>
        <w:t xml:space="preserve"> </w:t>
      </w:r>
      <w:r>
        <w:rPr>
          <w:rFonts w:ascii="Arial" w:hAnsi="Arial" w:cs="Arial"/>
          <w:lang w:val="ro-RO"/>
        </w:rPr>
        <w:t>V</w:t>
      </w:r>
      <w:r w:rsidRPr="002070B1">
        <w:rPr>
          <w:rFonts w:ascii="Arial" w:hAnsi="Arial" w:cs="Arial"/>
          <w:lang w:val="ro-RO"/>
        </w:rPr>
        <w:t xml:space="preserve">aloarea maximă anuală a mediilor pe 8 ore a fost de </w:t>
      </w:r>
      <w:r>
        <w:rPr>
          <w:rFonts w:ascii="Arial" w:hAnsi="Arial" w:cs="Arial"/>
          <w:lang w:val="ro-RO"/>
        </w:rPr>
        <w:t>132,69</w:t>
      </w:r>
      <w:r w:rsidRPr="002070B1">
        <w:rPr>
          <w:rFonts w:ascii="Arial" w:hAnsi="Arial" w:cs="Arial"/>
          <w:lang w:val="ro-RO"/>
        </w:rPr>
        <w:t xml:space="preserve"> µ</w:t>
      </w:r>
      <w:r w:rsidRPr="002070B1">
        <w:rPr>
          <w:rFonts w:ascii="Arial" w:hAnsi="Arial" w:cs="Arial"/>
          <w:iCs/>
          <w:lang w:val="ro-RO"/>
        </w:rPr>
        <w:t>g/m</w:t>
      </w:r>
      <w:r w:rsidRPr="002070B1">
        <w:rPr>
          <w:rFonts w:ascii="Arial" w:hAnsi="Arial" w:cs="Arial"/>
          <w:iCs/>
          <w:vertAlign w:val="superscript"/>
          <w:lang w:val="ro-RO"/>
        </w:rPr>
        <w:t>3</w:t>
      </w:r>
      <w:r w:rsidRPr="002070B1">
        <w:rPr>
          <w:rFonts w:ascii="Arial" w:hAnsi="Arial" w:cs="Arial"/>
          <w:iCs/>
          <w:lang w:val="ro-RO"/>
        </w:rPr>
        <w:t xml:space="preserve">. </w:t>
      </w:r>
    </w:p>
    <w:p w:rsidR="00306FE1" w:rsidRPr="002070B1" w:rsidRDefault="00306FE1" w:rsidP="00306FE1">
      <w:pPr>
        <w:tabs>
          <w:tab w:val="left" w:pos="851"/>
        </w:tabs>
        <w:jc w:val="center"/>
        <w:rPr>
          <w:rFonts w:ascii="Arial" w:hAnsi="Arial" w:cs="Arial"/>
          <w:b/>
          <w:sz w:val="22"/>
          <w:szCs w:val="22"/>
          <w:lang w:val="ro-RO"/>
        </w:rPr>
      </w:pPr>
    </w:p>
    <w:p w:rsidR="00306FE1" w:rsidRPr="00F0762D" w:rsidRDefault="00306FE1" w:rsidP="00306FE1">
      <w:pPr>
        <w:tabs>
          <w:tab w:val="left" w:pos="851"/>
        </w:tabs>
        <w:jc w:val="center"/>
        <w:rPr>
          <w:rFonts w:ascii="Arial" w:hAnsi="Arial" w:cs="Arial"/>
          <w:b/>
          <w:sz w:val="22"/>
          <w:szCs w:val="22"/>
          <w:lang w:val="ro-RO"/>
        </w:rPr>
      </w:pPr>
      <w:r w:rsidRPr="00F0762D">
        <w:rPr>
          <w:rFonts w:ascii="Arial" w:hAnsi="Arial" w:cs="Arial"/>
          <w:b/>
          <w:sz w:val="22"/>
          <w:szCs w:val="22"/>
          <w:lang w:val="ro-RO"/>
        </w:rPr>
        <w:t>Figura I.1.1.1.4. – Stația de fond urban BN-1 Bistrița</w:t>
      </w:r>
    </w:p>
    <w:p w:rsidR="00306FE1" w:rsidRPr="00F0762D" w:rsidRDefault="00306FE1" w:rsidP="00306FE1">
      <w:pPr>
        <w:tabs>
          <w:tab w:val="left" w:pos="851"/>
        </w:tabs>
        <w:jc w:val="center"/>
        <w:rPr>
          <w:rFonts w:ascii="Arial" w:hAnsi="Arial" w:cs="Arial"/>
          <w:b/>
          <w:sz w:val="22"/>
          <w:szCs w:val="22"/>
          <w:lang w:val="ro-RO"/>
        </w:rPr>
      </w:pPr>
      <w:r w:rsidRPr="00F0762D">
        <w:rPr>
          <w:rFonts w:ascii="Arial" w:hAnsi="Arial" w:cs="Arial"/>
          <w:b/>
          <w:sz w:val="22"/>
          <w:szCs w:val="22"/>
          <w:lang w:val="ro-RO"/>
        </w:rPr>
        <w:t xml:space="preserve"> Evoluția maximului lunar al mediei mobile la O</w:t>
      </w:r>
      <w:r w:rsidRPr="00F0762D">
        <w:rPr>
          <w:rFonts w:ascii="Arial" w:hAnsi="Arial" w:cs="Arial"/>
          <w:b/>
          <w:sz w:val="22"/>
          <w:szCs w:val="22"/>
          <w:vertAlign w:val="subscript"/>
          <w:lang w:val="ro-RO"/>
        </w:rPr>
        <w:t>3</w:t>
      </w:r>
      <w:r w:rsidRPr="00F0762D">
        <w:rPr>
          <w:rFonts w:ascii="Arial" w:hAnsi="Arial" w:cs="Arial"/>
          <w:b/>
          <w:sz w:val="22"/>
          <w:szCs w:val="22"/>
          <w:lang w:val="ro-RO"/>
        </w:rPr>
        <w:t xml:space="preserve"> în  anul 2021</w:t>
      </w:r>
    </w:p>
    <w:p w:rsidR="00306FE1" w:rsidRPr="002070B1" w:rsidRDefault="00E93F2C" w:rsidP="00306FE1">
      <w:pPr>
        <w:tabs>
          <w:tab w:val="left" w:pos="851"/>
        </w:tabs>
        <w:jc w:val="center"/>
        <w:rPr>
          <w:rFonts w:ascii="Arial" w:hAnsi="Arial" w:cs="Arial"/>
          <w:b/>
          <w:noProof/>
          <w:lang w:val="ro-RO" w:eastAsia="ro-RO"/>
        </w:rPr>
      </w:pPr>
      <w:r>
        <w:rPr>
          <w:noProof/>
          <w:lang w:val="en-US"/>
        </w:rPr>
        <w:drawing>
          <wp:inline distT="0" distB="0" distL="0" distR="0" wp14:anchorId="47D977BC" wp14:editId="51CC927C">
            <wp:extent cx="5029200" cy="2301240"/>
            <wp:effectExtent l="0" t="0" r="0" b="3810"/>
            <wp:docPr id="86" name="Diagramă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6FE1" w:rsidRPr="002070B1" w:rsidRDefault="00306FE1" w:rsidP="00306FE1">
      <w:pPr>
        <w:tabs>
          <w:tab w:val="left" w:pos="851"/>
        </w:tabs>
        <w:jc w:val="center"/>
        <w:rPr>
          <w:rFonts w:ascii="Arial" w:hAnsi="Arial" w:cs="Arial"/>
          <w:sz w:val="20"/>
          <w:szCs w:val="20"/>
          <w:lang w:val="ro-RO"/>
        </w:rPr>
      </w:pPr>
      <w:r w:rsidRPr="002070B1">
        <w:rPr>
          <w:rFonts w:ascii="Arial" w:hAnsi="Arial" w:cs="Arial"/>
          <w:sz w:val="20"/>
          <w:szCs w:val="20"/>
          <w:lang w:val="ro-RO"/>
        </w:rPr>
        <w:t>Sursa: Agenţia pentru Protecţia Mediului Bistriţa-Năsăud</w:t>
      </w:r>
    </w:p>
    <w:p w:rsidR="00306FE1" w:rsidRPr="002070B1" w:rsidRDefault="00306FE1" w:rsidP="00306FE1">
      <w:pPr>
        <w:tabs>
          <w:tab w:val="left" w:pos="851"/>
        </w:tabs>
        <w:jc w:val="center"/>
        <w:rPr>
          <w:rFonts w:ascii="Arial" w:hAnsi="Arial" w:cs="Arial"/>
          <w:b/>
          <w:bCs/>
          <w:lang w:val="ro-RO"/>
        </w:rPr>
      </w:pPr>
    </w:p>
    <w:p w:rsidR="00306FE1" w:rsidRDefault="00306FE1" w:rsidP="00306FE1">
      <w:pPr>
        <w:tabs>
          <w:tab w:val="left" w:pos="851"/>
        </w:tabs>
        <w:rPr>
          <w:rFonts w:ascii="Arial" w:hAnsi="Arial" w:cs="Arial"/>
          <w:b/>
          <w:bCs/>
          <w:lang w:val="ro-RO"/>
        </w:rPr>
      </w:pPr>
    </w:p>
    <w:p w:rsidR="00306FE1" w:rsidRDefault="00306FE1" w:rsidP="00306FE1">
      <w:pPr>
        <w:tabs>
          <w:tab w:val="left" w:pos="851"/>
        </w:tabs>
        <w:rPr>
          <w:rFonts w:ascii="Arial" w:hAnsi="Arial" w:cs="Arial"/>
          <w:b/>
          <w:bCs/>
          <w:lang w:val="ro-RO"/>
        </w:rPr>
      </w:pPr>
    </w:p>
    <w:p w:rsidR="004B7825" w:rsidRDefault="004B7825" w:rsidP="00306FE1">
      <w:pPr>
        <w:tabs>
          <w:tab w:val="left" w:pos="851"/>
        </w:tabs>
        <w:rPr>
          <w:rFonts w:ascii="Arial" w:hAnsi="Arial" w:cs="Arial"/>
          <w:b/>
          <w:bCs/>
          <w:lang w:val="ro-RO"/>
        </w:rPr>
      </w:pPr>
    </w:p>
    <w:p w:rsidR="00306FE1" w:rsidRDefault="00306FE1" w:rsidP="00306FE1">
      <w:pPr>
        <w:tabs>
          <w:tab w:val="left" w:pos="851"/>
        </w:tabs>
        <w:rPr>
          <w:rFonts w:ascii="Arial" w:hAnsi="Arial" w:cs="Arial"/>
          <w:b/>
          <w:bCs/>
          <w:lang w:val="ro-RO"/>
        </w:rPr>
      </w:pPr>
    </w:p>
    <w:p w:rsidR="00306FE1" w:rsidRPr="002070B1" w:rsidRDefault="00306FE1" w:rsidP="00306FE1">
      <w:pPr>
        <w:tabs>
          <w:tab w:val="left" w:pos="851"/>
        </w:tabs>
        <w:rPr>
          <w:rFonts w:ascii="Arial" w:hAnsi="Arial" w:cs="Arial"/>
          <w:b/>
          <w:lang w:val="ro-RO"/>
        </w:rPr>
      </w:pPr>
      <w:r w:rsidRPr="002070B1">
        <w:rPr>
          <w:rFonts w:ascii="Arial" w:hAnsi="Arial" w:cs="Arial"/>
          <w:b/>
          <w:bCs/>
          <w:lang w:val="ro-RO"/>
        </w:rPr>
        <w:t xml:space="preserve">Particule în suspensie </w:t>
      </w:r>
      <w:r w:rsidRPr="002070B1">
        <w:rPr>
          <w:rFonts w:ascii="Arial" w:hAnsi="Arial" w:cs="Arial"/>
          <w:b/>
          <w:lang w:val="ro-RO"/>
        </w:rPr>
        <w:t>(PM10)</w:t>
      </w:r>
    </w:p>
    <w:p w:rsidR="00306FE1" w:rsidRPr="002070B1" w:rsidRDefault="00306FE1" w:rsidP="00306FE1">
      <w:pPr>
        <w:tabs>
          <w:tab w:val="left" w:pos="851"/>
        </w:tabs>
        <w:rPr>
          <w:rFonts w:ascii="Arial" w:hAnsi="Arial" w:cs="Arial"/>
          <w:lang w:val="ro-RO"/>
        </w:rPr>
      </w:pPr>
    </w:p>
    <w:p w:rsidR="00306FE1" w:rsidRPr="002070B1" w:rsidRDefault="00306FE1" w:rsidP="00306FE1">
      <w:pPr>
        <w:tabs>
          <w:tab w:val="left" w:pos="851"/>
        </w:tabs>
        <w:jc w:val="both"/>
        <w:rPr>
          <w:rFonts w:ascii="Arial" w:hAnsi="Arial" w:cs="Arial"/>
          <w:iCs/>
          <w:lang w:val="ro-RO"/>
        </w:rPr>
      </w:pPr>
      <w:r w:rsidRPr="002070B1">
        <w:rPr>
          <w:rFonts w:ascii="Arial" w:hAnsi="Arial" w:cs="Arial"/>
          <w:lang w:val="ro-RO"/>
        </w:rPr>
        <w:tab/>
        <w:t xml:space="preserve">Concentraţiile de PM10 (particule în suspensie cu diametrul mai mic de 10 microni) din aerul înconjurător se evaluează folosind </w:t>
      </w:r>
      <w:r w:rsidRPr="002070B1">
        <w:rPr>
          <w:rFonts w:ascii="Arial" w:hAnsi="Arial" w:cs="Arial"/>
          <w:iCs/>
          <w:lang w:val="ro-RO"/>
        </w:rPr>
        <w:t>valoarea limită zilnică, (50μg/m</w:t>
      </w:r>
      <w:r w:rsidRPr="002070B1">
        <w:rPr>
          <w:rFonts w:ascii="Arial" w:hAnsi="Arial" w:cs="Arial"/>
          <w:iCs/>
          <w:vertAlign w:val="superscript"/>
          <w:lang w:val="ro-RO"/>
        </w:rPr>
        <w:t>3</w:t>
      </w:r>
      <w:r w:rsidRPr="002070B1">
        <w:rPr>
          <w:rFonts w:ascii="Arial" w:hAnsi="Arial" w:cs="Arial"/>
          <w:iCs/>
          <w:lang w:val="ro-RO"/>
        </w:rPr>
        <w:t xml:space="preserve">) </w:t>
      </w:r>
      <w:r w:rsidRPr="002070B1">
        <w:rPr>
          <w:rFonts w:ascii="Arial" w:hAnsi="Arial" w:cs="Arial"/>
          <w:lang w:val="ro-RO"/>
        </w:rPr>
        <w:t xml:space="preserve">care nu trebuie depăşită mai mult de 35 ori/an, pragul inferior de evaluare raportat la media zilnică (25 </w:t>
      </w:r>
      <w:r w:rsidRPr="002070B1">
        <w:rPr>
          <w:rFonts w:ascii="Arial" w:hAnsi="Arial" w:cs="Arial"/>
          <w:iCs/>
          <w:lang w:val="ro-RO"/>
        </w:rPr>
        <w:t>μg/m</w:t>
      </w:r>
      <w:r w:rsidRPr="002070B1">
        <w:rPr>
          <w:rFonts w:ascii="Arial" w:hAnsi="Arial" w:cs="Arial"/>
          <w:iCs/>
          <w:vertAlign w:val="superscript"/>
          <w:lang w:val="ro-RO"/>
        </w:rPr>
        <w:t>3</w:t>
      </w:r>
      <w:r w:rsidRPr="002070B1">
        <w:rPr>
          <w:rFonts w:ascii="Arial" w:hAnsi="Arial" w:cs="Arial"/>
          <w:iCs/>
          <w:lang w:val="ro-RO"/>
        </w:rPr>
        <w:t>, a nu se depășii mai mult de 35 ori pe an), pragul superior de evaluare</w:t>
      </w:r>
      <w:r w:rsidRPr="002070B1">
        <w:rPr>
          <w:rFonts w:ascii="Arial" w:hAnsi="Arial" w:cs="Arial"/>
          <w:lang w:val="ro-RO"/>
        </w:rPr>
        <w:t xml:space="preserve"> raportat la media zilnică </w:t>
      </w:r>
      <w:r w:rsidRPr="002070B1">
        <w:rPr>
          <w:rFonts w:ascii="Arial" w:hAnsi="Arial" w:cs="Arial"/>
          <w:iCs/>
          <w:lang w:val="ro-RO"/>
        </w:rPr>
        <w:t>(35 μg/m</w:t>
      </w:r>
      <w:r w:rsidRPr="002070B1">
        <w:rPr>
          <w:rFonts w:ascii="Arial" w:hAnsi="Arial" w:cs="Arial"/>
          <w:iCs/>
          <w:vertAlign w:val="superscript"/>
          <w:lang w:val="ro-RO"/>
        </w:rPr>
        <w:t>3</w:t>
      </w:r>
      <w:r w:rsidRPr="002070B1">
        <w:rPr>
          <w:rFonts w:ascii="Arial" w:hAnsi="Arial" w:cs="Arial"/>
          <w:iCs/>
          <w:lang w:val="ro-RO"/>
        </w:rPr>
        <w:t xml:space="preserve">, a nu se depășii mai mult de 35 ori pe an), </w:t>
      </w:r>
      <w:r w:rsidRPr="002070B1">
        <w:rPr>
          <w:rFonts w:ascii="Arial" w:hAnsi="Arial" w:cs="Arial"/>
          <w:lang w:val="ro-RO"/>
        </w:rPr>
        <w:t>pragul inferior de evaluare raportat la media anuală</w:t>
      </w:r>
      <w:r>
        <w:rPr>
          <w:rFonts w:ascii="Arial" w:hAnsi="Arial" w:cs="Arial"/>
          <w:lang w:val="ro-RO"/>
        </w:rPr>
        <w:t xml:space="preserve"> </w:t>
      </w:r>
      <w:r w:rsidRPr="002070B1">
        <w:rPr>
          <w:rFonts w:ascii="Arial" w:hAnsi="Arial" w:cs="Arial"/>
          <w:lang w:val="ro-RO"/>
        </w:rPr>
        <w:t xml:space="preserve">(20 </w:t>
      </w:r>
      <w:r w:rsidRPr="002070B1">
        <w:rPr>
          <w:rFonts w:ascii="Arial" w:hAnsi="Arial" w:cs="Arial"/>
          <w:iCs/>
          <w:lang w:val="ro-RO"/>
        </w:rPr>
        <w:t>μg/m</w:t>
      </w:r>
      <w:r w:rsidRPr="002070B1">
        <w:rPr>
          <w:rFonts w:ascii="Arial" w:hAnsi="Arial" w:cs="Arial"/>
          <w:iCs/>
          <w:vertAlign w:val="superscript"/>
          <w:lang w:val="ro-RO"/>
        </w:rPr>
        <w:t>3</w:t>
      </w:r>
      <w:r w:rsidRPr="002070B1">
        <w:rPr>
          <w:rFonts w:ascii="Arial" w:hAnsi="Arial" w:cs="Arial"/>
          <w:iCs/>
          <w:lang w:val="ro-RO"/>
        </w:rPr>
        <w:t>), pragul superior de evaluare</w:t>
      </w:r>
      <w:r w:rsidRPr="002070B1">
        <w:rPr>
          <w:rFonts w:ascii="Arial" w:hAnsi="Arial" w:cs="Arial"/>
          <w:lang w:val="ro-RO"/>
        </w:rPr>
        <w:t xml:space="preserve"> raportat la media anuală </w:t>
      </w:r>
      <w:r w:rsidRPr="002070B1">
        <w:rPr>
          <w:rFonts w:ascii="Arial" w:hAnsi="Arial" w:cs="Arial"/>
          <w:iCs/>
          <w:lang w:val="ro-RO"/>
        </w:rPr>
        <w:t>(28 μg/m</w:t>
      </w:r>
      <w:r w:rsidRPr="002070B1">
        <w:rPr>
          <w:rFonts w:ascii="Arial" w:hAnsi="Arial" w:cs="Arial"/>
          <w:iCs/>
          <w:vertAlign w:val="superscript"/>
          <w:lang w:val="ro-RO"/>
        </w:rPr>
        <w:t>3</w:t>
      </w:r>
      <w:r w:rsidRPr="002070B1">
        <w:rPr>
          <w:rFonts w:ascii="Arial" w:hAnsi="Arial" w:cs="Arial"/>
          <w:iCs/>
          <w:lang w:val="ro-RO"/>
        </w:rPr>
        <w:t>) și valoarea limită anuală</w:t>
      </w:r>
      <w:r>
        <w:rPr>
          <w:rFonts w:ascii="Arial" w:hAnsi="Arial" w:cs="Arial"/>
          <w:iCs/>
          <w:lang w:val="ro-RO"/>
        </w:rPr>
        <w:t xml:space="preserve"> </w:t>
      </w:r>
      <w:r w:rsidRPr="002070B1">
        <w:rPr>
          <w:rFonts w:ascii="Arial" w:hAnsi="Arial" w:cs="Arial"/>
          <w:iCs/>
          <w:lang w:val="ro-RO"/>
        </w:rPr>
        <w:t>(40μg/m</w:t>
      </w:r>
      <w:r w:rsidRPr="002070B1">
        <w:rPr>
          <w:rFonts w:ascii="Arial" w:hAnsi="Arial" w:cs="Arial"/>
          <w:iCs/>
          <w:vertAlign w:val="superscript"/>
          <w:lang w:val="ro-RO"/>
        </w:rPr>
        <w:t>3</w:t>
      </w:r>
      <w:r w:rsidRPr="002070B1">
        <w:rPr>
          <w:rFonts w:ascii="Arial" w:hAnsi="Arial" w:cs="Arial"/>
          <w:iCs/>
          <w:lang w:val="ro-RO"/>
        </w:rPr>
        <w:t xml:space="preserve">). </w:t>
      </w:r>
    </w:p>
    <w:p w:rsidR="00306FE1" w:rsidRPr="002070B1" w:rsidRDefault="00306FE1" w:rsidP="00306FE1">
      <w:pPr>
        <w:jc w:val="both"/>
        <w:rPr>
          <w:rFonts w:ascii="Arial" w:hAnsi="Arial" w:cs="Arial"/>
        </w:rPr>
      </w:pPr>
      <w:r w:rsidRPr="002070B1">
        <w:rPr>
          <w:rFonts w:ascii="Arial" w:hAnsi="Arial" w:cs="Arial"/>
          <w:lang w:val="ro-RO"/>
        </w:rPr>
        <w:tab/>
      </w:r>
      <w:r w:rsidRPr="002070B1">
        <w:rPr>
          <w:rFonts w:ascii="Arial" w:hAnsi="Arial" w:cs="Arial"/>
        </w:rPr>
        <w:t>La indicatorul PM10 determinat gravimetric, media anuală a fost de</w:t>
      </w:r>
      <w:r w:rsidRPr="002070B1">
        <w:rPr>
          <w:rFonts w:ascii="Arial" w:hAnsi="Arial" w:cs="Arial"/>
          <w:iCs/>
          <w:lang w:val="ro-RO"/>
        </w:rPr>
        <w:t xml:space="preserve"> </w:t>
      </w:r>
      <w:r>
        <w:rPr>
          <w:rFonts w:ascii="Arial" w:hAnsi="Arial" w:cs="Arial"/>
          <w:iCs/>
          <w:lang w:val="ro-RO"/>
        </w:rPr>
        <w:t>20,47</w:t>
      </w:r>
      <w:r w:rsidRPr="002070B1">
        <w:rPr>
          <w:rFonts w:ascii="Arial" w:hAnsi="Arial" w:cs="Arial"/>
          <w:iCs/>
          <w:lang w:val="ro-RO"/>
        </w:rPr>
        <w:t xml:space="preserve"> μg/m</w:t>
      </w:r>
      <w:r w:rsidRPr="002070B1">
        <w:rPr>
          <w:rFonts w:ascii="Arial" w:hAnsi="Arial" w:cs="Arial"/>
          <w:iCs/>
          <w:vertAlign w:val="superscript"/>
          <w:lang w:val="ro-RO"/>
        </w:rPr>
        <w:t>3</w:t>
      </w:r>
      <w:r w:rsidRPr="002070B1">
        <w:rPr>
          <w:rFonts w:ascii="Arial" w:hAnsi="Arial" w:cs="Arial"/>
          <w:iCs/>
          <w:lang w:val="ro-RO"/>
        </w:rPr>
        <w:t xml:space="preserve">, la o captură de date de </w:t>
      </w:r>
      <w:r>
        <w:rPr>
          <w:rFonts w:ascii="Arial" w:hAnsi="Arial" w:cs="Arial"/>
          <w:iCs/>
          <w:lang w:val="ro-RO"/>
        </w:rPr>
        <w:t>98,90</w:t>
      </w:r>
      <w:r w:rsidRPr="002070B1">
        <w:rPr>
          <w:rFonts w:ascii="Arial" w:hAnsi="Arial" w:cs="Arial"/>
          <w:iCs/>
          <w:lang w:val="ro-RO"/>
        </w:rPr>
        <w:t>%.</w:t>
      </w:r>
      <w:r w:rsidRPr="002070B1">
        <w:rPr>
          <w:rFonts w:ascii="Arial" w:hAnsi="Arial" w:cs="Arial"/>
        </w:rPr>
        <w:t xml:space="preserve"> Nu a fost depășită valoarea limită anuală, respexctiv 40 µg/m</w:t>
      </w:r>
      <w:r w:rsidRPr="002070B1">
        <w:rPr>
          <w:rFonts w:ascii="Arial" w:hAnsi="Arial" w:cs="Arial"/>
          <w:vertAlign w:val="superscript"/>
        </w:rPr>
        <w:t>3</w:t>
      </w:r>
      <w:r w:rsidRPr="002070B1">
        <w:rPr>
          <w:rFonts w:ascii="Arial" w:hAnsi="Arial" w:cs="Arial"/>
        </w:rPr>
        <w:t xml:space="preserve">. S-au înregistrat </w:t>
      </w:r>
      <w:r>
        <w:rPr>
          <w:rFonts w:ascii="Arial" w:hAnsi="Arial" w:cs="Arial"/>
        </w:rPr>
        <w:t>7</w:t>
      </w:r>
      <w:r w:rsidRPr="002070B1">
        <w:rPr>
          <w:rFonts w:ascii="Arial" w:hAnsi="Arial" w:cs="Arial"/>
        </w:rPr>
        <w:t xml:space="preserve"> depășiri ale valorii limită zilnice de 50 µg/m</w:t>
      </w:r>
      <w:r w:rsidRPr="002070B1">
        <w:rPr>
          <w:rFonts w:ascii="Arial" w:hAnsi="Arial" w:cs="Arial"/>
          <w:vertAlign w:val="superscript"/>
        </w:rPr>
        <w:t>3</w:t>
      </w:r>
      <w:r w:rsidRPr="002070B1">
        <w:rPr>
          <w:rFonts w:ascii="Arial" w:hAnsi="Arial" w:cs="Arial"/>
        </w:rPr>
        <w:t xml:space="preserve">. </w:t>
      </w:r>
    </w:p>
    <w:p w:rsidR="00306FE1" w:rsidRDefault="00306FE1" w:rsidP="00306FE1">
      <w:pPr>
        <w:ind w:firstLine="851"/>
        <w:jc w:val="both"/>
        <w:rPr>
          <w:rFonts w:ascii="Arial" w:hAnsi="Arial" w:cs="Arial"/>
        </w:rPr>
      </w:pPr>
      <w:r w:rsidRPr="007B7117">
        <w:rPr>
          <w:rFonts w:ascii="Arial" w:hAnsi="Arial" w:cs="Arial"/>
        </w:rPr>
        <w:t>Aceste depăşiri s-au înregistrat în lunile ianuarie și noiembrie şi se datorează: condiţiilor meteo nefavorabile, respectiv umiditate relativă ridicată și calm atmosferic care conduc la aglomerare</w:t>
      </w:r>
      <w:r w:rsidR="004B7825">
        <w:rPr>
          <w:rFonts w:ascii="Arial" w:hAnsi="Arial" w:cs="Arial"/>
        </w:rPr>
        <w:t xml:space="preserve">a particulelor de praf din aer, </w:t>
      </w:r>
      <w:r w:rsidRPr="007B7117">
        <w:rPr>
          <w:rFonts w:ascii="Arial" w:hAnsi="Arial" w:cs="Arial"/>
        </w:rPr>
        <w:t>temperaturi</w:t>
      </w:r>
      <w:r>
        <w:rPr>
          <w:rFonts w:ascii="Arial" w:hAnsi="Arial" w:cs="Arial"/>
        </w:rPr>
        <w:t>lor</w:t>
      </w:r>
      <w:r w:rsidRPr="007B7117">
        <w:rPr>
          <w:rFonts w:ascii="Arial" w:hAnsi="Arial" w:cs="Arial"/>
        </w:rPr>
        <w:t xml:space="preserve"> scăzute care determină creșterea consumului de combustibil </w:t>
      </w:r>
      <w:r w:rsidR="004B7825">
        <w:rPr>
          <w:rFonts w:ascii="Arial" w:hAnsi="Arial" w:cs="Arial"/>
        </w:rPr>
        <w:t>folosit la incălzirea domestic,</w:t>
      </w:r>
      <w:r w:rsidRPr="007B7117">
        <w:rPr>
          <w:rFonts w:ascii="Arial" w:hAnsi="Arial" w:cs="Arial"/>
        </w:rPr>
        <w:t xml:space="preserve"> împrăștierea de material antiderapant pe șosele în perioda de iarnă.</w:t>
      </w:r>
    </w:p>
    <w:p w:rsidR="00306FE1" w:rsidRPr="00A55E68" w:rsidRDefault="00306FE1" w:rsidP="00306FE1">
      <w:pPr>
        <w:ind w:firstLine="851"/>
        <w:jc w:val="both"/>
        <w:rPr>
          <w:rFonts w:ascii="Arial" w:hAnsi="Arial" w:cs="Arial"/>
        </w:rPr>
      </w:pPr>
      <w:r w:rsidRPr="00A55E68">
        <w:rPr>
          <w:rFonts w:ascii="Arial" w:hAnsi="Arial" w:cs="Arial"/>
        </w:rPr>
        <w:t>De asemenea s-au înregistrat 95 de depășiri ale pragului inferior de evaluare</w:t>
      </w:r>
      <w:r w:rsidRPr="00A55E68">
        <w:rPr>
          <w:rFonts w:ascii="Arial" w:hAnsi="Arial" w:cs="Arial"/>
          <w:lang w:val="ro-RO"/>
        </w:rPr>
        <w:t xml:space="preserve"> raportat la media zilnică</w:t>
      </w:r>
      <w:r w:rsidRPr="00A55E68">
        <w:rPr>
          <w:rFonts w:ascii="Arial" w:hAnsi="Arial" w:cs="Arial"/>
        </w:rPr>
        <w:t xml:space="preserve"> și 48 de depășiri ale pragului superior de evaluare</w:t>
      </w:r>
      <w:r w:rsidRPr="00A55E68">
        <w:rPr>
          <w:rFonts w:ascii="Arial" w:hAnsi="Arial" w:cs="Arial"/>
          <w:lang w:val="ro-RO"/>
        </w:rPr>
        <w:t xml:space="preserve"> raportat la media zilnică</w:t>
      </w:r>
      <w:r w:rsidRPr="00A55E68">
        <w:rPr>
          <w:rFonts w:ascii="Arial" w:hAnsi="Arial" w:cs="Arial"/>
        </w:rPr>
        <w:t xml:space="preserve">. Valoarea medie anuală de </w:t>
      </w:r>
      <w:r w:rsidRPr="00A55E68">
        <w:rPr>
          <w:rFonts w:ascii="Arial" w:hAnsi="Arial" w:cs="Arial"/>
          <w:iCs/>
          <w:lang w:val="ro-RO"/>
        </w:rPr>
        <w:t>20,47 μg/m</w:t>
      </w:r>
      <w:r w:rsidRPr="00A55E68">
        <w:rPr>
          <w:rFonts w:ascii="Arial" w:hAnsi="Arial" w:cs="Arial"/>
          <w:iCs/>
          <w:vertAlign w:val="superscript"/>
          <w:lang w:val="ro-RO"/>
        </w:rPr>
        <w:t>3</w:t>
      </w:r>
      <w:r w:rsidRPr="00A55E68">
        <w:rPr>
          <w:rFonts w:ascii="Arial" w:hAnsi="Arial" w:cs="Arial"/>
          <w:iCs/>
          <w:lang w:val="ro-RO"/>
        </w:rPr>
        <w:t>, depăş</w:t>
      </w:r>
      <w:r>
        <w:rPr>
          <w:rFonts w:ascii="Arial" w:hAnsi="Arial" w:cs="Arial"/>
          <w:iCs/>
          <w:lang w:val="ro-RO"/>
        </w:rPr>
        <w:t>ește</w:t>
      </w:r>
      <w:r w:rsidRPr="00A55E68">
        <w:rPr>
          <w:rFonts w:ascii="Arial" w:hAnsi="Arial" w:cs="Arial"/>
          <w:iCs/>
          <w:lang w:val="ro-RO"/>
        </w:rPr>
        <w:t xml:space="preserve"> ușor pragul inferior de evaluare raportat la media anuală. </w:t>
      </w:r>
    </w:p>
    <w:p w:rsidR="00306FE1" w:rsidRPr="00A55E68" w:rsidRDefault="00306FE1" w:rsidP="00306FE1">
      <w:pPr>
        <w:ind w:firstLine="851"/>
        <w:jc w:val="both"/>
        <w:rPr>
          <w:rFonts w:ascii="Arial" w:hAnsi="Arial" w:cs="Arial"/>
        </w:rPr>
      </w:pPr>
      <w:r w:rsidRPr="00A55E68">
        <w:rPr>
          <w:rFonts w:ascii="Arial" w:hAnsi="Arial" w:cs="Arial"/>
        </w:rPr>
        <w:t>Conform punctului A.2. din anexa 3 a Legii 104/2011 depășirile pragului superior și a pragului inferior de evaluare se determină în baza concentrațiilor din 5 ani anteriori dacă sunt disponibile suficiente date. Se consideră că un prag de evaluare a fost depășit dacă a fost depășit în cel puțin 3 din 5 ani anteriori.</w:t>
      </w:r>
    </w:p>
    <w:p w:rsidR="00306FE1" w:rsidRPr="00A55E68" w:rsidRDefault="00306FE1" w:rsidP="00306FE1">
      <w:pPr>
        <w:ind w:firstLine="851"/>
        <w:jc w:val="both"/>
        <w:rPr>
          <w:rFonts w:ascii="Arial" w:hAnsi="Arial" w:cs="Arial"/>
        </w:rPr>
      </w:pPr>
      <w:r w:rsidRPr="00A55E68">
        <w:rPr>
          <w:rFonts w:ascii="Arial" w:hAnsi="Arial" w:cs="Arial"/>
        </w:rPr>
        <w:t>Din cauza problemelor tehnice pe parcursul ultimilor 5 ani capturile de date pentru PM10 au fost uneori mai mici, ca urmare nu se poate desprinde o concluzie privind depășirile valorilor de prag ale acestui indicator.</w:t>
      </w:r>
    </w:p>
    <w:p w:rsidR="00306FE1" w:rsidRPr="00A55E68" w:rsidRDefault="00306FE1" w:rsidP="00306FE1">
      <w:pPr>
        <w:tabs>
          <w:tab w:val="left" w:pos="851"/>
        </w:tabs>
        <w:jc w:val="both"/>
        <w:rPr>
          <w:rFonts w:ascii="Arial" w:hAnsi="Arial" w:cs="Arial"/>
          <w:lang w:val="ro-RO"/>
        </w:rPr>
      </w:pPr>
      <w:r w:rsidRPr="00A55E68">
        <w:rPr>
          <w:rFonts w:ascii="Arial" w:hAnsi="Arial" w:cs="Arial"/>
          <w:lang w:val="ro-RO"/>
        </w:rPr>
        <w:t>În tabelul nr. I.1.1.1.1. este prezentată situaţia depăşirilor, a capturilor de date precum şi medi</w:t>
      </w:r>
      <w:r>
        <w:rPr>
          <w:rFonts w:ascii="Arial" w:hAnsi="Arial" w:cs="Arial"/>
          <w:lang w:val="ro-RO"/>
        </w:rPr>
        <w:t>ei</w:t>
      </w:r>
      <w:r w:rsidRPr="00A55E68">
        <w:rPr>
          <w:rFonts w:ascii="Arial" w:hAnsi="Arial" w:cs="Arial"/>
          <w:lang w:val="ro-RO"/>
        </w:rPr>
        <w:t xml:space="preserve"> anual</w:t>
      </w:r>
      <w:r>
        <w:rPr>
          <w:rFonts w:ascii="Arial" w:hAnsi="Arial" w:cs="Arial"/>
          <w:lang w:val="ro-RO"/>
        </w:rPr>
        <w:t>e</w:t>
      </w:r>
      <w:r w:rsidRPr="00A55E68">
        <w:rPr>
          <w:rFonts w:ascii="Arial" w:hAnsi="Arial" w:cs="Arial"/>
          <w:lang w:val="ro-RO"/>
        </w:rPr>
        <w:t xml:space="preserve"> pentru perioada 2017 – 2021. </w:t>
      </w:r>
    </w:p>
    <w:p w:rsidR="00306FE1" w:rsidRPr="002070B1" w:rsidRDefault="00306FE1" w:rsidP="00306FE1">
      <w:pPr>
        <w:tabs>
          <w:tab w:val="left" w:pos="851"/>
        </w:tabs>
        <w:jc w:val="both"/>
        <w:rPr>
          <w:rFonts w:ascii="Arial" w:hAnsi="Arial" w:cs="Arial"/>
          <w:lang w:val="ro-RO"/>
        </w:rPr>
      </w:pPr>
    </w:p>
    <w:p w:rsidR="00306FE1" w:rsidRPr="002070B1" w:rsidRDefault="00306FE1" w:rsidP="00306FE1">
      <w:pPr>
        <w:tabs>
          <w:tab w:val="left" w:pos="3804"/>
        </w:tabs>
        <w:jc w:val="center"/>
        <w:rPr>
          <w:rFonts w:ascii="Arial" w:hAnsi="Arial" w:cs="Arial"/>
          <w:b/>
          <w:sz w:val="22"/>
          <w:szCs w:val="22"/>
          <w:lang w:val="ro-RO"/>
        </w:rPr>
      </w:pPr>
      <w:r w:rsidRPr="002070B1">
        <w:rPr>
          <w:rFonts w:ascii="Arial" w:hAnsi="Arial" w:cs="Arial"/>
          <w:b/>
          <w:sz w:val="22"/>
          <w:szCs w:val="22"/>
          <w:lang w:val="ro-RO"/>
        </w:rPr>
        <w:t xml:space="preserve">Tabelul I.1.1.1.1. </w:t>
      </w:r>
    </w:p>
    <w:p w:rsidR="00306FE1" w:rsidRPr="002070B1" w:rsidRDefault="00306FE1" w:rsidP="00306FE1">
      <w:pPr>
        <w:tabs>
          <w:tab w:val="left" w:pos="3804"/>
        </w:tabs>
        <w:jc w:val="center"/>
        <w:rPr>
          <w:rFonts w:ascii="Arial" w:hAnsi="Arial" w:cs="Arial"/>
          <w:b/>
          <w:sz w:val="22"/>
          <w:szCs w:val="22"/>
          <w:lang w:val="ro-RO"/>
        </w:rPr>
      </w:pPr>
      <w:r w:rsidRPr="002070B1">
        <w:rPr>
          <w:rFonts w:ascii="Arial" w:hAnsi="Arial" w:cs="Arial"/>
          <w:b/>
          <w:sz w:val="22"/>
          <w:szCs w:val="22"/>
          <w:lang w:val="ro-RO"/>
        </w:rPr>
        <w:t xml:space="preserve"> Evoluția valorilor indicatorului PM10 în perioada 2015-202</w:t>
      </w:r>
      <w:r>
        <w:rPr>
          <w:rFonts w:ascii="Arial" w:hAnsi="Arial" w:cs="Arial"/>
          <w:b/>
          <w:sz w:val="22"/>
          <w:szCs w:val="22"/>
          <w:lang w:val="ro-RO"/>
        </w:rPr>
        <w:t>1</w:t>
      </w:r>
      <w:r w:rsidRPr="002070B1">
        <w:rPr>
          <w:rFonts w:ascii="Arial" w:hAnsi="Arial" w:cs="Arial"/>
          <w:b/>
          <w:sz w:val="22"/>
          <w:szCs w:val="22"/>
          <w:lang w:val="ro-RO"/>
        </w:rPr>
        <w:t xml:space="preserve"> </w:t>
      </w:r>
    </w:p>
    <w:tbl>
      <w:tblPr>
        <w:tblStyle w:val="Tabelgril"/>
        <w:tblW w:w="0" w:type="auto"/>
        <w:tblInd w:w="198" w:type="dxa"/>
        <w:tblLook w:val="04A0" w:firstRow="1" w:lastRow="0" w:firstColumn="1" w:lastColumn="0" w:noHBand="0" w:noVBand="1"/>
      </w:tblPr>
      <w:tblGrid>
        <w:gridCol w:w="719"/>
        <w:gridCol w:w="1509"/>
        <w:gridCol w:w="1250"/>
        <w:gridCol w:w="1773"/>
        <w:gridCol w:w="2076"/>
        <w:gridCol w:w="1819"/>
      </w:tblGrid>
      <w:tr w:rsidR="00306FE1" w:rsidRPr="002070B1" w:rsidTr="003B4930">
        <w:tc>
          <w:tcPr>
            <w:tcW w:w="720" w:type="dxa"/>
          </w:tcPr>
          <w:p w:rsidR="00306FE1" w:rsidRPr="002070B1" w:rsidRDefault="00306FE1" w:rsidP="003B4930">
            <w:pPr>
              <w:tabs>
                <w:tab w:val="left" w:pos="851"/>
              </w:tabs>
              <w:jc w:val="center"/>
              <w:rPr>
                <w:rFonts w:ascii="Arial" w:hAnsi="Arial" w:cs="Arial"/>
                <w:b/>
                <w:sz w:val="20"/>
                <w:szCs w:val="20"/>
                <w:lang w:val="ro-RO"/>
              </w:rPr>
            </w:pPr>
          </w:p>
          <w:p w:rsidR="00306FE1" w:rsidRPr="002070B1" w:rsidRDefault="00306FE1" w:rsidP="003B4930">
            <w:pPr>
              <w:tabs>
                <w:tab w:val="left" w:pos="851"/>
              </w:tabs>
              <w:jc w:val="center"/>
              <w:rPr>
                <w:rFonts w:ascii="Arial" w:hAnsi="Arial" w:cs="Arial"/>
                <w:b/>
                <w:sz w:val="20"/>
                <w:szCs w:val="20"/>
                <w:lang w:val="ro-RO"/>
              </w:rPr>
            </w:pPr>
            <w:r w:rsidRPr="002070B1">
              <w:rPr>
                <w:rFonts w:ascii="Arial" w:hAnsi="Arial" w:cs="Arial"/>
                <w:b/>
                <w:sz w:val="20"/>
                <w:szCs w:val="20"/>
                <w:lang w:val="ro-RO"/>
              </w:rPr>
              <w:t>Anul</w:t>
            </w:r>
          </w:p>
        </w:tc>
        <w:tc>
          <w:tcPr>
            <w:tcW w:w="1530" w:type="dxa"/>
          </w:tcPr>
          <w:p w:rsidR="00306FE1" w:rsidRPr="002070B1" w:rsidRDefault="00306FE1" w:rsidP="003B4930">
            <w:pPr>
              <w:tabs>
                <w:tab w:val="left" w:pos="851"/>
              </w:tabs>
              <w:jc w:val="center"/>
              <w:rPr>
                <w:rFonts w:ascii="Arial" w:hAnsi="Arial" w:cs="Arial"/>
                <w:b/>
                <w:sz w:val="20"/>
                <w:szCs w:val="20"/>
                <w:lang w:val="ro-RO"/>
              </w:rPr>
            </w:pPr>
            <w:r w:rsidRPr="002070B1">
              <w:rPr>
                <w:rFonts w:ascii="Arial" w:hAnsi="Arial" w:cs="Arial"/>
                <w:b/>
                <w:sz w:val="20"/>
                <w:szCs w:val="20"/>
                <w:lang w:val="ro-RO"/>
              </w:rPr>
              <w:t>Media anuală</w:t>
            </w:r>
          </w:p>
          <w:p w:rsidR="00306FE1" w:rsidRPr="002070B1" w:rsidRDefault="00306FE1" w:rsidP="003B4930">
            <w:pPr>
              <w:tabs>
                <w:tab w:val="left" w:pos="851"/>
              </w:tabs>
              <w:jc w:val="center"/>
              <w:rPr>
                <w:rFonts w:ascii="Arial" w:hAnsi="Arial" w:cs="Arial"/>
                <w:b/>
                <w:sz w:val="20"/>
                <w:szCs w:val="20"/>
                <w:lang w:val="ro-RO"/>
              </w:rPr>
            </w:pPr>
            <w:r w:rsidRPr="002070B1">
              <w:rPr>
                <w:rFonts w:ascii="Arial" w:hAnsi="Arial" w:cs="Arial"/>
                <w:b/>
                <w:sz w:val="20"/>
                <w:szCs w:val="20"/>
                <w:lang w:val="ro-RO"/>
              </w:rPr>
              <w:t>(</w:t>
            </w:r>
            <w:r w:rsidRPr="002070B1">
              <w:rPr>
                <w:rFonts w:ascii="Arial" w:hAnsi="Arial" w:cs="Arial"/>
                <w:b/>
                <w:iCs/>
                <w:sz w:val="20"/>
                <w:szCs w:val="20"/>
                <w:lang w:val="ro-RO"/>
              </w:rPr>
              <w:t>μg/m</w:t>
            </w:r>
            <w:r w:rsidRPr="002070B1">
              <w:rPr>
                <w:rFonts w:ascii="Arial" w:hAnsi="Arial" w:cs="Arial"/>
                <w:b/>
                <w:iCs/>
                <w:sz w:val="20"/>
                <w:szCs w:val="20"/>
                <w:vertAlign w:val="superscript"/>
                <w:lang w:val="ro-RO"/>
              </w:rPr>
              <w:t>3</w:t>
            </w:r>
            <w:r w:rsidRPr="002070B1">
              <w:rPr>
                <w:rFonts w:ascii="Arial" w:hAnsi="Arial" w:cs="Arial"/>
                <w:b/>
                <w:iCs/>
                <w:sz w:val="20"/>
                <w:szCs w:val="20"/>
                <w:lang w:val="ro-RO"/>
              </w:rPr>
              <w:t>)</w:t>
            </w:r>
          </w:p>
        </w:tc>
        <w:tc>
          <w:tcPr>
            <w:tcW w:w="1260" w:type="dxa"/>
          </w:tcPr>
          <w:p w:rsidR="00306FE1" w:rsidRPr="002070B1" w:rsidRDefault="00306FE1" w:rsidP="003B4930">
            <w:pPr>
              <w:tabs>
                <w:tab w:val="left" w:pos="851"/>
              </w:tabs>
              <w:jc w:val="center"/>
              <w:rPr>
                <w:rFonts w:ascii="Arial" w:hAnsi="Arial" w:cs="Arial"/>
                <w:b/>
                <w:sz w:val="20"/>
                <w:szCs w:val="20"/>
                <w:lang w:val="ro-RO"/>
              </w:rPr>
            </w:pPr>
            <w:r w:rsidRPr="002070B1">
              <w:rPr>
                <w:rFonts w:ascii="Arial" w:hAnsi="Arial" w:cs="Arial"/>
                <w:b/>
                <w:sz w:val="20"/>
                <w:szCs w:val="20"/>
                <w:lang w:val="ro-RO"/>
              </w:rPr>
              <w:t>Captura de date(%)</w:t>
            </w:r>
          </w:p>
        </w:tc>
        <w:tc>
          <w:tcPr>
            <w:tcW w:w="1800" w:type="dxa"/>
          </w:tcPr>
          <w:p w:rsidR="00306FE1" w:rsidRPr="002070B1" w:rsidRDefault="00306FE1" w:rsidP="003B4930">
            <w:pPr>
              <w:tabs>
                <w:tab w:val="left" w:pos="851"/>
              </w:tabs>
              <w:jc w:val="center"/>
              <w:rPr>
                <w:rFonts w:ascii="Arial" w:hAnsi="Arial" w:cs="Arial"/>
                <w:b/>
                <w:sz w:val="20"/>
                <w:szCs w:val="20"/>
                <w:lang w:val="ro-RO"/>
              </w:rPr>
            </w:pPr>
            <w:r w:rsidRPr="002070B1">
              <w:rPr>
                <w:rFonts w:ascii="Arial" w:hAnsi="Arial" w:cs="Arial"/>
                <w:b/>
                <w:sz w:val="20"/>
                <w:szCs w:val="20"/>
                <w:lang w:val="ro-RO"/>
              </w:rPr>
              <w:t>Depăşiri valoare limită zilnică</w:t>
            </w:r>
          </w:p>
        </w:tc>
        <w:tc>
          <w:tcPr>
            <w:tcW w:w="2113" w:type="dxa"/>
          </w:tcPr>
          <w:p w:rsidR="00306FE1" w:rsidRPr="002070B1" w:rsidRDefault="00306FE1" w:rsidP="003B4930">
            <w:pPr>
              <w:tabs>
                <w:tab w:val="left" w:pos="851"/>
              </w:tabs>
              <w:jc w:val="center"/>
              <w:rPr>
                <w:rFonts w:ascii="Arial" w:hAnsi="Arial" w:cs="Arial"/>
                <w:b/>
                <w:sz w:val="20"/>
                <w:szCs w:val="20"/>
                <w:lang w:val="ro-RO"/>
              </w:rPr>
            </w:pPr>
            <w:r w:rsidRPr="002070B1">
              <w:rPr>
                <w:rFonts w:ascii="Arial" w:hAnsi="Arial" w:cs="Arial"/>
                <w:b/>
                <w:sz w:val="20"/>
                <w:szCs w:val="20"/>
                <w:lang w:val="ro-RO"/>
              </w:rPr>
              <w:t>Depăşiri prag inferior de evaluare</w:t>
            </w:r>
          </w:p>
        </w:tc>
        <w:tc>
          <w:tcPr>
            <w:tcW w:w="1847" w:type="dxa"/>
          </w:tcPr>
          <w:p w:rsidR="00306FE1" w:rsidRPr="002070B1" w:rsidRDefault="00306FE1" w:rsidP="003B4930">
            <w:pPr>
              <w:tabs>
                <w:tab w:val="left" w:pos="851"/>
              </w:tabs>
              <w:jc w:val="center"/>
              <w:rPr>
                <w:rFonts w:ascii="Arial" w:hAnsi="Arial" w:cs="Arial"/>
                <w:b/>
                <w:sz w:val="20"/>
                <w:szCs w:val="20"/>
                <w:lang w:val="ro-RO"/>
              </w:rPr>
            </w:pPr>
            <w:r w:rsidRPr="002070B1">
              <w:rPr>
                <w:rFonts w:ascii="Arial" w:hAnsi="Arial" w:cs="Arial"/>
                <w:b/>
                <w:sz w:val="20"/>
                <w:szCs w:val="20"/>
                <w:lang w:val="ro-RO"/>
              </w:rPr>
              <w:t>Depăşiri prag superior de evaluare</w:t>
            </w:r>
          </w:p>
        </w:tc>
      </w:tr>
      <w:tr w:rsidR="00306FE1" w:rsidRPr="002070B1" w:rsidTr="003B4930">
        <w:tc>
          <w:tcPr>
            <w:tcW w:w="72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2017</w:t>
            </w:r>
          </w:p>
        </w:tc>
        <w:tc>
          <w:tcPr>
            <w:tcW w:w="153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25,88</w:t>
            </w:r>
          </w:p>
        </w:tc>
        <w:tc>
          <w:tcPr>
            <w:tcW w:w="126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36,44</w:t>
            </w:r>
          </w:p>
        </w:tc>
        <w:tc>
          <w:tcPr>
            <w:tcW w:w="180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10</w:t>
            </w:r>
          </w:p>
        </w:tc>
        <w:tc>
          <w:tcPr>
            <w:tcW w:w="2113"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60</w:t>
            </w:r>
          </w:p>
        </w:tc>
        <w:tc>
          <w:tcPr>
            <w:tcW w:w="1847"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36</w:t>
            </w:r>
          </w:p>
        </w:tc>
      </w:tr>
      <w:tr w:rsidR="00306FE1" w:rsidRPr="002070B1" w:rsidTr="003B4930">
        <w:tc>
          <w:tcPr>
            <w:tcW w:w="72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2018</w:t>
            </w:r>
          </w:p>
        </w:tc>
        <w:tc>
          <w:tcPr>
            <w:tcW w:w="153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16,97</w:t>
            </w:r>
          </w:p>
        </w:tc>
        <w:tc>
          <w:tcPr>
            <w:tcW w:w="126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78,9</w:t>
            </w:r>
          </w:p>
        </w:tc>
        <w:tc>
          <w:tcPr>
            <w:tcW w:w="180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13</w:t>
            </w:r>
          </w:p>
        </w:tc>
        <w:tc>
          <w:tcPr>
            <w:tcW w:w="2113"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56</w:t>
            </w:r>
          </w:p>
        </w:tc>
        <w:tc>
          <w:tcPr>
            <w:tcW w:w="1847"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36</w:t>
            </w:r>
          </w:p>
        </w:tc>
      </w:tr>
      <w:tr w:rsidR="00306FE1" w:rsidRPr="002070B1" w:rsidTr="003B4930">
        <w:tc>
          <w:tcPr>
            <w:tcW w:w="720" w:type="dxa"/>
          </w:tcPr>
          <w:p w:rsidR="00306FE1" w:rsidRPr="002070B1" w:rsidRDefault="005964E0" w:rsidP="003B4930">
            <w:pPr>
              <w:tabs>
                <w:tab w:val="left" w:pos="851"/>
              </w:tabs>
              <w:jc w:val="center"/>
              <w:rPr>
                <w:rFonts w:ascii="Arial" w:hAnsi="Arial" w:cs="Arial"/>
                <w:sz w:val="20"/>
                <w:szCs w:val="20"/>
                <w:lang w:val="ro-RO"/>
              </w:rPr>
            </w:pPr>
            <w:r>
              <w:rPr>
                <w:rFonts w:ascii="Arial" w:hAnsi="Arial" w:cs="Arial"/>
                <w:sz w:val="20"/>
                <w:szCs w:val="20"/>
                <w:lang w:val="ro-RO"/>
              </w:rPr>
              <w:t>2021</w:t>
            </w:r>
          </w:p>
        </w:tc>
        <w:tc>
          <w:tcPr>
            <w:tcW w:w="153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11,08</w:t>
            </w:r>
          </w:p>
        </w:tc>
        <w:tc>
          <w:tcPr>
            <w:tcW w:w="126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84,38</w:t>
            </w:r>
          </w:p>
        </w:tc>
        <w:tc>
          <w:tcPr>
            <w:tcW w:w="180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1</w:t>
            </w:r>
          </w:p>
        </w:tc>
        <w:tc>
          <w:tcPr>
            <w:tcW w:w="2113"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28</w:t>
            </w:r>
          </w:p>
        </w:tc>
        <w:tc>
          <w:tcPr>
            <w:tcW w:w="1847"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7</w:t>
            </w:r>
          </w:p>
        </w:tc>
      </w:tr>
      <w:tr w:rsidR="00306FE1" w:rsidRPr="002070B1" w:rsidTr="003B4930">
        <w:tc>
          <w:tcPr>
            <w:tcW w:w="72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2020</w:t>
            </w:r>
          </w:p>
        </w:tc>
        <w:tc>
          <w:tcPr>
            <w:tcW w:w="153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14.25</w:t>
            </w:r>
          </w:p>
        </w:tc>
        <w:tc>
          <w:tcPr>
            <w:tcW w:w="126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73.77</w:t>
            </w:r>
          </w:p>
        </w:tc>
        <w:tc>
          <w:tcPr>
            <w:tcW w:w="1800"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3</w:t>
            </w:r>
          </w:p>
        </w:tc>
        <w:tc>
          <w:tcPr>
            <w:tcW w:w="2113"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48</w:t>
            </w:r>
          </w:p>
        </w:tc>
        <w:tc>
          <w:tcPr>
            <w:tcW w:w="1847" w:type="dxa"/>
          </w:tcPr>
          <w:p w:rsidR="00306FE1" w:rsidRPr="002070B1" w:rsidRDefault="00306FE1" w:rsidP="003B4930">
            <w:pPr>
              <w:tabs>
                <w:tab w:val="left" w:pos="851"/>
              </w:tabs>
              <w:jc w:val="center"/>
              <w:rPr>
                <w:rFonts w:ascii="Arial" w:hAnsi="Arial" w:cs="Arial"/>
                <w:sz w:val="20"/>
                <w:szCs w:val="20"/>
                <w:lang w:val="ro-RO"/>
              </w:rPr>
            </w:pPr>
            <w:r w:rsidRPr="002070B1">
              <w:rPr>
                <w:rFonts w:ascii="Arial" w:hAnsi="Arial" w:cs="Arial"/>
                <w:sz w:val="20"/>
                <w:szCs w:val="20"/>
                <w:lang w:val="ro-RO"/>
              </w:rPr>
              <w:t>18</w:t>
            </w:r>
          </w:p>
        </w:tc>
      </w:tr>
      <w:tr w:rsidR="00306FE1" w:rsidRPr="002070B1" w:rsidTr="003B4930">
        <w:tc>
          <w:tcPr>
            <w:tcW w:w="720" w:type="dxa"/>
          </w:tcPr>
          <w:p w:rsidR="00306FE1" w:rsidRPr="002070B1" w:rsidRDefault="00306FE1" w:rsidP="003B4930">
            <w:pPr>
              <w:tabs>
                <w:tab w:val="left" w:pos="851"/>
              </w:tabs>
              <w:jc w:val="center"/>
              <w:rPr>
                <w:rFonts w:ascii="Arial" w:hAnsi="Arial" w:cs="Arial"/>
                <w:sz w:val="20"/>
                <w:szCs w:val="20"/>
                <w:lang w:val="ro-RO"/>
              </w:rPr>
            </w:pPr>
            <w:r>
              <w:rPr>
                <w:rFonts w:ascii="Arial" w:hAnsi="Arial" w:cs="Arial"/>
                <w:sz w:val="20"/>
                <w:szCs w:val="20"/>
                <w:lang w:val="ro-RO"/>
              </w:rPr>
              <w:t>2021</w:t>
            </w:r>
          </w:p>
        </w:tc>
        <w:tc>
          <w:tcPr>
            <w:tcW w:w="1530" w:type="dxa"/>
          </w:tcPr>
          <w:p w:rsidR="00306FE1" w:rsidRPr="002070B1" w:rsidRDefault="00306FE1" w:rsidP="003B4930">
            <w:pPr>
              <w:tabs>
                <w:tab w:val="left" w:pos="851"/>
              </w:tabs>
              <w:jc w:val="center"/>
              <w:rPr>
                <w:rFonts w:ascii="Arial" w:hAnsi="Arial" w:cs="Arial"/>
                <w:sz w:val="20"/>
                <w:szCs w:val="20"/>
                <w:lang w:val="ro-RO"/>
              </w:rPr>
            </w:pPr>
            <w:r>
              <w:rPr>
                <w:rFonts w:ascii="Arial" w:hAnsi="Arial" w:cs="Arial"/>
                <w:sz w:val="20"/>
                <w:szCs w:val="20"/>
                <w:lang w:val="ro-RO"/>
              </w:rPr>
              <w:t>20,47</w:t>
            </w:r>
          </w:p>
        </w:tc>
        <w:tc>
          <w:tcPr>
            <w:tcW w:w="1260" w:type="dxa"/>
          </w:tcPr>
          <w:p w:rsidR="00306FE1" w:rsidRPr="002070B1" w:rsidRDefault="00306FE1" w:rsidP="003B4930">
            <w:pPr>
              <w:tabs>
                <w:tab w:val="left" w:pos="851"/>
              </w:tabs>
              <w:jc w:val="center"/>
              <w:rPr>
                <w:rFonts w:ascii="Arial" w:hAnsi="Arial" w:cs="Arial"/>
                <w:sz w:val="20"/>
                <w:szCs w:val="20"/>
                <w:lang w:val="ro-RO"/>
              </w:rPr>
            </w:pPr>
            <w:r>
              <w:rPr>
                <w:rFonts w:ascii="Arial" w:hAnsi="Arial" w:cs="Arial"/>
                <w:sz w:val="20"/>
                <w:szCs w:val="20"/>
                <w:lang w:val="ro-RO"/>
              </w:rPr>
              <w:t>98,90</w:t>
            </w:r>
          </w:p>
        </w:tc>
        <w:tc>
          <w:tcPr>
            <w:tcW w:w="1800" w:type="dxa"/>
          </w:tcPr>
          <w:p w:rsidR="00306FE1" w:rsidRPr="002070B1" w:rsidRDefault="00306FE1" w:rsidP="003B4930">
            <w:pPr>
              <w:tabs>
                <w:tab w:val="left" w:pos="851"/>
              </w:tabs>
              <w:jc w:val="center"/>
              <w:rPr>
                <w:rFonts w:ascii="Arial" w:hAnsi="Arial" w:cs="Arial"/>
                <w:sz w:val="20"/>
                <w:szCs w:val="20"/>
                <w:lang w:val="ro-RO"/>
              </w:rPr>
            </w:pPr>
            <w:r>
              <w:rPr>
                <w:rFonts w:ascii="Arial" w:hAnsi="Arial" w:cs="Arial"/>
                <w:sz w:val="20"/>
                <w:szCs w:val="20"/>
                <w:lang w:val="ro-RO"/>
              </w:rPr>
              <w:t>7</w:t>
            </w:r>
          </w:p>
        </w:tc>
        <w:tc>
          <w:tcPr>
            <w:tcW w:w="2113" w:type="dxa"/>
          </w:tcPr>
          <w:p w:rsidR="00306FE1" w:rsidRPr="002070B1" w:rsidRDefault="00306FE1" w:rsidP="003B4930">
            <w:pPr>
              <w:tabs>
                <w:tab w:val="left" w:pos="851"/>
              </w:tabs>
              <w:jc w:val="center"/>
              <w:rPr>
                <w:rFonts w:ascii="Arial" w:hAnsi="Arial" w:cs="Arial"/>
                <w:sz w:val="20"/>
                <w:szCs w:val="20"/>
                <w:lang w:val="ro-RO"/>
              </w:rPr>
            </w:pPr>
            <w:r>
              <w:rPr>
                <w:rFonts w:ascii="Arial" w:hAnsi="Arial" w:cs="Arial"/>
                <w:sz w:val="20"/>
                <w:szCs w:val="20"/>
                <w:lang w:val="ro-RO"/>
              </w:rPr>
              <w:t>95</w:t>
            </w:r>
          </w:p>
        </w:tc>
        <w:tc>
          <w:tcPr>
            <w:tcW w:w="1847" w:type="dxa"/>
          </w:tcPr>
          <w:p w:rsidR="00306FE1" w:rsidRPr="002070B1" w:rsidRDefault="00306FE1" w:rsidP="003B4930">
            <w:pPr>
              <w:tabs>
                <w:tab w:val="left" w:pos="851"/>
              </w:tabs>
              <w:jc w:val="center"/>
              <w:rPr>
                <w:rFonts w:ascii="Arial" w:hAnsi="Arial" w:cs="Arial"/>
                <w:sz w:val="20"/>
                <w:szCs w:val="20"/>
                <w:lang w:val="ro-RO"/>
              </w:rPr>
            </w:pPr>
            <w:r>
              <w:rPr>
                <w:rFonts w:ascii="Arial" w:hAnsi="Arial" w:cs="Arial"/>
                <w:sz w:val="20"/>
                <w:szCs w:val="20"/>
                <w:lang w:val="ro-RO"/>
              </w:rPr>
              <w:t>48</w:t>
            </w:r>
          </w:p>
        </w:tc>
      </w:tr>
    </w:tbl>
    <w:p w:rsidR="00306FE1" w:rsidRPr="002070B1" w:rsidRDefault="00306FE1" w:rsidP="00306FE1">
      <w:pPr>
        <w:tabs>
          <w:tab w:val="left" w:pos="851"/>
        </w:tabs>
        <w:jc w:val="center"/>
        <w:rPr>
          <w:rFonts w:ascii="Arial" w:hAnsi="Arial" w:cs="Arial"/>
          <w:b/>
          <w:bCs/>
          <w:lang w:val="ro-RO"/>
        </w:rPr>
      </w:pPr>
      <w:r w:rsidRPr="002070B1">
        <w:rPr>
          <w:rFonts w:ascii="Arial" w:hAnsi="Arial" w:cs="Arial"/>
          <w:sz w:val="20"/>
          <w:szCs w:val="20"/>
          <w:lang w:val="ro-RO"/>
        </w:rPr>
        <w:t>Sursa: Agenţia pentru Protecţia Mediului Bistriţa-Năsăud</w:t>
      </w:r>
    </w:p>
    <w:p w:rsidR="00306FE1" w:rsidRPr="002070B1" w:rsidRDefault="00306FE1" w:rsidP="00306FE1">
      <w:pPr>
        <w:tabs>
          <w:tab w:val="left" w:pos="851"/>
        </w:tabs>
        <w:jc w:val="both"/>
        <w:rPr>
          <w:rFonts w:ascii="Arial" w:hAnsi="Arial" w:cs="Arial"/>
          <w:lang w:val="ro-RO"/>
        </w:rPr>
      </w:pPr>
    </w:p>
    <w:p w:rsidR="00306FE1" w:rsidRDefault="00306FE1" w:rsidP="00306FE1">
      <w:pPr>
        <w:tabs>
          <w:tab w:val="left" w:pos="851"/>
        </w:tabs>
        <w:jc w:val="center"/>
        <w:rPr>
          <w:rFonts w:ascii="Arial" w:hAnsi="Arial" w:cs="Arial"/>
          <w:b/>
          <w:sz w:val="22"/>
          <w:szCs w:val="22"/>
          <w:lang w:val="ro-RO"/>
        </w:rPr>
      </w:pPr>
    </w:p>
    <w:p w:rsidR="00306FE1" w:rsidRDefault="00306FE1" w:rsidP="00306FE1">
      <w:pPr>
        <w:tabs>
          <w:tab w:val="left" w:pos="851"/>
        </w:tabs>
        <w:jc w:val="center"/>
        <w:rPr>
          <w:rFonts w:ascii="Arial" w:hAnsi="Arial" w:cs="Arial"/>
          <w:b/>
          <w:sz w:val="22"/>
          <w:szCs w:val="22"/>
          <w:lang w:val="ro-RO"/>
        </w:rPr>
      </w:pPr>
    </w:p>
    <w:p w:rsidR="00306FE1" w:rsidRDefault="00306FE1" w:rsidP="00306FE1">
      <w:pPr>
        <w:tabs>
          <w:tab w:val="left" w:pos="851"/>
        </w:tabs>
        <w:jc w:val="center"/>
        <w:rPr>
          <w:rFonts w:ascii="Arial" w:hAnsi="Arial" w:cs="Arial"/>
          <w:b/>
          <w:sz w:val="22"/>
          <w:szCs w:val="22"/>
          <w:lang w:val="ro-RO"/>
        </w:rPr>
      </w:pPr>
    </w:p>
    <w:p w:rsidR="00306FE1" w:rsidRDefault="00306FE1" w:rsidP="00306FE1">
      <w:pPr>
        <w:tabs>
          <w:tab w:val="left" w:pos="851"/>
        </w:tabs>
        <w:jc w:val="center"/>
        <w:rPr>
          <w:rFonts w:ascii="Arial" w:hAnsi="Arial" w:cs="Arial"/>
          <w:b/>
          <w:sz w:val="22"/>
          <w:szCs w:val="22"/>
          <w:lang w:val="ro-RO"/>
        </w:rPr>
      </w:pPr>
    </w:p>
    <w:p w:rsidR="00306FE1" w:rsidRDefault="00306FE1" w:rsidP="00306FE1">
      <w:pPr>
        <w:tabs>
          <w:tab w:val="left" w:pos="851"/>
        </w:tabs>
        <w:jc w:val="center"/>
        <w:rPr>
          <w:rFonts w:ascii="Arial" w:hAnsi="Arial" w:cs="Arial"/>
          <w:b/>
          <w:sz w:val="22"/>
          <w:szCs w:val="22"/>
          <w:lang w:val="ro-RO"/>
        </w:rPr>
      </w:pPr>
    </w:p>
    <w:p w:rsidR="00306FE1" w:rsidRDefault="00306FE1" w:rsidP="00306FE1">
      <w:pPr>
        <w:tabs>
          <w:tab w:val="left" w:pos="851"/>
        </w:tabs>
        <w:jc w:val="center"/>
        <w:rPr>
          <w:rFonts w:ascii="Arial" w:hAnsi="Arial" w:cs="Arial"/>
          <w:b/>
          <w:sz w:val="22"/>
          <w:szCs w:val="22"/>
          <w:lang w:val="ro-RO"/>
        </w:rPr>
      </w:pPr>
    </w:p>
    <w:p w:rsidR="00306FE1" w:rsidRDefault="00306FE1" w:rsidP="00306FE1">
      <w:pPr>
        <w:tabs>
          <w:tab w:val="left" w:pos="851"/>
        </w:tabs>
        <w:jc w:val="center"/>
        <w:rPr>
          <w:rFonts w:ascii="Arial" w:hAnsi="Arial" w:cs="Arial"/>
          <w:b/>
          <w:sz w:val="22"/>
          <w:szCs w:val="22"/>
          <w:lang w:val="ro-RO"/>
        </w:rPr>
      </w:pPr>
    </w:p>
    <w:p w:rsidR="00306FE1" w:rsidRDefault="00306FE1" w:rsidP="00306FE1">
      <w:pPr>
        <w:tabs>
          <w:tab w:val="left" w:pos="851"/>
        </w:tabs>
        <w:jc w:val="center"/>
        <w:rPr>
          <w:rFonts w:ascii="Arial" w:hAnsi="Arial" w:cs="Arial"/>
          <w:b/>
          <w:sz w:val="22"/>
          <w:szCs w:val="22"/>
          <w:lang w:val="ro-RO"/>
        </w:rPr>
      </w:pPr>
    </w:p>
    <w:p w:rsidR="00306FE1" w:rsidRDefault="00306FE1" w:rsidP="00306FE1">
      <w:pPr>
        <w:tabs>
          <w:tab w:val="left" w:pos="851"/>
        </w:tabs>
        <w:jc w:val="center"/>
        <w:rPr>
          <w:rFonts w:ascii="Arial" w:hAnsi="Arial" w:cs="Arial"/>
          <w:b/>
          <w:sz w:val="22"/>
          <w:szCs w:val="22"/>
          <w:lang w:val="ro-RO"/>
        </w:rPr>
      </w:pPr>
    </w:p>
    <w:p w:rsidR="00306FE1" w:rsidRPr="00A55E68" w:rsidRDefault="00306FE1" w:rsidP="00306FE1">
      <w:pPr>
        <w:tabs>
          <w:tab w:val="left" w:pos="851"/>
        </w:tabs>
        <w:jc w:val="center"/>
        <w:rPr>
          <w:rFonts w:ascii="Arial" w:hAnsi="Arial" w:cs="Arial"/>
          <w:b/>
          <w:sz w:val="22"/>
          <w:szCs w:val="22"/>
          <w:lang w:val="ro-RO"/>
        </w:rPr>
      </w:pPr>
      <w:r w:rsidRPr="00A55E68">
        <w:rPr>
          <w:rFonts w:ascii="Arial" w:hAnsi="Arial" w:cs="Arial"/>
          <w:b/>
          <w:sz w:val="22"/>
          <w:szCs w:val="22"/>
          <w:lang w:val="ro-RO"/>
        </w:rPr>
        <w:t>Figura I.1.1.1.5. – Stația de fond urban BN-1 Bistrița</w:t>
      </w:r>
    </w:p>
    <w:p w:rsidR="00306FE1" w:rsidRPr="00A55E68" w:rsidRDefault="00306FE1" w:rsidP="00306FE1">
      <w:pPr>
        <w:tabs>
          <w:tab w:val="left" w:pos="851"/>
        </w:tabs>
        <w:jc w:val="center"/>
        <w:rPr>
          <w:rFonts w:ascii="Arial" w:hAnsi="Arial" w:cs="Arial"/>
          <w:noProof/>
          <w:lang w:val="ro-RO" w:eastAsia="ro-RO"/>
        </w:rPr>
      </w:pPr>
      <w:r w:rsidRPr="00A55E68">
        <w:rPr>
          <w:rFonts w:ascii="Arial" w:hAnsi="Arial" w:cs="Arial"/>
          <w:b/>
          <w:sz w:val="22"/>
          <w:szCs w:val="22"/>
          <w:lang w:val="ro-RO"/>
        </w:rPr>
        <w:t>Evoluția concentrațiilor medii lunare ale PM10 gravimetric în  anul 2021</w:t>
      </w:r>
    </w:p>
    <w:p w:rsidR="00306FE1" w:rsidRPr="002070B1" w:rsidRDefault="00AA3A67" w:rsidP="00306FE1">
      <w:pPr>
        <w:tabs>
          <w:tab w:val="left" w:pos="851"/>
        </w:tabs>
        <w:jc w:val="center"/>
        <w:rPr>
          <w:rFonts w:ascii="Arial" w:hAnsi="Arial" w:cs="Arial"/>
          <w:lang w:val="ro-RO"/>
        </w:rPr>
      </w:pPr>
      <w:r>
        <w:rPr>
          <w:noProof/>
          <w:lang w:val="en-US"/>
        </w:rPr>
        <w:drawing>
          <wp:inline distT="0" distB="0" distL="0" distR="0" wp14:anchorId="35C98481" wp14:editId="0EED2B53">
            <wp:extent cx="4693920" cy="2407920"/>
            <wp:effectExtent l="0" t="0" r="0" b="0"/>
            <wp:docPr id="88" name="Diagramă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06FE1" w:rsidRPr="002070B1" w:rsidRDefault="00306FE1" w:rsidP="00306FE1">
      <w:pPr>
        <w:tabs>
          <w:tab w:val="left" w:pos="851"/>
        </w:tabs>
        <w:jc w:val="center"/>
        <w:rPr>
          <w:rFonts w:ascii="Arial" w:hAnsi="Arial" w:cs="Arial"/>
          <w:b/>
          <w:bCs/>
          <w:lang w:val="ro-RO"/>
        </w:rPr>
      </w:pPr>
      <w:r w:rsidRPr="002070B1">
        <w:rPr>
          <w:rFonts w:ascii="Arial" w:hAnsi="Arial" w:cs="Arial"/>
          <w:sz w:val="20"/>
          <w:szCs w:val="20"/>
          <w:lang w:val="ro-RO"/>
        </w:rPr>
        <w:t>Sursa: Agenţia pentru Protecţia Mediului Bistriţa-Năsăud</w:t>
      </w:r>
    </w:p>
    <w:p w:rsidR="00306FE1" w:rsidRPr="002070B1" w:rsidRDefault="00306FE1" w:rsidP="00306FE1">
      <w:pPr>
        <w:tabs>
          <w:tab w:val="left" w:pos="851"/>
        </w:tabs>
        <w:jc w:val="both"/>
        <w:rPr>
          <w:rFonts w:ascii="Arial" w:hAnsi="Arial" w:cs="Arial"/>
          <w:b/>
          <w:bCs/>
          <w:lang w:val="ro-RO"/>
        </w:rPr>
      </w:pPr>
    </w:p>
    <w:p w:rsidR="00306FE1" w:rsidRPr="002070B1" w:rsidRDefault="00306FE1" w:rsidP="00306FE1">
      <w:pPr>
        <w:tabs>
          <w:tab w:val="left" w:pos="851"/>
        </w:tabs>
        <w:jc w:val="both"/>
        <w:rPr>
          <w:rFonts w:ascii="Arial" w:hAnsi="Arial" w:cs="Arial"/>
          <w:lang w:val="ro-RO"/>
        </w:rPr>
      </w:pPr>
      <w:r w:rsidRPr="002070B1">
        <w:rPr>
          <w:rFonts w:ascii="Arial" w:hAnsi="Arial" w:cs="Arial"/>
          <w:b/>
          <w:bCs/>
          <w:lang w:val="ro-RO"/>
        </w:rPr>
        <w:t xml:space="preserve">Benzenul </w:t>
      </w:r>
      <w:r w:rsidRPr="002070B1">
        <w:rPr>
          <w:rFonts w:ascii="Arial" w:hAnsi="Arial" w:cs="Arial"/>
          <w:lang w:val="ro-RO"/>
        </w:rPr>
        <w:t>(C6H6)</w:t>
      </w:r>
    </w:p>
    <w:p w:rsidR="00306FE1" w:rsidRPr="002070B1" w:rsidRDefault="00306FE1" w:rsidP="00306FE1">
      <w:pPr>
        <w:tabs>
          <w:tab w:val="left" w:pos="851"/>
        </w:tabs>
        <w:jc w:val="both"/>
        <w:rPr>
          <w:rFonts w:ascii="Arial" w:hAnsi="Arial" w:cs="Arial"/>
          <w:lang w:val="ro-RO"/>
        </w:rPr>
      </w:pPr>
    </w:p>
    <w:p w:rsidR="00306FE1" w:rsidRDefault="00306FE1" w:rsidP="00306FE1">
      <w:pPr>
        <w:ind w:firstLine="851"/>
        <w:jc w:val="both"/>
        <w:rPr>
          <w:rFonts w:ascii="Arial" w:hAnsi="Arial" w:cs="Arial"/>
          <w:iCs/>
          <w:vertAlign w:val="subscript"/>
          <w:lang w:val="ro-RO"/>
        </w:rPr>
      </w:pPr>
      <w:r w:rsidRPr="002070B1">
        <w:rPr>
          <w:rFonts w:ascii="Arial" w:hAnsi="Arial" w:cs="Arial"/>
          <w:lang w:val="ro-RO"/>
        </w:rPr>
        <w:t xml:space="preserve">Analizorul de benzen, model ORION BTEX 2000 înregistrează date pentru benzen, toluen, etilbenzen, orto, meta şi para xilen. Dintre aceștia, singurul indicator reglementat conform legii 104/2011 privind calitatea aerului este benzenul. Concentraţiile de benzen din aerul înconjurător se evaluează folosind </w:t>
      </w:r>
      <w:r w:rsidRPr="002070B1">
        <w:rPr>
          <w:rFonts w:ascii="Arial" w:hAnsi="Arial" w:cs="Arial"/>
          <w:iCs/>
          <w:lang w:val="ro-RO"/>
        </w:rPr>
        <w:t xml:space="preserve">valoarea limită anuală pentru protecţia sănătăţii umane </w:t>
      </w:r>
      <w:r w:rsidRPr="002070B1">
        <w:rPr>
          <w:rFonts w:ascii="Arial" w:hAnsi="Arial" w:cs="Arial"/>
          <w:lang w:val="ro-RO"/>
        </w:rPr>
        <w:t>(</w:t>
      </w:r>
      <w:r w:rsidRPr="002070B1">
        <w:rPr>
          <w:rFonts w:ascii="Arial" w:hAnsi="Arial" w:cs="Arial"/>
          <w:iCs/>
          <w:lang w:val="ro-RO"/>
        </w:rPr>
        <w:t>5μg/m</w:t>
      </w:r>
      <w:r w:rsidRPr="002070B1">
        <w:rPr>
          <w:rFonts w:ascii="Arial" w:hAnsi="Arial" w:cs="Arial"/>
          <w:iCs/>
          <w:vertAlign w:val="superscript"/>
          <w:lang w:val="ro-RO"/>
        </w:rPr>
        <w:t>3</w:t>
      </w:r>
      <w:r w:rsidRPr="002070B1">
        <w:rPr>
          <w:rFonts w:ascii="Arial" w:hAnsi="Arial" w:cs="Arial"/>
          <w:iCs/>
          <w:lang w:val="ro-RO"/>
        </w:rPr>
        <w:t>), pragul inferior de evaluare (2 μg/m</w:t>
      </w:r>
      <w:r w:rsidRPr="002070B1">
        <w:rPr>
          <w:rFonts w:ascii="Arial" w:hAnsi="Arial" w:cs="Arial"/>
          <w:iCs/>
          <w:vertAlign w:val="superscript"/>
          <w:lang w:val="ro-RO"/>
        </w:rPr>
        <w:t>3</w:t>
      </w:r>
      <w:r w:rsidRPr="002070B1">
        <w:rPr>
          <w:rFonts w:ascii="Arial" w:hAnsi="Arial" w:cs="Arial"/>
          <w:iCs/>
          <w:lang w:val="ro-RO"/>
        </w:rPr>
        <w:t xml:space="preserve"> ) și pragul superior de evaluare (3,5 μg/m</w:t>
      </w:r>
      <w:r w:rsidRPr="002070B1">
        <w:rPr>
          <w:rFonts w:ascii="Arial" w:hAnsi="Arial" w:cs="Arial"/>
          <w:iCs/>
          <w:vertAlign w:val="superscript"/>
          <w:lang w:val="ro-RO"/>
        </w:rPr>
        <w:t>3</w:t>
      </w:r>
      <w:r w:rsidRPr="002070B1">
        <w:rPr>
          <w:rFonts w:ascii="Arial" w:hAnsi="Arial" w:cs="Arial"/>
          <w:iCs/>
          <w:lang w:val="ro-RO"/>
        </w:rPr>
        <w:t xml:space="preserve">). </w:t>
      </w:r>
      <w:r w:rsidRPr="002070B1">
        <w:rPr>
          <w:rFonts w:ascii="Arial" w:hAnsi="Arial" w:cs="Arial"/>
          <w:lang w:val="ro-RO"/>
        </w:rPr>
        <w:t>În cursul anului 20</w:t>
      </w:r>
      <w:r>
        <w:rPr>
          <w:rFonts w:ascii="Arial" w:hAnsi="Arial" w:cs="Arial"/>
          <w:lang w:val="ro-RO"/>
        </w:rPr>
        <w:t>21</w:t>
      </w:r>
      <w:r w:rsidRPr="002070B1">
        <w:rPr>
          <w:rFonts w:ascii="Arial" w:hAnsi="Arial" w:cs="Arial"/>
          <w:lang w:val="ro-RO"/>
        </w:rPr>
        <w:t xml:space="preserve"> media anuală la benzen a fost de </w:t>
      </w:r>
      <w:r>
        <w:rPr>
          <w:rFonts w:ascii="Arial" w:hAnsi="Arial" w:cs="Arial"/>
          <w:lang w:val="ro-RO"/>
        </w:rPr>
        <w:t>1</w:t>
      </w:r>
      <w:r w:rsidRPr="002070B1">
        <w:rPr>
          <w:rFonts w:ascii="Arial" w:hAnsi="Arial" w:cs="Arial"/>
          <w:lang w:val="ro-RO"/>
        </w:rPr>
        <w:t>,</w:t>
      </w:r>
      <w:r>
        <w:rPr>
          <w:rFonts w:ascii="Arial" w:hAnsi="Arial" w:cs="Arial"/>
          <w:lang w:val="ro-RO"/>
        </w:rPr>
        <w:t>94</w:t>
      </w:r>
      <w:r w:rsidRPr="002070B1">
        <w:rPr>
          <w:rFonts w:ascii="Arial" w:hAnsi="Arial" w:cs="Arial"/>
          <w:iCs/>
          <w:lang w:val="ro-RO"/>
        </w:rPr>
        <w:t xml:space="preserve"> μg/m</w:t>
      </w:r>
      <w:r w:rsidRPr="002070B1">
        <w:rPr>
          <w:rFonts w:ascii="Arial" w:hAnsi="Arial" w:cs="Arial"/>
          <w:iCs/>
          <w:vertAlign w:val="superscript"/>
          <w:lang w:val="ro-RO"/>
        </w:rPr>
        <w:t>3</w:t>
      </w:r>
      <w:r w:rsidRPr="002070B1">
        <w:rPr>
          <w:rFonts w:ascii="Arial" w:hAnsi="Arial" w:cs="Arial"/>
          <w:iCs/>
          <w:lang w:val="ro-RO"/>
        </w:rPr>
        <w:t xml:space="preserve">, captura de date fiind de </w:t>
      </w:r>
      <w:r>
        <w:rPr>
          <w:rFonts w:ascii="Arial" w:hAnsi="Arial" w:cs="Arial"/>
          <w:iCs/>
          <w:lang w:val="ro-RO"/>
        </w:rPr>
        <w:t>77,15</w:t>
      </w:r>
      <w:r w:rsidRPr="002070B1">
        <w:rPr>
          <w:rFonts w:ascii="Arial" w:hAnsi="Arial" w:cs="Arial"/>
          <w:iCs/>
          <w:lang w:val="ro-RO"/>
        </w:rPr>
        <w:t>%</w:t>
      </w:r>
      <w:r w:rsidRPr="002070B1">
        <w:rPr>
          <w:rFonts w:ascii="Arial" w:hAnsi="Arial" w:cs="Arial"/>
          <w:iCs/>
          <w:vertAlign w:val="subscript"/>
          <w:lang w:val="ro-RO"/>
        </w:rPr>
        <w:t xml:space="preserve">. </w:t>
      </w:r>
    </w:p>
    <w:p w:rsidR="00306FE1" w:rsidRPr="00A55E68" w:rsidRDefault="00306FE1" w:rsidP="00306FE1">
      <w:pPr>
        <w:ind w:firstLine="851"/>
        <w:jc w:val="both"/>
        <w:rPr>
          <w:rFonts w:ascii="Arial" w:hAnsi="Arial" w:cs="Arial"/>
          <w:iCs/>
          <w:lang w:val="ro-RO"/>
        </w:rPr>
      </w:pPr>
      <w:r>
        <w:rPr>
          <w:rFonts w:ascii="Arial" w:hAnsi="Arial" w:cs="Arial"/>
          <w:iCs/>
          <w:lang w:val="ro-RO"/>
        </w:rPr>
        <w:t>În perioada noiembrie – decembrie 2021 analizorul de benzen a fost defect.</w:t>
      </w:r>
    </w:p>
    <w:p w:rsidR="00306FE1" w:rsidRPr="00991F44" w:rsidRDefault="00306FE1" w:rsidP="00306FE1">
      <w:pPr>
        <w:ind w:firstLine="851"/>
        <w:jc w:val="both"/>
        <w:rPr>
          <w:rFonts w:ascii="Arial" w:hAnsi="Arial" w:cs="Arial"/>
        </w:rPr>
      </w:pPr>
      <w:r w:rsidRPr="00991F44">
        <w:rPr>
          <w:rFonts w:ascii="Arial" w:hAnsi="Arial" w:cs="Arial"/>
          <w:iCs/>
          <w:lang w:val="ro-RO"/>
        </w:rPr>
        <w:t xml:space="preserve">Se observă că valoarea anuală </w:t>
      </w:r>
      <w:r>
        <w:rPr>
          <w:rFonts w:ascii="Arial" w:hAnsi="Arial" w:cs="Arial"/>
          <w:iCs/>
          <w:lang w:val="ro-RO"/>
        </w:rPr>
        <w:t>nu depășește valoarea limită sau pragurile de evaluare stabilite de legea 104/2011.</w:t>
      </w:r>
    </w:p>
    <w:p w:rsidR="00306FE1" w:rsidRPr="006B01A5" w:rsidRDefault="00306FE1" w:rsidP="00306FE1">
      <w:pPr>
        <w:ind w:firstLine="851"/>
        <w:jc w:val="both"/>
        <w:rPr>
          <w:rFonts w:ascii="Arial" w:hAnsi="Arial" w:cs="Arial"/>
          <w:b/>
          <w:color w:val="FF0000"/>
          <w:sz w:val="22"/>
          <w:szCs w:val="22"/>
          <w:lang w:val="ro-RO"/>
        </w:rPr>
      </w:pPr>
    </w:p>
    <w:p w:rsidR="00306FE1" w:rsidRPr="002070B1" w:rsidRDefault="00306FE1" w:rsidP="00306FE1">
      <w:pPr>
        <w:tabs>
          <w:tab w:val="left" w:pos="851"/>
        </w:tabs>
        <w:jc w:val="center"/>
        <w:rPr>
          <w:rFonts w:ascii="Arial" w:hAnsi="Arial" w:cs="Arial"/>
          <w:b/>
          <w:sz w:val="22"/>
          <w:szCs w:val="22"/>
          <w:lang w:val="ro-RO"/>
        </w:rPr>
      </w:pPr>
      <w:r w:rsidRPr="002070B1">
        <w:rPr>
          <w:rFonts w:ascii="Arial" w:hAnsi="Arial" w:cs="Arial"/>
          <w:b/>
          <w:sz w:val="22"/>
          <w:szCs w:val="22"/>
          <w:lang w:val="ro-RO"/>
        </w:rPr>
        <w:t>Figura I.1.1.1.6. – Stația de fond urban BN-1 Bistrița</w:t>
      </w:r>
    </w:p>
    <w:p w:rsidR="00306FE1" w:rsidRPr="002070B1" w:rsidRDefault="00306FE1" w:rsidP="00306FE1">
      <w:pPr>
        <w:tabs>
          <w:tab w:val="left" w:pos="851"/>
        </w:tabs>
        <w:jc w:val="center"/>
        <w:rPr>
          <w:rFonts w:ascii="Arial" w:hAnsi="Arial" w:cs="Arial"/>
          <w:b/>
          <w:sz w:val="22"/>
          <w:szCs w:val="22"/>
          <w:lang w:val="ro-RO"/>
        </w:rPr>
      </w:pPr>
      <w:r w:rsidRPr="002070B1">
        <w:rPr>
          <w:rFonts w:ascii="Arial" w:hAnsi="Arial" w:cs="Arial"/>
          <w:b/>
          <w:sz w:val="22"/>
          <w:szCs w:val="22"/>
          <w:lang w:val="ro-RO"/>
        </w:rPr>
        <w:t>Evoluția concentrațiilor medii lunare ale C</w:t>
      </w:r>
      <w:r w:rsidRPr="002070B1">
        <w:rPr>
          <w:rFonts w:ascii="Arial" w:hAnsi="Arial" w:cs="Arial"/>
          <w:b/>
          <w:sz w:val="22"/>
          <w:szCs w:val="22"/>
          <w:vertAlign w:val="subscript"/>
          <w:lang w:val="ro-RO"/>
        </w:rPr>
        <w:t>6</w:t>
      </w:r>
      <w:r w:rsidRPr="002070B1">
        <w:rPr>
          <w:rFonts w:ascii="Arial" w:hAnsi="Arial" w:cs="Arial"/>
          <w:b/>
          <w:sz w:val="22"/>
          <w:szCs w:val="22"/>
          <w:lang w:val="ro-RO"/>
        </w:rPr>
        <w:t>H</w:t>
      </w:r>
      <w:r w:rsidRPr="002070B1">
        <w:rPr>
          <w:rFonts w:ascii="Arial" w:hAnsi="Arial" w:cs="Arial"/>
          <w:b/>
          <w:sz w:val="22"/>
          <w:szCs w:val="22"/>
          <w:vertAlign w:val="subscript"/>
          <w:lang w:val="ro-RO"/>
        </w:rPr>
        <w:t>6</w:t>
      </w:r>
      <w:r w:rsidRPr="002070B1">
        <w:rPr>
          <w:rFonts w:ascii="Arial" w:hAnsi="Arial" w:cs="Arial"/>
          <w:b/>
          <w:sz w:val="22"/>
          <w:szCs w:val="22"/>
          <w:lang w:val="ro-RO"/>
        </w:rPr>
        <w:t xml:space="preserve"> în  anul 202</w:t>
      </w:r>
      <w:r>
        <w:rPr>
          <w:rFonts w:ascii="Arial" w:hAnsi="Arial" w:cs="Arial"/>
          <w:b/>
          <w:sz w:val="22"/>
          <w:szCs w:val="22"/>
          <w:lang w:val="ro-RO"/>
        </w:rPr>
        <w:t>1</w:t>
      </w:r>
    </w:p>
    <w:p w:rsidR="00306FE1" w:rsidRPr="006B01A5" w:rsidRDefault="00AA3A67" w:rsidP="00306FE1">
      <w:pPr>
        <w:tabs>
          <w:tab w:val="left" w:pos="851"/>
        </w:tabs>
        <w:jc w:val="center"/>
        <w:rPr>
          <w:b/>
          <w:color w:val="FF0000"/>
          <w:sz w:val="22"/>
          <w:szCs w:val="22"/>
        </w:rPr>
      </w:pPr>
      <w:r>
        <w:rPr>
          <w:noProof/>
          <w:lang w:val="en-US"/>
        </w:rPr>
        <w:drawing>
          <wp:inline distT="0" distB="0" distL="0" distR="0" wp14:anchorId="35EB8BAA" wp14:editId="173C1CEA">
            <wp:extent cx="4991100" cy="2148840"/>
            <wp:effectExtent l="0" t="0" r="0" b="3810"/>
            <wp:docPr id="87" name="Diagramă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6FE1" w:rsidRPr="002070B1" w:rsidRDefault="00306FE1" w:rsidP="00306FE1">
      <w:pPr>
        <w:tabs>
          <w:tab w:val="left" w:pos="851"/>
        </w:tabs>
        <w:jc w:val="center"/>
        <w:rPr>
          <w:rFonts w:ascii="Arial" w:hAnsi="Arial" w:cs="Arial"/>
          <w:b/>
          <w:bCs/>
          <w:lang w:val="ro-RO"/>
        </w:rPr>
      </w:pPr>
      <w:r w:rsidRPr="002070B1">
        <w:rPr>
          <w:rFonts w:ascii="Arial" w:hAnsi="Arial" w:cs="Arial"/>
          <w:sz w:val="20"/>
          <w:szCs w:val="20"/>
          <w:lang w:val="ro-RO"/>
        </w:rPr>
        <w:t>Sursa: Agenţia pentru Protecţia Mediului Bistriţa-Năsăud</w:t>
      </w:r>
    </w:p>
    <w:p w:rsidR="00306FE1" w:rsidRPr="002070B1" w:rsidRDefault="00306FE1" w:rsidP="00306FE1">
      <w:pPr>
        <w:tabs>
          <w:tab w:val="left" w:pos="851"/>
          <w:tab w:val="center" w:pos="4513"/>
          <w:tab w:val="right" w:pos="9026"/>
          <w:tab w:val="left" w:leader="dot" w:pos="9356"/>
        </w:tabs>
        <w:jc w:val="center"/>
        <w:rPr>
          <w:rFonts w:ascii="Arial" w:hAnsi="Arial" w:cs="Arial"/>
          <w:b/>
          <w:sz w:val="22"/>
          <w:szCs w:val="22"/>
          <w:lang w:val="ro-RO"/>
        </w:rPr>
      </w:pPr>
    </w:p>
    <w:p w:rsidR="00306FE1" w:rsidRPr="002070B1" w:rsidRDefault="00306FE1" w:rsidP="00306FE1">
      <w:pPr>
        <w:tabs>
          <w:tab w:val="left" w:pos="851"/>
          <w:tab w:val="center" w:pos="4513"/>
          <w:tab w:val="right" w:pos="9026"/>
          <w:tab w:val="left" w:leader="dot" w:pos="9356"/>
        </w:tabs>
        <w:jc w:val="right"/>
        <w:rPr>
          <w:rFonts w:ascii="Arial" w:hAnsi="Arial" w:cs="Arial"/>
          <w:b/>
          <w:sz w:val="22"/>
          <w:szCs w:val="22"/>
          <w:lang w:val="ro-RO"/>
        </w:rPr>
      </w:pPr>
      <w:r w:rsidRPr="002070B1">
        <w:rPr>
          <w:rFonts w:ascii="Arial" w:hAnsi="Arial" w:cs="Arial"/>
          <w:b/>
          <w:sz w:val="22"/>
          <w:szCs w:val="22"/>
          <w:lang w:val="ro-RO"/>
        </w:rPr>
        <w:t>Întocmit,</w:t>
      </w:r>
    </w:p>
    <w:p w:rsidR="004B7825" w:rsidRDefault="004B7825" w:rsidP="00306FE1">
      <w:pPr>
        <w:tabs>
          <w:tab w:val="left" w:pos="851"/>
          <w:tab w:val="left" w:leader="dot" w:pos="9356"/>
        </w:tabs>
        <w:jc w:val="right"/>
        <w:rPr>
          <w:rFonts w:ascii="Arial" w:hAnsi="Arial" w:cs="Arial"/>
          <w:sz w:val="22"/>
          <w:szCs w:val="22"/>
          <w:lang w:val="ro-RO"/>
        </w:rPr>
      </w:pPr>
    </w:p>
    <w:p w:rsidR="004B7825" w:rsidRDefault="004B7825" w:rsidP="00306FE1">
      <w:pPr>
        <w:tabs>
          <w:tab w:val="left" w:pos="851"/>
          <w:tab w:val="left" w:leader="dot" w:pos="9356"/>
        </w:tabs>
        <w:jc w:val="right"/>
        <w:rPr>
          <w:rFonts w:ascii="Arial" w:hAnsi="Arial" w:cs="Arial"/>
          <w:sz w:val="22"/>
          <w:szCs w:val="22"/>
          <w:lang w:val="ro-RO"/>
        </w:rPr>
      </w:pPr>
    </w:p>
    <w:p w:rsidR="004B7825" w:rsidRDefault="004B7825" w:rsidP="00306FE1">
      <w:pPr>
        <w:tabs>
          <w:tab w:val="left" w:pos="851"/>
          <w:tab w:val="left" w:leader="dot" w:pos="9356"/>
        </w:tabs>
        <w:jc w:val="right"/>
        <w:rPr>
          <w:rFonts w:ascii="Arial" w:hAnsi="Arial" w:cs="Arial"/>
          <w:sz w:val="22"/>
          <w:szCs w:val="22"/>
          <w:lang w:val="ro-RO"/>
        </w:rPr>
      </w:pPr>
    </w:p>
    <w:p w:rsidR="00306FE1" w:rsidRPr="002070B1" w:rsidRDefault="00306FE1" w:rsidP="00306FE1">
      <w:pPr>
        <w:tabs>
          <w:tab w:val="left" w:pos="851"/>
          <w:tab w:val="left" w:leader="dot" w:pos="9356"/>
        </w:tabs>
        <w:jc w:val="right"/>
        <w:rPr>
          <w:rFonts w:ascii="Arial" w:hAnsi="Arial" w:cs="Arial"/>
          <w:sz w:val="22"/>
          <w:szCs w:val="22"/>
          <w:lang w:val="ro-RO"/>
        </w:rPr>
      </w:pPr>
      <w:r w:rsidRPr="002070B1">
        <w:rPr>
          <w:rFonts w:ascii="Arial" w:hAnsi="Arial" w:cs="Arial"/>
          <w:sz w:val="22"/>
          <w:szCs w:val="22"/>
          <w:lang w:val="ro-RO"/>
        </w:rPr>
        <w:t>Carmen MIZGAN</w:t>
      </w:r>
    </w:p>
    <w:p w:rsidR="00306FE1" w:rsidRPr="002070B1" w:rsidRDefault="00306FE1" w:rsidP="00306FE1">
      <w:pPr>
        <w:pStyle w:val="NormalWeb"/>
        <w:tabs>
          <w:tab w:val="left" w:pos="851"/>
        </w:tabs>
        <w:spacing w:before="0" w:beforeAutospacing="0" w:after="0" w:afterAutospacing="0"/>
        <w:jc w:val="both"/>
        <w:rPr>
          <w:rFonts w:ascii="Arial" w:hAnsi="Arial" w:cs="Arial"/>
          <w:b/>
          <w:bCs/>
        </w:rPr>
      </w:pPr>
    </w:p>
    <w:p w:rsidR="00F95C68" w:rsidRPr="00CA572B" w:rsidRDefault="00F95C68" w:rsidP="00755618">
      <w:pPr>
        <w:tabs>
          <w:tab w:val="left" w:pos="851"/>
          <w:tab w:val="center" w:pos="4513"/>
          <w:tab w:val="right" w:pos="9026"/>
          <w:tab w:val="left" w:leader="dot" w:pos="9356"/>
        </w:tabs>
        <w:jc w:val="center"/>
        <w:rPr>
          <w:rFonts w:ascii="Arial" w:hAnsi="Arial" w:cs="Arial"/>
          <w:b/>
          <w:color w:val="FF0000"/>
          <w:sz w:val="22"/>
          <w:szCs w:val="22"/>
          <w:lang w:val="ro-RO"/>
        </w:rPr>
      </w:pPr>
    </w:p>
    <w:p w:rsidR="00DD6935" w:rsidRPr="00013A88" w:rsidRDefault="00755618" w:rsidP="007018EC">
      <w:pPr>
        <w:tabs>
          <w:tab w:val="left" w:pos="851"/>
          <w:tab w:val="left" w:leader="dot" w:pos="9356"/>
        </w:tabs>
        <w:jc w:val="both"/>
        <w:rPr>
          <w:rFonts w:ascii="Arial" w:hAnsi="Arial" w:cs="Arial"/>
        </w:rPr>
      </w:pPr>
      <w:r w:rsidRPr="00013A88">
        <w:rPr>
          <w:rFonts w:ascii="Arial" w:hAnsi="Arial" w:cs="Arial"/>
          <w:lang w:val="ro-RO"/>
        </w:rPr>
        <w:tab/>
      </w:r>
      <w:r w:rsidR="00AD6502" w:rsidRPr="00013A88">
        <w:rPr>
          <w:rFonts w:ascii="Arial" w:hAnsi="Arial" w:cs="Arial"/>
          <w:b/>
          <w:lang w:val="ro-RO"/>
        </w:rPr>
        <w:t>Monitorizarea manuală</w:t>
      </w:r>
      <w:r w:rsidR="00AD6502" w:rsidRPr="00013A88">
        <w:rPr>
          <w:rFonts w:ascii="Arial" w:hAnsi="Arial" w:cs="Arial"/>
          <w:lang w:val="ro-RO"/>
        </w:rPr>
        <w:t xml:space="preserve"> a </w:t>
      </w:r>
      <w:r w:rsidR="006E2962" w:rsidRPr="00013A88">
        <w:rPr>
          <w:rFonts w:ascii="Arial" w:hAnsi="Arial" w:cs="Arial"/>
          <w:lang w:val="ro-RO"/>
        </w:rPr>
        <w:t>calității aerului s</w:t>
      </w:r>
      <w:r w:rsidR="00AD6502" w:rsidRPr="00013A88">
        <w:rPr>
          <w:rFonts w:ascii="Arial" w:hAnsi="Arial" w:cs="Arial"/>
          <w:lang w:val="ro-RO"/>
        </w:rPr>
        <w:t>-a</w:t>
      </w:r>
      <w:r w:rsidR="006E2962" w:rsidRPr="00013A88">
        <w:rPr>
          <w:rFonts w:ascii="Arial" w:hAnsi="Arial" w:cs="Arial"/>
          <w:lang w:val="ro-RO"/>
        </w:rPr>
        <w:t xml:space="preserve"> efectuat</w:t>
      </w:r>
      <w:r w:rsidR="00DD6935" w:rsidRPr="00013A88">
        <w:rPr>
          <w:rFonts w:ascii="Arial" w:hAnsi="Arial" w:cs="Arial"/>
        </w:rPr>
        <w:t>:</w:t>
      </w:r>
    </w:p>
    <w:p w:rsidR="007018EC" w:rsidRPr="007018EC" w:rsidRDefault="00DD6935" w:rsidP="00DD6935">
      <w:pPr>
        <w:pStyle w:val="NormalArialCaracter"/>
        <w:numPr>
          <w:ilvl w:val="0"/>
          <w:numId w:val="38"/>
        </w:numPr>
        <w:ind w:left="0" w:firstLine="283"/>
        <w:rPr>
          <w:bCs/>
        </w:rPr>
      </w:pPr>
      <w:r w:rsidRPr="00013A88">
        <w:t>p</w:t>
      </w:r>
      <w:r w:rsidR="00DF7BF7" w:rsidRPr="00013A88">
        <w:t xml:space="preserve">rin </w:t>
      </w:r>
      <w:r w:rsidR="00DF7BF7" w:rsidRPr="007018EC">
        <w:rPr>
          <w:i/>
        </w:rPr>
        <w:t>probele de lungă durată (24h),</w:t>
      </w:r>
      <w:r w:rsidRPr="007018EC">
        <w:rPr>
          <w:i/>
        </w:rPr>
        <w:t xml:space="preserve"> </w:t>
      </w:r>
      <w:r w:rsidR="00DF7BF7" w:rsidRPr="00013A88">
        <w:t xml:space="preserve">pentru indicatorul </w:t>
      </w:r>
      <w:r w:rsidR="00DF7BF7" w:rsidRPr="007018EC">
        <w:rPr>
          <w:i/>
        </w:rPr>
        <w:t>amoniac</w:t>
      </w:r>
      <w:r w:rsidR="00DF75FD" w:rsidRPr="007018EC">
        <w:rPr>
          <w:i/>
        </w:rPr>
        <w:t>,</w:t>
      </w:r>
      <w:r w:rsidR="00DF7BF7" w:rsidRPr="00013A88">
        <w:t xml:space="preserve"> </w:t>
      </w:r>
      <w:r w:rsidR="007018EC" w:rsidRPr="00013A88">
        <w:t xml:space="preserve">la nivelul municipiului Bistrița în 4(patru) puncte de prelevare situate aproximativ pe direcţia celor patru puncte cardinale </w:t>
      </w:r>
    </w:p>
    <w:p w:rsidR="00DD6935" w:rsidRPr="007018EC" w:rsidRDefault="00DF7BF7" w:rsidP="00DD6935">
      <w:pPr>
        <w:pStyle w:val="NormalArialCaracter"/>
        <w:numPr>
          <w:ilvl w:val="0"/>
          <w:numId w:val="38"/>
        </w:numPr>
        <w:ind w:left="0" w:firstLine="283"/>
        <w:rPr>
          <w:bCs/>
        </w:rPr>
      </w:pPr>
      <w:r w:rsidRPr="007018EC">
        <w:rPr>
          <w:bCs/>
        </w:rPr>
        <w:t xml:space="preserve">prin probe de </w:t>
      </w:r>
      <w:r w:rsidRPr="007018EC">
        <w:rPr>
          <w:bCs/>
          <w:i/>
        </w:rPr>
        <w:t>scurtă durată (30 minute)</w:t>
      </w:r>
      <w:r w:rsidRPr="007018EC">
        <w:rPr>
          <w:bCs/>
        </w:rPr>
        <w:t xml:space="preserve"> prelevate lunar din aprilie în octombrie</w:t>
      </w:r>
      <w:r w:rsidR="004B7825">
        <w:rPr>
          <w:bCs/>
        </w:rPr>
        <w:t>:</w:t>
      </w:r>
    </w:p>
    <w:p w:rsidR="00DD6935" w:rsidRPr="00013A88" w:rsidRDefault="00DF7BF7" w:rsidP="00DD6935">
      <w:pPr>
        <w:pStyle w:val="NormalArialCaracter"/>
        <w:numPr>
          <w:ilvl w:val="1"/>
          <w:numId w:val="38"/>
        </w:numPr>
        <w:ind w:left="1134"/>
        <w:rPr>
          <w:bCs/>
        </w:rPr>
      </w:pPr>
      <w:r w:rsidRPr="00013A88">
        <w:rPr>
          <w:bCs/>
        </w:rPr>
        <w:t xml:space="preserve"> pentru dioxid de sulf și dioxid de azot în cele 4 puncte din municipiul Bistrița în care se determină și amoniacul prin probe de lungă durată; </w:t>
      </w:r>
    </w:p>
    <w:p w:rsidR="00DF7BF7" w:rsidRPr="00013A88" w:rsidRDefault="00DF7BF7" w:rsidP="00DD6935">
      <w:pPr>
        <w:pStyle w:val="NormalArialCaracter"/>
        <w:numPr>
          <w:ilvl w:val="1"/>
          <w:numId w:val="38"/>
        </w:numPr>
        <w:ind w:left="1134"/>
        <w:rPr>
          <w:bCs/>
        </w:rPr>
      </w:pPr>
      <w:r w:rsidRPr="00013A88">
        <w:rPr>
          <w:bCs/>
        </w:rPr>
        <w:t>pentru dioxid de sulf, dioxid de azot și amoniac</w:t>
      </w:r>
      <w:r w:rsidR="006C0A29" w:rsidRPr="00013A88">
        <w:rPr>
          <w:bCs/>
        </w:rPr>
        <w:t xml:space="preserve">, </w:t>
      </w:r>
      <w:r w:rsidRPr="00013A88">
        <w:rPr>
          <w:bCs/>
        </w:rPr>
        <w:t xml:space="preserve">în </w:t>
      </w:r>
      <w:r w:rsidR="006C0A29" w:rsidRPr="00013A88">
        <w:t>Beclean, Prundu Bârgăului, Rodna și la limita depozitului ecologic de la Tărpiu,</w:t>
      </w:r>
    </w:p>
    <w:p w:rsidR="00256CE6" w:rsidRPr="00013A88" w:rsidRDefault="00256CE6" w:rsidP="00256CE6">
      <w:pPr>
        <w:pStyle w:val="Listparagraf"/>
        <w:numPr>
          <w:ilvl w:val="0"/>
          <w:numId w:val="38"/>
        </w:numPr>
        <w:tabs>
          <w:tab w:val="left" w:pos="851"/>
          <w:tab w:val="left" w:leader="dot" w:pos="9356"/>
        </w:tabs>
        <w:ind w:left="0" w:firstLine="360"/>
        <w:jc w:val="both"/>
        <w:rPr>
          <w:rFonts w:ascii="Arial" w:hAnsi="Arial" w:cs="Arial"/>
          <w:lang w:val="ro-RO"/>
        </w:rPr>
      </w:pPr>
      <w:r w:rsidRPr="00013A88">
        <w:rPr>
          <w:rFonts w:ascii="Arial" w:hAnsi="Arial" w:cs="Arial"/>
          <w:lang w:val="ro-RO"/>
        </w:rPr>
        <w:t xml:space="preserve">pulberile totale în suspensie TSP se prelevează la sediul agenției, determinându-se și concentraţia în metalele Pb și Cd, </w:t>
      </w:r>
    </w:p>
    <w:p w:rsidR="007018EC" w:rsidRPr="00013A88" w:rsidRDefault="007018EC" w:rsidP="007018EC">
      <w:pPr>
        <w:pStyle w:val="Listparagraf"/>
        <w:numPr>
          <w:ilvl w:val="0"/>
          <w:numId w:val="38"/>
        </w:numPr>
        <w:tabs>
          <w:tab w:val="left" w:pos="851"/>
          <w:tab w:val="left" w:leader="dot" w:pos="9356"/>
        </w:tabs>
        <w:ind w:left="0" w:firstLine="270"/>
        <w:jc w:val="both"/>
        <w:rPr>
          <w:rFonts w:ascii="Arial" w:hAnsi="Arial" w:cs="Arial"/>
          <w:lang w:val="ro-RO"/>
        </w:rPr>
      </w:pPr>
      <w:r w:rsidRPr="00013A88">
        <w:rPr>
          <w:rFonts w:ascii="Arial" w:hAnsi="Arial" w:cs="Arial"/>
          <w:lang w:val="ro-RO"/>
        </w:rPr>
        <w:t xml:space="preserve">pulberile sedimentabile </w:t>
      </w:r>
      <w:r w:rsidRPr="00013A88">
        <w:rPr>
          <w:rFonts w:ascii="Arial" w:hAnsi="Arial" w:cs="Arial"/>
        </w:rPr>
        <w:t>se determină în 4 zone ale judeţului, respectiv în 8 puncte de prelevare din mediul urban, din care 4 puncte în Bistriţa, 2 puncte în Beclean şi câte un punct în zonele Năsăud și Sângeorz-Băi.</w:t>
      </w:r>
    </w:p>
    <w:p w:rsidR="00C646F5" w:rsidRDefault="006C0A29" w:rsidP="00C646F5">
      <w:pPr>
        <w:tabs>
          <w:tab w:val="left" w:pos="851"/>
          <w:tab w:val="left" w:leader="dot" w:pos="9356"/>
        </w:tabs>
        <w:jc w:val="both"/>
        <w:rPr>
          <w:rFonts w:ascii="Arial" w:hAnsi="Arial" w:cs="Arial"/>
          <w:lang w:val="ro-RO"/>
        </w:rPr>
      </w:pPr>
      <w:r w:rsidRPr="00013A88">
        <w:rPr>
          <w:rFonts w:ascii="Arial" w:hAnsi="Arial" w:cs="Arial"/>
          <w:lang w:val="ro-RO"/>
        </w:rPr>
        <w:tab/>
      </w:r>
      <w:r w:rsidR="00132EDD" w:rsidRPr="00013A88">
        <w:rPr>
          <w:rFonts w:ascii="Arial" w:hAnsi="Arial" w:cs="Arial"/>
          <w:lang w:val="ro-RO"/>
        </w:rPr>
        <w:t xml:space="preserve"> </w:t>
      </w:r>
      <w:r w:rsidR="00C646F5">
        <w:rPr>
          <w:rFonts w:ascii="Arial" w:hAnsi="Arial" w:cs="Arial"/>
          <w:lang w:val="ro-RO"/>
        </w:rPr>
        <w:t>În 2021 s</w:t>
      </w:r>
      <w:r w:rsidR="00C646F5" w:rsidRPr="00013A88">
        <w:rPr>
          <w:rFonts w:ascii="Arial" w:hAnsi="Arial" w:cs="Arial"/>
          <w:lang w:val="ro-RO"/>
        </w:rPr>
        <w:t xml:space="preserve">-au făcut </w:t>
      </w:r>
      <w:r w:rsidR="00C646F5">
        <w:rPr>
          <w:rFonts w:ascii="Arial" w:hAnsi="Arial" w:cs="Arial"/>
          <w:lang w:val="ro-RO"/>
        </w:rPr>
        <w:t>787</w:t>
      </w:r>
      <w:r w:rsidR="00C646F5" w:rsidRPr="00013A88">
        <w:rPr>
          <w:rFonts w:ascii="Arial" w:hAnsi="Arial" w:cs="Arial"/>
          <w:lang w:val="ro-RO"/>
        </w:rPr>
        <w:t xml:space="preserve"> prelevări de 24 de ore din care s-a analizat NH</w:t>
      </w:r>
      <w:r w:rsidR="00C646F5" w:rsidRPr="00013A88">
        <w:rPr>
          <w:rFonts w:ascii="Arial" w:hAnsi="Arial" w:cs="Arial"/>
          <w:vertAlign w:val="subscript"/>
          <w:lang w:val="ro-RO"/>
        </w:rPr>
        <w:t>3</w:t>
      </w:r>
      <w:r w:rsidR="00C646F5" w:rsidRPr="00013A88">
        <w:rPr>
          <w:rFonts w:ascii="Arial" w:hAnsi="Arial" w:cs="Arial"/>
          <w:lang w:val="ro-RO"/>
        </w:rPr>
        <w:t>. Valo</w:t>
      </w:r>
      <w:r w:rsidR="00C646F5">
        <w:rPr>
          <w:rFonts w:ascii="Arial" w:hAnsi="Arial" w:cs="Arial"/>
          <w:lang w:val="ro-RO"/>
        </w:rPr>
        <w:t xml:space="preserve">area </w:t>
      </w:r>
      <w:r w:rsidR="00C646F5" w:rsidRPr="00013A88">
        <w:rPr>
          <w:rFonts w:ascii="Arial" w:hAnsi="Arial" w:cs="Arial"/>
          <w:lang w:val="ro-RO"/>
        </w:rPr>
        <w:t>medi</w:t>
      </w:r>
      <w:r w:rsidR="00C646F5">
        <w:rPr>
          <w:rFonts w:ascii="Arial" w:hAnsi="Arial" w:cs="Arial"/>
          <w:lang w:val="ro-RO"/>
        </w:rPr>
        <w:t>e</w:t>
      </w:r>
      <w:r w:rsidR="00C646F5" w:rsidRPr="00013A88">
        <w:rPr>
          <w:rFonts w:ascii="Arial" w:hAnsi="Arial" w:cs="Arial"/>
          <w:lang w:val="ro-RO"/>
        </w:rPr>
        <w:t xml:space="preserve"> anual</w:t>
      </w:r>
      <w:r w:rsidR="00C646F5">
        <w:rPr>
          <w:rFonts w:ascii="Arial" w:hAnsi="Arial" w:cs="Arial"/>
          <w:lang w:val="ro-RO"/>
        </w:rPr>
        <w:t>ă</w:t>
      </w:r>
      <w:r w:rsidR="00C646F5" w:rsidRPr="00013A88">
        <w:rPr>
          <w:rFonts w:ascii="Arial" w:hAnsi="Arial" w:cs="Arial"/>
          <w:lang w:val="ro-RO"/>
        </w:rPr>
        <w:t xml:space="preserve"> determinat</w:t>
      </w:r>
      <w:r w:rsidR="00C646F5">
        <w:rPr>
          <w:rFonts w:ascii="Arial" w:hAnsi="Arial" w:cs="Arial"/>
          <w:lang w:val="ro-RO"/>
        </w:rPr>
        <w:t>ă</w:t>
      </w:r>
      <w:r w:rsidR="00C646F5" w:rsidRPr="00013A88">
        <w:rPr>
          <w:rFonts w:ascii="Arial" w:hAnsi="Arial" w:cs="Arial"/>
          <w:lang w:val="ro-RO"/>
        </w:rPr>
        <w:t xml:space="preserve"> din valorile zilnice a fost de </w:t>
      </w:r>
      <w:r w:rsidR="00C646F5">
        <w:rPr>
          <w:rFonts w:ascii="Arial" w:hAnsi="Arial" w:cs="Arial"/>
          <w:lang w:val="ro-RO"/>
        </w:rPr>
        <w:t>37</w:t>
      </w:r>
      <w:r w:rsidR="00C646F5" w:rsidRPr="00013A88">
        <w:rPr>
          <w:rFonts w:ascii="Arial" w:hAnsi="Arial" w:cs="Arial"/>
          <w:lang w:val="ro-RO"/>
        </w:rPr>
        <w:t>,1</w:t>
      </w:r>
      <w:r w:rsidR="00C646F5">
        <w:rPr>
          <w:rFonts w:ascii="Arial" w:hAnsi="Arial" w:cs="Arial"/>
          <w:lang w:val="ro-RO"/>
        </w:rPr>
        <w:t>2</w:t>
      </w:r>
      <w:r w:rsidR="00C646F5" w:rsidRPr="00013A88">
        <w:rPr>
          <w:rFonts w:ascii="Arial" w:hAnsi="Arial" w:cs="Arial"/>
          <w:lang w:val="ro-RO"/>
        </w:rPr>
        <w:t xml:space="preserve"> µg</w:t>
      </w:r>
      <w:r w:rsidR="00C646F5" w:rsidRPr="00943485">
        <w:rPr>
          <w:rFonts w:ascii="Arial" w:hAnsi="Arial" w:cs="Arial"/>
          <w:lang w:val="ro-RO"/>
        </w:rPr>
        <w:t xml:space="preserve"> </w:t>
      </w:r>
      <w:r w:rsidR="00C646F5" w:rsidRPr="00013A88">
        <w:rPr>
          <w:rFonts w:ascii="Arial" w:hAnsi="Arial" w:cs="Arial"/>
          <w:lang w:val="ro-RO"/>
        </w:rPr>
        <w:t>NH</w:t>
      </w:r>
      <w:r w:rsidR="00C646F5" w:rsidRPr="00013A88">
        <w:rPr>
          <w:rFonts w:ascii="Arial" w:hAnsi="Arial" w:cs="Arial"/>
          <w:vertAlign w:val="subscript"/>
          <w:lang w:val="ro-RO"/>
        </w:rPr>
        <w:t>3</w:t>
      </w:r>
      <w:r w:rsidR="00C646F5">
        <w:rPr>
          <w:rFonts w:ascii="Arial" w:hAnsi="Arial" w:cs="Arial"/>
          <w:lang w:val="ro-RO"/>
        </w:rPr>
        <w:t>/mc</w:t>
      </w:r>
      <w:r w:rsidR="00C646F5" w:rsidRPr="00013A88">
        <w:rPr>
          <w:rFonts w:ascii="Arial" w:hAnsi="Arial" w:cs="Arial"/>
          <w:lang w:val="ro-RO"/>
        </w:rPr>
        <w:t xml:space="preserve">. </w:t>
      </w:r>
      <w:r w:rsidR="00C646F5">
        <w:rPr>
          <w:rFonts w:ascii="Arial" w:hAnsi="Arial" w:cs="Arial"/>
          <w:lang w:val="ro-RO"/>
        </w:rPr>
        <w:t xml:space="preserve">Nu </w:t>
      </w:r>
    </w:p>
    <w:p w:rsidR="00C646F5" w:rsidRDefault="00C646F5" w:rsidP="00C646F5">
      <w:pPr>
        <w:tabs>
          <w:tab w:val="left" w:pos="851"/>
          <w:tab w:val="left" w:leader="dot" w:pos="9356"/>
        </w:tabs>
        <w:jc w:val="both"/>
        <w:rPr>
          <w:rFonts w:ascii="Arial" w:hAnsi="Arial" w:cs="Arial"/>
          <w:lang w:val="ro-RO"/>
        </w:rPr>
      </w:pPr>
      <w:r>
        <w:rPr>
          <w:rFonts w:ascii="Arial" w:hAnsi="Arial" w:cs="Arial"/>
          <w:lang w:val="ro-RO"/>
        </w:rPr>
        <w:t>s</w:t>
      </w:r>
      <w:r w:rsidRPr="00013A88">
        <w:rPr>
          <w:rFonts w:ascii="Arial" w:hAnsi="Arial" w:cs="Arial"/>
          <w:lang w:val="ro-RO"/>
        </w:rPr>
        <w:t>-a</w:t>
      </w:r>
      <w:r>
        <w:rPr>
          <w:rFonts w:ascii="Arial" w:hAnsi="Arial" w:cs="Arial"/>
          <w:lang w:val="ro-RO"/>
        </w:rPr>
        <w:t>u</w:t>
      </w:r>
      <w:r w:rsidRPr="00013A88">
        <w:rPr>
          <w:rFonts w:ascii="Arial" w:hAnsi="Arial" w:cs="Arial"/>
          <w:lang w:val="ro-RO"/>
        </w:rPr>
        <w:t xml:space="preserve"> înregistrat depășir</w:t>
      </w:r>
      <w:r>
        <w:rPr>
          <w:rFonts w:ascii="Arial" w:hAnsi="Arial" w:cs="Arial"/>
          <w:lang w:val="ro-RO"/>
        </w:rPr>
        <w:t>i</w:t>
      </w:r>
      <w:r w:rsidRPr="00013A88">
        <w:rPr>
          <w:rFonts w:ascii="Arial" w:hAnsi="Arial" w:cs="Arial"/>
          <w:lang w:val="ro-RO"/>
        </w:rPr>
        <w:t xml:space="preserve"> ale concentrației maxim admise.</w:t>
      </w:r>
    </w:p>
    <w:p w:rsidR="007018EC" w:rsidRPr="00013A88" w:rsidRDefault="007018EC" w:rsidP="00755618">
      <w:pPr>
        <w:tabs>
          <w:tab w:val="left" w:pos="851"/>
          <w:tab w:val="left" w:leader="dot" w:pos="9356"/>
        </w:tabs>
        <w:jc w:val="both"/>
        <w:rPr>
          <w:rFonts w:ascii="Arial" w:hAnsi="Arial" w:cs="Arial"/>
          <w:lang w:val="ro-RO"/>
        </w:rPr>
      </w:pPr>
    </w:p>
    <w:p w:rsidR="006E2962" w:rsidRPr="00013A88" w:rsidRDefault="006E2962" w:rsidP="00755618">
      <w:pPr>
        <w:tabs>
          <w:tab w:val="left" w:pos="851"/>
          <w:tab w:val="left" w:leader="dot" w:pos="9356"/>
        </w:tabs>
        <w:jc w:val="center"/>
        <w:rPr>
          <w:rFonts w:ascii="Arial" w:hAnsi="Arial" w:cs="Arial"/>
          <w:b/>
          <w:sz w:val="22"/>
          <w:szCs w:val="22"/>
          <w:lang w:val="ro-RO"/>
        </w:rPr>
      </w:pPr>
      <w:r w:rsidRPr="00013A88">
        <w:rPr>
          <w:rFonts w:ascii="Arial" w:hAnsi="Arial" w:cs="Arial"/>
          <w:b/>
          <w:sz w:val="22"/>
          <w:szCs w:val="22"/>
          <w:lang w:val="ro-RO"/>
        </w:rPr>
        <w:t>Figura I.1.1.1.</w:t>
      </w:r>
      <w:r w:rsidR="00137997" w:rsidRPr="00013A88">
        <w:rPr>
          <w:rFonts w:ascii="Arial" w:hAnsi="Arial" w:cs="Arial"/>
          <w:b/>
          <w:sz w:val="22"/>
          <w:szCs w:val="22"/>
          <w:lang w:val="ro-RO"/>
        </w:rPr>
        <w:t>3</w:t>
      </w:r>
      <w:r w:rsidRPr="00013A88">
        <w:rPr>
          <w:rFonts w:ascii="Arial" w:hAnsi="Arial" w:cs="Arial"/>
          <w:b/>
          <w:sz w:val="22"/>
          <w:szCs w:val="22"/>
          <w:lang w:val="ro-RO"/>
        </w:rPr>
        <w:t>.</w:t>
      </w:r>
    </w:p>
    <w:p w:rsidR="006E2962" w:rsidRDefault="006E2962" w:rsidP="00755618">
      <w:pPr>
        <w:tabs>
          <w:tab w:val="left" w:pos="851"/>
          <w:tab w:val="left" w:leader="dot" w:pos="9356"/>
        </w:tabs>
        <w:jc w:val="center"/>
        <w:rPr>
          <w:rFonts w:ascii="Arial" w:hAnsi="Arial" w:cs="Arial"/>
          <w:b/>
          <w:sz w:val="22"/>
          <w:szCs w:val="22"/>
          <w:lang w:val="ro-RO"/>
        </w:rPr>
      </w:pPr>
      <w:r w:rsidRPr="00013A88">
        <w:rPr>
          <w:rFonts w:ascii="Arial" w:hAnsi="Arial" w:cs="Arial"/>
          <w:b/>
          <w:sz w:val="22"/>
          <w:szCs w:val="22"/>
          <w:lang w:val="ro-RO"/>
        </w:rPr>
        <w:t>Monitorizare manuală</w:t>
      </w:r>
      <w:r w:rsidR="006C0A29" w:rsidRPr="00013A88">
        <w:rPr>
          <w:rFonts w:ascii="Arial" w:hAnsi="Arial" w:cs="Arial"/>
          <w:b/>
          <w:sz w:val="22"/>
          <w:szCs w:val="22"/>
          <w:lang w:val="ro-RO"/>
        </w:rPr>
        <w:t xml:space="preserve">. </w:t>
      </w:r>
      <w:r w:rsidR="00C646F5">
        <w:rPr>
          <w:rFonts w:ascii="Arial" w:hAnsi="Arial" w:cs="Arial"/>
          <w:b/>
          <w:sz w:val="22"/>
          <w:szCs w:val="22"/>
          <w:lang w:val="ro-RO"/>
        </w:rPr>
        <w:t>C</w:t>
      </w:r>
      <w:r w:rsidR="006C0A29" w:rsidRPr="00013A88">
        <w:rPr>
          <w:rFonts w:ascii="Arial" w:hAnsi="Arial" w:cs="Arial"/>
          <w:b/>
          <w:sz w:val="22"/>
          <w:szCs w:val="22"/>
          <w:lang w:val="ro-RO"/>
        </w:rPr>
        <w:t>oncentrațiil</w:t>
      </w:r>
      <w:r w:rsidR="00C646F5">
        <w:rPr>
          <w:rFonts w:ascii="Arial" w:hAnsi="Arial" w:cs="Arial"/>
          <w:b/>
          <w:sz w:val="22"/>
          <w:szCs w:val="22"/>
          <w:lang w:val="ro-RO"/>
        </w:rPr>
        <w:t>e</w:t>
      </w:r>
      <w:r w:rsidR="006C0A29" w:rsidRPr="00013A88">
        <w:rPr>
          <w:rFonts w:ascii="Arial" w:hAnsi="Arial" w:cs="Arial"/>
          <w:b/>
          <w:sz w:val="22"/>
          <w:szCs w:val="22"/>
          <w:lang w:val="ro-RO"/>
        </w:rPr>
        <w:t xml:space="preserve"> medii lunare la</w:t>
      </w:r>
      <w:r w:rsidR="009273C6" w:rsidRPr="00013A88">
        <w:rPr>
          <w:rFonts w:ascii="Arial" w:hAnsi="Arial" w:cs="Arial"/>
          <w:b/>
          <w:sz w:val="22"/>
          <w:szCs w:val="22"/>
          <w:lang w:val="ro-RO"/>
        </w:rPr>
        <w:t xml:space="preserve"> </w:t>
      </w:r>
      <w:r w:rsidR="008C6581">
        <w:rPr>
          <w:rFonts w:ascii="Arial" w:hAnsi="Arial" w:cs="Arial"/>
          <w:b/>
          <w:sz w:val="22"/>
          <w:szCs w:val="22"/>
          <w:lang w:val="ro-RO"/>
        </w:rPr>
        <w:t>indicatorul</w:t>
      </w:r>
      <w:r w:rsidR="009273C6" w:rsidRPr="00013A88">
        <w:rPr>
          <w:rFonts w:ascii="Arial" w:hAnsi="Arial" w:cs="Arial"/>
          <w:b/>
          <w:sz w:val="22"/>
          <w:szCs w:val="22"/>
          <w:lang w:val="ro-RO"/>
        </w:rPr>
        <w:t xml:space="preserve"> </w:t>
      </w:r>
      <w:r w:rsidR="0058799F">
        <w:rPr>
          <w:rFonts w:ascii="Arial" w:hAnsi="Arial" w:cs="Arial"/>
          <w:b/>
          <w:sz w:val="22"/>
          <w:szCs w:val="22"/>
          <w:lang w:val="ro-RO"/>
        </w:rPr>
        <w:t>amoniac</w:t>
      </w:r>
      <w:r w:rsidR="008C6581">
        <w:rPr>
          <w:rFonts w:ascii="Arial" w:hAnsi="Arial" w:cs="Arial"/>
          <w:b/>
          <w:sz w:val="22"/>
          <w:szCs w:val="22"/>
          <w:lang w:val="ro-RO"/>
        </w:rPr>
        <w:t>, prelevare</w:t>
      </w:r>
      <w:r w:rsidR="0058799F">
        <w:rPr>
          <w:rFonts w:ascii="Arial" w:hAnsi="Arial" w:cs="Arial"/>
          <w:b/>
          <w:sz w:val="22"/>
          <w:szCs w:val="22"/>
          <w:lang w:val="ro-RO"/>
        </w:rPr>
        <w:t xml:space="preserve"> </w:t>
      </w:r>
      <w:r w:rsidR="009273C6" w:rsidRPr="00013A88">
        <w:rPr>
          <w:rFonts w:ascii="Arial" w:hAnsi="Arial" w:cs="Arial"/>
          <w:b/>
          <w:sz w:val="22"/>
          <w:szCs w:val="22"/>
          <w:lang w:val="ro-RO"/>
        </w:rPr>
        <w:t>de 24h</w:t>
      </w:r>
      <w:r w:rsidR="008C6581">
        <w:rPr>
          <w:rFonts w:ascii="Arial" w:hAnsi="Arial" w:cs="Arial"/>
          <w:b/>
          <w:sz w:val="22"/>
          <w:szCs w:val="22"/>
          <w:lang w:val="ro-RO"/>
        </w:rPr>
        <w:t>, pe puncele de prelevare și pe</w:t>
      </w:r>
      <w:r w:rsidRPr="00013A88">
        <w:rPr>
          <w:rFonts w:ascii="Arial" w:hAnsi="Arial" w:cs="Arial"/>
          <w:b/>
          <w:sz w:val="22"/>
          <w:szCs w:val="22"/>
          <w:lang w:val="ro-RO"/>
        </w:rPr>
        <w:t xml:space="preserve"> municipiul Bistrița, anul </w:t>
      </w:r>
      <w:r w:rsidR="00CA572B">
        <w:rPr>
          <w:rFonts w:ascii="Arial" w:hAnsi="Arial" w:cs="Arial"/>
          <w:b/>
          <w:sz w:val="22"/>
          <w:szCs w:val="22"/>
          <w:lang w:val="ro-RO"/>
        </w:rPr>
        <w:t>2021</w:t>
      </w:r>
    </w:p>
    <w:p w:rsidR="008C6581" w:rsidRDefault="008C6581" w:rsidP="00755618">
      <w:pPr>
        <w:tabs>
          <w:tab w:val="left" w:pos="851"/>
          <w:tab w:val="left" w:leader="dot" w:pos="9356"/>
        </w:tabs>
        <w:jc w:val="center"/>
        <w:rPr>
          <w:rFonts w:ascii="Arial" w:hAnsi="Arial" w:cs="Arial"/>
          <w:b/>
          <w:sz w:val="22"/>
          <w:szCs w:val="22"/>
          <w:lang w:val="ro-RO"/>
        </w:rPr>
      </w:pPr>
      <w:r>
        <w:rPr>
          <w:noProof/>
          <w:lang w:val="en-US"/>
        </w:rPr>
        <w:drawing>
          <wp:inline distT="0" distB="0" distL="0" distR="0" wp14:anchorId="277A666F" wp14:editId="4B1AC49F">
            <wp:extent cx="4572000" cy="2545080"/>
            <wp:effectExtent l="0" t="0" r="0" b="7620"/>
            <wp:docPr id="10"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5E38" w:rsidRPr="00013A88" w:rsidRDefault="00F55E38" w:rsidP="00755618">
      <w:pPr>
        <w:tabs>
          <w:tab w:val="left" w:pos="851"/>
          <w:tab w:val="left" w:leader="dot" w:pos="9356"/>
        </w:tabs>
        <w:jc w:val="center"/>
        <w:rPr>
          <w:rFonts w:ascii="Arial" w:hAnsi="Arial" w:cs="Arial"/>
          <w:b/>
          <w:sz w:val="22"/>
          <w:szCs w:val="22"/>
          <w:lang w:val="ro-RO"/>
        </w:rPr>
      </w:pPr>
    </w:p>
    <w:p w:rsidR="00D247FE" w:rsidRPr="00013A88" w:rsidRDefault="00F55E38" w:rsidP="00755618">
      <w:pPr>
        <w:tabs>
          <w:tab w:val="left" w:pos="851"/>
          <w:tab w:val="left" w:leader="dot" w:pos="9356"/>
        </w:tabs>
        <w:jc w:val="center"/>
        <w:rPr>
          <w:rFonts w:ascii="Arial" w:hAnsi="Arial" w:cs="Arial"/>
          <w:b/>
          <w:sz w:val="22"/>
          <w:szCs w:val="22"/>
          <w:lang w:val="ro-RO"/>
        </w:rPr>
      </w:pPr>
      <w:r>
        <w:rPr>
          <w:noProof/>
          <w:lang w:val="en-US"/>
        </w:rPr>
        <w:drawing>
          <wp:inline distT="0" distB="0" distL="0" distR="0" wp14:anchorId="10C9551A" wp14:editId="236866BC">
            <wp:extent cx="4572000" cy="2293620"/>
            <wp:effectExtent l="0" t="0" r="0" b="11430"/>
            <wp:docPr id="11" name="Diagramă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6E22" w:rsidRDefault="00D96E22" w:rsidP="00755618">
      <w:pPr>
        <w:tabs>
          <w:tab w:val="left" w:pos="851"/>
        </w:tabs>
        <w:jc w:val="center"/>
        <w:rPr>
          <w:rFonts w:ascii="Arial" w:hAnsi="Arial" w:cs="Arial"/>
          <w:sz w:val="20"/>
          <w:szCs w:val="20"/>
          <w:lang w:val="ro-RO"/>
        </w:rPr>
      </w:pPr>
    </w:p>
    <w:p w:rsidR="006E2962" w:rsidRPr="00013A88" w:rsidRDefault="006E2962" w:rsidP="00755618">
      <w:pPr>
        <w:tabs>
          <w:tab w:val="left" w:pos="851"/>
        </w:tabs>
        <w:jc w:val="center"/>
        <w:rPr>
          <w:rFonts w:ascii="Arial" w:hAnsi="Arial" w:cs="Arial"/>
          <w:lang w:val="ro-RO"/>
        </w:rPr>
      </w:pPr>
      <w:r w:rsidRPr="00013A88">
        <w:rPr>
          <w:rFonts w:ascii="Arial" w:hAnsi="Arial" w:cs="Arial"/>
          <w:sz w:val="20"/>
          <w:szCs w:val="20"/>
          <w:lang w:val="ro-RO"/>
        </w:rPr>
        <w:t>Sursa: Agenţia pentru Protecţia Mediului Bistriţa-Năsăud</w:t>
      </w:r>
    </w:p>
    <w:p w:rsidR="00C646F5" w:rsidRDefault="00517EAC" w:rsidP="00755618">
      <w:pPr>
        <w:tabs>
          <w:tab w:val="left" w:pos="851"/>
          <w:tab w:val="left" w:leader="dot" w:pos="9356"/>
        </w:tabs>
        <w:jc w:val="both"/>
        <w:rPr>
          <w:rFonts w:ascii="Arial" w:hAnsi="Arial" w:cs="Arial"/>
          <w:lang w:val="ro-RO"/>
        </w:rPr>
      </w:pPr>
      <w:r>
        <w:rPr>
          <w:rFonts w:ascii="Arial" w:hAnsi="Arial" w:cs="Arial"/>
          <w:lang w:val="ro-RO"/>
        </w:rPr>
        <w:tab/>
      </w:r>
    </w:p>
    <w:p w:rsidR="00354F0C" w:rsidRPr="00013A88" w:rsidRDefault="00C646F5" w:rsidP="00755618">
      <w:pPr>
        <w:tabs>
          <w:tab w:val="left" w:pos="851"/>
          <w:tab w:val="left" w:leader="dot" w:pos="9356"/>
        </w:tabs>
        <w:jc w:val="both"/>
        <w:rPr>
          <w:rFonts w:ascii="Arial" w:hAnsi="Arial" w:cs="Arial"/>
          <w:lang w:val="ro-RO"/>
        </w:rPr>
      </w:pPr>
      <w:r>
        <w:rPr>
          <w:rFonts w:ascii="Arial" w:hAnsi="Arial" w:cs="Arial"/>
          <w:lang w:val="ro-RO"/>
        </w:rPr>
        <w:t>A</w:t>
      </w:r>
      <w:r w:rsidR="009273C6" w:rsidRPr="00013A88">
        <w:rPr>
          <w:rFonts w:ascii="Arial" w:hAnsi="Arial" w:cs="Arial"/>
          <w:lang w:val="ro-RO"/>
        </w:rPr>
        <w:t>nalizel</w:t>
      </w:r>
      <w:r>
        <w:rPr>
          <w:rFonts w:ascii="Arial" w:hAnsi="Arial" w:cs="Arial"/>
          <w:lang w:val="ro-RO"/>
        </w:rPr>
        <w:t>e</w:t>
      </w:r>
      <w:r w:rsidR="009273C6" w:rsidRPr="00013A88">
        <w:rPr>
          <w:rFonts w:ascii="Arial" w:hAnsi="Arial" w:cs="Arial"/>
          <w:lang w:val="ro-RO"/>
        </w:rPr>
        <w:t xml:space="preserve"> </w:t>
      </w:r>
      <w:r w:rsidR="00385D58" w:rsidRPr="00013A88">
        <w:rPr>
          <w:rFonts w:ascii="Arial" w:hAnsi="Arial" w:cs="Arial"/>
          <w:lang w:val="ro-RO"/>
        </w:rPr>
        <w:t xml:space="preserve">de scurtă </w:t>
      </w:r>
      <w:r w:rsidR="00D95392">
        <w:rPr>
          <w:rFonts w:ascii="Arial" w:hAnsi="Arial" w:cs="Arial"/>
          <w:lang w:val="ro-RO"/>
        </w:rPr>
        <w:t>durată (</w:t>
      </w:r>
      <w:r w:rsidR="00385D58" w:rsidRPr="00013A88">
        <w:rPr>
          <w:rFonts w:ascii="Arial" w:hAnsi="Arial" w:cs="Arial"/>
          <w:lang w:val="ro-RO"/>
        </w:rPr>
        <w:t>30 minute</w:t>
      </w:r>
      <w:r w:rsidR="00D95392">
        <w:rPr>
          <w:rFonts w:ascii="Arial" w:hAnsi="Arial" w:cs="Arial"/>
          <w:lang w:val="ro-RO"/>
        </w:rPr>
        <w:t>)</w:t>
      </w:r>
      <w:r>
        <w:rPr>
          <w:rFonts w:ascii="Arial" w:hAnsi="Arial" w:cs="Arial"/>
          <w:lang w:val="ro-RO"/>
        </w:rPr>
        <w:t xml:space="preserve"> s-au făcut lunar în perioada aprilie </w:t>
      </w:r>
      <w:r w:rsidR="00D217F0">
        <w:rPr>
          <w:rFonts w:ascii="Arial" w:hAnsi="Arial" w:cs="Arial"/>
          <w:lang w:val="ro-RO"/>
        </w:rPr>
        <w:t>–</w:t>
      </w:r>
      <w:r>
        <w:rPr>
          <w:rFonts w:ascii="Arial" w:hAnsi="Arial" w:cs="Arial"/>
          <w:lang w:val="ro-RO"/>
        </w:rPr>
        <w:t xml:space="preserve"> octombrie</w:t>
      </w:r>
      <w:r w:rsidR="00D217F0">
        <w:rPr>
          <w:rFonts w:ascii="Arial" w:hAnsi="Arial" w:cs="Arial"/>
          <w:lang w:val="ro-RO"/>
        </w:rPr>
        <w:t>.</w:t>
      </w:r>
    </w:p>
    <w:p w:rsidR="0045633A" w:rsidRPr="00013A88" w:rsidRDefault="0045633A" w:rsidP="009273C6">
      <w:pPr>
        <w:tabs>
          <w:tab w:val="left" w:pos="851"/>
          <w:tab w:val="left" w:leader="dot" w:pos="9356"/>
        </w:tabs>
        <w:jc w:val="center"/>
        <w:rPr>
          <w:rFonts w:ascii="Arial" w:hAnsi="Arial" w:cs="Arial"/>
          <w:b/>
          <w:sz w:val="22"/>
          <w:szCs w:val="22"/>
          <w:lang w:val="ro-RO"/>
        </w:rPr>
      </w:pPr>
    </w:p>
    <w:p w:rsidR="009273C6" w:rsidRPr="00013A88" w:rsidRDefault="009273C6" w:rsidP="009273C6">
      <w:pPr>
        <w:tabs>
          <w:tab w:val="left" w:pos="851"/>
          <w:tab w:val="left" w:leader="dot" w:pos="9356"/>
        </w:tabs>
        <w:jc w:val="center"/>
        <w:rPr>
          <w:rFonts w:ascii="Arial" w:hAnsi="Arial" w:cs="Arial"/>
          <w:b/>
          <w:sz w:val="22"/>
          <w:szCs w:val="22"/>
          <w:lang w:val="ro-RO"/>
        </w:rPr>
      </w:pPr>
      <w:r w:rsidRPr="00013A88">
        <w:rPr>
          <w:rFonts w:ascii="Arial" w:hAnsi="Arial" w:cs="Arial"/>
          <w:b/>
          <w:sz w:val="22"/>
          <w:szCs w:val="22"/>
          <w:lang w:val="ro-RO"/>
        </w:rPr>
        <w:t>Figura I.1.1.1.3.</w:t>
      </w:r>
    </w:p>
    <w:p w:rsidR="00F97B3A" w:rsidRPr="00013A88" w:rsidRDefault="009273C6" w:rsidP="009273C6">
      <w:pPr>
        <w:tabs>
          <w:tab w:val="left" w:pos="851"/>
          <w:tab w:val="left" w:leader="dot" w:pos="9356"/>
        </w:tabs>
        <w:jc w:val="center"/>
        <w:rPr>
          <w:rFonts w:ascii="Arial" w:hAnsi="Arial" w:cs="Arial"/>
          <w:b/>
          <w:sz w:val="22"/>
          <w:szCs w:val="22"/>
          <w:lang w:val="ro-RO"/>
        </w:rPr>
      </w:pPr>
      <w:r w:rsidRPr="00013A88">
        <w:rPr>
          <w:rFonts w:ascii="Arial" w:hAnsi="Arial" w:cs="Arial"/>
          <w:b/>
          <w:sz w:val="22"/>
          <w:szCs w:val="22"/>
          <w:lang w:val="ro-RO"/>
        </w:rPr>
        <w:t>Monitorizare manuală</w:t>
      </w:r>
      <w:r w:rsidR="00D346F2" w:rsidRPr="00013A88">
        <w:rPr>
          <w:rFonts w:ascii="Arial" w:hAnsi="Arial" w:cs="Arial"/>
          <w:b/>
          <w:sz w:val="22"/>
          <w:szCs w:val="22"/>
          <w:lang w:val="ro-RO"/>
        </w:rPr>
        <w:t>.</w:t>
      </w:r>
    </w:p>
    <w:p w:rsidR="009273C6" w:rsidRPr="00013A88" w:rsidRDefault="00D217F0" w:rsidP="009273C6">
      <w:pPr>
        <w:tabs>
          <w:tab w:val="left" w:pos="851"/>
          <w:tab w:val="left" w:leader="dot" w:pos="9356"/>
        </w:tabs>
        <w:jc w:val="center"/>
        <w:rPr>
          <w:rFonts w:ascii="Arial" w:hAnsi="Arial" w:cs="Arial"/>
          <w:b/>
          <w:sz w:val="22"/>
          <w:szCs w:val="22"/>
          <w:lang w:val="ro-RO"/>
        </w:rPr>
      </w:pPr>
      <w:r>
        <w:rPr>
          <w:rFonts w:ascii="Arial" w:hAnsi="Arial" w:cs="Arial"/>
          <w:b/>
          <w:bCs/>
          <w:sz w:val="22"/>
          <w:szCs w:val="22"/>
          <w:lang w:val="en-US"/>
        </w:rPr>
        <w:t>C</w:t>
      </w:r>
      <w:r w:rsidR="009273C6" w:rsidRPr="00013A88">
        <w:rPr>
          <w:rFonts w:ascii="Arial" w:hAnsi="Arial" w:cs="Arial"/>
          <w:b/>
          <w:bCs/>
          <w:sz w:val="22"/>
          <w:szCs w:val="22"/>
          <w:lang w:val="en-US"/>
        </w:rPr>
        <w:t>oncentrațiil</w:t>
      </w:r>
      <w:r>
        <w:rPr>
          <w:rFonts w:ascii="Arial" w:hAnsi="Arial" w:cs="Arial"/>
          <w:b/>
          <w:bCs/>
          <w:sz w:val="22"/>
          <w:szCs w:val="22"/>
          <w:lang w:val="en-US"/>
        </w:rPr>
        <w:t>e</w:t>
      </w:r>
      <w:r w:rsidR="009273C6" w:rsidRPr="00013A88">
        <w:rPr>
          <w:rFonts w:ascii="Arial" w:hAnsi="Arial" w:cs="Arial"/>
          <w:b/>
          <w:bCs/>
          <w:sz w:val="22"/>
          <w:szCs w:val="22"/>
          <w:lang w:val="en-US"/>
        </w:rPr>
        <w:t xml:space="preserve"> medii lunare</w:t>
      </w:r>
      <w:r w:rsidR="00F97B3A" w:rsidRPr="00013A88">
        <w:rPr>
          <w:rFonts w:ascii="Arial" w:hAnsi="Arial" w:cs="Arial"/>
          <w:b/>
          <w:bCs/>
          <w:sz w:val="22"/>
          <w:szCs w:val="22"/>
          <w:lang w:val="en-US"/>
        </w:rPr>
        <w:t xml:space="preserve"> </w:t>
      </w:r>
      <w:r w:rsidR="00D346F2" w:rsidRPr="00013A88">
        <w:rPr>
          <w:rFonts w:ascii="Arial" w:hAnsi="Arial" w:cs="Arial"/>
          <w:b/>
          <w:bCs/>
          <w:sz w:val="22"/>
          <w:szCs w:val="22"/>
          <w:lang w:val="en-US"/>
        </w:rPr>
        <w:t xml:space="preserve">la </w:t>
      </w:r>
      <w:r w:rsidR="00D346F2" w:rsidRPr="00013A88">
        <w:rPr>
          <w:rFonts w:ascii="Arial" w:hAnsi="Arial" w:cs="Arial"/>
          <w:b/>
          <w:sz w:val="22"/>
          <w:szCs w:val="22"/>
          <w:lang w:val="ro-RO"/>
        </w:rPr>
        <w:t>probel</w:t>
      </w:r>
      <w:r>
        <w:rPr>
          <w:rFonts w:ascii="Arial" w:hAnsi="Arial" w:cs="Arial"/>
          <w:b/>
          <w:sz w:val="22"/>
          <w:szCs w:val="22"/>
          <w:lang w:val="ro-RO"/>
        </w:rPr>
        <w:t>e</w:t>
      </w:r>
      <w:r w:rsidR="00D346F2" w:rsidRPr="00013A88">
        <w:rPr>
          <w:rFonts w:ascii="Arial" w:hAnsi="Arial" w:cs="Arial"/>
          <w:b/>
          <w:sz w:val="22"/>
          <w:szCs w:val="22"/>
          <w:lang w:val="ro-RO"/>
        </w:rPr>
        <w:t xml:space="preserve"> de 30 min</w:t>
      </w:r>
      <w:r w:rsidR="00D346F2" w:rsidRPr="00013A88">
        <w:rPr>
          <w:rFonts w:ascii="Arial" w:hAnsi="Arial" w:cs="Arial"/>
          <w:b/>
          <w:bCs/>
          <w:sz w:val="22"/>
          <w:szCs w:val="22"/>
          <w:lang w:val="en-US"/>
        </w:rPr>
        <w:t xml:space="preserve"> </w:t>
      </w:r>
      <w:r w:rsidR="00F97B3A" w:rsidRPr="00013A88">
        <w:rPr>
          <w:rFonts w:ascii="Arial" w:hAnsi="Arial" w:cs="Arial"/>
          <w:b/>
          <w:bCs/>
          <w:sz w:val="22"/>
          <w:szCs w:val="22"/>
          <w:lang w:val="en-US"/>
        </w:rPr>
        <w:t>în</w:t>
      </w:r>
      <w:r w:rsidR="009273C6" w:rsidRPr="00013A88">
        <w:rPr>
          <w:rFonts w:ascii="Arial" w:hAnsi="Arial" w:cs="Arial"/>
          <w:b/>
          <w:bCs/>
          <w:sz w:val="22"/>
          <w:szCs w:val="22"/>
        </w:rPr>
        <w:t xml:space="preserve"> </w:t>
      </w:r>
      <w:r w:rsidR="009273C6" w:rsidRPr="00013A88">
        <w:rPr>
          <w:rFonts w:ascii="Arial" w:hAnsi="Arial" w:cs="Arial"/>
          <w:b/>
          <w:sz w:val="22"/>
          <w:szCs w:val="22"/>
          <w:lang w:val="ro-RO"/>
        </w:rPr>
        <w:t xml:space="preserve">anul </w:t>
      </w:r>
      <w:r w:rsidR="00CA572B">
        <w:rPr>
          <w:rFonts w:ascii="Arial" w:hAnsi="Arial" w:cs="Arial"/>
          <w:b/>
          <w:sz w:val="22"/>
          <w:szCs w:val="22"/>
          <w:lang w:val="ro-RO"/>
        </w:rPr>
        <w:t>2021</w:t>
      </w:r>
    </w:p>
    <w:p w:rsidR="009273C6" w:rsidRPr="00013A88" w:rsidRDefault="009D359F" w:rsidP="00D346F2">
      <w:pPr>
        <w:tabs>
          <w:tab w:val="left" w:pos="851"/>
          <w:tab w:val="left" w:leader="dot" w:pos="9356"/>
        </w:tabs>
        <w:jc w:val="center"/>
        <w:rPr>
          <w:rFonts w:ascii="Arial" w:hAnsi="Arial" w:cs="Arial"/>
          <w:lang w:val="ro-RO"/>
        </w:rPr>
      </w:pPr>
      <w:r>
        <w:rPr>
          <w:noProof/>
          <w:lang w:val="en-US"/>
        </w:rPr>
        <w:drawing>
          <wp:inline distT="0" distB="0" distL="0" distR="0" wp14:anchorId="77A2CE02" wp14:editId="3BD7CEF7">
            <wp:extent cx="4572000" cy="2270760"/>
            <wp:effectExtent l="0" t="0" r="0" b="15240"/>
            <wp:docPr id="21" name="Diagramă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5D58" w:rsidRDefault="00385D58" w:rsidP="00755618">
      <w:pPr>
        <w:tabs>
          <w:tab w:val="left" w:pos="851"/>
          <w:tab w:val="left" w:leader="dot" w:pos="9356"/>
        </w:tabs>
        <w:jc w:val="both"/>
        <w:rPr>
          <w:rFonts w:ascii="Arial" w:hAnsi="Arial" w:cs="Arial"/>
          <w:lang w:val="ro-RO"/>
        </w:rPr>
      </w:pPr>
    </w:p>
    <w:p w:rsidR="009D359F" w:rsidRPr="00013A88" w:rsidRDefault="00E63D0F" w:rsidP="00E63D0F">
      <w:pPr>
        <w:tabs>
          <w:tab w:val="left" w:pos="851"/>
          <w:tab w:val="left" w:leader="dot" w:pos="9356"/>
        </w:tabs>
        <w:jc w:val="center"/>
        <w:rPr>
          <w:rFonts w:ascii="Arial" w:hAnsi="Arial" w:cs="Arial"/>
          <w:lang w:val="ro-RO"/>
        </w:rPr>
      </w:pPr>
      <w:r>
        <w:rPr>
          <w:noProof/>
          <w:lang w:val="en-US"/>
        </w:rPr>
        <w:drawing>
          <wp:inline distT="0" distB="0" distL="0" distR="0" wp14:anchorId="1A400884" wp14:editId="2648575F">
            <wp:extent cx="4572000" cy="2743200"/>
            <wp:effectExtent l="0" t="0" r="0" b="0"/>
            <wp:docPr id="35" name="Diagramă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5D58" w:rsidRDefault="00385D58" w:rsidP="00D346F2">
      <w:pPr>
        <w:tabs>
          <w:tab w:val="left" w:pos="851"/>
          <w:tab w:val="left" w:leader="dot" w:pos="9356"/>
        </w:tabs>
        <w:jc w:val="center"/>
        <w:rPr>
          <w:rFonts w:ascii="Arial" w:hAnsi="Arial" w:cs="Arial"/>
          <w:lang w:val="ro-RO"/>
        </w:rPr>
      </w:pPr>
    </w:p>
    <w:p w:rsidR="00E63D0F" w:rsidRPr="00013A88" w:rsidRDefault="00E63D0F" w:rsidP="00D346F2">
      <w:pPr>
        <w:tabs>
          <w:tab w:val="left" w:pos="851"/>
          <w:tab w:val="left" w:leader="dot" w:pos="9356"/>
        </w:tabs>
        <w:jc w:val="center"/>
        <w:rPr>
          <w:rFonts w:ascii="Arial" w:hAnsi="Arial" w:cs="Arial"/>
          <w:lang w:val="ro-RO"/>
        </w:rPr>
      </w:pPr>
      <w:r>
        <w:rPr>
          <w:noProof/>
          <w:lang w:val="en-US"/>
        </w:rPr>
        <w:drawing>
          <wp:inline distT="0" distB="0" distL="0" distR="0" wp14:anchorId="654BFCFB" wp14:editId="2550AED6">
            <wp:extent cx="4572000" cy="2415540"/>
            <wp:effectExtent l="0" t="0" r="0" b="3810"/>
            <wp:docPr id="38" name="Diagramă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7B3A" w:rsidRPr="00013A88" w:rsidRDefault="00F97B3A" w:rsidP="00F97B3A">
      <w:pPr>
        <w:tabs>
          <w:tab w:val="left" w:pos="851"/>
        </w:tabs>
        <w:jc w:val="center"/>
        <w:rPr>
          <w:rFonts w:ascii="Arial" w:hAnsi="Arial" w:cs="Arial"/>
          <w:lang w:val="ro-RO"/>
        </w:rPr>
      </w:pPr>
      <w:r w:rsidRPr="00013A88">
        <w:rPr>
          <w:rFonts w:ascii="Arial" w:hAnsi="Arial" w:cs="Arial"/>
          <w:sz w:val="20"/>
          <w:szCs w:val="20"/>
          <w:lang w:val="ro-RO"/>
        </w:rPr>
        <w:t>Sursa: Agenţia pentru Protecţia Mediului Bistriţa-Năsăud</w:t>
      </w:r>
    </w:p>
    <w:p w:rsidR="00D96E22" w:rsidRDefault="00D96E22" w:rsidP="00755618">
      <w:pPr>
        <w:tabs>
          <w:tab w:val="left" w:pos="851"/>
          <w:tab w:val="left" w:leader="dot" w:pos="9356"/>
        </w:tabs>
        <w:jc w:val="both"/>
        <w:rPr>
          <w:rFonts w:ascii="Arial" w:hAnsi="Arial" w:cs="Arial"/>
          <w:lang w:val="ro-RO"/>
        </w:rPr>
      </w:pPr>
    </w:p>
    <w:p w:rsidR="00D217F0" w:rsidRDefault="00D62207" w:rsidP="00E63D0F">
      <w:pPr>
        <w:tabs>
          <w:tab w:val="left" w:pos="851"/>
          <w:tab w:val="left" w:leader="dot" w:pos="9356"/>
        </w:tabs>
        <w:jc w:val="both"/>
        <w:rPr>
          <w:rFonts w:ascii="Arial" w:hAnsi="Arial" w:cs="Arial"/>
          <w:color w:val="FF0000"/>
          <w:lang w:val="ro-RO"/>
        </w:rPr>
      </w:pPr>
      <w:r w:rsidRPr="00E63D0F">
        <w:rPr>
          <w:rFonts w:ascii="Arial" w:hAnsi="Arial" w:cs="Arial"/>
          <w:color w:val="FF0000"/>
          <w:lang w:val="ro-RO"/>
        </w:rPr>
        <w:tab/>
      </w:r>
    </w:p>
    <w:p w:rsidR="00D67CCD" w:rsidRPr="006F2963" w:rsidRDefault="00D217F0" w:rsidP="00E63D0F">
      <w:pPr>
        <w:tabs>
          <w:tab w:val="left" w:pos="851"/>
          <w:tab w:val="left" w:leader="dot" w:pos="9356"/>
        </w:tabs>
        <w:jc w:val="both"/>
        <w:rPr>
          <w:rFonts w:ascii="Arial" w:hAnsi="Arial" w:cs="Arial"/>
          <w:lang w:val="ro-RO"/>
        </w:rPr>
      </w:pPr>
      <w:r>
        <w:rPr>
          <w:rFonts w:ascii="Arial" w:hAnsi="Arial" w:cs="Arial"/>
          <w:lang w:val="ro-RO"/>
        </w:rPr>
        <w:tab/>
      </w:r>
      <w:r w:rsidR="00D67CCD" w:rsidRPr="004169B1">
        <w:rPr>
          <w:rFonts w:ascii="Arial" w:hAnsi="Arial" w:cs="Arial"/>
          <w:lang w:val="ro-RO"/>
        </w:rPr>
        <w:t xml:space="preserve">În </w:t>
      </w:r>
      <w:r w:rsidR="00E63D0F" w:rsidRPr="004169B1">
        <w:rPr>
          <w:rFonts w:ascii="Arial" w:hAnsi="Arial" w:cs="Arial"/>
          <w:lang w:val="ro-RO"/>
        </w:rPr>
        <w:t>2021</w:t>
      </w:r>
      <w:r w:rsidR="00D67CCD" w:rsidRPr="004169B1">
        <w:rPr>
          <w:rFonts w:ascii="Arial" w:hAnsi="Arial" w:cs="Arial"/>
          <w:lang w:val="ro-RO"/>
        </w:rPr>
        <w:t xml:space="preserve"> </w:t>
      </w:r>
      <w:r w:rsidR="00E63D0F" w:rsidRPr="004169B1">
        <w:rPr>
          <w:rFonts w:ascii="Arial" w:hAnsi="Arial" w:cs="Arial"/>
          <w:lang w:val="ro-RO"/>
        </w:rPr>
        <w:t>s</w:t>
      </w:r>
      <w:r w:rsidR="00D67CCD" w:rsidRPr="004169B1">
        <w:rPr>
          <w:rFonts w:ascii="Arial" w:hAnsi="Arial" w:cs="Arial"/>
          <w:lang w:val="ro-RO"/>
        </w:rPr>
        <w:t xml:space="preserve">-au efectuat </w:t>
      </w:r>
      <w:r w:rsidR="00E63D0F" w:rsidRPr="004169B1">
        <w:rPr>
          <w:rFonts w:ascii="Arial" w:hAnsi="Arial" w:cs="Arial"/>
          <w:lang w:val="ro-RO"/>
        </w:rPr>
        <w:t>2</w:t>
      </w:r>
      <w:r w:rsidR="00EE0BB0" w:rsidRPr="004169B1">
        <w:rPr>
          <w:rFonts w:ascii="Arial" w:hAnsi="Arial" w:cs="Arial"/>
          <w:lang w:val="ro-RO"/>
        </w:rPr>
        <w:t>43</w:t>
      </w:r>
      <w:r w:rsidR="00D67CCD" w:rsidRPr="004169B1">
        <w:rPr>
          <w:rFonts w:ascii="Arial" w:hAnsi="Arial" w:cs="Arial"/>
          <w:lang w:val="ro-RO"/>
        </w:rPr>
        <w:t xml:space="preserve"> prelevări </w:t>
      </w:r>
      <w:r w:rsidR="00E63D0F" w:rsidRPr="004169B1">
        <w:rPr>
          <w:rFonts w:ascii="Arial" w:hAnsi="Arial" w:cs="Arial"/>
          <w:lang w:val="ro-RO"/>
        </w:rPr>
        <w:t>de pulberi totale în suspensie</w:t>
      </w:r>
      <w:r w:rsidR="00EE0BB0" w:rsidRPr="004169B1">
        <w:rPr>
          <w:rFonts w:ascii="Arial" w:hAnsi="Arial" w:cs="Arial"/>
          <w:lang w:val="ro-RO"/>
        </w:rPr>
        <w:t xml:space="preserve"> </w:t>
      </w:r>
      <w:r w:rsidR="00D67CCD" w:rsidRPr="004169B1">
        <w:rPr>
          <w:rFonts w:ascii="Arial" w:hAnsi="Arial" w:cs="Arial"/>
          <w:lang w:val="ro-RO"/>
        </w:rPr>
        <w:t>obținându-se o medie</w:t>
      </w:r>
      <w:r w:rsidR="0083158D" w:rsidRPr="004169B1">
        <w:rPr>
          <w:rFonts w:ascii="Arial" w:hAnsi="Arial" w:cs="Arial"/>
          <w:lang w:val="ro-RO"/>
        </w:rPr>
        <w:t xml:space="preserve"> gravimetrică</w:t>
      </w:r>
      <w:r w:rsidR="00D67CCD" w:rsidRPr="004169B1">
        <w:rPr>
          <w:rFonts w:ascii="Arial" w:hAnsi="Arial" w:cs="Arial"/>
          <w:lang w:val="ro-RO"/>
        </w:rPr>
        <w:t xml:space="preserve"> de 0,0</w:t>
      </w:r>
      <w:r w:rsidR="00EE0BB0" w:rsidRPr="004169B1">
        <w:rPr>
          <w:rFonts w:ascii="Arial" w:hAnsi="Arial" w:cs="Arial"/>
          <w:lang w:val="ro-RO"/>
        </w:rPr>
        <w:t>3216</w:t>
      </w:r>
      <w:r w:rsidR="00D67CCD" w:rsidRPr="004169B1">
        <w:rPr>
          <w:rFonts w:ascii="Arial" w:hAnsi="Arial" w:cs="Arial"/>
          <w:lang w:val="ro-RO"/>
        </w:rPr>
        <w:t xml:space="preserve"> mg</w:t>
      </w:r>
      <w:r w:rsidR="0083158D" w:rsidRPr="004169B1">
        <w:rPr>
          <w:rFonts w:ascii="Arial" w:hAnsi="Arial" w:cs="Arial"/>
          <w:lang w:val="ro-RO"/>
        </w:rPr>
        <w:t xml:space="preserve"> TSP</w:t>
      </w:r>
      <w:r w:rsidR="00D67CCD" w:rsidRPr="004169B1">
        <w:rPr>
          <w:rFonts w:ascii="Arial" w:hAnsi="Arial" w:cs="Arial"/>
          <w:lang w:val="ro-RO"/>
        </w:rPr>
        <w:t>/mc</w:t>
      </w:r>
      <w:r w:rsidR="004169B1" w:rsidRPr="004169B1">
        <w:rPr>
          <w:rFonts w:ascii="Arial" w:hAnsi="Arial" w:cs="Arial"/>
          <w:lang w:val="ro-RO"/>
        </w:rPr>
        <w:t xml:space="preserve"> și concentrații medie la plumb 0,0253 µg/mc și la cadmiu 0,0045 µg/mc</w:t>
      </w:r>
      <w:r w:rsidR="0083158D" w:rsidRPr="004169B1">
        <w:rPr>
          <w:rFonts w:ascii="Arial" w:hAnsi="Arial" w:cs="Arial"/>
          <w:lang w:val="ro-RO"/>
        </w:rPr>
        <w:t xml:space="preserve">. </w:t>
      </w:r>
      <w:r w:rsidR="00EE0BB0" w:rsidRPr="006F2963">
        <w:rPr>
          <w:rFonts w:ascii="Arial" w:hAnsi="Arial" w:cs="Arial"/>
          <w:lang w:val="ro-RO"/>
        </w:rPr>
        <w:t xml:space="preserve">Nu s-au înregistrat depășiri ale valorii gravimetrice limită </w:t>
      </w:r>
      <w:r w:rsidR="0083158D" w:rsidRPr="006F2963">
        <w:rPr>
          <w:rFonts w:ascii="Arial" w:hAnsi="Arial" w:cs="Arial"/>
          <w:lang w:val="ro-RO"/>
        </w:rPr>
        <w:t xml:space="preserve">pentru </w:t>
      </w:r>
      <w:r w:rsidR="00EE0BB0" w:rsidRPr="006F2963">
        <w:rPr>
          <w:rFonts w:ascii="Arial" w:hAnsi="Arial" w:cs="Arial"/>
          <w:lang w:val="ro-RO"/>
        </w:rPr>
        <w:t>TSP dar</w:t>
      </w:r>
      <w:r w:rsidR="0083158D" w:rsidRPr="006F2963">
        <w:rPr>
          <w:rFonts w:ascii="Arial" w:hAnsi="Arial" w:cs="Arial"/>
          <w:lang w:val="ro-RO"/>
        </w:rPr>
        <w:t xml:space="preserve"> s-au înregistrat </w:t>
      </w:r>
      <w:r w:rsidR="00EE0BB0" w:rsidRPr="006F2963">
        <w:rPr>
          <w:rFonts w:ascii="Arial" w:hAnsi="Arial" w:cs="Arial"/>
          <w:lang w:val="ro-RO"/>
        </w:rPr>
        <w:t xml:space="preserve">12 </w:t>
      </w:r>
      <w:r w:rsidR="0083158D" w:rsidRPr="006F2963">
        <w:rPr>
          <w:rFonts w:ascii="Arial" w:hAnsi="Arial" w:cs="Arial"/>
          <w:lang w:val="ro-RO"/>
        </w:rPr>
        <w:t>depășiri ale valorii maxim admise la cadmiu.</w:t>
      </w:r>
    </w:p>
    <w:p w:rsidR="00D217F0" w:rsidRDefault="00D217F0" w:rsidP="00D217F0">
      <w:pPr>
        <w:tabs>
          <w:tab w:val="left" w:pos="851"/>
          <w:tab w:val="left" w:leader="dot" w:pos="9356"/>
        </w:tabs>
        <w:jc w:val="both"/>
        <w:rPr>
          <w:rFonts w:ascii="Arial" w:hAnsi="Arial" w:cs="Arial"/>
          <w:lang w:val="ro-RO"/>
        </w:rPr>
      </w:pPr>
    </w:p>
    <w:p w:rsidR="00D217F0" w:rsidRPr="00013A88" w:rsidRDefault="00D217F0" w:rsidP="00D217F0">
      <w:pPr>
        <w:tabs>
          <w:tab w:val="left" w:pos="851"/>
          <w:tab w:val="left" w:leader="dot" w:pos="9356"/>
        </w:tabs>
        <w:jc w:val="center"/>
        <w:rPr>
          <w:rFonts w:ascii="Arial" w:hAnsi="Arial" w:cs="Arial"/>
          <w:b/>
          <w:sz w:val="22"/>
          <w:szCs w:val="22"/>
          <w:lang w:val="ro-RO"/>
        </w:rPr>
      </w:pPr>
      <w:r w:rsidRPr="00013A88">
        <w:rPr>
          <w:rFonts w:ascii="Arial" w:hAnsi="Arial" w:cs="Arial"/>
          <w:b/>
          <w:sz w:val="22"/>
          <w:szCs w:val="22"/>
          <w:lang w:val="ro-RO"/>
        </w:rPr>
        <w:t>Figura I.1.1.1.</w:t>
      </w:r>
      <w:r>
        <w:rPr>
          <w:rFonts w:ascii="Arial" w:hAnsi="Arial" w:cs="Arial"/>
          <w:b/>
          <w:sz w:val="22"/>
          <w:szCs w:val="22"/>
          <w:lang w:val="ro-RO"/>
        </w:rPr>
        <w:t>5</w:t>
      </w:r>
      <w:r w:rsidRPr="00013A88">
        <w:rPr>
          <w:rFonts w:ascii="Arial" w:hAnsi="Arial" w:cs="Arial"/>
          <w:b/>
          <w:sz w:val="22"/>
          <w:szCs w:val="22"/>
          <w:lang w:val="ro-RO"/>
        </w:rPr>
        <w:t>.</w:t>
      </w:r>
    </w:p>
    <w:p w:rsidR="00D217F0" w:rsidRPr="00013A88" w:rsidRDefault="00D217F0" w:rsidP="00D217F0">
      <w:pPr>
        <w:tabs>
          <w:tab w:val="left" w:pos="851"/>
          <w:tab w:val="left" w:leader="dot" w:pos="9356"/>
        </w:tabs>
        <w:jc w:val="center"/>
        <w:rPr>
          <w:rFonts w:ascii="Arial" w:hAnsi="Arial" w:cs="Arial"/>
          <w:b/>
          <w:sz w:val="22"/>
          <w:szCs w:val="22"/>
          <w:lang w:val="ro-RO"/>
        </w:rPr>
      </w:pPr>
      <w:r w:rsidRPr="00013A88">
        <w:rPr>
          <w:rFonts w:ascii="Arial" w:hAnsi="Arial" w:cs="Arial"/>
          <w:b/>
          <w:sz w:val="22"/>
          <w:szCs w:val="22"/>
          <w:lang w:val="ro-RO"/>
        </w:rPr>
        <w:t>Monitorizare manuală.</w:t>
      </w:r>
    </w:p>
    <w:p w:rsidR="00D217F0" w:rsidRDefault="009A1414" w:rsidP="00D217F0">
      <w:pPr>
        <w:tabs>
          <w:tab w:val="left" w:pos="851"/>
          <w:tab w:val="left" w:leader="dot" w:pos="9356"/>
        </w:tabs>
        <w:jc w:val="center"/>
        <w:rPr>
          <w:rFonts w:ascii="Arial" w:hAnsi="Arial" w:cs="Arial"/>
          <w:b/>
          <w:sz w:val="22"/>
          <w:szCs w:val="22"/>
          <w:lang w:val="ro-RO"/>
        </w:rPr>
      </w:pPr>
      <w:r>
        <w:rPr>
          <w:rFonts w:ascii="Arial" w:hAnsi="Arial" w:cs="Arial"/>
          <w:b/>
          <w:bCs/>
          <w:sz w:val="22"/>
          <w:szCs w:val="22"/>
          <w:lang w:val="en-US"/>
        </w:rPr>
        <w:t>C</w:t>
      </w:r>
      <w:r w:rsidR="00D217F0" w:rsidRPr="00013A88">
        <w:rPr>
          <w:rFonts w:ascii="Arial" w:hAnsi="Arial" w:cs="Arial"/>
          <w:b/>
          <w:bCs/>
          <w:sz w:val="22"/>
          <w:szCs w:val="22"/>
          <w:lang w:val="en-US"/>
        </w:rPr>
        <w:t>oncentrațiil</w:t>
      </w:r>
      <w:r>
        <w:rPr>
          <w:rFonts w:ascii="Arial" w:hAnsi="Arial" w:cs="Arial"/>
          <w:b/>
          <w:bCs/>
          <w:sz w:val="22"/>
          <w:szCs w:val="22"/>
          <w:lang w:val="en-US"/>
        </w:rPr>
        <w:t>e</w:t>
      </w:r>
      <w:r w:rsidR="00D217F0" w:rsidRPr="00013A88">
        <w:rPr>
          <w:rFonts w:ascii="Arial" w:hAnsi="Arial" w:cs="Arial"/>
          <w:b/>
          <w:bCs/>
          <w:sz w:val="22"/>
          <w:szCs w:val="22"/>
          <w:lang w:val="en-US"/>
        </w:rPr>
        <w:t xml:space="preserve"> medii lunare la </w:t>
      </w:r>
      <w:r>
        <w:rPr>
          <w:rFonts w:ascii="Arial" w:hAnsi="Arial" w:cs="Arial"/>
          <w:b/>
          <w:sz w:val="22"/>
          <w:szCs w:val="22"/>
          <w:lang w:val="ro-RO"/>
        </w:rPr>
        <w:t>pulberile totale în suspensie în anul 2021</w:t>
      </w:r>
    </w:p>
    <w:p w:rsidR="009A1414" w:rsidRPr="009A1414" w:rsidRDefault="009A1414" w:rsidP="00D217F0">
      <w:pPr>
        <w:tabs>
          <w:tab w:val="left" w:pos="851"/>
          <w:tab w:val="left" w:leader="dot" w:pos="9356"/>
        </w:tabs>
        <w:jc w:val="center"/>
        <w:rPr>
          <w:rFonts w:ascii="Arial" w:hAnsi="Arial" w:cs="Arial"/>
          <w:b/>
          <w:sz w:val="16"/>
          <w:szCs w:val="16"/>
          <w:lang w:val="ro-RO"/>
        </w:rPr>
      </w:pPr>
    </w:p>
    <w:p w:rsidR="00D67CCD" w:rsidRPr="00E63D0F" w:rsidRDefault="008503EF" w:rsidP="00D67CCD">
      <w:pPr>
        <w:tabs>
          <w:tab w:val="left" w:pos="851"/>
        </w:tabs>
        <w:jc w:val="center"/>
        <w:rPr>
          <w:rFonts w:ascii="Arial" w:hAnsi="Arial" w:cs="Arial"/>
          <w:color w:val="FF0000"/>
          <w:lang w:val="ro-RO"/>
        </w:rPr>
      </w:pPr>
      <w:r>
        <w:rPr>
          <w:noProof/>
          <w:lang w:val="en-US"/>
        </w:rPr>
        <w:drawing>
          <wp:inline distT="0" distB="0" distL="0" distR="0" wp14:anchorId="55FBF3E8" wp14:editId="22FAA0D4">
            <wp:extent cx="4411980" cy="3086100"/>
            <wp:effectExtent l="0" t="0" r="7620" b="0"/>
            <wp:docPr id="74" name="Diagramă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67CCD" w:rsidRPr="00E63D0F" w:rsidRDefault="00D67CCD" w:rsidP="00BD4E83">
      <w:pPr>
        <w:tabs>
          <w:tab w:val="left" w:pos="851"/>
        </w:tabs>
        <w:jc w:val="both"/>
        <w:rPr>
          <w:rFonts w:ascii="Arial" w:hAnsi="Arial" w:cs="Arial"/>
          <w:color w:val="FF0000"/>
          <w:lang w:val="ro-RO"/>
        </w:rPr>
      </w:pPr>
    </w:p>
    <w:p w:rsidR="00D67CCD" w:rsidRDefault="009A1414" w:rsidP="00BD4E83">
      <w:pPr>
        <w:tabs>
          <w:tab w:val="left" w:pos="851"/>
        </w:tabs>
        <w:jc w:val="both"/>
        <w:rPr>
          <w:rFonts w:ascii="Arial" w:hAnsi="Arial" w:cs="Arial"/>
          <w:color w:val="FF0000"/>
          <w:lang w:val="ro-RO"/>
        </w:rPr>
      </w:pPr>
      <w:r>
        <w:rPr>
          <w:rFonts w:ascii="Arial" w:hAnsi="Arial" w:cs="Arial"/>
          <w:color w:val="FF0000"/>
          <w:lang w:val="ro-RO"/>
        </w:rPr>
        <w:tab/>
      </w:r>
    </w:p>
    <w:p w:rsidR="009A1414" w:rsidRPr="009A1414" w:rsidRDefault="009A1414" w:rsidP="00BD4E83">
      <w:pPr>
        <w:tabs>
          <w:tab w:val="left" w:pos="851"/>
        </w:tabs>
        <w:jc w:val="both"/>
        <w:rPr>
          <w:rFonts w:ascii="Arial" w:hAnsi="Arial" w:cs="Arial"/>
          <w:lang w:val="ro-RO"/>
        </w:rPr>
      </w:pPr>
      <w:r>
        <w:rPr>
          <w:rFonts w:ascii="Arial" w:hAnsi="Arial" w:cs="Arial"/>
          <w:lang w:val="ro-RO"/>
        </w:rPr>
        <w:t xml:space="preserve">În 2021 s-au făcut 100 prelevări de pulberi sedimentabile, în cele10 puncte de prelevare. </w:t>
      </w:r>
    </w:p>
    <w:p w:rsidR="009A1414" w:rsidRDefault="009A1414" w:rsidP="00BD4E83">
      <w:pPr>
        <w:tabs>
          <w:tab w:val="left" w:pos="851"/>
        </w:tabs>
        <w:jc w:val="both"/>
        <w:rPr>
          <w:rFonts w:ascii="Arial" w:hAnsi="Arial" w:cs="Arial"/>
          <w:color w:val="FF0000"/>
          <w:lang w:val="ro-RO"/>
        </w:rPr>
      </w:pPr>
    </w:p>
    <w:p w:rsidR="009A1414" w:rsidRDefault="009A1414" w:rsidP="00BD4E83">
      <w:pPr>
        <w:tabs>
          <w:tab w:val="left" w:pos="851"/>
        </w:tabs>
        <w:jc w:val="both"/>
        <w:rPr>
          <w:rFonts w:ascii="Arial" w:hAnsi="Arial" w:cs="Arial"/>
          <w:color w:val="FF0000"/>
          <w:lang w:val="ro-RO"/>
        </w:rPr>
      </w:pPr>
    </w:p>
    <w:p w:rsidR="009A1414" w:rsidRDefault="009A1414" w:rsidP="00BD4E83">
      <w:pPr>
        <w:tabs>
          <w:tab w:val="left" w:pos="851"/>
        </w:tabs>
        <w:jc w:val="both"/>
        <w:rPr>
          <w:rFonts w:ascii="Arial" w:hAnsi="Arial" w:cs="Arial"/>
          <w:color w:val="FF0000"/>
          <w:lang w:val="ro-RO"/>
        </w:rPr>
      </w:pPr>
    </w:p>
    <w:p w:rsidR="009A1414" w:rsidRDefault="009A1414" w:rsidP="00BD4E83">
      <w:pPr>
        <w:tabs>
          <w:tab w:val="left" w:pos="851"/>
        </w:tabs>
        <w:jc w:val="both"/>
        <w:rPr>
          <w:rFonts w:ascii="Arial" w:hAnsi="Arial" w:cs="Arial"/>
          <w:color w:val="FF0000"/>
          <w:lang w:val="ro-RO"/>
        </w:rPr>
      </w:pPr>
    </w:p>
    <w:p w:rsidR="009A1414" w:rsidRDefault="009A1414" w:rsidP="00BD4E83">
      <w:pPr>
        <w:tabs>
          <w:tab w:val="left" w:pos="851"/>
        </w:tabs>
        <w:jc w:val="both"/>
        <w:rPr>
          <w:rFonts w:ascii="Arial" w:hAnsi="Arial" w:cs="Arial"/>
          <w:color w:val="FF0000"/>
          <w:lang w:val="ro-RO"/>
        </w:rPr>
      </w:pPr>
    </w:p>
    <w:p w:rsidR="00BD4E83" w:rsidRPr="009A1414" w:rsidRDefault="00BD4E83" w:rsidP="00BD4E83">
      <w:pPr>
        <w:tabs>
          <w:tab w:val="left" w:pos="851"/>
          <w:tab w:val="left" w:leader="dot" w:pos="9356"/>
        </w:tabs>
        <w:jc w:val="center"/>
        <w:rPr>
          <w:rFonts w:ascii="Arial" w:hAnsi="Arial" w:cs="Arial"/>
          <w:b/>
          <w:sz w:val="22"/>
          <w:szCs w:val="22"/>
          <w:lang w:val="ro-RO"/>
        </w:rPr>
      </w:pPr>
      <w:r w:rsidRPr="009A1414">
        <w:rPr>
          <w:rFonts w:ascii="Arial" w:hAnsi="Arial" w:cs="Arial"/>
          <w:b/>
          <w:sz w:val="22"/>
          <w:szCs w:val="22"/>
          <w:lang w:val="ro-RO"/>
        </w:rPr>
        <w:t>Figura I.1.1.1.</w:t>
      </w:r>
      <w:r w:rsidR="009A1414" w:rsidRPr="009A1414">
        <w:rPr>
          <w:rFonts w:ascii="Arial" w:hAnsi="Arial" w:cs="Arial"/>
          <w:b/>
          <w:sz w:val="22"/>
          <w:szCs w:val="22"/>
          <w:lang w:val="ro-RO"/>
        </w:rPr>
        <w:t>6</w:t>
      </w:r>
      <w:r w:rsidRPr="009A1414">
        <w:rPr>
          <w:rFonts w:ascii="Arial" w:hAnsi="Arial" w:cs="Arial"/>
          <w:b/>
          <w:sz w:val="22"/>
          <w:szCs w:val="22"/>
          <w:lang w:val="ro-RO"/>
        </w:rPr>
        <w:t>.</w:t>
      </w:r>
    </w:p>
    <w:p w:rsidR="009A1414" w:rsidRPr="009A1414" w:rsidRDefault="009A1414" w:rsidP="00BD4E83">
      <w:pPr>
        <w:tabs>
          <w:tab w:val="left" w:pos="851"/>
          <w:tab w:val="left" w:leader="dot" w:pos="9356"/>
        </w:tabs>
        <w:jc w:val="center"/>
        <w:rPr>
          <w:rFonts w:ascii="Arial" w:hAnsi="Arial" w:cs="Arial"/>
          <w:b/>
          <w:sz w:val="22"/>
          <w:szCs w:val="22"/>
          <w:lang w:val="ro-RO"/>
        </w:rPr>
      </w:pPr>
      <w:r w:rsidRPr="009A1414">
        <w:rPr>
          <w:rFonts w:ascii="Arial" w:hAnsi="Arial" w:cs="Arial"/>
          <w:b/>
          <w:sz w:val="22"/>
          <w:szCs w:val="22"/>
          <w:lang w:val="ro-RO"/>
        </w:rPr>
        <w:t xml:space="preserve">Monitorizare manuală. </w:t>
      </w:r>
    </w:p>
    <w:p w:rsidR="00BD4E83" w:rsidRPr="009A1414" w:rsidRDefault="009A1414" w:rsidP="00BD4E83">
      <w:pPr>
        <w:tabs>
          <w:tab w:val="left" w:pos="851"/>
          <w:tab w:val="left" w:leader="dot" w:pos="9356"/>
        </w:tabs>
        <w:jc w:val="center"/>
        <w:rPr>
          <w:rFonts w:ascii="Arial" w:hAnsi="Arial" w:cs="Arial"/>
          <w:b/>
          <w:sz w:val="22"/>
          <w:szCs w:val="22"/>
          <w:lang w:val="ro-RO"/>
        </w:rPr>
      </w:pPr>
      <w:r w:rsidRPr="009A1414">
        <w:rPr>
          <w:rFonts w:ascii="Arial" w:hAnsi="Arial" w:cs="Arial"/>
          <w:b/>
          <w:sz w:val="22"/>
          <w:szCs w:val="22"/>
          <w:lang w:val="ro-RO"/>
        </w:rPr>
        <w:t xml:space="preserve"> C</w:t>
      </w:r>
      <w:r w:rsidR="00BD4E83" w:rsidRPr="009A1414">
        <w:rPr>
          <w:rFonts w:ascii="Arial" w:hAnsi="Arial" w:cs="Arial"/>
          <w:b/>
          <w:sz w:val="22"/>
          <w:szCs w:val="22"/>
          <w:lang w:val="ro-RO"/>
        </w:rPr>
        <w:t>oncentrațiil</w:t>
      </w:r>
      <w:r w:rsidRPr="009A1414">
        <w:rPr>
          <w:rFonts w:ascii="Arial" w:hAnsi="Arial" w:cs="Arial"/>
          <w:b/>
          <w:sz w:val="22"/>
          <w:szCs w:val="22"/>
          <w:lang w:val="ro-RO"/>
        </w:rPr>
        <w:t>e</w:t>
      </w:r>
      <w:r w:rsidR="00BD4E83" w:rsidRPr="009A1414">
        <w:rPr>
          <w:rFonts w:ascii="Arial" w:hAnsi="Arial" w:cs="Arial"/>
          <w:b/>
          <w:sz w:val="22"/>
          <w:szCs w:val="22"/>
          <w:lang w:val="ro-RO"/>
        </w:rPr>
        <w:t xml:space="preserve"> medii lunare ale pulberile sedimentabile</w:t>
      </w:r>
      <w:r w:rsidRPr="009A1414">
        <w:rPr>
          <w:rFonts w:ascii="Arial" w:hAnsi="Arial" w:cs="Arial"/>
          <w:b/>
          <w:sz w:val="22"/>
          <w:szCs w:val="22"/>
          <w:lang w:val="ro-RO"/>
        </w:rPr>
        <w:t xml:space="preserve"> </w:t>
      </w:r>
      <w:r w:rsidR="00BD4E83" w:rsidRPr="009A1414">
        <w:rPr>
          <w:rFonts w:ascii="Arial" w:hAnsi="Arial" w:cs="Arial"/>
          <w:b/>
          <w:sz w:val="22"/>
          <w:szCs w:val="22"/>
          <w:lang w:val="ro-RO"/>
        </w:rPr>
        <w:t>în anul 20</w:t>
      </w:r>
      <w:r w:rsidRPr="009A1414">
        <w:rPr>
          <w:rFonts w:ascii="Arial" w:hAnsi="Arial" w:cs="Arial"/>
          <w:b/>
          <w:sz w:val="22"/>
          <w:szCs w:val="22"/>
          <w:lang w:val="ro-RO"/>
        </w:rPr>
        <w:t>21</w:t>
      </w:r>
    </w:p>
    <w:p w:rsidR="0083158D" w:rsidRPr="00E63D0F" w:rsidRDefault="005F2A96" w:rsidP="00BD4E83">
      <w:pPr>
        <w:tabs>
          <w:tab w:val="left" w:pos="851"/>
          <w:tab w:val="left" w:leader="dot" w:pos="9356"/>
        </w:tabs>
        <w:jc w:val="center"/>
        <w:rPr>
          <w:rFonts w:ascii="Arial" w:hAnsi="Arial" w:cs="Arial"/>
          <w:b/>
          <w:color w:val="FF0000"/>
          <w:sz w:val="22"/>
          <w:szCs w:val="22"/>
          <w:lang w:val="ro-RO"/>
        </w:rPr>
      </w:pPr>
      <w:r>
        <w:rPr>
          <w:noProof/>
          <w:lang w:val="en-US"/>
        </w:rPr>
        <w:drawing>
          <wp:inline distT="0" distB="0" distL="0" distR="0" wp14:anchorId="7E82F39E" wp14:editId="614B3506">
            <wp:extent cx="5170805" cy="2179320"/>
            <wp:effectExtent l="0" t="0" r="10795" b="11430"/>
            <wp:docPr id="70" name="Diagramă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3158D" w:rsidRPr="00E63D0F" w:rsidRDefault="0083158D" w:rsidP="00BD4E83">
      <w:pPr>
        <w:tabs>
          <w:tab w:val="left" w:pos="851"/>
          <w:tab w:val="left" w:leader="dot" w:pos="9356"/>
        </w:tabs>
        <w:jc w:val="center"/>
        <w:rPr>
          <w:rFonts w:ascii="Arial" w:hAnsi="Arial" w:cs="Arial"/>
          <w:b/>
          <w:color w:val="FF0000"/>
          <w:sz w:val="22"/>
          <w:szCs w:val="22"/>
          <w:lang w:val="ro-RO"/>
        </w:rPr>
      </w:pPr>
    </w:p>
    <w:p w:rsidR="00BD4E83" w:rsidRDefault="00BC0866" w:rsidP="00BD4E83">
      <w:pPr>
        <w:tabs>
          <w:tab w:val="left" w:pos="851"/>
          <w:tab w:val="left" w:leader="dot" w:pos="9356"/>
        </w:tabs>
        <w:jc w:val="center"/>
        <w:rPr>
          <w:rFonts w:ascii="Arial" w:hAnsi="Arial" w:cs="Arial"/>
          <w:b/>
          <w:color w:val="FF0000"/>
          <w:sz w:val="22"/>
          <w:szCs w:val="22"/>
          <w:lang w:val="ro-RO"/>
        </w:rPr>
      </w:pPr>
      <w:r>
        <w:rPr>
          <w:noProof/>
          <w:lang w:val="en-US"/>
        </w:rPr>
        <w:drawing>
          <wp:inline distT="0" distB="0" distL="0" distR="0" wp14:anchorId="76BE40B4" wp14:editId="72BD08C1">
            <wp:extent cx="5143500" cy="2849880"/>
            <wp:effectExtent l="0" t="0" r="0" b="7620"/>
            <wp:docPr id="71" name="Diagramă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0866" w:rsidRDefault="00BC0866" w:rsidP="00BD4E83">
      <w:pPr>
        <w:tabs>
          <w:tab w:val="left" w:pos="851"/>
          <w:tab w:val="left" w:leader="dot" w:pos="9356"/>
        </w:tabs>
        <w:jc w:val="center"/>
        <w:rPr>
          <w:rFonts w:ascii="Arial" w:hAnsi="Arial" w:cs="Arial"/>
          <w:b/>
          <w:color w:val="FF0000"/>
          <w:sz w:val="22"/>
          <w:szCs w:val="22"/>
          <w:lang w:val="ro-RO"/>
        </w:rPr>
      </w:pPr>
    </w:p>
    <w:p w:rsidR="00BC0866" w:rsidRPr="00E63D0F" w:rsidRDefault="00BC0866" w:rsidP="00BD4E83">
      <w:pPr>
        <w:tabs>
          <w:tab w:val="left" w:pos="851"/>
          <w:tab w:val="left" w:leader="dot" w:pos="9356"/>
        </w:tabs>
        <w:jc w:val="center"/>
        <w:rPr>
          <w:rFonts w:ascii="Arial" w:hAnsi="Arial" w:cs="Arial"/>
          <w:b/>
          <w:color w:val="FF0000"/>
          <w:sz w:val="22"/>
          <w:szCs w:val="22"/>
          <w:lang w:val="ro-RO"/>
        </w:rPr>
      </w:pPr>
      <w:r>
        <w:rPr>
          <w:noProof/>
          <w:lang w:val="en-US"/>
        </w:rPr>
        <w:drawing>
          <wp:inline distT="0" distB="0" distL="0" distR="0" wp14:anchorId="46B03635" wp14:editId="68AEAF01">
            <wp:extent cx="5113020" cy="2346960"/>
            <wp:effectExtent l="0" t="0" r="11430" b="15240"/>
            <wp:docPr id="73" name="Diagramă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6F6E" w:rsidRPr="00BC0866" w:rsidRDefault="00E26F6E" w:rsidP="00E26F6E">
      <w:pPr>
        <w:tabs>
          <w:tab w:val="left" w:pos="851"/>
        </w:tabs>
        <w:jc w:val="center"/>
        <w:rPr>
          <w:rFonts w:ascii="Arial" w:hAnsi="Arial" w:cs="Arial"/>
          <w:sz w:val="20"/>
          <w:szCs w:val="20"/>
          <w:lang w:val="ro-RO"/>
        </w:rPr>
      </w:pPr>
      <w:r w:rsidRPr="00BC0866">
        <w:rPr>
          <w:rFonts w:ascii="Arial" w:hAnsi="Arial" w:cs="Arial"/>
          <w:sz w:val="20"/>
          <w:szCs w:val="20"/>
          <w:lang w:val="ro-RO"/>
        </w:rPr>
        <w:t>Sursa: Agenţia pentru Protecţia Mediului Bistriţa-Năsăud</w:t>
      </w:r>
    </w:p>
    <w:p w:rsidR="00BD4E83" w:rsidRPr="00BC0866" w:rsidRDefault="00BD4E83" w:rsidP="00755618">
      <w:pPr>
        <w:tabs>
          <w:tab w:val="left" w:pos="851"/>
        </w:tabs>
        <w:jc w:val="center"/>
        <w:rPr>
          <w:rFonts w:ascii="Arial" w:hAnsi="Arial" w:cs="Arial"/>
          <w:sz w:val="20"/>
          <w:szCs w:val="20"/>
          <w:lang w:val="ro-RO"/>
        </w:rPr>
      </w:pPr>
    </w:p>
    <w:p w:rsidR="006E2962" w:rsidRPr="00BC0866" w:rsidRDefault="006E2962" w:rsidP="00755618">
      <w:pPr>
        <w:tabs>
          <w:tab w:val="left" w:pos="851"/>
          <w:tab w:val="left" w:leader="dot" w:pos="9356"/>
        </w:tabs>
        <w:jc w:val="right"/>
        <w:rPr>
          <w:rFonts w:ascii="Arial" w:hAnsi="Arial" w:cs="Arial"/>
          <w:b/>
          <w:sz w:val="22"/>
          <w:szCs w:val="22"/>
          <w:lang w:val="ro-RO"/>
        </w:rPr>
      </w:pPr>
      <w:r w:rsidRPr="00BC0866">
        <w:rPr>
          <w:rFonts w:ascii="Arial" w:hAnsi="Arial" w:cs="Arial"/>
          <w:b/>
          <w:sz w:val="22"/>
          <w:szCs w:val="22"/>
          <w:lang w:val="ro-RO"/>
        </w:rPr>
        <w:t xml:space="preserve">    Întocmit,</w:t>
      </w:r>
    </w:p>
    <w:p w:rsidR="00D14A8E" w:rsidRDefault="00D14A8E" w:rsidP="00755618">
      <w:pPr>
        <w:tabs>
          <w:tab w:val="left" w:pos="851"/>
          <w:tab w:val="left" w:leader="dot" w:pos="9356"/>
        </w:tabs>
        <w:jc w:val="right"/>
        <w:rPr>
          <w:rFonts w:ascii="Arial" w:hAnsi="Arial" w:cs="Arial"/>
          <w:sz w:val="22"/>
          <w:szCs w:val="22"/>
          <w:lang w:val="ro-RO"/>
        </w:rPr>
      </w:pPr>
    </w:p>
    <w:p w:rsidR="006E2962" w:rsidRPr="00BC0866" w:rsidRDefault="006E2962" w:rsidP="00755618">
      <w:pPr>
        <w:tabs>
          <w:tab w:val="left" w:pos="851"/>
          <w:tab w:val="left" w:leader="dot" w:pos="9356"/>
        </w:tabs>
        <w:jc w:val="right"/>
        <w:rPr>
          <w:rFonts w:ascii="Arial" w:hAnsi="Arial" w:cs="Arial"/>
          <w:sz w:val="22"/>
          <w:szCs w:val="22"/>
          <w:lang w:val="ro-RO"/>
        </w:rPr>
      </w:pPr>
      <w:r w:rsidRPr="00BC0866">
        <w:rPr>
          <w:rFonts w:ascii="Arial" w:hAnsi="Arial" w:cs="Arial"/>
          <w:sz w:val="22"/>
          <w:szCs w:val="22"/>
          <w:lang w:val="ro-RO"/>
        </w:rPr>
        <w:t>Ana Angela CORDOȘ</w:t>
      </w:r>
    </w:p>
    <w:p w:rsidR="00052EAD" w:rsidRPr="00E63D0F" w:rsidRDefault="00052EAD" w:rsidP="00755618">
      <w:pPr>
        <w:tabs>
          <w:tab w:val="left" w:pos="851"/>
          <w:tab w:val="left" w:leader="dot" w:pos="9356"/>
        </w:tabs>
        <w:rPr>
          <w:rFonts w:ascii="Arial" w:hAnsi="Arial" w:cs="Arial"/>
          <w:b/>
          <w:color w:val="FF0000"/>
          <w:lang w:val="ro-RO"/>
        </w:rPr>
      </w:pPr>
    </w:p>
    <w:p w:rsidR="0024114B" w:rsidRPr="00E63D0F" w:rsidRDefault="0024114B" w:rsidP="00755618">
      <w:pPr>
        <w:tabs>
          <w:tab w:val="left" w:pos="851"/>
          <w:tab w:val="left" w:leader="dot" w:pos="9356"/>
        </w:tabs>
        <w:rPr>
          <w:rFonts w:ascii="Arial" w:hAnsi="Arial" w:cs="Arial"/>
          <w:b/>
          <w:color w:val="FF0000"/>
          <w:lang w:val="ro-RO"/>
        </w:rPr>
      </w:pPr>
    </w:p>
    <w:p w:rsidR="00306FE1" w:rsidRPr="00840EC9" w:rsidRDefault="00306FE1" w:rsidP="00306FE1">
      <w:pPr>
        <w:tabs>
          <w:tab w:val="left" w:pos="851"/>
          <w:tab w:val="left" w:leader="dot" w:pos="9356"/>
        </w:tabs>
        <w:jc w:val="center"/>
        <w:rPr>
          <w:rFonts w:ascii="Arial" w:hAnsi="Arial" w:cs="Arial"/>
          <w:b/>
          <w:sz w:val="28"/>
          <w:szCs w:val="28"/>
          <w:lang w:val="ro-RO"/>
        </w:rPr>
      </w:pPr>
      <w:r w:rsidRPr="00840EC9">
        <w:rPr>
          <w:rFonts w:ascii="Arial" w:hAnsi="Arial" w:cs="Arial"/>
          <w:b/>
          <w:sz w:val="28"/>
          <w:szCs w:val="28"/>
          <w:lang w:val="ro-RO"/>
        </w:rPr>
        <w:t xml:space="preserve">I.1.1.2. Tendinţe privind concentraţiile medii anuale ale anumitor </w:t>
      </w:r>
    </w:p>
    <w:p w:rsidR="00306FE1" w:rsidRPr="00840EC9" w:rsidRDefault="00306FE1" w:rsidP="00306FE1">
      <w:pPr>
        <w:tabs>
          <w:tab w:val="left" w:pos="851"/>
          <w:tab w:val="left" w:leader="dot" w:pos="9356"/>
        </w:tabs>
        <w:jc w:val="center"/>
        <w:rPr>
          <w:rFonts w:ascii="Arial" w:hAnsi="Arial" w:cs="Arial"/>
          <w:b/>
          <w:sz w:val="28"/>
          <w:szCs w:val="28"/>
          <w:lang w:val="ro-RO"/>
        </w:rPr>
      </w:pPr>
      <w:r w:rsidRPr="00840EC9">
        <w:rPr>
          <w:rFonts w:ascii="Arial" w:hAnsi="Arial" w:cs="Arial"/>
          <w:b/>
          <w:sz w:val="28"/>
          <w:szCs w:val="28"/>
          <w:lang w:val="ro-RO"/>
        </w:rPr>
        <w:t>poluanţi atmosferici</w:t>
      </w:r>
    </w:p>
    <w:p w:rsidR="00306FE1" w:rsidRPr="00EA505B" w:rsidRDefault="00306FE1" w:rsidP="00306FE1">
      <w:pPr>
        <w:tabs>
          <w:tab w:val="left" w:pos="851"/>
          <w:tab w:val="left" w:leader="dot" w:pos="9356"/>
        </w:tabs>
        <w:jc w:val="center"/>
        <w:rPr>
          <w:rFonts w:ascii="Arial" w:hAnsi="Arial" w:cs="Arial"/>
          <w:b/>
          <w:lang w:val="ro-RO"/>
        </w:rPr>
      </w:pPr>
    </w:p>
    <w:p w:rsidR="00306FE1" w:rsidRPr="00EA505B" w:rsidRDefault="00306FE1" w:rsidP="00306FE1">
      <w:pPr>
        <w:tabs>
          <w:tab w:val="left" w:pos="851"/>
          <w:tab w:val="left" w:pos="3939"/>
        </w:tabs>
        <w:jc w:val="both"/>
        <w:rPr>
          <w:rFonts w:ascii="Arial" w:hAnsi="Arial" w:cs="Arial"/>
          <w:b/>
          <w:sz w:val="20"/>
          <w:szCs w:val="20"/>
          <w:lang w:val="ro-RO"/>
        </w:rPr>
      </w:pPr>
      <w:r w:rsidRPr="00EA505B">
        <w:rPr>
          <w:rFonts w:ascii="Arial" w:hAnsi="Arial" w:cs="Arial"/>
          <w:lang w:val="ro-RO"/>
        </w:rPr>
        <w:t>În vederea stabilirii tendințelor concentrațiilor medii anuale ale poluanților atmosferici (SO</w:t>
      </w:r>
      <w:r w:rsidRPr="00EA505B">
        <w:rPr>
          <w:rFonts w:ascii="Arial" w:hAnsi="Arial" w:cs="Arial"/>
          <w:vertAlign w:val="subscript"/>
          <w:lang w:val="ro-RO"/>
        </w:rPr>
        <w:t>2</w:t>
      </w:r>
      <w:r w:rsidRPr="00EA505B">
        <w:rPr>
          <w:rFonts w:ascii="Arial" w:hAnsi="Arial" w:cs="Arial"/>
          <w:lang w:val="ro-RO"/>
        </w:rPr>
        <w:t>, NO</w:t>
      </w:r>
      <w:r w:rsidRPr="00EA505B">
        <w:rPr>
          <w:rFonts w:ascii="Arial" w:hAnsi="Arial" w:cs="Arial"/>
          <w:vertAlign w:val="subscript"/>
          <w:lang w:val="ro-RO"/>
        </w:rPr>
        <w:t>2</w:t>
      </w:r>
      <w:r w:rsidRPr="00EA505B">
        <w:rPr>
          <w:rFonts w:ascii="Arial" w:hAnsi="Arial" w:cs="Arial"/>
          <w:lang w:val="ro-RO"/>
        </w:rPr>
        <w:t>, C</w:t>
      </w:r>
      <w:r w:rsidRPr="00EA505B">
        <w:rPr>
          <w:rFonts w:ascii="Arial" w:hAnsi="Arial" w:cs="Arial"/>
          <w:vertAlign w:val="subscript"/>
          <w:lang w:val="ro-RO"/>
        </w:rPr>
        <w:t>6</w:t>
      </w:r>
      <w:r w:rsidRPr="00EA505B">
        <w:rPr>
          <w:rFonts w:ascii="Arial" w:hAnsi="Arial" w:cs="Arial"/>
          <w:lang w:val="ro-RO"/>
        </w:rPr>
        <w:t>H</w:t>
      </w:r>
      <w:r w:rsidRPr="00EA505B">
        <w:rPr>
          <w:rFonts w:ascii="Arial" w:hAnsi="Arial" w:cs="Arial"/>
          <w:vertAlign w:val="subscript"/>
          <w:lang w:val="ro-RO"/>
        </w:rPr>
        <w:t>6</w:t>
      </w:r>
      <w:r w:rsidRPr="00EA505B">
        <w:rPr>
          <w:rFonts w:ascii="Arial" w:hAnsi="Arial" w:cs="Arial"/>
          <w:lang w:val="ro-RO"/>
        </w:rPr>
        <w:t>, PM10, CO și O</w:t>
      </w:r>
      <w:r w:rsidRPr="00EA505B">
        <w:rPr>
          <w:rFonts w:ascii="Arial" w:hAnsi="Arial" w:cs="Arial"/>
          <w:vertAlign w:val="subscript"/>
          <w:lang w:val="ro-RO"/>
        </w:rPr>
        <w:t>3</w:t>
      </w:r>
      <w:r w:rsidRPr="00EA505B">
        <w:rPr>
          <w:rFonts w:ascii="Arial" w:hAnsi="Arial" w:cs="Arial"/>
          <w:lang w:val="ro-RO"/>
        </w:rPr>
        <w:t xml:space="preserve">) inregistrate la stația de fond urban BN1 este necesară o disponibilitate de date din cel puțin cinci ani anteriori. În figurile următoare este prezentată evoluția concentrațiilor medii anuale pentru acești poluanți în raport cu media anuală, cu mențiunea că capturile de date au fost </w:t>
      </w:r>
      <w:r>
        <w:rPr>
          <w:rFonts w:ascii="Arial" w:hAnsi="Arial" w:cs="Arial"/>
          <w:lang w:val="ro-RO"/>
        </w:rPr>
        <w:t>une</w:t>
      </w:r>
      <w:r w:rsidRPr="00EA505B">
        <w:rPr>
          <w:rFonts w:ascii="Arial" w:hAnsi="Arial" w:cs="Arial"/>
          <w:lang w:val="ro-RO"/>
        </w:rPr>
        <w:t>ori mai mici decât cele prevăzute în legislație.</w:t>
      </w:r>
      <w:r>
        <w:rPr>
          <w:rFonts w:ascii="Arial" w:hAnsi="Arial" w:cs="Arial"/>
          <w:lang w:val="ro-RO"/>
        </w:rPr>
        <w:t xml:space="preserve"> Din figurile prezentate mai jos se poate observa menținerea valorilor concentrațiilor aproximativ la același nivel pentru indicatorii SO</w:t>
      </w:r>
      <w:r w:rsidRPr="003A6FC2">
        <w:rPr>
          <w:rFonts w:ascii="Arial" w:hAnsi="Arial" w:cs="Arial"/>
          <w:vertAlign w:val="subscript"/>
          <w:lang w:val="ro-RO"/>
        </w:rPr>
        <w:t>2</w:t>
      </w:r>
      <w:r>
        <w:rPr>
          <w:rFonts w:ascii="Arial" w:hAnsi="Arial" w:cs="Arial"/>
          <w:lang w:val="ro-RO"/>
        </w:rPr>
        <w:t>, NO</w:t>
      </w:r>
      <w:r w:rsidRPr="003A6FC2">
        <w:rPr>
          <w:rFonts w:ascii="Arial" w:hAnsi="Arial" w:cs="Arial"/>
          <w:vertAlign w:val="subscript"/>
          <w:lang w:val="ro-RO"/>
        </w:rPr>
        <w:t>2</w:t>
      </w:r>
      <w:r>
        <w:rPr>
          <w:rFonts w:ascii="Arial" w:hAnsi="Arial" w:cs="Arial"/>
          <w:lang w:val="ro-RO"/>
        </w:rPr>
        <w:t>, CO și C</w:t>
      </w:r>
      <w:r w:rsidRPr="003A6FC2">
        <w:rPr>
          <w:rFonts w:ascii="Arial" w:hAnsi="Arial" w:cs="Arial"/>
          <w:vertAlign w:val="subscript"/>
          <w:lang w:val="ro-RO"/>
        </w:rPr>
        <w:t>6</w:t>
      </w:r>
      <w:r>
        <w:rPr>
          <w:rFonts w:ascii="Arial" w:hAnsi="Arial" w:cs="Arial"/>
          <w:lang w:val="ro-RO"/>
        </w:rPr>
        <w:t>H</w:t>
      </w:r>
      <w:r w:rsidRPr="003A6FC2">
        <w:rPr>
          <w:rFonts w:ascii="Arial" w:hAnsi="Arial" w:cs="Arial"/>
          <w:vertAlign w:val="subscript"/>
          <w:lang w:val="ro-RO"/>
        </w:rPr>
        <w:t>6</w:t>
      </w:r>
      <w:r>
        <w:rPr>
          <w:rFonts w:ascii="Arial" w:hAnsi="Arial" w:cs="Arial"/>
          <w:lang w:val="ro-RO"/>
        </w:rPr>
        <w:t>, o tendință de creștere  a concentrațiilor la indicatorul O</w:t>
      </w:r>
      <w:r w:rsidRPr="003A6FC2">
        <w:rPr>
          <w:rFonts w:ascii="Arial" w:hAnsi="Arial" w:cs="Arial"/>
          <w:vertAlign w:val="subscript"/>
          <w:lang w:val="ro-RO"/>
        </w:rPr>
        <w:t>3</w:t>
      </w:r>
      <w:r>
        <w:rPr>
          <w:rFonts w:ascii="Arial" w:hAnsi="Arial" w:cs="Arial"/>
          <w:lang w:val="ro-RO"/>
        </w:rPr>
        <w:t>, respectiv o tendință de scădere  a valorilor concentrațiilor la indicatorul PM10.</w:t>
      </w:r>
    </w:p>
    <w:p w:rsidR="005160C2" w:rsidRPr="00E63D0F" w:rsidRDefault="005160C2" w:rsidP="00EE01C2">
      <w:pPr>
        <w:tabs>
          <w:tab w:val="left" w:pos="851"/>
          <w:tab w:val="left" w:pos="3588"/>
          <w:tab w:val="right" w:pos="9026"/>
          <w:tab w:val="left" w:leader="dot" w:pos="9356"/>
        </w:tabs>
        <w:jc w:val="center"/>
        <w:rPr>
          <w:rFonts w:ascii="Arial" w:hAnsi="Arial" w:cs="Arial"/>
          <w:b/>
          <w:color w:val="FF0000"/>
          <w:sz w:val="22"/>
          <w:szCs w:val="22"/>
          <w:lang w:val="ro-RO"/>
        </w:rPr>
      </w:pPr>
    </w:p>
    <w:p w:rsidR="005160C2" w:rsidRPr="00E63D0F" w:rsidRDefault="005160C2" w:rsidP="00EE01C2">
      <w:pPr>
        <w:tabs>
          <w:tab w:val="left" w:pos="851"/>
          <w:tab w:val="left" w:pos="3588"/>
          <w:tab w:val="right" w:pos="9026"/>
          <w:tab w:val="left" w:leader="dot" w:pos="9356"/>
        </w:tabs>
        <w:jc w:val="center"/>
        <w:rPr>
          <w:rFonts w:ascii="Arial" w:hAnsi="Arial" w:cs="Arial"/>
          <w:b/>
          <w:color w:val="FF0000"/>
          <w:sz w:val="22"/>
          <w:szCs w:val="22"/>
          <w:lang w:val="ro-RO"/>
        </w:rPr>
      </w:pPr>
    </w:p>
    <w:p w:rsidR="00306FE1" w:rsidRPr="00EA505B"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EA505B">
        <w:rPr>
          <w:rFonts w:ascii="Arial" w:hAnsi="Arial" w:cs="Arial"/>
          <w:b/>
          <w:sz w:val="22"/>
          <w:szCs w:val="22"/>
          <w:lang w:val="ro-RO"/>
        </w:rPr>
        <w:t>Figura 1.1.2.1 – Monitorizare automată stația BN1</w:t>
      </w:r>
    </w:p>
    <w:p w:rsidR="00306FE1" w:rsidRPr="00EA505B"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EA505B">
        <w:rPr>
          <w:rFonts w:ascii="Arial" w:hAnsi="Arial" w:cs="Arial"/>
          <w:b/>
          <w:sz w:val="22"/>
          <w:szCs w:val="22"/>
          <w:lang w:val="ro-RO"/>
        </w:rPr>
        <w:t xml:space="preserve"> Evoluția concentrațiilor medii anuale la SO</w:t>
      </w:r>
      <w:r w:rsidRPr="00EA505B">
        <w:rPr>
          <w:rFonts w:ascii="Arial" w:hAnsi="Arial" w:cs="Arial"/>
          <w:b/>
          <w:sz w:val="22"/>
          <w:szCs w:val="22"/>
          <w:vertAlign w:val="subscript"/>
          <w:lang w:val="ro-RO"/>
        </w:rPr>
        <w:t>2</w:t>
      </w:r>
      <w:r w:rsidRPr="00EA505B">
        <w:rPr>
          <w:rFonts w:ascii="Arial" w:hAnsi="Arial" w:cs="Arial"/>
          <w:b/>
          <w:sz w:val="22"/>
          <w:szCs w:val="22"/>
          <w:lang w:val="ro-RO"/>
        </w:rPr>
        <w:t xml:space="preserve">, a tendinței liniare și a capturilor de date </w:t>
      </w:r>
    </w:p>
    <w:p w:rsidR="00306FE1" w:rsidRPr="00EA505B" w:rsidRDefault="002334C4" w:rsidP="00306FE1">
      <w:pPr>
        <w:tabs>
          <w:tab w:val="left" w:pos="851"/>
          <w:tab w:val="left" w:pos="3588"/>
          <w:tab w:val="right" w:pos="9026"/>
          <w:tab w:val="left" w:leader="dot" w:pos="9356"/>
        </w:tabs>
        <w:jc w:val="center"/>
        <w:rPr>
          <w:rFonts w:ascii="Arial" w:hAnsi="Arial" w:cs="Arial"/>
          <w:b/>
          <w:sz w:val="22"/>
          <w:szCs w:val="22"/>
          <w:lang w:val="ro-RO"/>
        </w:rPr>
      </w:pPr>
      <w:r>
        <w:rPr>
          <w:noProof/>
          <w:lang w:val="en-US"/>
        </w:rPr>
        <w:drawing>
          <wp:inline distT="0" distB="0" distL="0" distR="0" wp14:anchorId="5DA36763" wp14:editId="4B6AA2B0">
            <wp:extent cx="2697480" cy="2430780"/>
            <wp:effectExtent l="0" t="0" r="7620" b="7620"/>
            <wp:docPr id="89" name="Diagramă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lang w:val="en-US"/>
        </w:rPr>
        <w:drawing>
          <wp:inline distT="0" distB="0" distL="0" distR="0" wp14:anchorId="05639E3B" wp14:editId="54F029BB">
            <wp:extent cx="2506980" cy="2446020"/>
            <wp:effectExtent l="0" t="0" r="7620" b="0"/>
            <wp:docPr id="90" name="Diagramă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06FE1" w:rsidRPr="00EA505B" w:rsidRDefault="00306FE1" w:rsidP="00306FE1">
      <w:pPr>
        <w:tabs>
          <w:tab w:val="left" w:pos="851"/>
          <w:tab w:val="left" w:pos="3984"/>
          <w:tab w:val="right" w:pos="9026"/>
          <w:tab w:val="left" w:leader="dot" w:pos="9356"/>
        </w:tabs>
        <w:jc w:val="center"/>
        <w:rPr>
          <w:rFonts w:ascii="Arial" w:hAnsi="Arial" w:cs="Arial"/>
          <w:b/>
          <w:sz w:val="20"/>
          <w:szCs w:val="20"/>
          <w:lang w:val="ro-RO"/>
        </w:rPr>
      </w:pPr>
      <w:r w:rsidRPr="00EA505B">
        <w:rPr>
          <w:rFonts w:ascii="Arial" w:hAnsi="Arial" w:cs="Arial"/>
          <w:sz w:val="20"/>
          <w:szCs w:val="20"/>
          <w:lang w:val="ro-RO"/>
        </w:rPr>
        <w:t>Sursa: Agenţia pentru Protecţia Mediului Bistriţa-Năsăud</w:t>
      </w:r>
    </w:p>
    <w:p w:rsidR="00306FE1" w:rsidRPr="00EA505B" w:rsidRDefault="00306FE1" w:rsidP="00306FE1">
      <w:pPr>
        <w:tabs>
          <w:tab w:val="left" w:pos="851"/>
          <w:tab w:val="left" w:pos="3588"/>
          <w:tab w:val="right" w:pos="9026"/>
          <w:tab w:val="left" w:leader="dot" w:pos="9356"/>
        </w:tabs>
        <w:jc w:val="center"/>
        <w:rPr>
          <w:rFonts w:ascii="Arial" w:hAnsi="Arial" w:cs="Arial"/>
          <w:b/>
          <w:sz w:val="22"/>
          <w:szCs w:val="22"/>
          <w:lang w:val="ro-RO"/>
        </w:rPr>
      </w:pPr>
    </w:p>
    <w:p w:rsidR="00306FE1" w:rsidRPr="00EA505B"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EA505B">
        <w:rPr>
          <w:rFonts w:ascii="Arial" w:hAnsi="Arial" w:cs="Arial"/>
          <w:b/>
          <w:sz w:val="22"/>
          <w:szCs w:val="22"/>
          <w:lang w:val="ro-RO"/>
        </w:rPr>
        <w:t>Figura 1.1.2.2. Monitorizare automată stația BN1</w:t>
      </w:r>
    </w:p>
    <w:p w:rsidR="00306FE1" w:rsidRPr="00EA505B"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EA505B">
        <w:rPr>
          <w:rFonts w:ascii="Arial" w:hAnsi="Arial" w:cs="Arial"/>
          <w:b/>
          <w:sz w:val="22"/>
          <w:szCs w:val="22"/>
          <w:lang w:val="ro-RO"/>
        </w:rPr>
        <w:t>Evoluția concentrațiilor medii anuale la NO</w:t>
      </w:r>
      <w:r w:rsidRPr="00EA505B">
        <w:rPr>
          <w:rFonts w:ascii="Arial" w:hAnsi="Arial" w:cs="Arial"/>
          <w:b/>
          <w:sz w:val="22"/>
          <w:szCs w:val="22"/>
          <w:vertAlign w:val="subscript"/>
          <w:lang w:val="ro-RO"/>
        </w:rPr>
        <w:t>2</w:t>
      </w:r>
      <w:r w:rsidRPr="00EA505B">
        <w:rPr>
          <w:rFonts w:ascii="Arial" w:hAnsi="Arial" w:cs="Arial"/>
          <w:b/>
          <w:sz w:val="22"/>
          <w:szCs w:val="22"/>
          <w:lang w:val="ro-RO"/>
        </w:rPr>
        <w:t xml:space="preserve">, a tendinței liniare și a capturilor de date </w:t>
      </w:r>
    </w:p>
    <w:p w:rsidR="00306FE1" w:rsidRPr="00EA505B" w:rsidRDefault="002334C4" w:rsidP="00306FE1">
      <w:pPr>
        <w:tabs>
          <w:tab w:val="left" w:pos="851"/>
          <w:tab w:val="left" w:pos="3984"/>
          <w:tab w:val="right" w:pos="9026"/>
          <w:tab w:val="left" w:leader="dot" w:pos="9356"/>
        </w:tabs>
        <w:jc w:val="center"/>
        <w:rPr>
          <w:rFonts w:ascii="Arial" w:hAnsi="Arial" w:cs="Arial"/>
          <w:b/>
          <w:lang w:val="ro-RO"/>
        </w:rPr>
      </w:pPr>
      <w:r>
        <w:rPr>
          <w:noProof/>
          <w:lang w:val="en-US"/>
        </w:rPr>
        <w:drawing>
          <wp:inline distT="0" distB="0" distL="0" distR="0" wp14:anchorId="693953CC" wp14:editId="4C9D5DDC">
            <wp:extent cx="2865120" cy="2202180"/>
            <wp:effectExtent l="0" t="0" r="0" b="7620"/>
            <wp:docPr id="92" name="Diagramă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val="en-US"/>
        </w:rPr>
        <w:t xml:space="preserve">  </w:t>
      </w:r>
      <w:r>
        <w:rPr>
          <w:noProof/>
          <w:lang w:val="en-US"/>
        </w:rPr>
        <w:drawing>
          <wp:inline distT="0" distB="0" distL="0" distR="0" wp14:anchorId="713F4572" wp14:editId="0347E131">
            <wp:extent cx="2674620" cy="2217420"/>
            <wp:effectExtent l="0" t="0" r="0" b="0"/>
            <wp:docPr id="94" name="Diagramă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06FE1" w:rsidRPr="00EA505B" w:rsidRDefault="00306FE1" w:rsidP="00306FE1">
      <w:pPr>
        <w:tabs>
          <w:tab w:val="left" w:pos="851"/>
          <w:tab w:val="left" w:pos="3984"/>
          <w:tab w:val="right" w:pos="9026"/>
          <w:tab w:val="left" w:leader="dot" w:pos="9356"/>
        </w:tabs>
        <w:jc w:val="center"/>
        <w:rPr>
          <w:rFonts w:ascii="Arial" w:hAnsi="Arial" w:cs="Arial"/>
          <w:sz w:val="20"/>
          <w:szCs w:val="20"/>
          <w:lang w:val="ro-RO"/>
        </w:rPr>
      </w:pPr>
      <w:r w:rsidRPr="00EA505B">
        <w:rPr>
          <w:rFonts w:ascii="Arial" w:hAnsi="Arial" w:cs="Arial"/>
          <w:sz w:val="20"/>
          <w:szCs w:val="20"/>
          <w:lang w:val="ro-RO"/>
        </w:rPr>
        <w:t>Sursa: Agenţia pentru Protecţia Mediului Bistriţa-Năsăud</w:t>
      </w:r>
    </w:p>
    <w:p w:rsidR="00306FE1" w:rsidRDefault="00306FE1" w:rsidP="00306FE1">
      <w:pPr>
        <w:tabs>
          <w:tab w:val="left" w:pos="851"/>
          <w:tab w:val="left" w:pos="3588"/>
          <w:tab w:val="right" w:pos="9026"/>
          <w:tab w:val="left" w:leader="dot" w:pos="9356"/>
        </w:tabs>
        <w:jc w:val="center"/>
        <w:rPr>
          <w:rFonts w:ascii="Arial" w:hAnsi="Arial" w:cs="Arial"/>
          <w:b/>
          <w:sz w:val="22"/>
          <w:szCs w:val="22"/>
          <w:lang w:val="ro-RO"/>
        </w:rPr>
      </w:pPr>
    </w:p>
    <w:p w:rsidR="00306FE1" w:rsidRPr="00EA505B"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EA505B">
        <w:rPr>
          <w:rFonts w:ascii="Arial" w:hAnsi="Arial" w:cs="Arial"/>
          <w:b/>
          <w:sz w:val="22"/>
          <w:szCs w:val="22"/>
          <w:lang w:val="ro-RO"/>
        </w:rPr>
        <w:t>Figura 1.1.2.</w:t>
      </w:r>
      <w:r>
        <w:rPr>
          <w:rFonts w:ascii="Arial" w:hAnsi="Arial" w:cs="Arial"/>
          <w:b/>
          <w:sz w:val="22"/>
          <w:szCs w:val="22"/>
          <w:lang w:val="ro-RO"/>
        </w:rPr>
        <w:t>3</w:t>
      </w:r>
      <w:r w:rsidRPr="00EA505B">
        <w:rPr>
          <w:rFonts w:ascii="Arial" w:hAnsi="Arial" w:cs="Arial"/>
          <w:b/>
          <w:sz w:val="22"/>
          <w:szCs w:val="22"/>
          <w:lang w:val="ro-RO"/>
        </w:rPr>
        <w:t>. Monitorizare automată stația BN1</w:t>
      </w:r>
    </w:p>
    <w:p w:rsidR="00306FE1" w:rsidRPr="00EA505B"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EA505B">
        <w:rPr>
          <w:rFonts w:ascii="Arial" w:hAnsi="Arial" w:cs="Arial"/>
          <w:b/>
          <w:sz w:val="22"/>
          <w:szCs w:val="22"/>
          <w:lang w:val="ro-RO"/>
        </w:rPr>
        <w:t xml:space="preserve"> Evoluția concentrațiilor medii anuale și a capturilor de date </w:t>
      </w:r>
      <w:r>
        <w:rPr>
          <w:rFonts w:ascii="Arial" w:hAnsi="Arial" w:cs="Arial"/>
          <w:b/>
          <w:sz w:val="22"/>
          <w:szCs w:val="22"/>
          <w:lang w:val="ro-RO"/>
        </w:rPr>
        <w:t xml:space="preserve">ale indicatorului </w:t>
      </w:r>
      <w:r w:rsidRPr="00EA505B">
        <w:rPr>
          <w:rFonts w:ascii="Arial" w:hAnsi="Arial" w:cs="Arial"/>
          <w:b/>
          <w:sz w:val="22"/>
          <w:szCs w:val="22"/>
          <w:lang w:val="ro-RO"/>
        </w:rPr>
        <w:t xml:space="preserve">CO  </w:t>
      </w:r>
    </w:p>
    <w:p w:rsidR="002334C4" w:rsidRDefault="002334C4" w:rsidP="00306FE1">
      <w:pPr>
        <w:tabs>
          <w:tab w:val="left" w:pos="851"/>
          <w:tab w:val="left" w:pos="3588"/>
          <w:tab w:val="right" w:pos="9026"/>
          <w:tab w:val="left" w:leader="dot" w:pos="9356"/>
        </w:tabs>
        <w:jc w:val="center"/>
        <w:rPr>
          <w:rFonts w:ascii="Arial" w:hAnsi="Arial" w:cs="Arial"/>
          <w:b/>
          <w:sz w:val="22"/>
          <w:szCs w:val="22"/>
          <w:lang w:val="ro-RO"/>
        </w:rPr>
      </w:pPr>
      <w:r>
        <w:rPr>
          <w:noProof/>
          <w:lang w:val="en-US"/>
        </w:rPr>
        <w:drawing>
          <wp:inline distT="0" distB="0" distL="0" distR="0" wp14:anchorId="52D682EA" wp14:editId="5FE4E03F">
            <wp:extent cx="2659380" cy="2345055"/>
            <wp:effectExtent l="0" t="0" r="7620" b="0"/>
            <wp:docPr id="96" name="Diagramă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lang w:val="en-US"/>
        </w:rPr>
        <w:drawing>
          <wp:inline distT="0" distB="0" distL="0" distR="0" wp14:anchorId="537EC781" wp14:editId="6A7BC04E">
            <wp:extent cx="2880360" cy="2390775"/>
            <wp:effectExtent l="0" t="0" r="0" b="0"/>
            <wp:docPr id="97" name="Diagramă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334C4" w:rsidRDefault="002334C4" w:rsidP="002334C4">
      <w:pPr>
        <w:tabs>
          <w:tab w:val="left" w:pos="851"/>
          <w:tab w:val="left" w:pos="3984"/>
          <w:tab w:val="right" w:pos="9026"/>
          <w:tab w:val="left" w:leader="dot" w:pos="9356"/>
        </w:tabs>
        <w:jc w:val="center"/>
        <w:rPr>
          <w:rFonts w:ascii="Arial" w:hAnsi="Arial" w:cs="Arial"/>
          <w:sz w:val="20"/>
          <w:szCs w:val="20"/>
          <w:lang w:val="ro-RO"/>
        </w:rPr>
      </w:pPr>
      <w:r w:rsidRPr="00EA505B">
        <w:rPr>
          <w:rFonts w:ascii="Arial" w:hAnsi="Arial" w:cs="Arial"/>
          <w:sz w:val="20"/>
          <w:szCs w:val="20"/>
          <w:lang w:val="ro-RO"/>
        </w:rPr>
        <w:t>Sursa: Agenţia pentru Protecţia Mediului Bistriţa-Năsăud</w:t>
      </w:r>
    </w:p>
    <w:p w:rsidR="002334C4" w:rsidRPr="00EA505B" w:rsidRDefault="002334C4" w:rsidP="002334C4">
      <w:pPr>
        <w:tabs>
          <w:tab w:val="left" w:pos="851"/>
          <w:tab w:val="left" w:pos="3984"/>
          <w:tab w:val="right" w:pos="9026"/>
          <w:tab w:val="left" w:leader="dot" w:pos="9356"/>
        </w:tabs>
        <w:jc w:val="center"/>
        <w:rPr>
          <w:rFonts w:ascii="Arial" w:hAnsi="Arial" w:cs="Arial"/>
          <w:b/>
          <w:lang w:val="ro-RO"/>
        </w:rPr>
      </w:pPr>
    </w:p>
    <w:p w:rsidR="002334C4" w:rsidRPr="00EA505B" w:rsidRDefault="002334C4" w:rsidP="002334C4">
      <w:pPr>
        <w:tabs>
          <w:tab w:val="left" w:pos="851"/>
          <w:tab w:val="left" w:pos="3588"/>
          <w:tab w:val="right" w:pos="9026"/>
          <w:tab w:val="left" w:leader="dot" w:pos="9356"/>
        </w:tabs>
        <w:jc w:val="center"/>
        <w:rPr>
          <w:rFonts w:ascii="Arial" w:hAnsi="Arial" w:cs="Arial"/>
          <w:b/>
          <w:sz w:val="22"/>
          <w:szCs w:val="22"/>
          <w:lang w:val="ro-RO"/>
        </w:rPr>
      </w:pPr>
      <w:r w:rsidRPr="00EA505B">
        <w:rPr>
          <w:rFonts w:ascii="Arial" w:hAnsi="Arial" w:cs="Arial"/>
          <w:b/>
          <w:sz w:val="22"/>
          <w:szCs w:val="22"/>
          <w:lang w:val="ro-RO"/>
        </w:rPr>
        <w:t>Figura 1.1.2.</w:t>
      </w:r>
      <w:r>
        <w:rPr>
          <w:rFonts w:ascii="Arial" w:hAnsi="Arial" w:cs="Arial"/>
          <w:b/>
          <w:sz w:val="22"/>
          <w:szCs w:val="22"/>
          <w:lang w:val="ro-RO"/>
        </w:rPr>
        <w:t>4</w:t>
      </w:r>
      <w:r w:rsidRPr="00EA505B">
        <w:rPr>
          <w:rFonts w:ascii="Arial" w:hAnsi="Arial" w:cs="Arial"/>
          <w:b/>
          <w:sz w:val="22"/>
          <w:szCs w:val="22"/>
          <w:lang w:val="ro-RO"/>
        </w:rPr>
        <w:t>. Monitorizare automată stația BN1</w:t>
      </w:r>
    </w:p>
    <w:p w:rsidR="002334C4" w:rsidRDefault="002334C4" w:rsidP="002334C4">
      <w:pPr>
        <w:tabs>
          <w:tab w:val="left" w:pos="851"/>
          <w:tab w:val="left" w:pos="3588"/>
          <w:tab w:val="right" w:pos="9026"/>
          <w:tab w:val="left" w:leader="dot" w:pos="9356"/>
        </w:tabs>
        <w:jc w:val="center"/>
        <w:rPr>
          <w:rFonts w:ascii="Arial" w:hAnsi="Arial" w:cs="Arial"/>
          <w:b/>
          <w:sz w:val="22"/>
          <w:szCs w:val="22"/>
          <w:lang w:val="ro-RO"/>
        </w:rPr>
      </w:pPr>
      <w:r w:rsidRPr="00EA505B">
        <w:rPr>
          <w:rFonts w:ascii="Arial" w:hAnsi="Arial" w:cs="Arial"/>
          <w:b/>
          <w:sz w:val="22"/>
          <w:szCs w:val="22"/>
          <w:lang w:val="ro-RO"/>
        </w:rPr>
        <w:t xml:space="preserve"> Evoluția concentrațiilor medii anuale la O</w:t>
      </w:r>
      <w:r w:rsidRPr="00EA505B">
        <w:rPr>
          <w:rFonts w:ascii="Arial" w:hAnsi="Arial" w:cs="Arial"/>
          <w:b/>
          <w:sz w:val="22"/>
          <w:szCs w:val="22"/>
          <w:vertAlign w:val="subscript"/>
          <w:lang w:val="ro-RO"/>
        </w:rPr>
        <w:t>3</w:t>
      </w:r>
      <w:r w:rsidRPr="00EA505B">
        <w:rPr>
          <w:rFonts w:ascii="Arial" w:hAnsi="Arial" w:cs="Arial"/>
          <w:b/>
          <w:sz w:val="22"/>
          <w:szCs w:val="22"/>
          <w:lang w:val="ro-RO"/>
        </w:rPr>
        <w:t xml:space="preserve">, a tendinței liniare și a capturilor de date </w:t>
      </w:r>
    </w:p>
    <w:p w:rsidR="002334C4" w:rsidRDefault="003954F5" w:rsidP="00306FE1">
      <w:pPr>
        <w:tabs>
          <w:tab w:val="left" w:pos="851"/>
          <w:tab w:val="left" w:pos="3984"/>
          <w:tab w:val="right" w:pos="9026"/>
          <w:tab w:val="left" w:leader="dot" w:pos="9356"/>
        </w:tabs>
        <w:jc w:val="center"/>
        <w:rPr>
          <w:rFonts w:ascii="Arial" w:hAnsi="Arial" w:cs="Arial"/>
          <w:b/>
          <w:sz w:val="22"/>
          <w:szCs w:val="22"/>
          <w:lang w:val="ro-RO"/>
        </w:rPr>
      </w:pPr>
      <w:r>
        <w:rPr>
          <w:noProof/>
          <w:lang w:val="en-US"/>
        </w:rPr>
        <w:drawing>
          <wp:inline distT="0" distB="0" distL="0" distR="0" wp14:anchorId="3371DCDA" wp14:editId="0E4E513B">
            <wp:extent cx="2788920" cy="2179320"/>
            <wp:effectExtent l="0" t="0" r="0" b="0"/>
            <wp:docPr id="100" name="Diagramă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lang w:val="en-US"/>
        </w:rPr>
        <w:drawing>
          <wp:inline distT="0" distB="0" distL="0" distR="0" wp14:anchorId="4B08C125" wp14:editId="6D8F0E76">
            <wp:extent cx="2887980" cy="2308860"/>
            <wp:effectExtent l="0" t="0" r="7620" b="0"/>
            <wp:docPr id="101" name="Diagramă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06FE1" w:rsidRPr="00EA505B" w:rsidRDefault="00306FE1" w:rsidP="00306FE1">
      <w:pPr>
        <w:tabs>
          <w:tab w:val="left" w:pos="851"/>
          <w:tab w:val="left" w:pos="3984"/>
          <w:tab w:val="right" w:pos="9026"/>
          <w:tab w:val="left" w:leader="dot" w:pos="9356"/>
        </w:tabs>
        <w:jc w:val="center"/>
        <w:rPr>
          <w:rFonts w:ascii="Arial" w:hAnsi="Arial" w:cs="Arial"/>
          <w:b/>
          <w:lang w:val="ro-RO"/>
        </w:rPr>
      </w:pPr>
      <w:r w:rsidRPr="00EA505B">
        <w:rPr>
          <w:rFonts w:ascii="Arial" w:hAnsi="Arial" w:cs="Arial"/>
          <w:sz w:val="20"/>
          <w:szCs w:val="20"/>
          <w:lang w:val="ro-RO"/>
        </w:rPr>
        <w:t>Sursa: Agenţia pentru Protecţia Mediului Bistriţa-Năsăud</w:t>
      </w:r>
    </w:p>
    <w:p w:rsidR="00306FE1" w:rsidRPr="00EA505B" w:rsidRDefault="00306FE1" w:rsidP="00306FE1">
      <w:pPr>
        <w:tabs>
          <w:tab w:val="left" w:pos="851"/>
          <w:tab w:val="left" w:pos="3984"/>
          <w:tab w:val="right" w:pos="9026"/>
          <w:tab w:val="left" w:leader="dot" w:pos="9356"/>
        </w:tabs>
        <w:jc w:val="center"/>
        <w:rPr>
          <w:rFonts w:ascii="Arial" w:hAnsi="Arial" w:cs="Arial"/>
          <w:b/>
          <w:lang w:val="ro-RO"/>
        </w:rPr>
      </w:pPr>
    </w:p>
    <w:p w:rsidR="00306FE1" w:rsidRPr="00477B1E"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477B1E">
        <w:rPr>
          <w:rFonts w:ascii="Arial" w:hAnsi="Arial" w:cs="Arial"/>
          <w:b/>
          <w:sz w:val="22"/>
          <w:szCs w:val="22"/>
          <w:lang w:val="ro-RO"/>
        </w:rPr>
        <w:t>Figura 1.1.2.</w:t>
      </w:r>
      <w:r w:rsidR="00C078B6">
        <w:rPr>
          <w:rFonts w:ascii="Arial" w:hAnsi="Arial" w:cs="Arial"/>
          <w:b/>
          <w:sz w:val="22"/>
          <w:szCs w:val="22"/>
          <w:lang w:val="ro-RO"/>
        </w:rPr>
        <w:t>5</w:t>
      </w:r>
      <w:r w:rsidRPr="00477B1E">
        <w:rPr>
          <w:rFonts w:ascii="Arial" w:hAnsi="Arial" w:cs="Arial"/>
          <w:b/>
          <w:sz w:val="22"/>
          <w:szCs w:val="22"/>
          <w:lang w:val="ro-RO"/>
        </w:rPr>
        <w:t>. Monitorizare automată stația BN1</w:t>
      </w:r>
    </w:p>
    <w:p w:rsidR="00306FE1" w:rsidRPr="00477B1E" w:rsidRDefault="00306FE1" w:rsidP="00306FE1">
      <w:pPr>
        <w:tabs>
          <w:tab w:val="left" w:pos="851"/>
          <w:tab w:val="left" w:pos="3588"/>
          <w:tab w:val="right" w:pos="9026"/>
          <w:tab w:val="left" w:leader="dot" w:pos="9356"/>
        </w:tabs>
        <w:jc w:val="center"/>
        <w:rPr>
          <w:rFonts w:ascii="Arial" w:hAnsi="Arial" w:cs="Arial"/>
          <w:b/>
          <w:sz w:val="22"/>
          <w:szCs w:val="22"/>
          <w:lang w:val="ro-RO"/>
        </w:rPr>
      </w:pPr>
      <w:r w:rsidRPr="00477B1E">
        <w:rPr>
          <w:rFonts w:ascii="Arial" w:hAnsi="Arial" w:cs="Arial"/>
          <w:b/>
          <w:sz w:val="22"/>
          <w:szCs w:val="22"/>
          <w:lang w:val="ro-RO"/>
        </w:rPr>
        <w:t xml:space="preserve"> Evoluția concentrațiilor medii anuale la C</w:t>
      </w:r>
      <w:r w:rsidRPr="00477B1E">
        <w:rPr>
          <w:rFonts w:ascii="Arial" w:hAnsi="Arial" w:cs="Arial"/>
          <w:b/>
          <w:sz w:val="22"/>
          <w:szCs w:val="22"/>
          <w:vertAlign w:val="subscript"/>
          <w:lang w:val="ro-RO"/>
        </w:rPr>
        <w:t>6</w:t>
      </w:r>
      <w:r w:rsidRPr="00477B1E">
        <w:rPr>
          <w:rFonts w:ascii="Arial" w:hAnsi="Arial" w:cs="Arial"/>
          <w:b/>
          <w:sz w:val="22"/>
          <w:szCs w:val="22"/>
          <w:lang w:val="ro-RO"/>
        </w:rPr>
        <w:t>H</w:t>
      </w:r>
      <w:r w:rsidRPr="00477B1E">
        <w:rPr>
          <w:rFonts w:ascii="Arial" w:hAnsi="Arial" w:cs="Arial"/>
          <w:b/>
          <w:sz w:val="22"/>
          <w:szCs w:val="22"/>
          <w:vertAlign w:val="subscript"/>
          <w:lang w:val="ro-RO"/>
        </w:rPr>
        <w:t>6</w:t>
      </w:r>
      <w:r w:rsidRPr="00477B1E">
        <w:rPr>
          <w:rFonts w:ascii="Arial" w:hAnsi="Arial" w:cs="Arial"/>
          <w:b/>
          <w:sz w:val="22"/>
          <w:szCs w:val="22"/>
          <w:lang w:val="ro-RO"/>
        </w:rPr>
        <w:t xml:space="preserve">, a tendinței liniare și a capturilor de date  </w:t>
      </w:r>
    </w:p>
    <w:p w:rsidR="00306FE1" w:rsidRPr="00EA505B" w:rsidRDefault="003954F5" w:rsidP="00306FE1">
      <w:pPr>
        <w:tabs>
          <w:tab w:val="left" w:pos="851"/>
          <w:tab w:val="left" w:pos="3984"/>
          <w:tab w:val="right" w:pos="9026"/>
          <w:tab w:val="left" w:leader="dot" w:pos="9356"/>
        </w:tabs>
        <w:jc w:val="center"/>
        <w:rPr>
          <w:rFonts w:ascii="Arial" w:hAnsi="Arial" w:cs="Arial"/>
          <w:b/>
          <w:lang w:val="ro-RO"/>
        </w:rPr>
      </w:pPr>
      <w:r>
        <w:rPr>
          <w:noProof/>
          <w:lang w:val="en-US"/>
        </w:rPr>
        <w:drawing>
          <wp:inline distT="0" distB="0" distL="0" distR="0" wp14:anchorId="61B4402A" wp14:editId="220DA64C">
            <wp:extent cx="2842260" cy="2225040"/>
            <wp:effectExtent l="0" t="0" r="0" b="3810"/>
            <wp:docPr id="98" name="Diagramă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val="en-US"/>
        </w:rPr>
        <w:drawing>
          <wp:inline distT="0" distB="0" distL="0" distR="0" wp14:anchorId="45B9E4D1" wp14:editId="00B1804A">
            <wp:extent cx="2636520" cy="2202180"/>
            <wp:effectExtent l="0" t="0" r="0" b="7620"/>
            <wp:docPr id="99" name="Diagramă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06FE1" w:rsidRPr="00EA505B" w:rsidRDefault="00306FE1" w:rsidP="00306FE1">
      <w:pPr>
        <w:tabs>
          <w:tab w:val="left" w:pos="851"/>
          <w:tab w:val="left" w:pos="3984"/>
          <w:tab w:val="right" w:pos="9026"/>
          <w:tab w:val="left" w:leader="dot" w:pos="9356"/>
        </w:tabs>
        <w:jc w:val="center"/>
        <w:rPr>
          <w:rFonts w:ascii="Arial" w:hAnsi="Arial" w:cs="Arial"/>
          <w:b/>
          <w:lang w:val="ro-RO"/>
        </w:rPr>
      </w:pPr>
      <w:r w:rsidRPr="00EA505B">
        <w:rPr>
          <w:rFonts w:ascii="Arial" w:hAnsi="Arial" w:cs="Arial"/>
          <w:sz w:val="20"/>
          <w:szCs w:val="20"/>
          <w:lang w:val="ro-RO"/>
        </w:rPr>
        <w:t>Sursa: Agenţia pentru Pr</w:t>
      </w:r>
      <w:r>
        <w:rPr>
          <w:rFonts w:ascii="Arial" w:hAnsi="Arial" w:cs="Arial"/>
          <w:sz w:val="20"/>
          <w:szCs w:val="20"/>
          <w:lang w:val="ro-RO"/>
        </w:rPr>
        <w:t>otecţia Mediului Bistriţa-Năsăud</w:t>
      </w:r>
    </w:p>
    <w:p w:rsidR="003954F5" w:rsidRDefault="003954F5" w:rsidP="003954F5">
      <w:pPr>
        <w:tabs>
          <w:tab w:val="left" w:pos="851"/>
          <w:tab w:val="left" w:pos="3588"/>
          <w:tab w:val="right" w:pos="9026"/>
          <w:tab w:val="left" w:leader="dot" w:pos="9356"/>
        </w:tabs>
        <w:jc w:val="center"/>
        <w:rPr>
          <w:rFonts w:ascii="Arial" w:hAnsi="Arial" w:cs="Arial"/>
          <w:b/>
          <w:sz w:val="22"/>
          <w:szCs w:val="22"/>
          <w:lang w:val="ro-RO"/>
        </w:rPr>
      </w:pPr>
    </w:p>
    <w:p w:rsidR="003954F5" w:rsidRPr="00EA505B" w:rsidRDefault="003954F5" w:rsidP="003954F5">
      <w:pPr>
        <w:tabs>
          <w:tab w:val="left" w:pos="851"/>
          <w:tab w:val="left" w:pos="3588"/>
          <w:tab w:val="right" w:pos="9026"/>
          <w:tab w:val="left" w:leader="dot" w:pos="9356"/>
        </w:tabs>
        <w:jc w:val="center"/>
        <w:rPr>
          <w:rFonts w:ascii="Arial" w:hAnsi="Arial" w:cs="Arial"/>
          <w:b/>
          <w:sz w:val="22"/>
          <w:szCs w:val="22"/>
          <w:lang w:val="ro-RO"/>
        </w:rPr>
      </w:pPr>
      <w:r>
        <w:rPr>
          <w:rFonts w:ascii="Arial" w:hAnsi="Arial" w:cs="Arial"/>
          <w:b/>
          <w:sz w:val="22"/>
          <w:szCs w:val="22"/>
          <w:lang w:val="ro-RO"/>
        </w:rPr>
        <w:t>Figura 1.1.2.</w:t>
      </w:r>
      <w:r w:rsidR="00C078B6">
        <w:rPr>
          <w:rFonts w:ascii="Arial" w:hAnsi="Arial" w:cs="Arial"/>
          <w:b/>
          <w:sz w:val="22"/>
          <w:szCs w:val="22"/>
          <w:lang w:val="ro-RO"/>
        </w:rPr>
        <w:t>6</w:t>
      </w:r>
      <w:r w:rsidRPr="00EA505B">
        <w:rPr>
          <w:rFonts w:ascii="Arial" w:hAnsi="Arial" w:cs="Arial"/>
          <w:b/>
          <w:sz w:val="22"/>
          <w:szCs w:val="22"/>
          <w:lang w:val="ro-RO"/>
        </w:rPr>
        <w:t>. Monitorizare automată stația BN1</w:t>
      </w:r>
    </w:p>
    <w:p w:rsidR="003954F5" w:rsidRPr="00EA505B" w:rsidRDefault="003954F5" w:rsidP="003954F5">
      <w:pPr>
        <w:tabs>
          <w:tab w:val="left" w:pos="851"/>
          <w:tab w:val="left" w:pos="3588"/>
          <w:tab w:val="right" w:pos="9026"/>
          <w:tab w:val="left" w:leader="dot" w:pos="9356"/>
        </w:tabs>
        <w:jc w:val="center"/>
        <w:rPr>
          <w:rFonts w:ascii="Arial" w:hAnsi="Arial" w:cs="Arial"/>
          <w:b/>
          <w:sz w:val="22"/>
          <w:szCs w:val="22"/>
          <w:lang w:val="ro-RO"/>
        </w:rPr>
      </w:pPr>
      <w:r w:rsidRPr="00EA505B">
        <w:rPr>
          <w:rFonts w:ascii="Arial" w:hAnsi="Arial" w:cs="Arial"/>
          <w:b/>
          <w:sz w:val="22"/>
          <w:szCs w:val="22"/>
          <w:lang w:val="ro-RO"/>
        </w:rPr>
        <w:t xml:space="preserve"> Evoluția concentrațiilor medii anuale la PM10, a tendinței liniare și a capturilor de date </w:t>
      </w:r>
    </w:p>
    <w:p w:rsidR="003954F5" w:rsidRPr="00EA505B" w:rsidRDefault="003954F5" w:rsidP="003954F5">
      <w:pPr>
        <w:tabs>
          <w:tab w:val="left" w:pos="851"/>
          <w:tab w:val="left" w:pos="3984"/>
          <w:tab w:val="right" w:pos="9026"/>
          <w:tab w:val="left" w:leader="dot" w:pos="9356"/>
        </w:tabs>
        <w:jc w:val="center"/>
        <w:rPr>
          <w:rFonts w:ascii="Arial" w:hAnsi="Arial" w:cs="Arial"/>
          <w:b/>
          <w:sz w:val="22"/>
          <w:szCs w:val="22"/>
          <w:lang w:val="ro-RO"/>
        </w:rPr>
      </w:pPr>
      <w:r>
        <w:rPr>
          <w:noProof/>
          <w:lang w:val="en-US"/>
        </w:rPr>
        <w:drawing>
          <wp:inline distT="0" distB="0" distL="0" distR="0" wp14:anchorId="722C8EF3" wp14:editId="03FAA767">
            <wp:extent cx="2865120" cy="2156460"/>
            <wp:effectExtent l="0" t="0" r="0" b="0"/>
            <wp:docPr id="102" name="Diagramă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val="en-US"/>
        </w:rPr>
        <w:drawing>
          <wp:inline distT="0" distB="0" distL="0" distR="0" wp14:anchorId="3F75C7DB" wp14:editId="41F4BE4F">
            <wp:extent cx="2567940" cy="2247900"/>
            <wp:effectExtent l="0" t="0" r="3810" b="0"/>
            <wp:docPr id="103" name="Diagramă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954F5" w:rsidRPr="00EA505B" w:rsidRDefault="003954F5" w:rsidP="003954F5">
      <w:pPr>
        <w:tabs>
          <w:tab w:val="left" w:pos="851"/>
          <w:tab w:val="left" w:pos="3984"/>
          <w:tab w:val="right" w:pos="9026"/>
          <w:tab w:val="left" w:leader="dot" w:pos="9356"/>
        </w:tabs>
        <w:jc w:val="center"/>
        <w:rPr>
          <w:rFonts w:ascii="Arial" w:hAnsi="Arial" w:cs="Arial"/>
          <w:b/>
          <w:lang w:val="ro-RO"/>
        </w:rPr>
      </w:pPr>
      <w:r w:rsidRPr="00EA505B">
        <w:rPr>
          <w:rFonts w:ascii="Arial" w:hAnsi="Arial" w:cs="Arial"/>
          <w:sz w:val="20"/>
          <w:szCs w:val="20"/>
          <w:lang w:val="ro-RO"/>
        </w:rPr>
        <w:t>Sursa: Agenţia pentru Protecţia Mediului Bistriţa-Năsăud</w:t>
      </w:r>
    </w:p>
    <w:p w:rsidR="003954F5" w:rsidRDefault="003954F5" w:rsidP="003954F5">
      <w:pPr>
        <w:tabs>
          <w:tab w:val="left" w:pos="851"/>
          <w:tab w:val="left" w:pos="3588"/>
          <w:tab w:val="right" w:pos="9026"/>
          <w:tab w:val="left" w:leader="dot" w:pos="9356"/>
        </w:tabs>
        <w:jc w:val="center"/>
        <w:rPr>
          <w:rFonts w:ascii="Arial" w:hAnsi="Arial" w:cs="Arial"/>
          <w:b/>
          <w:sz w:val="22"/>
          <w:szCs w:val="22"/>
          <w:lang w:val="ro-RO"/>
        </w:rPr>
      </w:pPr>
    </w:p>
    <w:p w:rsidR="00306FE1" w:rsidRPr="00EA505B" w:rsidRDefault="00306FE1" w:rsidP="00306FE1">
      <w:pPr>
        <w:tabs>
          <w:tab w:val="left" w:pos="851"/>
          <w:tab w:val="left" w:pos="3984"/>
          <w:tab w:val="right" w:pos="9026"/>
          <w:tab w:val="left" w:leader="dot" w:pos="9356"/>
        </w:tabs>
        <w:jc w:val="right"/>
        <w:rPr>
          <w:rFonts w:ascii="Arial" w:hAnsi="Arial" w:cs="Arial"/>
          <w:b/>
          <w:sz w:val="22"/>
          <w:szCs w:val="22"/>
          <w:lang w:val="ro-RO"/>
        </w:rPr>
      </w:pPr>
      <w:r w:rsidRPr="00EA505B">
        <w:rPr>
          <w:rFonts w:ascii="Arial" w:hAnsi="Arial" w:cs="Arial"/>
          <w:b/>
          <w:lang w:val="ro-RO"/>
        </w:rPr>
        <w:t xml:space="preserve"> </w:t>
      </w:r>
      <w:r w:rsidRPr="00EA505B">
        <w:rPr>
          <w:rFonts w:ascii="Arial" w:hAnsi="Arial" w:cs="Arial"/>
          <w:b/>
          <w:sz w:val="22"/>
          <w:szCs w:val="22"/>
          <w:lang w:val="ro-RO"/>
        </w:rPr>
        <w:t>Întocmit,</w:t>
      </w:r>
    </w:p>
    <w:p w:rsidR="00306FE1" w:rsidRPr="00EA505B" w:rsidRDefault="00306FE1" w:rsidP="00306FE1">
      <w:pPr>
        <w:tabs>
          <w:tab w:val="left" w:pos="851"/>
          <w:tab w:val="left" w:leader="dot" w:pos="9356"/>
        </w:tabs>
        <w:jc w:val="right"/>
        <w:rPr>
          <w:rFonts w:ascii="Arial" w:hAnsi="Arial" w:cs="Arial"/>
          <w:sz w:val="22"/>
          <w:szCs w:val="22"/>
          <w:lang w:val="ro-RO"/>
        </w:rPr>
      </w:pPr>
      <w:r w:rsidRPr="00EA505B">
        <w:rPr>
          <w:rFonts w:ascii="Arial" w:hAnsi="Arial" w:cs="Arial"/>
          <w:sz w:val="22"/>
          <w:szCs w:val="22"/>
          <w:lang w:val="ro-RO"/>
        </w:rPr>
        <w:t>Carmen MIZGAN</w:t>
      </w:r>
    </w:p>
    <w:p w:rsidR="00BC0866" w:rsidRDefault="006E2962" w:rsidP="00755618">
      <w:pPr>
        <w:tabs>
          <w:tab w:val="left" w:pos="851"/>
          <w:tab w:val="left" w:leader="dot" w:pos="9356"/>
        </w:tabs>
        <w:jc w:val="both"/>
        <w:rPr>
          <w:rFonts w:ascii="Arial" w:hAnsi="Arial" w:cs="Arial"/>
          <w:color w:val="FF0000"/>
          <w:lang w:val="ro-RO"/>
        </w:rPr>
      </w:pPr>
      <w:r w:rsidRPr="00F308B8">
        <w:rPr>
          <w:rFonts w:ascii="Arial" w:hAnsi="Arial" w:cs="Arial"/>
          <w:color w:val="FF0000"/>
          <w:lang w:val="ro-RO"/>
        </w:rPr>
        <w:tab/>
      </w:r>
    </w:p>
    <w:p w:rsidR="00C36DE9" w:rsidRPr="00D96E22" w:rsidRDefault="00D96E22" w:rsidP="00755618">
      <w:pPr>
        <w:tabs>
          <w:tab w:val="left" w:pos="851"/>
          <w:tab w:val="left" w:leader="dot" w:pos="9356"/>
        </w:tabs>
        <w:jc w:val="both"/>
        <w:rPr>
          <w:rFonts w:ascii="Arial" w:hAnsi="Arial" w:cs="Arial"/>
          <w:lang w:val="ro-RO"/>
        </w:rPr>
      </w:pPr>
      <w:r w:rsidRPr="00D96E22">
        <w:rPr>
          <w:rFonts w:ascii="Arial" w:hAnsi="Arial" w:cs="Arial"/>
          <w:lang w:val="ro-RO"/>
        </w:rPr>
        <w:tab/>
      </w:r>
      <w:r w:rsidR="00285914" w:rsidRPr="00D96E22">
        <w:rPr>
          <w:rFonts w:ascii="Arial" w:hAnsi="Arial" w:cs="Arial"/>
          <w:lang w:val="ro-RO"/>
        </w:rPr>
        <w:t>La</w:t>
      </w:r>
      <w:r w:rsidR="006E2962" w:rsidRPr="00D96E22">
        <w:rPr>
          <w:rFonts w:ascii="Arial" w:hAnsi="Arial" w:cs="Arial"/>
          <w:lang w:val="ro-RO"/>
        </w:rPr>
        <w:t xml:space="preserve"> indicatori</w:t>
      </w:r>
      <w:r w:rsidRPr="00D96E22">
        <w:rPr>
          <w:rFonts w:ascii="Arial" w:hAnsi="Arial" w:cs="Arial"/>
          <w:lang w:val="ro-RO"/>
        </w:rPr>
        <w:t>ul amoniac,</w:t>
      </w:r>
      <w:r w:rsidR="006E2962" w:rsidRPr="00D96E22">
        <w:rPr>
          <w:rFonts w:ascii="Arial" w:hAnsi="Arial" w:cs="Arial"/>
          <w:lang w:val="ro-RO"/>
        </w:rPr>
        <w:t xml:space="preserve"> determina</w:t>
      </w:r>
      <w:r w:rsidRPr="00D96E22">
        <w:rPr>
          <w:rFonts w:ascii="Arial" w:hAnsi="Arial" w:cs="Arial"/>
          <w:lang w:val="ro-RO"/>
        </w:rPr>
        <w:t>t</w:t>
      </w:r>
      <w:r w:rsidR="006E2962" w:rsidRPr="00D96E22">
        <w:rPr>
          <w:rFonts w:ascii="Arial" w:hAnsi="Arial" w:cs="Arial"/>
          <w:lang w:val="ro-RO"/>
        </w:rPr>
        <w:t xml:space="preserve"> prin monitorizare manuală </w:t>
      </w:r>
      <w:r w:rsidRPr="00D96E22">
        <w:rPr>
          <w:rFonts w:ascii="Arial" w:hAnsi="Arial" w:cs="Arial"/>
          <w:lang w:val="ro-RO"/>
        </w:rPr>
        <w:t xml:space="preserve">de 24 ore, se constată o scădere a concentrației medii anuale </w:t>
      </w:r>
      <w:r w:rsidR="006E2962" w:rsidRPr="00D96E22">
        <w:rPr>
          <w:rFonts w:ascii="Arial" w:hAnsi="Arial" w:cs="Arial"/>
          <w:lang w:val="ro-RO"/>
        </w:rPr>
        <w:t xml:space="preserve">în </w:t>
      </w:r>
      <w:r w:rsidR="00CA572B" w:rsidRPr="00D96E22">
        <w:rPr>
          <w:rFonts w:ascii="Arial" w:hAnsi="Arial" w:cs="Arial"/>
          <w:lang w:val="ro-RO"/>
        </w:rPr>
        <w:t>2021</w:t>
      </w:r>
      <w:r w:rsidR="00C36DE9" w:rsidRPr="00D96E22">
        <w:rPr>
          <w:rFonts w:ascii="Arial" w:hAnsi="Arial" w:cs="Arial"/>
          <w:lang w:val="ro-RO"/>
        </w:rPr>
        <w:t xml:space="preserve"> față de anul anterior</w:t>
      </w:r>
      <w:r w:rsidRPr="00D96E22">
        <w:rPr>
          <w:rFonts w:ascii="Arial" w:hAnsi="Arial" w:cs="Arial"/>
          <w:lang w:val="ro-RO"/>
        </w:rPr>
        <w:t>. Cu toate aceste</w:t>
      </w:r>
      <w:r w:rsidR="00D14A8E">
        <w:rPr>
          <w:rFonts w:ascii="Arial" w:hAnsi="Arial" w:cs="Arial"/>
          <w:lang w:val="ro-RO"/>
        </w:rPr>
        <w:t>a,</w:t>
      </w:r>
      <w:r w:rsidRPr="00D96E22">
        <w:rPr>
          <w:rFonts w:ascii="Arial" w:hAnsi="Arial" w:cs="Arial"/>
          <w:lang w:val="ro-RO"/>
        </w:rPr>
        <w:t xml:space="preserve"> tendința liniară de evoluție are o pantă ascendentă.</w:t>
      </w:r>
    </w:p>
    <w:p w:rsidR="008433CC" w:rsidRPr="00F308B8" w:rsidRDefault="008433CC" w:rsidP="00755618">
      <w:pPr>
        <w:tabs>
          <w:tab w:val="left" w:pos="851"/>
          <w:tab w:val="left" w:pos="4237"/>
        </w:tabs>
        <w:jc w:val="center"/>
        <w:rPr>
          <w:rFonts w:ascii="Arial" w:hAnsi="Arial" w:cs="Arial"/>
          <w:b/>
          <w:color w:val="FF0000"/>
          <w:sz w:val="22"/>
          <w:szCs w:val="22"/>
          <w:lang w:val="ro-RO"/>
        </w:rPr>
      </w:pPr>
    </w:p>
    <w:p w:rsidR="006E2962" w:rsidRPr="00C078B6" w:rsidRDefault="006E2962" w:rsidP="00755618">
      <w:pPr>
        <w:tabs>
          <w:tab w:val="left" w:pos="851"/>
          <w:tab w:val="left" w:pos="4237"/>
        </w:tabs>
        <w:jc w:val="center"/>
        <w:rPr>
          <w:rFonts w:ascii="Arial" w:hAnsi="Arial" w:cs="Arial"/>
          <w:b/>
          <w:sz w:val="22"/>
          <w:szCs w:val="22"/>
          <w:lang w:val="ro-RO"/>
        </w:rPr>
      </w:pPr>
      <w:r w:rsidRPr="00C078B6">
        <w:rPr>
          <w:rFonts w:ascii="Arial" w:hAnsi="Arial" w:cs="Arial"/>
          <w:b/>
          <w:sz w:val="22"/>
          <w:szCs w:val="22"/>
          <w:lang w:val="ro-RO"/>
        </w:rPr>
        <w:t>Figura I.1.1.2.</w:t>
      </w:r>
      <w:r w:rsidR="00C078B6" w:rsidRPr="00C078B6">
        <w:rPr>
          <w:rFonts w:ascii="Arial" w:hAnsi="Arial" w:cs="Arial"/>
          <w:b/>
          <w:sz w:val="22"/>
          <w:szCs w:val="22"/>
          <w:lang w:val="ro-RO"/>
        </w:rPr>
        <w:t>7</w:t>
      </w:r>
      <w:r w:rsidRPr="00C078B6">
        <w:rPr>
          <w:rFonts w:ascii="Arial" w:hAnsi="Arial" w:cs="Arial"/>
          <w:b/>
          <w:sz w:val="22"/>
          <w:szCs w:val="22"/>
          <w:lang w:val="ro-RO"/>
        </w:rPr>
        <w:t xml:space="preserve"> </w:t>
      </w:r>
    </w:p>
    <w:p w:rsidR="006E2962" w:rsidRPr="00D96E22" w:rsidRDefault="006E2962" w:rsidP="00755618">
      <w:pPr>
        <w:tabs>
          <w:tab w:val="left" w:pos="851"/>
          <w:tab w:val="left" w:leader="dot" w:pos="9356"/>
        </w:tabs>
        <w:jc w:val="center"/>
        <w:rPr>
          <w:rFonts w:ascii="Arial" w:hAnsi="Arial" w:cs="Arial"/>
          <w:b/>
          <w:sz w:val="22"/>
          <w:szCs w:val="22"/>
          <w:lang w:val="ro-RO"/>
        </w:rPr>
      </w:pPr>
      <w:r w:rsidRPr="00D96E22">
        <w:rPr>
          <w:rFonts w:ascii="Arial" w:hAnsi="Arial" w:cs="Arial"/>
          <w:b/>
          <w:sz w:val="22"/>
          <w:szCs w:val="22"/>
          <w:lang w:val="ro-RO"/>
        </w:rPr>
        <w:t xml:space="preserve">Monitorizare manuală. Evoluția mediilor anuale </w:t>
      </w:r>
      <w:r w:rsidR="00004682" w:rsidRPr="00D96E22">
        <w:rPr>
          <w:rFonts w:ascii="Arial" w:hAnsi="Arial" w:cs="Arial"/>
          <w:b/>
          <w:sz w:val="22"/>
          <w:szCs w:val="22"/>
          <w:lang w:val="ro-RO"/>
        </w:rPr>
        <w:t>(µg/mc)</w:t>
      </w:r>
      <w:r w:rsidR="00514FD5" w:rsidRPr="00D96E22">
        <w:rPr>
          <w:rFonts w:ascii="Arial" w:hAnsi="Arial" w:cs="Arial"/>
          <w:b/>
          <w:sz w:val="22"/>
          <w:szCs w:val="22"/>
          <w:lang w:val="ro-RO"/>
        </w:rPr>
        <w:t xml:space="preserve"> </w:t>
      </w:r>
      <w:r w:rsidR="00D96E22" w:rsidRPr="00D96E22">
        <w:rPr>
          <w:rFonts w:ascii="Arial" w:hAnsi="Arial" w:cs="Arial"/>
          <w:b/>
          <w:sz w:val="22"/>
          <w:szCs w:val="22"/>
          <w:lang w:val="ro-RO"/>
        </w:rPr>
        <w:t>la</w:t>
      </w:r>
      <w:r w:rsidRPr="00D96E22">
        <w:rPr>
          <w:rFonts w:ascii="Arial" w:hAnsi="Arial" w:cs="Arial"/>
          <w:b/>
          <w:sz w:val="22"/>
          <w:szCs w:val="22"/>
          <w:lang w:val="ro-RO"/>
        </w:rPr>
        <w:t xml:space="preserve"> indicator</w:t>
      </w:r>
      <w:r w:rsidR="00D96E22" w:rsidRPr="00D96E22">
        <w:rPr>
          <w:rFonts w:ascii="Arial" w:hAnsi="Arial" w:cs="Arial"/>
          <w:b/>
          <w:sz w:val="22"/>
          <w:szCs w:val="22"/>
          <w:lang w:val="ro-RO"/>
        </w:rPr>
        <w:t>ul</w:t>
      </w:r>
      <w:r w:rsidRPr="00D96E22">
        <w:rPr>
          <w:rFonts w:ascii="Arial" w:hAnsi="Arial" w:cs="Arial"/>
          <w:b/>
          <w:sz w:val="22"/>
          <w:szCs w:val="22"/>
          <w:lang w:val="ro-RO"/>
        </w:rPr>
        <w:t xml:space="preserve"> </w:t>
      </w:r>
      <w:r w:rsidR="00EC70A4" w:rsidRPr="00D96E22">
        <w:rPr>
          <w:rFonts w:ascii="Arial" w:hAnsi="Arial" w:cs="Arial"/>
          <w:b/>
          <w:sz w:val="22"/>
          <w:szCs w:val="22"/>
          <w:lang w:val="ro-RO"/>
        </w:rPr>
        <w:t>NH</w:t>
      </w:r>
      <w:r w:rsidR="00EC70A4" w:rsidRPr="00D96E22">
        <w:rPr>
          <w:rFonts w:ascii="Arial" w:hAnsi="Arial" w:cs="Arial"/>
          <w:b/>
          <w:sz w:val="22"/>
          <w:szCs w:val="22"/>
          <w:vertAlign w:val="subscript"/>
          <w:lang w:val="ro-RO"/>
        </w:rPr>
        <w:t>3</w:t>
      </w:r>
      <w:r w:rsidR="00EC70A4" w:rsidRPr="00D96E22">
        <w:rPr>
          <w:rFonts w:ascii="Arial" w:hAnsi="Arial" w:cs="Arial"/>
          <w:b/>
          <w:sz w:val="22"/>
          <w:szCs w:val="22"/>
          <w:lang w:val="ro-RO"/>
        </w:rPr>
        <w:t xml:space="preserve"> </w:t>
      </w:r>
      <w:r w:rsidRPr="00D96E22">
        <w:rPr>
          <w:rFonts w:ascii="Arial" w:hAnsi="Arial" w:cs="Arial"/>
          <w:b/>
          <w:sz w:val="22"/>
          <w:szCs w:val="22"/>
          <w:lang w:val="ro-RO"/>
        </w:rPr>
        <w:t xml:space="preserve">monitorizați şi tendinţa liniară </w:t>
      </w:r>
      <w:r w:rsidR="00D12ACA" w:rsidRPr="00D96E22">
        <w:rPr>
          <w:rFonts w:ascii="Arial" w:hAnsi="Arial" w:cs="Arial"/>
          <w:b/>
          <w:sz w:val="22"/>
          <w:szCs w:val="22"/>
          <w:lang w:val="ro-RO"/>
        </w:rPr>
        <w:t>de evoluție</w:t>
      </w:r>
      <w:r w:rsidR="0044060E" w:rsidRPr="00D96E22">
        <w:rPr>
          <w:rFonts w:ascii="Arial" w:hAnsi="Arial" w:cs="Arial"/>
          <w:b/>
          <w:sz w:val="22"/>
          <w:szCs w:val="22"/>
          <w:lang w:val="ro-RO"/>
        </w:rPr>
        <w:t>, Bistrița</w:t>
      </w:r>
    </w:p>
    <w:p w:rsidR="006E2962" w:rsidRPr="00F308B8" w:rsidRDefault="00D96E22" w:rsidP="00755618">
      <w:pPr>
        <w:tabs>
          <w:tab w:val="left" w:pos="851"/>
          <w:tab w:val="left" w:leader="dot" w:pos="9356"/>
        </w:tabs>
        <w:jc w:val="center"/>
        <w:rPr>
          <w:rFonts w:ascii="Arial" w:hAnsi="Arial" w:cs="Arial"/>
          <w:color w:val="FF0000"/>
          <w:lang w:val="ro-RO"/>
        </w:rPr>
      </w:pPr>
      <w:r>
        <w:rPr>
          <w:noProof/>
          <w:lang w:val="en-US"/>
        </w:rPr>
        <w:drawing>
          <wp:inline distT="0" distB="0" distL="0" distR="0" wp14:anchorId="2EF03E15" wp14:editId="45C850F6">
            <wp:extent cx="4541520" cy="2270760"/>
            <wp:effectExtent l="0" t="0" r="0" b="0"/>
            <wp:docPr id="32" name="Diagramă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E2962" w:rsidRPr="00D96E22" w:rsidRDefault="006E2962" w:rsidP="00755618">
      <w:pPr>
        <w:tabs>
          <w:tab w:val="left" w:pos="851"/>
        </w:tabs>
        <w:jc w:val="center"/>
        <w:rPr>
          <w:rFonts w:ascii="Arial" w:hAnsi="Arial" w:cs="Arial"/>
          <w:lang w:val="ro-RO"/>
        </w:rPr>
      </w:pPr>
      <w:r w:rsidRPr="00D96E22">
        <w:rPr>
          <w:rFonts w:ascii="Arial" w:hAnsi="Arial" w:cs="Arial"/>
          <w:sz w:val="20"/>
          <w:szCs w:val="20"/>
          <w:lang w:val="ro-RO"/>
        </w:rPr>
        <w:t>Sursa: Agenţia pentru Protecţia Mediului Bistriţa-Năsăud</w:t>
      </w:r>
    </w:p>
    <w:p w:rsidR="003E7F4D" w:rsidRPr="00F308B8" w:rsidRDefault="003E7F4D" w:rsidP="00755618">
      <w:pPr>
        <w:tabs>
          <w:tab w:val="left" w:pos="851"/>
          <w:tab w:val="left" w:pos="4237"/>
        </w:tabs>
        <w:jc w:val="center"/>
        <w:rPr>
          <w:rFonts w:ascii="Arial" w:hAnsi="Arial" w:cs="Arial"/>
          <w:b/>
          <w:color w:val="FF0000"/>
          <w:sz w:val="22"/>
          <w:szCs w:val="22"/>
          <w:lang w:val="ro-RO"/>
        </w:rPr>
      </w:pPr>
    </w:p>
    <w:p w:rsidR="00D96E22" w:rsidRDefault="00D96E22" w:rsidP="00D96E22">
      <w:pPr>
        <w:tabs>
          <w:tab w:val="left" w:pos="851"/>
          <w:tab w:val="left" w:leader="dot" w:pos="9356"/>
        </w:tabs>
        <w:jc w:val="both"/>
        <w:rPr>
          <w:rFonts w:ascii="Arial" w:hAnsi="Arial" w:cs="Arial"/>
          <w:lang w:val="ro-RO"/>
        </w:rPr>
      </w:pPr>
      <w:r>
        <w:rPr>
          <w:rFonts w:ascii="Arial" w:hAnsi="Arial" w:cs="Arial"/>
          <w:lang w:val="ro-RO"/>
        </w:rPr>
        <w:t xml:space="preserve">La indicatorii prelevați </w:t>
      </w:r>
      <w:r w:rsidR="00D36796">
        <w:rPr>
          <w:rFonts w:ascii="Arial" w:hAnsi="Arial" w:cs="Arial"/>
          <w:lang w:val="ro-RO"/>
        </w:rPr>
        <w:t xml:space="preserve">30 minute se observă o ușoară creștere a valorilor înregistrate în 2021 comparativ cu cele din aceleași luni ale anului 2020. </w:t>
      </w:r>
      <w:r>
        <w:rPr>
          <w:rFonts w:ascii="Arial" w:hAnsi="Arial" w:cs="Arial"/>
          <w:lang w:val="ro-RO"/>
        </w:rPr>
        <w:t>Evoluția valorilor indicatorilor monitorizați prin prelevări de 30 minute se poate vedea în graficele de mai jos.</w:t>
      </w:r>
    </w:p>
    <w:p w:rsidR="00D36796" w:rsidRPr="00C078B6" w:rsidRDefault="00D36796" w:rsidP="00D96E22">
      <w:pPr>
        <w:tabs>
          <w:tab w:val="left" w:pos="851"/>
          <w:tab w:val="left" w:leader="dot" w:pos="9356"/>
        </w:tabs>
        <w:jc w:val="both"/>
        <w:rPr>
          <w:rFonts w:ascii="Arial" w:hAnsi="Arial" w:cs="Arial"/>
          <w:lang w:val="ro-RO"/>
        </w:rPr>
      </w:pPr>
    </w:p>
    <w:p w:rsidR="00D96E22" w:rsidRPr="00C078B6" w:rsidRDefault="00D96E22" w:rsidP="00D96E22">
      <w:pPr>
        <w:tabs>
          <w:tab w:val="left" w:pos="851"/>
          <w:tab w:val="left" w:leader="dot" w:pos="9356"/>
        </w:tabs>
        <w:jc w:val="center"/>
        <w:rPr>
          <w:rFonts w:ascii="Arial" w:hAnsi="Arial" w:cs="Arial"/>
          <w:b/>
          <w:sz w:val="22"/>
          <w:szCs w:val="22"/>
          <w:lang w:val="ro-RO"/>
        </w:rPr>
      </w:pPr>
      <w:r w:rsidRPr="00C078B6">
        <w:rPr>
          <w:rFonts w:ascii="Arial" w:hAnsi="Arial" w:cs="Arial"/>
          <w:b/>
          <w:sz w:val="22"/>
          <w:szCs w:val="22"/>
          <w:lang w:val="ro-RO"/>
        </w:rPr>
        <w:t>Figura I.1.1.</w:t>
      </w:r>
      <w:r w:rsidR="00C078B6" w:rsidRPr="00C078B6">
        <w:rPr>
          <w:rFonts w:ascii="Arial" w:hAnsi="Arial" w:cs="Arial"/>
          <w:b/>
          <w:sz w:val="22"/>
          <w:szCs w:val="22"/>
          <w:lang w:val="ro-RO"/>
        </w:rPr>
        <w:t>2</w:t>
      </w:r>
      <w:r w:rsidRPr="00C078B6">
        <w:rPr>
          <w:rFonts w:ascii="Arial" w:hAnsi="Arial" w:cs="Arial"/>
          <w:b/>
          <w:sz w:val="22"/>
          <w:szCs w:val="22"/>
          <w:lang w:val="ro-RO"/>
        </w:rPr>
        <w:t>.</w:t>
      </w:r>
      <w:r w:rsidR="00C078B6" w:rsidRPr="00C078B6">
        <w:rPr>
          <w:rFonts w:ascii="Arial" w:hAnsi="Arial" w:cs="Arial"/>
          <w:b/>
          <w:sz w:val="22"/>
          <w:szCs w:val="22"/>
          <w:lang w:val="ro-RO"/>
        </w:rPr>
        <w:t>8</w:t>
      </w:r>
      <w:r w:rsidRPr="00C078B6">
        <w:rPr>
          <w:rFonts w:ascii="Arial" w:hAnsi="Arial" w:cs="Arial"/>
          <w:b/>
          <w:sz w:val="22"/>
          <w:szCs w:val="22"/>
          <w:lang w:val="ro-RO"/>
        </w:rPr>
        <w:t>.</w:t>
      </w:r>
    </w:p>
    <w:p w:rsidR="00D96E22" w:rsidRPr="00C078B6" w:rsidRDefault="00D96E22" w:rsidP="00D96E22">
      <w:pPr>
        <w:tabs>
          <w:tab w:val="left" w:pos="851"/>
          <w:tab w:val="left" w:leader="dot" w:pos="9356"/>
        </w:tabs>
        <w:jc w:val="center"/>
        <w:rPr>
          <w:rFonts w:ascii="Arial" w:hAnsi="Arial" w:cs="Arial"/>
          <w:b/>
          <w:sz w:val="22"/>
          <w:szCs w:val="22"/>
          <w:lang w:val="ro-RO"/>
        </w:rPr>
      </w:pPr>
      <w:r w:rsidRPr="00C078B6">
        <w:rPr>
          <w:rFonts w:ascii="Arial" w:hAnsi="Arial" w:cs="Arial"/>
          <w:b/>
          <w:sz w:val="22"/>
          <w:szCs w:val="22"/>
          <w:lang w:val="ro-RO"/>
        </w:rPr>
        <w:t>Monitorizare manuală.</w:t>
      </w:r>
    </w:p>
    <w:p w:rsidR="00D96E22" w:rsidRPr="00013A88" w:rsidRDefault="00D96E22" w:rsidP="00D96E22">
      <w:pPr>
        <w:tabs>
          <w:tab w:val="left" w:pos="851"/>
          <w:tab w:val="left" w:leader="dot" w:pos="9356"/>
        </w:tabs>
        <w:jc w:val="center"/>
        <w:rPr>
          <w:rFonts w:ascii="Arial" w:hAnsi="Arial" w:cs="Arial"/>
          <w:b/>
          <w:sz w:val="22"/>
          <w:szCs w:val="22"/>
          <w:lang w:val="ro-RO"/>
        </w:rPr>
      </w:pPr>
      <w:r>
        <w:rPr>
          <w:rFonts w:ascii="Arial" w:hAnsi="Arial" w:cs="Arial"/>
          <w:b/>
          <w:bCs/>
          <w:sz w:val="22"/>
          <w:szCs w:val="22"/>
          <w:lang w:val="en-US"/>
        </w:rPr>
        <w:t>Evoluția c</w:t>
      </w:r>
      <w:r w:rsidRPr="00013A88">
        <w:rPr>
          <w:rFonts w:ascii="Arial" w:hAnsi="Arial" w:cs="Arial"/>
          <w:b/>
          <w:bCs/>
          <w:sz w:val="22"/>
          <w:szCs w:val="22"/>
          <w:lang w:val="en-US"/>
        </w:rPr>
        <w:t>oncentrațiil</w:t>
      </w:r>
      <w:r>
        <w:rPr>
          <w:rFonts w:ascii="Arial" w:hAnsi="Arial" w:cs="Arial"/>
          <w:b/>
          <w:bCs/>
          <w:sz w:val="22"/>
          <w:szCs w:val="22"/>
          <w:lang w:val="en-US"/>
        </w:rPr>
        <w:t>or</w:t>
      </w:r>
      <w:r w:rsidRPr="00013A88">
        <w:rPr>
          <w:rFonts w:ascii="Arial" w:hAnsi="Arial" w:cs="Arial"/>
          <w:b/>
          <w:bCs/>
          <w:sz w:val="22"/>
          <w:szCs w:val="22"/>
          <w:lang w:val="en-US"/>
        </w:rPr>
        <w:t xml:space="preserve"> medii lunare la </w:t>
      </w:r>
      <w:r w:rsidRPr="00013A88">
        <w:rPr>
          <w:rFonts w:ascii="Arial" w:hAnsi="Arial" w:cs="Arial"/>
          <w:b/>
          <w:sz w:val="22"/>
          <w:szCs w:val="22"/>
          <w:lang w:val="ro-RO"/>
        </w:rPr>
        <w:t>probel</w:t>
      </w:r>
      <w:r>
        <w:rPr>
          <w:rFonts w:ascii="Arial" w:hAnsi="Arial" w:cs="Arial"/>
          <w:b/>
          <w:sz w:val="22"/>
          <w:szCs w:val="22"/>
          <w:lang w:val="ro-RO"/>
        </w:rPr>
        <w:t>e de 30 min., 2020-</w:t>
      </w:r>
      <w:r w:rsidRPr="00013A88">
        <w:rPr>
          <w:rFonts w:ascii="Arial" w:hAnsi="Arial" w:cs="Arial"/>
          <w:b/>
          <w:sz w:val="22"/>
          <w:szCs w:val="22"/>
          <w:lang w:val="ro-RO"/>
        </w:rPr>
        <w:t xml:space="preserve"> </w:t>
      </w:r>
      <w:r>
        <w:rPr>
          <w:rFonts w:ascii="Arial" w:hAnsi="Arial" w:cs="Arial"/>
          <w:b/>
          <w:sz w:val="22"/>
          <w:szCs w:val="22"/>
          <w:lang w:val="ro-RO"/>
        </w:rPr>
        <w:t>2021</w:t>
      </w:r>
    </w:p>
    <w:p w:rsidR="00D96E22" w:rsidRDefault="00D96E22" w:rsidP="00D96E22">
      <w:pPr>
        <w:tabs>
          <w:tab w:val="left" w:pos="851"/>
          <w:tab w:val="left" w:leader="dot" w:pos="9356"/>
        </w:tabs>
        <w:jc w:val="both"/>
        <w:rPr>
          <w:rFonts w:ascii="Arial" w:hAnsi="Arial" w:cs="Arial"/>
          <w:lang w:val="ro-RO"/>
        </w:rPr>
      </w:pPr>
      <w:r>
        <w:rPr>
          <w:noProof/>
          <w:lang w:val="en-US"/>
        </w:rPr>
        <w:drawing>
          <wp:inline distT="0" distB="0" distL="0" distR="0" wp14:anchorId="0B1A3C5D" wp14:editId="088A72DC">
            <wp:extent cx="5608320" cy="2453640"/>
            <wp:effectExtent l="0" t="0" r="0" b="3810"/>
            <wp:docPr id="14" name="Diagramă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6E22" w:rsidRDefault="00D96E22" w:rsidP="00D96E22">
      <w:pPr>
        <w:rPr>
          <w:rFonts w:ascii="Arial" w:hAnsi="Arial" w:cs="Arial"/>
          <w:lang w:val="ro-RO"/>
        </w:rPr>
      </w:pPr>
      <w:r>
        <w:rPr>
          <w:noProof/>
          <w:lang w:val="en-US"/>
        </w:rPr>
        <w:drawing>
          <wp:inline distT="0" distB="0" distL="0" distR="0" wp14:anchorId="426528CE" wp14:editId="3DDB3A3B">
            <wp:extent cx="5619750" cy="2446020"/>
            <wp:effectExtent l="0" t="0" r="0" b="0"/>
            <wp:docPr id="28" name="Diagramă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6E22" w:rsidRDefault="00D96E22" w:rsidP="00D96E22">
      <w:pPr>
        <w:tabs>
          <w:tab w:val="left" w:pos="4020"/>
        </w:tabs>
        <w:rPr>
          <w:rFonts w:ascii="Arial" w:hAnsi="Arial" w:cs="Arial"/>
          <w:lang w:val="ro-RO"/>
        </w:rPr>
      </w:pPr>
      <w:r>
        <w:rPr>
          <w:rFonts w:ascii="Arial" w:hAnsi="Arial" w:cs="Arial"/>
          <w:lang w:val="ro-RO"/>
        </w:rPr>
        <w:tab/>
      </w:r>
    </w:p>
    <w:p w:rsidR="00D96E22" w:rsidRDefault="00D96E22" w:rsidP="00D96E22">
      <w:pPr>
        <w:tabs>
          <w:tab w:val="left" w:pos="4020"/>
        </w:tabs>
        <w:rPr>
          <w:rFonts w:ascii="Arial" w:hAnsi="Arial" w:cs="Arial"/>
          <w:lang w:val="ro-RO"/>
        </w:rPr>
      </w:pPr>
      <w:r>
        <w:rPr>
          <w:noProof/>
          <w:lang w:val="en-US"/>
        </w:rPr>
        <w:drawing>
          <wp:inline distT="0" distB="0" distL="0" distR="0" wp14:anchorId="1E55C9A5" wp14:editId="5C257B1C">
            <wp:extent cx="5589270" cy="2621280"/>
            <wp:effectExtent l="0" t="0" r="0" b="7620"/>
            <wp:docPr id="29" name="Diagramă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C0277" w:rsidRPr="00F308B8" w:rsidRDefault="00CC0277" w:rsidP="00755618">
      <w:pPr>
        <w:tabs>
          <w:tab w:val="left" w:pos="851"/>
          <w:tab w:val="left" w:pos="4237"/>
        </w:tabs>
        <w:jc w:val="center"/>
        <w:rPr>
          <w:rFonts w:ascii="Arial" w:hAnsi="Arial" w:cs="Arial"/>
          <w:b/>
          <w:color w:val="FF0000"/>
          <w:sz w:val="22"/>
          <w:szCs w:val="22"/>
          <w:lang w:val="ro-RO"/>
        </w:rPr>
      </w:pPr>
    </w:p>
    <w:p w:rsidR="006E2962" w:rsidRPr="00F308B8" w:rsidRDefault="006E2962" w:rsidP="00755618">
      <w:pPr>
        <w:tabs>
          <w:tab w:val="left" w:pos="851"/>
          <w:tab w:val="left" w:leader="dot" w:pos="9356"/>
        </w:tabs>
        <w:jc w:val="right"/>
        <w:rPr>
          <w:rFonts w:ascii="Arial" w:hAnsi="Arial" w:cs="Arial"/>
          <w:b/>
          <w:color w:val="FF0000"/>
          <w:lang w:val="ro-RO"/>
        </w:rPr>
      </w:pPr>
      <w:r w:rsidRPr="00F308B8">
        <w:rPr>
          <w:rFonts w:ascii="Arial" w:hAnsi="Arial" w:cs="Arial"/>
          <w:b/>
          <w:color w:val="FF0000"/>
          <w:lang w:val="ro-RO"/>
        </w:rPr>
        <w:t xml:space="preserve">   </w:t>
      </w:r>
    </w:p>
    <w:p w:rsidR="00E837C5" w:rsidRPr="00D36796" w:rsidRDefault="006E2962" w:rsidP="00755618">
      <w:pPr>
        <w:tabs>
          <w:tab w:val="left" w:pos="851"/>
          <w:tab w:val="left" w:leader="dot" w:pos="9356"/>
        </w:tabs>
        <w:jc w:val="right"/>
        <w:rPr>
          <w:rFonts w:ascii="Arial" w:hAnsi="Arial" w:cs="Arial"/>
          <w:b/>
          <w:sz w:val="22"/>
          <w:szCs w:val="22"/>
          <w:lang w:val="ro-RO"/>
        </w:rPr>
      </w:pPr>
      <w:r w:rsidRPr="00D36796">
        <w:rPr>
          <w:rFonts w:ascii="Arial" w:hAnsi="Arial" w:cs="Arial"/>
          <w:b/>
          <w:sz w:val="22"/>
          <w:szCs w:val="22"/>
          <w:lang w:val="ro-RO"/>
        </w:rPr>
        <w:t xml:space="preserve"> Întocmit,</w:t>
      </w:r>
      <w:r w:rsidR="00E67370" w:rsidRPr="00D36796">
        <w:rPr>
          <w:rFonts w:ascii="Arial" w:hAnsi="Arial" w:cs="Arial"/>
          <w:b/>
          <w:sz w:val="22"/>
          <w:szCs w:val="22"/>
          <w:lang w:val="ro-RO"/>
        </w:rPr>
        <w:t xml:space="preserve"> </w:t>
      </w:r>
    </w:p>
    <w:p w:rsidR="006E2962" w:rsidRPr="00D36796" w:rsidRDefault="006E2962" w:rsidP="00755618">
      <w:pPr>
        <w:tabs>
          <w:tab w:val="left" w:pos="851"/>
          <w:tab w:val="left" w:leader="dot" w:pos="9356"/>
        </w:tabs>
        <w:jc w:val="right"/>
        <w:rPr>
          <w:rFonts w:ascii="Arial" w:hAnsi="Arial" w:cs="Arial"/>
          <w:sz w:val="22"/>
          <w:szCs w:val="22"/>
          <w:lang w:val="ro-RO"/>
        </w:rPr>
      </w:pPr>
      <w:r w:rsidRPr="00D36796">
        <w:rPr>
          <w:rFonts w:ascii="Arial" w:hAnsi="Arial" w:cs="Arial"/>
          <w:sz w:val="22"/>
          <w:szCs w:val="22"/>
          <w:lang w:val="ro-RO"/>
        </w:rPr>
        <w:t>Ana Angela CORDOȘ</w:t>
      </w:r>
    </w:p>
    <w:p w:rsidR="00A043B1" w:rsidRDefault="00A043B1" w:rsidP="00755618">
      <w:pPr>
        <w:tabs>
          <w:tab w:val="left" w:pos="851"/>
          <w:tab w:val="left" w:leader="dot" w:pos="9356"/>
        </w:tabs>
        <w:jc w:val="center"/>
        <w:rPr>
          <w:rFonts w:ascii="Arial" w:hAnsi="Arial" w:cs="Arial"/>
          <w:b/>
          <w:color w:val="FF0000"/>
          <w:sz w:val="22"/>
          <w:szCs w:val="22"/>
          <w:lang w:val="ro-RO"/>
        </w:rPr>
      </w:pPr>
    </w:p>
    <w:p w:rsidR="00C078B6" w:rsidRPr="00F308B8" w:rsidRDefault="00C078B6" w:rsidP="00755618">
      <w:pPr>
        <w:tabs>
          <w:tab w:val="left" w:pos="851"/>
          <w:tab w:val="left" w:leader="dot" w:pos="9356"/>
        </w:tabs>
        <w:jc w:val="center"/>
        <w:rPr>
          <w:rFonts w:ascii="Arial" w:hAnsi="Arial" w:cs="Arial"/>
          <w:b/>
          <w:color w:val="FF0000"/>
          <w:sz w:val="22"/>
          <w:szCs w:val="22"/>
          <w:lang w:val="ro-RO"/>
        </w:rPr>
      </w:pPr>
    </w:p>
    <w:p w:rsidR="00CD53F6" w:rsidRPr="00F308B8" w:rsidRDefault="00CD53F6" w:rsidP="00755618">
      <w:pPr>
        <w:tabs>
          <w:tab w:val="left" w:pos="851"/>
          <w:tab w:val="left" w:leader="dot" w:pos="9356"/>
        </w:tabs>
        <w:jc w:val="center"/>
        <w:rPr>
          <w:rFonts w:ascii="Arial" w:hAnsi="Arial" w:cs="Arial"/>
          <w:b/>
          <w:color w:val="FF0000"/>
          <w:sz w:val="22"/>
          <w:szCs w:val="22"/>
          <w:lang w:val="ro-RO"/>
        </w:rPr>
      </w:pPr>
    </w:p>
    <w:p w:rsidR="00E93F2C" w:rsidRPr="00840EC9" w:rsidRDefault="00E93F2C" w:rsidP="00E93F2C">
      <w:pPr>
        <w:tabs>
          <w:tab w:val="left" w:pos="851"/>
          <w:tab w:val="left" w:leader="dot" w:pos="9356"/>
        </w:tabs>
        <w:jc w:val="center"/>
        <w:rPr>
          <w:rFonts w:ascii="Arial" w:hAnsi="Arial" w:cs="Arial"/>
          <w:b/>
          <w:sz w:val="28"/>
          <w:szCs w:val="28"/>
          <w:lang w:val="ro-RO"/>
        </w:rPr>
      </w:pPr>
      <w:r w:rsidRPr="00840EC9">
        <w:rPr>
          <w:rFonts w:ascii="Arial" w:hAnsi="Arial" w:cs="Arial"/>
          <w:b/>
          <w:sz w:val="28"/>
          <w:szCs w:val="28"/>
          <w:lang w:val="ro-RO"/>
        </w:rPr>
        <w:t>I.1.1.3. Depăşiri ale valorilor limită şi valorilor ţintă privind calitatea aerului înconjurător în zonele urbane</w:t>
      </w:r>
    </w:p>
    <w:p w:rsidR="00E93F2C" w:rsidRPr="00EA505B" w:rsidRDefault="00E93F2C" w:rsidP="00E93F2C">
      <w:pPr>
        <w:tabs>
          <w:tab w:val="left" w:pos="851"/>
          <w:tab w:val="left" w:leader="dot" w:pos="9356"/>
        </w:tabs>
        <w:rPr>
          <w:rFonts w:ascii="Arial" w:hAnsi="Arial" w:cs="Arial"/>
          <w:b/>
          <w:lang w:val="ro-RO"/>
        </w:rPr>
      </w:pPr>
    </w:p>
    <w:p w:rsidR="00E93F2C" w:rsidRPr="00EA505B" w:rsidRDefault="00E93F2C" w:rsidP="00E93F2C">
      <w:pPr>
        <w:tabs>
          <w:tab w:val="left" w:pos="662"/>
          <w:tab w:val="left" w:pos="851"/>
          <w:tab w:val="left" w:pos="2797"/>
        </w:tabs>
        <w:jc w:val="both"/>
        <w:rPr>
          <w:rFonts w:ascii="Arial" w:hAnsi="Arial" w:cs="Arial"/>
          <w:iCs/>
          <w:lang w:val="ro-RO"/>
        </w:rPr>
      </w:pPr>
      <w:r w:rsidRPr="00EA505B">
        <w:rPr>
          <w:rFonts w:ascii="Arial" w:hAnsi="Arial" w:cs="Arial"/>
          <w:b/>
          <w:lang w:val="ro-RO"/>
        </w:rPr>
        <w:tab/>
      </w:r>
      <w:r w:rsidRPr="00EA505B">
        <w:rPr>
          <w:rFonts w:ascii="Arial" w:hAnsi="Arial" w:cs="Arial"/>
          <w:lang w:val="ro-RO"/>
        </w:rPr>
        <w:t>În această secțiune se face referire la numărul de depășiri ale valorii limită zilnice pentru particule în suspensie PM10</w:t>
      </w:r>
      <w:r w:rsidRPr="00EA505B">
        <w:rPr>
          <w:rFonts w:ascii="Arial" w:hAnsi="Arial" w:cs="Arial"/>
          <w:iCs/>
          <w:lang w:val="ro-RO"/>
        </w:rPr>
        <w:t>(50μg/m</w:t>
      </w:r>
      <w:r w:rsidRPr="00EA505B">
        <w:rPr>
          <w:rFonts w:ascii="Arial" w:hAnsi="Arial" w:cs="Arial"/>
          <w:iCs/>
          <w:vertAlign w:val="superscript"/>
          <w:lang w:val="ro-RO"/>
        </w:rPr>
        <w:t>3</w:t>
      </w:r>
      <w:r w:rsidRPr="00EA505B">
        <w:rPr>
          <w:rFonts w:ascii="Arial" w:hAnsi="Arial" w:cs="Arial"/>
          <w:iCs/>
          <w:lang w:val="ro-RO"/>
        </w:rPr>
        <w:t>)</w:t>
      </w:r>
      <w:r w:rsidRPr="00EA505B">
        <w:rPr>
          <w:rFonts w:ascii="Arial" w:hAnsi="Arial" w:cs="Arial"/>
          <w:lang w:val="ro-RO"/>
        </w:rPr>
        <w:t>, respectiv la numărul de depășiri ale valorii țintă pentru O</w:t>
      </w:r>
      <w:r w:rsidRPr="00EA505B">
        <w:rPr>
          <w:rFonts w:ascii="Arial" w:hAnsi="Arial" w:cs="Arial"/>
          <w:vertAlign w:val="subscript"/>
          <w:lang w:val="ro-RO"/>
        </w:rPr>
        <w:t>3</w:t>
      </w:r>
      <w:r w:rsidRPr="00EA505B">
        <w:rPr>
          <w:rFonts w:ascii="Arial" w:hAnsi="Arial" w:cs="Arial"/>
          <w:lang w:val="ro-RO"/>
        </w:rPr>
        <w:t>(120 µ</w:t>
      </w:r>
      <w:r w:rsidRPr="00EA505B">
        <w:rPr>
          <w:rFonts w:ascii="Arial" w:hAnsi="Arial" w:cs="Arial"/>
          <w:iCs/>
          <w:lang w:val="ro-RO"/>
        </w:rPr>
        <w:t>g/m</w:t>
      </w:r>
      <w:r w:rsidRPr="00EA505B">
        <w:rPr>
          <w:rFonts w:ascii="Arial" w:hAnsi="Arial" w:cs="Arial"/>
          <w:iCs/>
          <w:vertAlign w:val="superscript"/>
          <w:lang w:val="ro-RO"/>
        </w:rPr>
        <w:t>3</w:t>
      </w:r>
      <w:r w:rsidRPr="00EA505B">
        <w:rPr>
          <w:rFonts w:ascii="Arial" w:hAnsi="Arial" w:cs="Arial"/>
          <w:iCs/>
          <w:lang w:val="ro-RO"/>
        </w:rPr>
        <w:t xml:space="preserve">). </w:t>
      </w:r>
    </w:p>
    <w:p w:rsidR="00E93F2C" w:rsidRPr="00EA505B" w:rsidRDefault="00E93F2C" w:rsidP="00E93F2C">
      <w:pPr>
        <w:tabs>
          <w:tab w:val="left" w:pos="662"/>
          <w:tab w:val="left" w:pos="851"/>
          <w:tab w:val="left" w:pos="2797"/>
        </w:tabs>
        <w:jc w:val="both"/>
        <w:rPr>
          <w:rFonts w:ascii="Arial" w:hAnsi="Arial" w:cs="Arial"/>
          <w:iCs/>
          <w:lang w:val="ro-RO"/>
        </w:rPr>
      </w:pPr>
      <w:r w:rsidRPr="00EA505B">
        <w:rPr>
          <w:rFonts w:ascii="Arial" w:hAnsi="Arial" w:cs="Arial"/>
          <w:iCs/>
          <w:lang w:val="ro-RO"/>
        </w:rPr>
        <w:tab/>
      </w:r>
    </w:p>
    <w:p w:rsidR="00E93F2C" w:rsidRPr="00EA505B" w:rsidRDefault="00E93F2C" w:rsidP="00E93F2C">
      <w:pPr>
        <w:tabs>
          <w:tab w:val="left" w:pos="662"/>
          <w:tab w:val="left" w:pos="851"/>
          <w:tab w:val="left" w:pos="2797"/>
        </w:tabs>
        <w:jc w:val="both"/>
        <w:rPr>
          <w:rFonts w:ascii="Arial" w:hAnsi="Arial" w:cs="Arial"/>
          <w:iCs/>
          <w:lang w:val="ro-RO"/>
        </w:rPr>
      </w:pPr>
      <w:r w:rsidRPr="00EA505B">
        <w:rPr>
          <w:rFonts w:ascii="Arial" w:hAnsi="Arial" w:cs="Arial"/>
          <w:b/>
          <w:iCs/>
          <w:lang w:val="ro-RO"/>
        </w:rPr>
        <w:t>Monitorizare automată</w:t>
      </w:r>
    </w:p>
    <w:p w:rsidR="00E93F2C" w:rsidRPr="00EA505B" w:rsidRDefault="00E93F2C" w:rsidP="00E93F2C">
      <w:pPr>
        <w:tabs>
          <w:tab w:val="left" w:pos="662"/>
          <w:tab w:val="left" w:pos="851"/>
          <w:tab w:val="left" w:pos="2797"/>
        </w:tabs>
        <w:jc w:val="both"/>
        <w:rPr>
          <w:rFonts w:ascii="Arial" w:hAnsi="Arial" w:cs="Arial"/>
          <w:iCs/>
          <w:lang w:val="ro-RO"/>
        </w:rPr>
      </w:pPr>
      <w:r w:rsidRPr="00EA505B">
        <w:rPr>
          <w:rFonts w:ascii="Arial" w:hAnsi="Arial" w:cs="Arial"/>
          <w:iCs/>
          <w:lang w:val="ro-RO"/>
        </w:rPr>
        <w:tab/>
        <w:t xml:space="preserve">În cursul anului 2020 </w:t>
      </w:r>
      <w:r w:rsidRPr="00EA505B">
        <w:rPr>
          <w:rFonts w:ascii="Arial" w:hAnsi="Arial" w:cs="Arial"/>
        </w:rPr>
        <w:t>s-au înregistrat 3 depășiri ale valorii limită zilnice l</w:t>
      </w:r>
      <w:r w:rsidRPr="00EA505B">
        <w:rPr>
          <w:rFonts w:ascii="Arial" w:hAnsi="Arial" w:cs="Arial"/>
          <w:iCs/>
          <w:lang w:val="ro-RO"/>
        </w:rPr>
        <w:t>a indicatorul PM10 determinat gravimetric.</w:t>
      </w:r>
    </w:p>
    <w:p w:rsidR="00E93F2C" w:rsidRPr="00EA505B" w:rsidRDefault="00E93F2C" w:rsidP="00E93F2C">
      <w:pPr>
        <w:tabs>
          <w:tab w:val="left" w:pos="662"/>
          <w:tab w:val="left" w:pos="851"/>
          <w:tab w:val="left" w:pos="2797"/>
        </w:tabs>
        <w:jc w:val="both"/>
        <w:rPr>
          <w:rFonts w:ascii="Arial" w:hAnsi="Arial" w:cs="Arial"/>
        </w:rPr>
      </w:pPr>
      <w:r w:rsidRPr="00EA505B">
        <w:rPr>
          <w:rFonts w:ascii="Arial" w:hAnsi="Arial" w:cs="Arial"/>
          <w:lang w:val="ro-RO"/>
        </w:rPr>
        <w:tab/>
      </w:r>
      <w:r w:rsidRPr="00EA505B">
        <w:rPr>
          <w:rFonts w:ascii="Arial" w:hAnsi="Arial" w:cs="Arial"/>
        </w:rPr>
        <w:t xml:space="preserve">Aceastea s-au înregistrat în cursul lunilor noiembrie și decembrie şi se datorează condiţiilor meteo nefavorabile – umiditate relativ ridicată care conduce la aglomerarea particulelor de praf din aer, calm atmosferic,  precum și temperaturi scăzute, care au condus la creșterea consumului  de combustibil folosit la incălzirea domestică. </w:t>
      </w:r>
    </w:p>
    <w:p w:rsidR="00743B28" w:rsidRPr="00F308B8" w:rsidRDefault="00743B28" w:rsidP="00755618">
      <w:pPr>
        <w:tabs>
          <w:tab w:val="left" w:pos="851"/>
          <w:tab w:val="left" w:leader="dot" w:pos="9356"/>
        </w:tabs>
        <w:rPr>
          <w:rFonts w:ascii="Arial" w:hAnsi="Arial" w:cs="Arial"/>
          <w:b/>
          <w:color w:val="FF0000"/>
          <w:lang w:val="ro-RO"/>
        </w:rPr>
      </w:pPr>
    </w:p>
    <w:p w:rsidR="00CD53F6" w:rsidRPr="00F308B8" w:rsidRDefault="00CD53F6" w:rsidP="00755618">
      <w:pPr>
        <w:tabs>
          <w:tab w:val="left" w:pos="851"/>
          <w:tab w:val="left" w:leader="dot" w:pos="9356"/>
        </w:tabs>
        <w:rPr>
          <w:rFonts w:ascii="Arial" w:hAnsi="Arial" w:cs="Arial"/>
          <w:b/>
          <w:color w:val="FF0000"/>
          <w:lang w:val="ro-RO"/>
        </w:rPr>
      </w:pPr>
    </w:p>
    <w:p w:rsidR="00E93F2C" w:rsidRPr="00840EC9" w:rsidRDefault="00E93F2C" w:rsidP="00E93F2C">
      <w:pPr>
        <w:tabs>
          <w:tab w:val="left" w:pos="0"/>
          <w:tab w:val="left" w:pos="851"/>
          <w:tab w:val="left" w:leader="dot" w:pos="9356"/>
        </w:tabs>
        <w:jc w:val="center"/>
        <w:rPr>
          <w:rFonts w:ascii="Arial" w:hAnsi="Arial" w:cs="Arial"/>
          <w:b/>
          <w:caps/>
          <w:sz w:val="28"/>
          <w:szCs w:val="28"/>
          <w:lang w:val="ro-RO"/>
        </w:rPr>
      </w:pPr>
      <w:r w:rsidRPr="00840EC9">
        <w:rPr>
          <w:rFonts w:ascii="Arial" w:hAnsi="Arial" w:cs="Arial"/>
          <w:b/>
          <w:caps/>
          <w:sz w:val="28"/>
          <w:szCs w:val="28"/>
          <w:lang w:val="ro-RO"/>
        </w:rPr>
        <w:t>I.1.2. Efectele poluării aerului înconjurător</w:t>
      </w:r>
    </w:p>
    <w:p w:rsidR="00E93F2C" w:rsidRPr="00EA505B" w:rsidRDefault="00E93F2C" w:rsidP="00E93F2C">
      <w:pPr>
        <w:tabs>
          <w:tab w:val="left" w:pos="0"/>
          <w:tab w:val="left" w:pos="851"/>
          <w:tab w:val="left" w:leader="dot" w:pos="9356"/>
        </w:tabs>
        <w:rPr>
          <w:rFonts w:ascii="Arial" w:hAnsi="Arial" w:cs="Arial"/>
          <w:b/>
          <w:i/>
          <w:sz w:val="28"/>
          <w:szCs w:val="28"/>
          <w:lang w:val="ro-RO"/>
        </w:rPr>
      </w:pPr>
    </w:p>
    <w:p w:rsidR="00E93F2C" w:rsidRPr="00840EC9" w:rsidRDefault="00E93F2C" w:rsidP="00E93F2C">
      <w:pPr>
        <w:tabs>
          <w:tab w:val="left" w:pos="851"/>
          <w:tab w:val="left" w:leader="dot" w:pos="9356"/>
        </w:tabs>
        <w:jc w:val="center"/>
        <w:rPr>
          <w:rFonts w:ascii="Arial" w:hAnsi="Arial" w:cs="Arial"/>
          <w:b/>
          <w:sz w:val="28"/>
          <w:szCs w:val="28"/>
          <w:lang w:val="ro-RO"/>
        </w:rPr>
      </w:pPr>
      <w:r w:rsidRPr="00840EC9">
        <w:rPr>
          <w:rFonts w:ascii="Arial" w:hAnsi="Arial" w:cs="Arial"/>
          <w:b/>
          <w:sz w:val="28"/>
          <w:szCs w:val="28"/>
          <w:lang w:val="ro-RO"/>
        </w:rPr>
        <w:t>I.1.2.1. Efectele poluării aerului înconjurător asupra sănătăţii</w:t>
      </w:r>
    </w:p>
    <w:p w:rsidR="00E93F2C" w:rsidRPr="00EA505B" w:rsidRDefault="00E93F2C" w:rsidP="00E93F2C">
      <w:pPr>
        <w:tabs>
          <w:tab w:val="left" w:pos="851"/>
          <w:tab w:val="left" w:leader="dot" w:pos="9356"/>
        </w:tabs>
        <w:rPr>
          <w:rFonts w:ascii="Arial" w:hAnsi="Arial" w:cs="Arial"/>
          <w:b/>
          <w:lang w:val="ro-RO"/>
        </w:rPr>
      </w:pPr>
    </w:p>
    <w:p w:rsidR="00E93F2C" w:rsidRPr="00EA505B" w:rsidRDefault="00E93F2C" w:rsidP="00E93F2C">
      <w:pPr>
        <w:tabs>
          <w:tab w:val="left" w:pos="851"/>
          <w:tab w:val="left" w:pos="3939"/>
        </w:tabs>
        <w:jc w:val="both"/>
        <w:rPr>
          <w:rFonts w:ascii="Arial" w:hAnsi="Arial" w:cs="Arial"/>
          <w:lang w:val="ro-RO"/>
        </w:rPr>
      </w:pPr>
      <w:r w:rsidRPr="00EA505B">
        <w:rPr>
          <w:rFonts w:ascii="Arial" w:hAnsi="Arial" w:cs="Arial"/>
          <w:lang w:val="ro-RO"/>
        </w:rPr>
        <w:tab/>
        <w:t>În această secțiune se face referire la procentul populației urbane expusă la concentrații ale poluanților în aerul înconjurător (SO</w:t>
      </w:r>
      <w:r w:rsidRPr="00EA505B">
        <w:rPr>
          <w:rFonts w:ascii="Arial" w:hAnsi="Arial" w:cs="Arial"/>
          <w:vertAlign w:val="subscript"/>
          <w:lang w:val="ro-RO"/>
        </w:rPr>
        <w:t>2</w:t>
      </w:r>
      <w:r w:rsidRPr="00EA505B">
        <w:rPr>
          <w:rFonts w:ascii="Arial" w:hAnsi="Arial" w:cs="Arial"/>
          <w:lang w:val="ro-RO"/>
        </w:rPr>
        <w:t>, NO</w:t>
      </w:r>
      <w:r w:rsidRPr="00EA505B">
        <w:rPr>
          <w:rFonts w:ascii="Arial" w:hAnsi="Arial" w:cs="Arial"/>
          <w:vertAlign w:val="subscript"/>
          <w:lang w:val="ro-RO"/>
        </w:rPr>
        <w:t>2</w:t>
      </w:r>
      <w:r w:rsidRPr="00EA505B">
        <w:rPr>
          <w:rFonts w:ascii="Arial" w:hAnsi="Arial" w:cs="Arial"/>
          <w:lang w:val="ro-RO"/>
        </w:rPr>
        <w:t>, CO, C</w:t>
      </w:r>
      <w:r w:rsidRPr="00EA505B">
        <w:rPr>
          <w:rFonts w:ascii="Arial" w:hAnsi="Arial" w:cs="Arial"/>
          <w:vertAlign w:val="subscript"/>
          <w:lang w:val="ro-RO"/>
        </w:rPr>
        <w:t>6</w:t>
      </w:r>
      <w:r w:rsidRPr="00EA505B">
        <w:rPr>
          <w:rFonts w:ascii="Arial" w:hAnsi="Arial" w:cs="Arial"/>
          <w:lang w:val="ro-RO"/>
        </w:rPr>
        <w:t>H</w:t>
      </w:r>
      <w:r w:rsidRPr="00EA505B">
        <w:rPr>
          <w:rFonts w:ascii="Arial" w:hAnsi="Arial" w:cs="Arial"/>
          <w:vertAlign w:val="subscript"/>
          <w:lang w:val="ro-RO"/>
        </w:rPr>
        <w:t>6</w:t>
      </w:r>
      <w:r w:rsidRPr="00EA505B">
        <w:rPr>
          <w:rFonts w:ascii="Arial" w:hAnsi="Arial" w:cs="Arial"/>
          <w:lang w:val="ro-RO"/>
        </w:rPr>
        <w:t>, O</w:t>
      </w:r>
      <w:r w:rsidRPr="00EA505B">
        <w:rPr>
          <w:rFonts w:ascii="Arial" w:hAnsi="Arial" w:cs="Arial"/>
          <w:vertAlign w:val="subscript"/>
          <w:lang w:val="ro-RO"/>
        </w:rPr>
        <w:t>3</w:t>
      </w:r>
      <w:r w:rsidRPr="00EA505B">
        <w:rPr>
          <w:rFonts w:ascii="Arial" w:hAnsi="Arial" w:cs="Arial"/>
          <w:lang w:val="ro-RO"/>
        </w:rPr>
        <w:t>, PM10) ce depășesc valorile limită/ valoarea țintă (în cazul O</w:t>
      </w:r>
      <w:r w:rsidRPr="00EA505B">
        <w:rPr>
          <w:rFonts w:ascii="Arial" w:hAnsi="Arial" w:cs="Arial"/>
          <w:vertAlign w:val="subscript"/>
          <w:lang w:val="ro-RO"/>
        </w:rPr>
        <w:t>3</w:t>
      </w:r>
      <w:r w:rsidRPr="00EA505B">
        <w:rPr>
          <w:rFonts w:ascii="Arial" w:hAnsi="Arial" w:cs="Arial"/>
          <w:lang w:val="ro-RO"/>
        </w:rPr>
        <w:t>-ului) stabilite pentru protecția sănătății umane pentru minim ultimi cinci ani, precum și la evoluția procentului din populația urbană expusă la afectarea sănătății datorită depășirii valorilor limită ale poluanților atmosferici în ultimi cinci ani.</w:t>
      </w:r>
    </w:p>
    <w:p w:rsidR="00E93F2C" w:rsidRPr="00EA505B" w:rsidRDefault="00E93F2C" w:rsidP="00E93F2C">
      <w:pPr>
        <w:tabs>
          <w:tab w:val="left" w:pos="851"/>
          <w:tab w:val="left" w:leader="dot" w:pos="9356"/>
        </w:tabs>
        <w:jc w:val="both"/>
        <w:rPr>
          <w:rFonts w:ascii="Arial" w:hAnsi="Arial" w:cs="Arial"/>
          <w:lang w:val="ro-RO"/>
        </w:rPr>
      </w:pPr>
      <w:r w:rsidRPr="00EA505B">
        <w:rPr>
          <w:rFonts w:ascii="Arial" w:hAnsi="Arial" w:cs="Arial"/>
          <w:lang w:val="ro-RO"/>
        </w:rPr>
        <w:tab/>
        <w:t>Se consideră că sunt înregistrate depășiri ale valorilor limită a concentrațiilor de poluanți din aerul înconjurător dacă este depășit numărul permis de depășiri pentru fiecare poluant (vezi cap. I.1.1.1 - Nivelul concentraţiilor medii anuale ale poluanţilor atmosferici în aerul înconjurător).</w:t>
      </w:r>
    </w:p>
    <w:p w:rsidR="00E93F2C" w:rsidRPr="00EA505B" w:rsidRDefault="00E93F2C" w:rsidP="00E93F2C">
      <w:pPr>
        <w:tabs>
          <w:tab w:val="left" w:pos="851"/>
          <w:tab w:val="left" w:pos="3939"/>
        </w:tabs>
        <w:jc w:val="both"/>
        <w:rPr>
          <w:rFonts w:ascii="Arial" w:hAnsi="Arial" w:cs="Arial"/>
          <w:strike/>
          <w:lang w:val="ro-RO"/>
        </w:rPr>
      </w:pPr>
      <w:r w:rsidRPr="00EA505B">
        <w:rPr>
          <w:rFonts w:ascii="Arial" w:hAnsi="Arial" w:cs="Arial"/>
          <w:lang w:val="ro-RO"/>
        </w:rPr>
        <w:tab/>
        <w:t>În cazul datelor înregistrate la stația BN1 nu s-a depășit numărul permis de depășiri la nici un poluant în ultimii cinci ani, ca urmare ne se poate vorbi despre afectarea stării de sănătate a populației datorită depășirii valorilor limită ale poluanților atmosferici.</w:t>
      </w:r>
    </w:p>
    <w:p w:rsidR="00E93F2C" w:rsidRPr="00EA505B" w:rsidRDefault="00E93F2C" w:rsidP="00E93F2C">
      <w:pPr>
        <w:tabs>
          <w:tab w:val="left" w:pos="851"/>
        </w:tabs>
        <w:jc w:val="both"/>
        <w:rPr>
          <w:rFonts w:ascii="Arial" w:hAnsi="Arial" w:cs="Arial"/>
          <w:lang w:val="ro-RO"/>
        </w:rPr>
      </w:pPr>
    </w:p>
    <w:p w:rsidR="00E93F2C" w:rsidRPr="00840EC9" w:rsidRDefault="00E93F2C" w:rsidP="00E93F2C">
      <w:pPr>
        <w:tabs>
          <w:tab w:val="left" w:pos="851"/>
          <w:tab w:val="left" w:leader="dot" w:pos="9356"/>
        </w:tabs>
        <w:jc w:val="center"/>
        <w:rPr>
          <w:rFonts w:ascii="Arial" w:hAnsi="Arial" w:cs="Arial"/>
          <w:b/>
          <w:sz w:val="28"/>
          <w:szCs w:val="28"/>
          <w:lang w:val="ro-RO"/>
        </w:rPr>
      </w:pPr>
      <w:r w:rsidRPr="00840EC9">
        <w:rPr>
          <w:rFonts w:ascii="Arial" w:hAnsi="Arial" w:cs="Arial"/>
          <w:b/>
          <w:sz w:val="28"/>
          <w:szCs w:val="28"/>
          <w:lang w:val="ro-RO"/>
        </w:rPr>
        <w:t>I.1.2.2. Efectele poluării aerului înconjurător asupra ecosistemelor</w:t>
      </w:r>
    </w:p>
    <w:p w:rsidR="00E93F2C" w:rsidRPr="00EA505B" w:rsidRDefault="00E93F2C" w:rsidP="00E93F2C">
      <w:pPr>
        <w:tabs>
          <w:tab w:val="left" w:pos="851"/>
          <w:tab w:val="left" w:leader="dot" w:pos="9356"/>
        </w:tabs>
        <w:rPr>
          <w:rFonts w:ascii="Arial" w:hAnsi="Arial" w:cs="Arial"/>
          <w:lang w:val="ro-RO"/>
        </w:rPr>
      </w:pPr>
      <w:r w:rsidRPr="00EA505B">
        <w:rPr>
          <w:rFonts w:ascii="Arial" w:hAnsi="Arial" w:cs="Arial"/>
          <w:lang w:val="ro-RO"/>
        </w:rPr>
        <w:t>Nu este cazul.</w:t>
      </w:r>
    </w:p>
    <w:p w:rsidR="00E93F2C" w:rsidRPr="00840EC9" w:rsidRDefault="00E93F2C" w:rsidP="00E93F2C">
      <w:pPr>
        <w:tabs>
          <w:tab w:val="left" w:pos="851"/>
          <w:tab w:val="left" w:leader="dot" w:pos="9356"/>
        </w:tabs>
        <w:rPr>
          <w:rFonts w:ascii="Arial" w:hAnsi="Arial" w:cs="Arial"/>
          <w:b/>
          <w:sz w:val="28"/>
          <w:szCs w:val="28"/>
          <w:lang w:val="ro-RO"/>
        </w:rPr>
      </w:pPr>
    </w:p>
    <w:p w:rsidR="00E93F2C" w:rsidRPr="00840EC9" w:rsidRDefault="00E93F2C" w:rsidP="00E93F2C">
      <w:pPr>
        <w:tabs>
          <w:tab w:val="left" w:pos="851"/>
          <w:tab w:val="left" w:leader="dot" w:pos="9356"/>
        </w:tabs>
        <w:jc w:val="center"/>
        <w:rPr>
          <w:rFonts w:ascii="Arial" w:hAnsi="Arial" w:cs="Arial"/>
          <w:b/>
          <w:sz w:val="28"/>
          <w:szCs w:val="28"/>
          <w:lang w:val="ro-RO"/>
        </w:rPr>
      </w:pPr>
      <w:r w:rsidRPr="00840EC9">
        <w:rPr>
          <w:rFonts w:ascii="Arial" w:hAnsi="Arial" w:cs="Arial"/>
          <w:b/>
          <w:sz w:val="28"/>
          <w:szCs w:val="28"/>
          <w:lang w:val="ro-RO"/>
        </w:rPr>
        <w:t>I.1.2.3. Efectele poluării aerului înconjurător asupra solului şi vegetaţiei</w:t>
      </w:r>
    </w:p>
    <w:p w:rsidR="00E93F2C" w:rsidRPr="00EA505B" w:rsidRDefault="00E93F2C" w:rsidP="00E93F2C">
      <w:pPr>
        <w:tabs>
          <w:tab w:val="left" w:pos="851"/>
        </w:tabs>
        <w:jc w:val="both"/>
        <w:rPr>
          <w:rFonts w:ascii="Arial" w:hAnsi="Arial" w:cs="Arial"/>
          <w:lang w:val="ro-RO"/>
        </w:rPr>
      </w:pPr>
      <w:r w:rsidRPr="00EA505B">
        <w:rPr>
          <w:rFonts w:ascii="Arial" w:hAnsi="Arial" w:cs="Arial"/>
          <w:lang w:val="ro-RO"/>
        </w:rPr>
        <w:t>Nu este cazul.</w:t>
      </w:r>
    </w:p>
    <w:p w:rsidR="00E93F2C" w:rsidRPr="00EA505B" w:rsidRDefault="00E93F2C" w:rsidP="00E93F2C">
      <w:pPr>
        <w:tabs>
          <w:tab w:val="left" w:pos="851"/>
          <w:tab w:val="left" w:leader="dot" w:pos="9356"/>
        </w:tabs>
        <w:jc w:val="right"/>
        <w:rPr>
          <w:rFonts w:ascii="Arial" w:hAnsi="Arial" w:cs="Arial"/>
          <w:b/>
          <w:sz w:val="22"/>
          <w:szCs w:val="22"/>
          <w:lang w:val="ro-RO"/>
        </w:rPr>
      </w:pPr>
      <w:r w:rsidRPr="00EA505B">
        <w:rPr>
          <w:rFonts w:ascii="Arial" w:hAnsi="Arial" w:cs="Arial"/>
          <w:b/>
          <w:lang w:val="ro-RO"/>
        </w:rPr>
        <w:t xml:space="preserve">    </w:t>
      </w:r>
      <w:r w:rsidRPr="00EA505B">
        <w:rPr>
          <w:rFonts w:ascii="Arial" w:hAnsi="Arial" w:cs="Arial"/>
          <w:b/>
          <w:sz w:val="22"/>
          <w:szCs w:val="22"/>
          <w:lang w:val="ro-RO"/>
        </w:rPr>
        <w:t>Întocmit,</w:t>
      </w:r>
    </w:p>
    <w:p w:rsidR="00E93F2C" w:rsidRPr="00EA505B" w:rsidRDefault="00E93F2C" w:rsidP="00E93F2C">
      <w:pPr>
        <w:tabs>
          <w:tab w:val="left" w:pos="851"/>
          <w:tab w:val="left" w:leader="dot" w:pos="9356"/>
        </w:tabs>
        <w:jc w:val="right"/>
        <w:rPr>
          <w:rFonts w:ascii="Arial" w:hAnsi="Arial" w:cs="Arial"/>
          <w:sz w:val="22"/>
          <w:szCs w:val="22"/>
          <w:lang w:val="ro-RO"/>
        </w:rPr>
      </w:pPr>
      <w:r w:rsidRPr="00EA505B">
        <w:rPr>
          <w:rFonts w:ascii="Arial" w:hAnsi="Arial" w:cs="Arial"/>
          <w:sz w:val="22"/>
          <w:szCs w:val="22"/>
          <w:lang w:val="ro-RO"/>
        </w:rPr>
        <w:t>Carmen MIZGAN</w:t>
      </w:r>
    </w:p>
    <w:p w:rsidR="008433CC" w:rsidRPr="00F308B8" w:rsidRDefault="008433CC" w:rsidP="00755618">
      <w:pPr>
        <w:tabs>
          <w:tab w:val="left" w:pos="851"/>
          <w:tab w:val="left" w:leader="dot" w:pos="9356"/>
        </w:tabs>
        <w:rPr>
          <w:rFonts w:ascii="Arial" w:hAnsi="Arial" w:cs="Arial"/>
          <w:b/>
          <w:color w:val="FF0000"/>
          <w:lang w:val="ro-RO"/>
        </w:rPr>
      </w:pPr>
    </w:p>
    <w:p w:rsidR="008433CC" w:rsidRPr="00F308B8" w:rsidRDefault="008433CC" w:rsidP="00755618">
      <w:pPr>
        <w:tabs>
          <w:tab w:val="left" w:pos="851"/>
          <w:tab w:val="left" w:leader="dot" w:pos="9356"/>
        </w:tabs>
        <w:rPr>
          <w:rFonts w:ascii="Arial" w:hAnsi="Arial" w:cs="Arial"/>
          <w:b/>
          <w:color w:val="FF0000"/>
          <w:lang w:val="ro-RO"/>
        </w:rPr>
      </w:pPr>
    </w:p>
    <w:p w:rsidR="00517EAC" w:rsidRDefault="00517EAC" w:rsidP="00755618">
      <w:pPr>
        <w:tabs>
          <w:tab w:val="left" w:pos="851"/>
          <w:tab w:val="left" w:leader="dot" w:pos="9356"/>
        </w:tabs>
        <w:rPr>
          <w:rFonts w:ascii="Arial" w:hAnsi="Arial" w:cs="Arial"/>
          <w:b/>
          <w:color w:val="FF0000"/>
          <w:lang w:val="ro-RO"/>
        </w:rPr>
      </w:pPr>
    </w:p>
    <w:p w:rsidR="00D14A8E" w:rsidRDefault="00D14A8E" w:rsidP="00755618">
      <w:pPr>
        <w:tabs>
          <w:tab w:val="left" w:pos="851"/>
          <w:tab w:val="left" w:leader="dot" w:pos="9356"/>
        </w:tabs>
        <w:rPr>
          <w:rFonts w:ascii="Arial" w:hAnsi="Arial" w:cs="Arial"/>
          <w:b/>
          <w:color w:val="FF0000"/>
          <w:lang w:val="ro-RO"/>
        </w:rPr>
      </w:pPr>
    </w:p>
    <w:p w:rsidR="00D14A8E" w:rsidRPr="00F308B8" w:rsidRDefault="00D14A8E" w:rsidP="00755618">
      <w:pPr>
        <w:tabs>
          <w:tab w:val="left" w:pos="851"/>
          <w:tab w:val="left" w:leader="dot" w:pos="9356"/>
        </w:tabs>
        <w:rPr>
          <w:rFonts w:ascii="Arial" w:hAnsi="Arial" w:cs="Arial"/>
          <w:b/>
          <w:color w:val="FF0000"/>
          <w:lang w:val="ro-RO"/>
        </w:rPr>
      </w:pPr>
    </w:p>
    <w:p w:rsidR="00517EAC" w:rsidRPr="00F308B8" w:rsidRDefault="00517EAC" w:rsidP="00755618">
      <w:pPr>
        <w:tabs>
          <w:tab w:val="left" w:pos="851"/>
          <w:tab w:val="left" w:leader="dot" w:pos="9356"/>
        </w:tabs>
        <w:rPr>
          <w:rFonts w:ascii="Arial" w:hAnsi="Arial" w:cs="Arial"/>
          <w:b/>
          <w:color w:val="FF0000"/>
          <w:lang w:val="ro-RO"/>
        </w:rPr>
      </w:pPr>
    </w:p>
    <w:p w:rsidR="00CD53F6" w:rsidRPr="00F308B8" w:rsidRDefault="00CD53F6" w:rsidP="00755618">
      <w:pPr>
        <w:tabs>
          <w:tab w:val="left" w:pos="851"/>
          <w:tab w:val="left" w:leader="dot" w:pos="9356"/>
        </w:tabs>
        <w:rPr>
          <w:rFonts w:ascii="Arial" w:hAnsi="Arial" w:cs="Arial"/>
          <w:b/>
          <w:color w:val="FF0000"/>
          <w:lang w:val="ro-RO"/>
        </w:rPr>
      </w:pPr>
    </w:p>
    <w:p w:rsidR="006E2962" w:rsidRPr="003B4930" w:rsidRDefault="006E2962" w:rsidP="00755618">
      <w:pPr>
        <w:tabs>
          <w:tab w:val="left" w:pos="851"/>
          <w:tab w:val="left" w:leader="dot" w:pos="9356"/>
        </w:tabs>
        <w:jc w:val="center"/>
        <w:rPr>
          <w:rFonts w:ascii="Arial" w:hAnsi="Arial" w:cs="Arial"/>
          <w:b/>
          <w:caps/>
          <w:sz w:val="32"/>
          <w:szCs w:val="32"/>
          <w:lang w:val="ro-RO"/>
        </w:rPr>
      </w:pPr>
      <w:r w:rsidRPr="003B4930">
        <w:rPr>
          <w:rFonts w:ascii="Arial" w:hAnsi="Arial" w:cs="Arial"/>
          <w:b/>
          <w:caps/>
          <w:sz w:val="32"/>
          <w:szCs w:val="32"/>
          <w:lang w:val="ro-RO"/>
        </w:rPr>
        <w:t>I.2. Factorii determinanţi şi presiunile care afectează</w:t>
      </w:r>
    </w:p>
    <w:p w:rsidR="006E2962" w:rsidRPr="003B4930" w:rsidRDefault="006E2962" w:rsidP="00755618">
      <w:pPr>
        <w:tabs>
          <w:tab w:val="left" w:pos="851"/>
          <w:tab w:val="left" w:leader="dot" w:pos="9356"/>
        </w:tabs>
        <w:jc w:val="center"/>
        <w:rPr>
          <w:rFonts w:ascii="Arial" w:hAnsi="Arial" w:cs="Arial"/>
          <w:b/>
          <w:caps/>
          <w:sz w:val="32"/>
          <w:szCs w:val="32"/>
          <w:lang w:val="ro-RO"/>
        </w:rPr>
      </w:pPr>
      <w:r w:rsidRPr="003B4930">
        <w:rPr>
          <w:rFonts w:ascii="Arial" w:hAnsi="Arial" w:cs="Arial"/>
          <w:b/>
          <w:caps/>
          <w:sz w:val="32"/>
          <w:szCs w:val="32"/>
          <w:lang w:val="ro-RO"/>
        </w:rPr>
        <w:t>starea de calitate a aerului înconjurător</w:t>
      </w:r>
    </w:p>
    <w:p w:rsidR="00511BE0" w:rsidRPr="003B4930" w:rsidRDefault="00511BE0" w:rsidP="00755618">
      <w:pPr>
        <w:tabs>
          <w:tab w:val="left" w:pos="851"/>
          <w:tab w:val="left" w:leader="dot" w:pos="9356"/>
        </w:tabs>
        <w:jc w:val="both"/>
        <w:rPr>
          <w:rFonts w:ascii="Arial" w:hAnsi="Arial" w:cs="Arial"/>
          <w:lang w:val="ro-RO"/>
        </w:rPr>
      </w:pPr>
    </w:p>
    <w:p w:rsidR="00743B28" w:rsidRPr="003B4930" w:rsidRDefault="00743B28" w:rsidP="00755618">
      <w:pPr>
        <w:tabs>
          <w:tab w:val="left" w:pos="851"/>
          <w:tab w:val="left" w:leader="dot" w:pos="9356"/>
        </w:tabs>
        <w:jc w:val="both"/>
        <w:rPr>
          <w:rFonts w:ascii="Arial" w:hAnsi="Arial" w:cs="Arial"/>
          <w:lang w:val="ro-RO"/>
        </w:rPr>
      </w:pPr>
      <w:r w:rsidRPr="003B4930">
        <w:rPr>
          <w:rFonts w:ascii="Arial" w:hAnsi="Arial" w:cs="Arial"/>
          <w:lang w:val="ro-RO"/>
        </w:rPr>
        <w:tab/>
      </w:r>
      <w:r w:rsidR="003B4930" w:rsidRPr="003B4930">
        <w:rPr>
          <w:rFonts w:ascii="Arial" w:hAnsi="Arial" w:cs="Arial"/>
          <w:lang w:val="ro-RO"/>
        </w:rPr>
        <w:t xml:space="preserve">Una din metodele prin care se determină presiunile care afectează starea de calitate a aerului înconjurător sunt inventarele de emisii. </w:t>
      </w:r>
      <w:r w:rsidRPr="003B4930">
        <w:rPr>
          <w:rFonts w:ascii="Arial" w:hAnsi="Arial" w:cs="Arial"/>
          <w:lang w:val="ro-RO"/>
        </w:rPr>
        <w:t>Prin inventarele de emisii se estimează tipurile și cantitățile de poluanți emişi pornind de la datele de consum și/sau producție colectate de la populație, instituții, operatori economici. Determinarea cantităților de poluați se face fie prin utilizarea factorilor de emisii fie pe baza analizelor directe sau a bilanțurilor de masă.</w:t>
      </w:r>
    </w:p>
    <w:p w:rsidR="00743B28" w:rsidRPr="003B4930" w:rsidRDefault="00743B28" w:rsidP="00755618">
      <w:pPr>
        <w:tabs>
          <w:tab w:val="left" w:pos="851"/>
          <w:tab w:val="left" w:leader="dot" w:pos="9356"/>
        </w:tabs>
        <w:jc w:val="both"/>
        <w:rPr>
          <w:rFonts w:ascii="Arial" w:hAnsi="Arial" w:cs="Arial"/>
          <w:lang w:val="ro-RO"/>
        </w:rPr>
      </w:pPr>
      <w:r w:rsidRPr="003B4930">
        <w:rPr>
          <w:rFonts w:ascii="Arial" w:hAnsi="Arial" w:cs="Arial"/>
          <w:lang w:val="ro-RO"/>
        </w:rPr>
        <w:tab/>
        <w:t xml:space="preserve">Ponderea unor poluanți sau a unor activităţi este legată de dinamica economică a zonei inventariate, ea putându-se schimba de la un an la altul funcţie de tipurile de activităţi care s-au desfăşurat sau dezvoltat. </w:t>
      </w:r>
    </w:p>
    <w:p w:rsidR="00743B28" w:rsidRPr="00641105" w:rsidRDefault="0066507B" w:rsidP="00755618">
      <w:pPr>
        <w:tabs>
          <w:tab w:val="left" w:pos="851"/>
          <w:tab w:val="left" w:leader="dot" w:pos="9356"/>
        </w:tabs>
        <w:jc w:val="both"/>
        <w:rPr>
          <w:rFonts w:ascii="Arial" w:hAnsi="Arial" w:cs="Arial"/>
          <w:lang w:val="ro-RO"/>
        </w:rPr>
      </w:pPr>
      <w:r w:rsidRPr="00641105">
        <w:rPr>
          <w:rFonts w:ascii="Arial" w:hAnsi="Arial" w:cs="Arial"/>
          <w:lang w:val="ro-RO"/>
        </w:rPr>
        <w:tab/>
      </w:r>
      <w:r w:rsidR="00641105" w:rsidRPr="00641105">
        <w:rPr>
          <w:rFonts w:ascii="Arial" w:hAnsi="Arial" w:cs="Arial"/>
          <w:lang w:val="ro-RO"/>
        </w:rPr>
        <w:t>Pentru</w:t>
      </w:r>
      <w:r w:rsidRPr="00641105">
        <w:rPr>
          <w:rFonts w:ascii="Arial" w:hAnsi="Arial" w:cs="Arial"/>
          <w:lang w:val="ro-RO"/>
        </w:rPr>
        <w:t xml:space="preserve"> inventarul de emisii pe anul </w:t>
      </w:r>
      <w:r w:rsidR="00CA572B" w:rsidRPr="00641105">
        <w:rPr>
          <w:rFonts w:ascii="Arial" w:hAnsi="Arial" w:cs="Arial"/>
          <w:lang w:val="ro-RO"/>
        </w:rPr>
        <w:t>2021</w:t>
      </w:r>
      <w:r w:rsidR="00641105" w:rsidRPr="00641105">
        <w:rPr>
          <w:rFonts w:ascii="Arial" w:hAnsi="Arial" w:cs="Arial"/>
          <w:lang w:val="ro-RO"/>
        </w:rPr>
        <w:t xml:space="preserve"> au furnizat date un numar de 106 operatori și 37 u.a.t.-uri.</w:t>
      </w:r>
    </w:p>
    <w:p w:rsidR="00743B28" w:rsidRPr="005964E0" w:rsidRDefault="00743B28" w:rsidP="00755618">
      <w:pPr>
        <w:tabs>
          <w:tab w:val="left" w:pos="851"/>
          <w:tab w:val="left" w:pos="1134"/>
          <w:tab w:val="left" w:leader="dot" w:pos="9356"/>
        </w:tabs>
        <w:jc w:val="both"/>
        <w:rPr>
          <w:rFonts w:ascii="Algerian" w:hAnsi="Algerian" w:cs="Arial"/>
          <w:lang w:val="ro-RO"/>
        </w:rPr>
      </w:pPr>
    </w:p>
    <w:p w:rsidR="00743B28" w:rsidRPr="005964E0" w:rsidRDefault="00743B28" w:rsidP="00755618">
      <w:pPr>
        <w:tabs>
          <w:tab w:val="left" w:pos="851"/>
          <w:tab w:val="left" w:pos="1134"/>
          <w:tab w:val="left" w:leader="dot" w:pos="9356"/>
        </w:tabs>
        <w:jc w:val="center"/>
        <w:rPr>
          <w:rFonts w:ascii="Arial" w:hAnsi="Arial" w:cs="Arial"/>
          <w:b/>
          <w:sz w:val="28"/>
          <w:szCs w:val="28"/>
          <w:lang w:val="ro-RO"/>
        </w:rPr>
      </w:pPr>
      <w:r w:rsidRPr="005964E0">
        <w:rPr>
          <w:rFonts w:ascii="Arial" w:hAnsi="Arial" w:cs="Arial"/>
          <w:b/>
          <w:sz w:val="28"/>
          <w:szCs w:val="28"/>
          <w:lang w:val="ro-RO"/>
        </w:rPr>
        <w:t>I.2.1. Emisiile de poluanţi atmosferici</w:t>
      </w:r>
    </w:p>
    <w:p w:rsidR="00743B28" w:rsidRPr="005964E0" w:rsidRDefault="00743B28" w:rsidP="00755618">
      <w:pPr>
        <w:tabs>
          <w:tab w:val="left" w:pos="851"/>
          <w:tab w:val="left" w:pos="1134"/>
          <w:tab w:val="left" w:leader="dot" w:pos="9356"/>
        </w:tabs>
        <w:jc w:val="center"/>
        <w:rPr>
          <w:rFonts w:ascii="Arial" w:hAnsi="Arial" w:cs="Arial"/>
          <w:b/>
          <w:sz w:val="28"/>
          <w:szCs w:val="28"/>
          <w:lang w:val="ro-RO"/>
        </w:rPr>
      </w:pPr>
      <w:r w:rsidRPr="005964E0">
        <w:rPr>
          <w:rFonts w:ascii="Arial" w:hAnsi="Arial" w:cs="Arial"/>
          <w:b/>
          <w:sz w:val="28"/>
          <w:szCs w:val="28"/>
          <w:lang w:val="ro-RO"/>
        </w:rPr>
        <w:t>şi principale surse de emisie</w:t>
      </w:r>
    </w:p>
    <w:p w:rsidR="00743B28" w:rsidRPr="00F308B8" w:rsidRDefault="00743B28" w:rsidP="00755618">
      <w:pPr>
        <w:tabs>
          <w:tab w:val="left" w:pos="851"/>
          <w:tab w:val="left" w:pos="1134"/>
          <w:tab w:val="left" w:leader="dot" w:pos="9356"/>
        </w:tabs>
        <w:jc w:val="center"/>
        <w:rPr>
          <w:rFonts w:ascii="Arial" w:hAnsi="Arial" w:cs="Arial"/>
          <w:b/>
          <w:color w:val="FF0000"/>
          <w:sz w:val="28"/>
          <w:szCs w:val="28"/>
          <w:lang w:val="ro-RO"/>
        </w:rPr>
      </w:pPr>
    </w:p>
    <w:p w:rsidR="00743B28" w:rsidRPr="00F308B8" w:rsidRDefault="00743B28" w:rsidP="00755618">
      <w:pPr>
        <w:tabs>
          <w:tab w:val="left" w:pos="851"/>
          <w:tab w:val="left" w:pos="1134"/>
          <w:tab w:val="left" w:leader="dot" w:pos="9356"/>
        </w:tabs>
        <w:rPr>
          <w:rFonts w:ascii="Arial" w:hAnsi="Arial" w:cs="Arial"/>
          <w:b/>
          <w:i/>
          <w:color w:val="FF0000"/>
          <w:sz w:val="28"/>
          <w:szCs w:val="28"/>
          <w:lang w:val="ro-RO"/>
        </w:rPr>
      </w:pPr>
    </w:p>
    <w:p w:rsidR="00743B28" w:rsidRPr="00641105" w:rsidRDefault="00743B28" w:rsidP="00755618">
      <w:pPr>
        <w:pStyle w:val="Listparagraf"/>
        <w:numPr>
          <w:ilvl w:val="0"/>
          <w:numId w:val="3"/>
        </w:numPr>
        <w:tabs>
          <w:tab w:val="left" w:pos="851"/>
          <w:tab w:val="left" w:pos="1134"/>
          <w:tab w:val="left" w:leader="dot" w:pos="9356"/>
        </w:tabs>
        <w:ind w:left="0" w:firstLine="0"/>
        <w:jc w:val="both"/>
        <w:rPr>
          <w:rFonts w:ascii="Arial" w:hAnsi="Arial" w:cs="Arial"/>
          <w:u w:val="single"/>
          <w:lang w:val="ro-RO"/>
        </w:rPr>
      </w:pPr>
      <w:r w:rsidRPr="00641105">
        <w:rPr>
          <w:rFonts w:ascii="Arial" w:hAnsi="Arial" w:cs="Arial"/>
          <w:b/>
          <w:u w:val="single"/>
          <w:lang w:val="ro-RO"/>
        </w:rPr>
        <w:t>Emisiile de substan</w:t>
      </w:r>
      <w:r w:rsidRPr="00641105">
        <w:rPr>
          <w:rFonts w:ascii="Arial" w:hAnsi="Tahoma" w:cs="Arial"/>
          <w:b/>
          <w:u w:val="single"/>
          <w:lang w:val="ro-RO"/>
        </w:rPr>
        <w:t>ț</w:t>
      </w:r>
      <w:r w:rsidRPr="00641105">
        <w:rPr>
          <w:rFonts w:ascii="Arial" w:hAnsi="Arial" w:cs="Arial"/>
          <w:b/>
          <w:u w:val="single"/>
          <w:lang w:val="ro-RO"/>
        </w:rPr>
        <w:t>ele acidifiante</w:t>
      </w:r>
      <w:r w:rsidRPr="00641105">
        <w:rPr>
          <w:rFonts w:ascii="Arial" w:hAnsi="Arial" w:cs="Arial"/>
          <w:b/>
          <w:lang w:val="ro-RO"/>
        </w:rPr>
        <w:t>,</w:t>
      </w:r>
      <w:r w:rsidRPr="00641105">
        <w:rPr>
          <w:rFonts w:ascii="Arial" w:hAnsi="Arial" w:cs="Arial"/>
          <w:lang w:val="ro-RO"/>
        </w:rPr>
        <w:t xml:space="preserve"> care modifică pH-ul mediului înconjurător influenț</w:t>
      </w:r>
      <w:r w:rsidR="00D14A8E">
        <w:rPr>
          <w:rFonts w:ascii="Arial" w:hAnsi="Arial" w:cs="Arial"/>
          <w:lang w:val="ro-RO"/>
        </w:rPr>
        <w:t>ează</w:t>
      </w:r>
      <w:r w:rsidRPr="00641105">
        <w:rPr>
          <w:rFonts w:ascii="Arial" w:hAnsi="Arial" w:cs="Arial"/>
          <w:lang w:val="ro-RO"/>
        </w:rPr>
        <w:t xml:space="preserve"> negativ sănătatea umană, ecosistemele, clădirile şi materialele. Efectele asociate fiecărui agent poluant depind de potenţialul de acidifiere al acestuia şi de proprietăţile ecosistemelor şi ale materialelor. Principalii poluan</w:t>
      </w:r>
      <w:r w:rsidRPr="00641105">
        <w:rPr>
          <w:rFonts w:ascii="Arial" w:hAnsi="Tahoma" w:cs="Arial"/>
          <w:lang w:val="ro-RO"/>
        </w:rPr>
        <w:t>ț</w:t>
      </w:r>
      <w:r w:rsidRPr="00641105">
        <w:rPr>
          <w:rFonts w:ascii="Arial" w:hAnsi="Arial" w:cs="Arial"/>
          <w:lang w:val="ro-RO"/>
        </w:rPr>
        <w:t xml:space="preserve">i cu efect acidifiant sunt amoniacul, oxizii de sulf </w:t>
      </w:r>
      <w:r w:rsidRPr="00641105">
        <w:rPr>
          <w:rFonts w:ascii="Arial" w:hAnsi="Tahoma" w:cs="Arial"/>
          <w:lang w:val="ro-RO"/>
        </w:rPr>
        <w:t>ș</w:t>
      </w:r>
      <w:r w:rsidRPr="00641105">
        <w:rPr>
          <w:rFonts w:ascii="Arial" w:hAnsi="Arial" w:cs="Arial"/>
          <w:lang w:val="ro-RO"/>
        </w:rPr>
        <w:t>i oxizii de azot.</w:t>
      </w:r>
    </w:p>
    <w:p w:rsidR="00452B43" w:rsidRPr="00641105" w:rsidRDefault="00452B43" w:rsidP="00755618">
      <w:pPr>
        <w:pStyle w:val="Listparagraf"/>
        <w:tabs>
          <w:tab w:val="left" w:pos="851"/>
          <w:tab w:val="left" w:pos="1134"/>
          <w:tab w:val="left" w:leader="dot" w:pos="9356"/>
        </w:tabs>
        <w:ind w:left="0"/>
        <w:jc w:val="both"/>
        <w:rPr>
          <w:rFonts w:ascii="Arial" w:hAnsi="Arial" w:cs="Arial"/>
          <w:u w:val="single"/>
          <w:lang w:val="ro-RO"/>
        </w:rPr>
      </w:pPr>
    </w:p>
    <w:p w:rsidR="00743B28" w:rsidRPr="00641105"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641105">
        <w:rPr>
          <w:rFonts w:ascii="Arial" w:hAnsi="Arial" w:cs="Arial"/>
          <w:b/>
          <w:sz w:val="22"/>
          <w:szCs w:val="22"/>
          <w:lang w:val="ro-RO"/>
        </w:rPr>
        <w:t>Tabel I.2.1.1.</w:t>
      </w:r>
    </w:p>
    <w:p w:rsidR="00743B28" w:rsidRPr="00641105" w:rsidRDefault="00743B28" w:rsidP="00755618">
      <w:pPr>
        <w:tabs>
          <w:tab w:val="left" w:pos="851"/>
        </w:tabs>
        <w:jc w:val="center"/>
        <w:rPr>
          <w:rFonts w:ascii="Arial" w:hAnsi="Arial" w:cs="Arial"/>
          <w:b/>
          <w:sz w:val="22"/>
          <w:szCs w:val="22"/>
          <w:lang w:val="ro-RO" w:eastAsia="ro-RO"/>
        </w:rPr>
      </w:pPr>
      <w:r w:rsidRPr="00641105">
        <w:rPr>
          <w:rFonts w:ascii="Arial" w:hAnsi="Arial" w:cs="Arial"/>
          <w:b/>
          <w:sz w:val="22"/>
          <w:szCs w:val="22"/>
          <w:lang w:val="ro-RO" w:eastAsia="ro-RO"/>
        </w:rPr>
        <w:t>Cantită</w:t>
      </w:r>
      <w:r w:rsidRPr="00641105">
        <w:rPr>
          <w:rFonts w:ascii="Arial" w:hAnsi="Tahoma" w:cs="Arial"/>
          <w:b/>
          <w:sz w:val="22"/>
          <w:szCs w:val="22"/>
          <w:lang w:val="ro-RO" w:eastAsia="ro-RO"/>
        </w:rPr>
        <w:t>ț</w:t>
      </w:r>
      <w:r w:rsidRPr="00641105">
        <w:rPr>
          <w:rFonts w:ascii="Arial" w:hAnsi="Arial" w:cs="Arial"/>
          <w:b/>
          <w:sz w:val="22"/>
          <w:szCs w:val="22"/>
          <w:lang w:val="ro-RO" w:eastAsia="ro-RO"/>
        </w:rPr>
        <w:t>ile de substan</w:t>
      </w:r>
      <w:r w:rsidRPr="00641105">
        <w:rPr>
          <w:rFonts w:ascii="Arial" w:hAnsi="Tahoma" w:cs="Arial"/>
          <w:b/>
          <w:sz w:val="22"/>
          <w:szCs w:val="22"/>
          <w:lang w:val="ro-RO" w:eastAsia="ro-RO"/>
        </w:rPr>
        <w:t>ț</w:t>
      </w:r>
      <w:r w:rsidRPr="00641105">
        <w:rPr>
          <w:rFonts w:ascii="Arial" w:hAnsi="Arial" w:cs="Arial"/>
          <w:b/>
          <w:sz w:val="22"/>
          <w:szCs w:val="22"/>
          <w:lang w:val="ro-RO" w:eastAsia="ro-RO"/>
        </w:rPr>
        <w:t xml:space="preserve">e acidifiante (în Gg) emise </w:t>
      </w:r>
    </w:p>
    <w:p w:rsidR="00743B28" w:rsidRPr="00641105" w:rsidRDefault="00743B28" w:rsidP="00755618">
      <w:pPr>
        <w:pStyle w:val="Listparagraf"/>
        <w:tabs>
          <w:tab w:val="left" w:pos="851"/>
          <w:tab w:val="left" w:pos="1134"/>
          <w:tab w:val="left" w:leader="dot" w:pos="9356"/>
        </w:tabs>
        <w:ind w:left="0"/>
        <w:jc w:val="center"/>
        <w:rPr>
          <w:rFonts w:ascii="Arial" w:hAnsi="Arial" w:cs="Arial"/>
          <w:b/>
          <w:sz w:val="22"/>
          <w:szCs w:val="22"/>
          <w:lang w:val="ro-RO" w:eastAsia="ro-RO"/>
        </w:rPr>
      </w:pPr>
      <w:r w:rsidRPr="00641105">
        <w:rPr>
          <w:rFonts w:ascii="Arial" w:hAnsi="Arial" w:cs="Arial"/>
          <w:b/>
          <w:sz w:val="22"/>
          <w:szCs w:val="22"/>
          <w:lang w:val="ro-RO" w:eastAsia="ro-RO"/>
        </w:rPr>
        <w:t>în jude</w:t>
      </w:r>
      <w:r w:rsidRPr="00641105">
        <w:rPr>
          <w:rFonts w:ascii="Arial" w:hAnsi="Tahoma" w:cs="Arial"/>
          <w:b/>
          <w:sz w:val="22"/>
          <w:szCs w:val="22"/>
          <w:lang w:val="ro-RO" w:eastAsia="ro-RO"/>
        </w:rPr>
        <w:t>ț</w:t>
      </w:r>
      <w:r w:rsidRPr="00641105">
        <w:rPr>
          <w:rFonts w:ascii="Arial" w:hAnsi="Arial" w:cs="Arial"/>
          <w:b/>
          <w:sz w:val="22"/>
          <w:szCs w:val="22"/>
          <w:lang w:val="ro-RO" w:eastAsia="ro-RO"/>
        </w:rPr>
        <w:t>ul Bistri</w:t>
      </w:r>
      <w:r w:rsidRPr="00641105">
        <w:rPr>
          <w:rFonts w:ascii="Arial" w:hAnsi="Tahoma" w:cs="Arial"/>
          <w:b/>
          <w:sz w:val="22"/>
          <w:szCs w:val="22"/>
          <w:lang w:val="ro-RO" w:eastAsia="ro-RO"/>
        </w:rPr>
        <w:t>ț</w:t>
      </w:r>
      <w:r w:rsidRPr="00641105">
        <w:rPr>
          <w:rFonts w:ascii="Arial" w:hAnsi="Arial" w:cs="Arial"/>
          <w:b/>
          <w:sz w:val="22"/>
          <w:szCs w:val="22"/>
          <w:lang w:val="ro-RO" w:eastAsia="ro-RO"/>
        </w:rPr>
        <w:t xml:space="preserve">a-Năsăud în anul </w:t>
      </w:r>
      <w:r w:rsidR="0078048E" w:rsidRPr="00641105">
        <w:rPr>
          <w:rFonts w:ascii="Arial" w:hAnsi="Arial" w:cs="Arial"/>
          <w:b/>
          <w:sz w:val="22"/>
          <w:szCs w:val="22"/>
          <w:lang w:val="ro-RO" w:eastAsia="ro-RO"/>
        </w:rPr>
        <w:t>20</w:t>
      </w:r>
      <w:r w:rsidR="00641105">
        <w:rPr>
          <w:rFonts w:ascii="Arial" w:hAnsi="Arial" w:cs="Arial"/>
          <w:b/>
          <w:sz w:val="22"/>
          <w:szCs w:val="22"/>
          <w:lang w:val="ro-RO" w:eastAsia="ro-RO"/>
        </w:rPr>
        <w:t>21</w:t>
      </w:r>
    </w:p>
    <w:tbl>
      <w:tblPr>
        <w:tblW w:w="5000" w:type="pct"/>
        <w:tblLook w:val="04A0" w:firstRow="1" w:lastRow="0" w:firstColumn="1" w:lastColumn="0" w:noHBand="0" w:noVBand="1"/>
      </w:tblPr>
      <w:tblGrid>
        <w:gridCol w:w="2509"/>
        <w:gridCol w:w="2200"/>
        <w:gridCol w:w="2445"/>
        <w:gridCol w:w="2200"/>
      </w:tblGrid>
      <w:tr w:rsidR="00641105" w:rsidRPr="00641105" w:rsidTr="00743B28">
        <w:trPr>
          <w:trHeight w:val="288"/>
        </w:trPr>
        <w:tc>
          <w:tcPr>
            <w:tcW w:w="1341" w:type="pct"/>
            <w:tcBorders>
              <w:top w:val="nil"/>
              <w:left w:val="nil"/>
              <w:bottom w:val="single" w:sz="12" w:space="0" w:color="FFFFFF"/>
              <w:right w:val="nil"/>
            </w:tcBorders>
            <w:shd w:val="clear" w:color="auto" w:fill="92D050"/>
            <w:hideMark/>
          </w:tcPr>
          <w:p w:rsidR="00743B28" w:rsidRPr="00641105" w:rsidRDefault="00743B28" w:rsidP="00755618">
            <w:pPr>
              <w:jc w:val="center"/>
              <w:rPr>
                <w:rFonts w:ascii="Arial" w:hAnsi="Arial" w:cs="Arial"/>
                <w:b/>
                <w:bCs/>
                <w:sz w:val="22"/>
                <w:szCs w:val="22"/>
              </w:rPr>
            </w:pPr>
            <w:r w:rsidRPr="00641105">
              <w:rPr>
                <w:rFonts w:ascii="Arial" w:hAnsi="Arial" w:cs="Arial"/>
                <w:b/>
                <w:bCs/>
                <w:sz w:val="22"/>
                <w:szCs w:val="22"/>
              </w:rPr>
              <w:t xml:space="preserve">NH3 </w:t>
            </w:r>
          </w:p>
        </w:tc>
        <w:tc>
          <w:tcPr>
            <w:tcW w:w="1176" w:type="pct"/>
            <w:tcBorders>
              <w:top w:val="nil"/>
              <w:left w:val="nil"/>
              <w:bottom w:val="single" w:sz="12" w:space="0" w:color="FFFFFF"/>
              <w:right w:val="nil"/>
            </w:tcBorders>
            <w:shd w:val="clear" w:color="auto" w:fill="92D050"/>
            <w:hideMark/>
          </w:tcPr>
          <w:p w:rsidR="00743B28" w:rsidRPr="00641105" w:rsidRDefault="00743B28" w:rsidP="00755618">
            <w:pPr>
              <w:jc w:val="center"/>
              <w:rPr>
                <w:rFonts w:ascii="Arial" w:hAnsi="Arial" w:cs="Arial"/>
                <w:b/>
                <w:bCs/>
                <w:sz w:val="22"/>
                <w:szCs w:val="22"/>
              </w:rPr>
            </w:pPr>
            <w:r w:rsidRPr="00641105">
              <w:rPr>
                <w:rFonts w:ascii="Arial" w:hAnsi="Arial" w:cs="Arial"/>
                <w:b/>
                <w:bCs/>
                <w:sz w:val="22"/>
                <w:szCs w:val="22"/>
              </w:rPr>
              <w:t xml:space="preserve">NOX </w:t>
            </w:r>
          </w:p>
        </w:tc>
        <w:tc>
          <w:tcPr>
            <w:tcW w:w="1307" w:type="pct"/>
            <w:tcBorders>
              <w:top w:val="nil"/>
              <w:left w:val="nil"/>
              <w:bottom w:val="single" w:sz="12" w:space="0" w:color="FFFFFF"/>
              <w:right w:val="nil"/>
            </w:tcBorders>
            <w:shd w:val="clear" w:color="auto" w:fill="92D050"/>
            <w:hideMark/>
          </w:tcPr>
          <w:p w:rsidR="00743B28" w:rsidRPr="00641105" w:rsidRDefault="00743B28" w:rsidP="00755618">
            <w:pPr>
              <w:jc w:val="center"/>
              <w:rPr>
                <w:rFonts w:ascii="Arial" w:hAnsi="Arial" w:cs="Arial"/>
                <w:b/>
                <w:bCs/>
                <w:sz w:val="22"/>
                <w:szCs w:val="22"/>
              </w:rPr>
            </w:pPr>
            <w:r w:rsidRPr="00641105">
              <w:rPr>
                <w:rFonts w:ascii="Arial" w:hAnsi="Arial" w:cs="Arial"/>
                <w:b/>
                <w:bCs/>
                <w:sz w:val="22"/>
                <w:szCs w:val="22"/>
              </w:rPr>
              <w:t xml:space="preserve">SO2 </w:t>
            </w:r>
          </w:p>
        </w:tc>
        <w:tc>
          <w:tcPr>
            <w:tcW w:w="1176" w:type="pct"/>
            <w:tcBorders>
              <w:top w:val="nil"/>
              <w:left w:val="nil"/>
              <w:bottom w:val="single" w:sz="12" w:space="0" w:color="FFFFFF"/>
              <w:right w:val="nil"/>
            </w:tcBorders>
            <w:shd w:val="clear" w:color="auto" w:fill="92D050"/>
            <w:hideMark/>
          </w:tcPr>
          <w:p w:rsidR="00743B28" w:rsidRPr="00641105" w:rsidRDefault="00743B28" w:rsidP="00755618">
            <w:pPr>
              <w:jc w:val="center"/>
              <w:rPr>
                <w:rFonts w:ascii="Arial" w:hAnsi="Arial" w:cs="Arial"/>
                <w:b/>
                <w:bCs/>
                <w:sz w:val="22"/>
                <w:szCs w:val="22"/>
              </w:rPr>
            </w:pPr>
            <w:r w:rsidRPr="00641105">
              <w:rPr>
                <w:rFonts w:ascii="Arial" w:hAnsi="Arial" w:cs="Arial"/>
                <w:b/>
                <w:bCs/>
                <w:sz w:val="22"/>
                <w:szCs w:val="22"/>
              </w:rPr>
              <w:t xml:space="preserve">SOX </w:t>
            </w:r>
          </w:p>
        </w:tc>
      </w:tr>
      <w:tr w:rsidR="00641105" w:rsidRPr="00641105" w:rsidTr="00641105">
        <w:trPr>
          <w:trHeight w:val="288"/>
        </w:trPr>
        <w:tc>
          <w:tcPr>
            <w:tcW w:w="1341" w:type="pct"/>
            <w:tcBorders>
              <w:top w:val="nil"/>
              <w:left w:val="nil"/>
              <w:bottom w:val="nil"/>
              <w:right w:val="nil"/>
            </w:tcBorders>
            <w:shd w:val="clear" w:color="000000" w:fill="E5DFEC"/>
            <w:noWrap/>
            <w:vAlign w:val="bottom"/>
          </w:tcPr>
          <w:p w:rsidR="00641105" w:rsidRPr="00641105" w:rsidRDefault="00641105" w:rsidP="00641105">
            <w:pPr>
              <w:jc w:val="center"/>
              <w:rPr>
                <w:rFonts w:ascii="Arial" w:eastAsia="Times New Roman" w:hAnsi="Arial" w:cs="Arial"/>
                <w:bCs/>
                <w:sz w:val="22"/>
                <w:szCs w:val="22"/>
                <w:lang w:val="en-US"/>
              </w:rPr>
            </w:pPr>
            <w:r w:rsidRPr="00641105">
              <w:rPr>
                <w:rFonts w:ascii="Arial" w:hAnsi="Arial" w:cs="Arial"/>
                <w:bCs/>
                <w:sz w:val="22"/>
                <w:szCs w:val="22"/>
              </w:rPr>
              <w:t>3.1694</w:t>
            </w:r>
          </w:p>
        </w:tc>
        <w:tc>
          <w:tcPr>
            <w:tcW w:w="1176" w:type="pct"/>
            <w:tcBorders>
              <w:top w:val="nil"/>
              <w:left w:val="nil"/>
              <w:bottom w:val="nil"/>
              <w:right w:val="nil"/>
            </w:tcBorders>
            <w:shd w:val="clear" w:color="000000" w:fill="E5DFEC"/>
            <w:noWrap/>
            <w:vAlign w:val="bottom"/>
          </w:tcPr>
          <w:p w:rsidR="00641105" w:rsidRPr="00641105" w:rsidRDefault="00641105" w:rsidP="00641105">
            <w:pPr>
              <w:jc w:val="center"/>
              <w:rPr>
                <w:rFonts w:ascii="Arial" w:hAnsi="Arial" w:cs="Arial"/>
                <w:bCs/>
                <w:sz w:val="22"/>
                <w:szCs w:val="22"/>
              </w:rPr>
            </w:pPr>
            <w:r w:rsidRPr="00641105">
              <w:rPr>
                <w:rFonts w:ascii="Arial" w:hAnsi="Arial" w:cs="Arial"/>
                <w:bCs/>
                <w:sz w:val="22"/>
                <w:szCs w:val="22"/>
              </w:rPr>
              <w:t>1.93534</w:t>
            </w:r>
          </w:p>
        </w:tc>
        <w:tc>
          <w:tcPr>
            <w:tcW w:w="1307" w:type="pct"/>
            <w:tcBorders>
              <w:top w:val="nil"/>
              <w:left w:val="nil"/>
              <w:bottom w:val="nil"/>
              <w:right w:val="nil"/>
            </w:tcBorders>
            <w:shd w:val="clear" w:color="000000" w:fill="E5DFEC"/>
            <w:noWrap/>
            <w:vAlign w:val="bottom"/>
          </w:tcPr>
          <w:p w:rsidR="00641105" w:rsidRPr="00641105" w:rsidRDefault="00641105" w:rsidP="00641105">
            <w:pPr>
              <w:jc w:val="center"/>
              <w:rPr>
                <w:rFonts w:ascii="Arial" w:hAnsi="Arial" w:cs="Arial"/>
                <w:bCs/>
                <w:sz w:val="22"/>
                <w:szCs w:val="22"/>
              </w:rPr>
            </w:pPr>
            <w:r w:rsidRPr="00641105">
              <w:rPr>
                <w:rFonts w:ascii="Arial" w:hAnsi="Arial" w:cs="Arial"/>
                <w:bCs/>
                <w:sz w:val="22"/>
                <w:szCs w:val="22"/>
              </w:rPr>
              <w:t>0.0018</w:t>
            </w:r>
          </w:p>
        </w:tc>
        <w:tc>
          <w:tcPr>
            <w:tcW w:w="1176" w:type="pct"/>
            <w:tcBorders>
              <w:top w:val="nil"/>
              <w:left w:val="nil"/>
              <w:bottom w:val="nil"/>
              <w:right w:val="nil"/>
            </w:tcBorders>
            <w:shd w:val="clear" w:color="000000" w:fill="E5DFEC"/>
            <w:noWrap/>
            <w:vAlign w:val="bottom"/>
          </w:tcPr>
          <w:p w:rsidR="00641105" w:rsidRPr="00641105" w:rsidRDefault="00641105" w:rsidP="00641105">
            <w:pPr>
              <w:jc w:val="center"/>
              <w:rPr>
                <w:rFonts w:ascii="Arial" w:hAnsi="Arial" w:cs="Arial"/>
                <w:bCs/>
                <w:sz w:val="22"/>
                <w:szCs w:val="22"/>
              </w:rPr>
            </w:pPr>
            <w:r w:rsidRPr="00641105">
              <w:rPr>
                <w:rFonts w:ascii="Arial" w:hAnsi="Arial" w:cs="Arial"/>
                <w:bCs/>
                <w:sz w:val="22"/>
                <w:szCs w:val="22"/>
              </w:rPr>
              <w:t>0.04024</w:t>
            </w:r>
          </w:p>
        </w:tc>
      </w:tr>
    </w:tbl>
    <w:p w:rsidR="00743B28" w:rsidRPr="00641105" w:rsidRDefault="00743B28" w:rsidP="00755618">
      <w:pPr>
        <w:tabs>
          <w:tab w:val="left" w:pos="851"/>
        </w:tabs>
        <w:jc w:val="center"/>
        <w:rPr>
          <w:rFonts w:ascii="Arial" w:hAnsi="Arial" w:cs="Arial"/>
          <w:sz w:val="22"/>
          <w:szCs w:val="22"/>
          <w:lang w:val="ro-RO"/>
        </w:rPr>
      </w:pPr>
      <w:r w:rsidRPr="00641105">
        <w:rPr>
          <w:rFonts w:ascii="Arial" w:hAnsi="Arial" w:cs="Arial"/>
          <w:sz w:val="22"/>
          <w:szCs w:val="22"/>
          <w:lang w:val="ro-RO"/>
        </w:rPr>
        <w:t>Sursa: Agenţia pentru Protecţia Mediului Bistriţa-Năsăud</w:t>
      </w:r>
    </w:p>
    <w:p w:rsidR="00743B28" w:rsidRPr="00F308B8" w:rsidRDefault="00743B28" w:rsidP="00755618">
      <w:pPr>
        <w:pStyle w:val="Listparagraf"/>
        <w:tabs>
          <w:tab w:val="left" w:pos="851"/>
          <w:tab w:val="left" w:pos="1134"/>
          <w:tab w:val="left" w:leader="dot" w:pos="9356"/>
        </w:tabs>
        <w:ind w:left="0"/>
        <w:jc w:val="center"/>
        <w:rPr>
          <w:rFonts w:ascii="Arial" w:hAnsi="Arial" w:cs="Arial"/>
          <w:b/>
          <w:color w:val="FF0000"/>
          <w:sz w:val="22"/>
          <w:szCs w:val="22"/>
          <w:lang w:val="ro-RO" w:eastAsia="ro-RO"/>
        </w:rPr>
      </w:pPr>
    </w:p>
    <w:p w:rsidR="00743B28" w:rsidRPr="00641105" w:rsidRDefault="00743B28" w:rsidP="0047557B">
      <w:pPr>
        <w:pStyle w:val="Listparagraf"/>
        <w:tabs>
          <w:tab w:val="left" w:pos="851"/>
          <w:tab w:val="left" w:pos="1134"/>
          <w:tab w:val="left" w:leader="dot" w:pos="9356"/>
        </w:tabs>
        <w:spacing w:before="240"/>
        <w:ind w:left="0"/>
        <w:jc w:val="both"/>
        <w:rPr>
          <w:rFonts w:ascii="Arial" w:hAnsi="Arial" w:cs="Arial"/>
          <w:lang w:val="ro-RO"/>
        </w:rPr>
      </w:pPr>
      <w:r w:rsidRPr="00F308B8">
        <w:rPr>
          <w:rFonts w:ascii="Arial" w:hAnsi="Arial" w:cs="Arial"/>
          <w:color w:val="FF0000"/>
          <w:lang w:val="ro-RO"/>
        </w:rPr>
        <w:tab/>
      </w:r>
      <w:r w:rsidRPr="00641105">
        <w:rPr>
          <w:rFonts w:ascii="Arial" w:hAnsi="Arial" w:cs="Arial"/>
          <w:lang w:val="ro-RO"/>
        </w:rPr>
        <w:t>Cea mai mare parte a amoniacului emis în atmosferă provine din sectorul zootehnic</w:t>
      </w:r>
      <w:r w:rsidR="0047557B" w:rsidRPr="00641105">
        <w:rPr>
          <w:rFonts w:ascii="Arial" w:hAnsi="Arial" w:cs="Arial"/>
          <w:lang w:val="ro-RO"/>
        </w:rPr>
        <w:t xml:space="preserve"> </w:t>
      </w:r>
      <w:r w:rsidR="00641105" w:rsidRPr="00641105">
        <w:rPr>
          <w:rFonts w:ascii="Arial" w:hAnsi="Arial" w:cs="Arial"/>
          <w:lang w:val="ro-RO"/>
        </w:rPr>
        <w:t>(</w:t>
      </w:r>
      <w:r w:rsidR="0047557B" w:rsidRPr="00641105">
        <w:rPr>
          <w:rFonts w:ascii="Arial" w:hAnsi="Arial" w:cs="Arial"/>
          <w:lang w:val="ro-RO"/>
        </w:rPr>
        <w:t>9</w:t>
      </w:r>
      <w:r w:rsidR="00641105" w:rsidRPr="00641105">
        <w:rPr>
          <w:rFonts w:ascii="Arial" w:hAnsi="Arial" w:cs="Arial"/>
          <w:lang w:val="ro-RO"/>
        </w:rPr>
        <w:t>3</w:t>
      </w:r>
      <w:r w:rsidR="0047557B" w:rsidRPr="00641105">
        <w:rPr>
          <w:rFonts w:ascii="Arial" w:hAnsi="Arial" w:cs="Arial"/>
          <w:lang w:val="ro-RO"/>
        </w:rPr>
        <w:t>%</w:t>
      </w:r>
      <w:r w:rsidR="00641105" w:rsidRPr="00641105">
        <w:rPr>
          <w:rFonts w:ascii="Arial" w:hAnsi="Arial" w:cs="Arial"/>
          <w:lang w:val="ro-RO"/>
        </w:rPr>
        <w:t>)</w:t>
      </w:r>
      <w:r w:rsidRPr="00641105">
        <w:rPr>
          <w:rFonts w:ascii="Arial" w:hAnsi="Arial" w:cs="Arial"/>
          <w:lang w:val="ro-RO"/>
        </w:rPr>
        <w:t xml:space="preserve">, oxizii de azot rezultă în proporție de </w:t>
      </w:r>
      <w:r w:rsidR="00641105" w:rsidRPr="00641105">
        <w:rPr>
          <w:rFonts w:ascii="Arial" w:hAnsi="Arial" w:cs="Arial"/>
          <w:lang w:val="ro-RO"/>
        </w:rPr>
        <w:t>83</w:t>
      </w:r>
      <w:r w:rsidRPr="00641105">
        <w:rPr>
          <w:rFonts w:ascii="Arial" w:hAnsi="Arial" w:cs="Arial"/>
          <w:lang w:val="ro-RO"/>
        </w:rPr>
        <w:t xml:space="preserve">% din transport, </w:t>
      </w:r>
      <w:r w:rsidR="00641105" w:rsidRPr="00641105">
        <w:rPr>
          <w:rFonts w:ascii="Arial" w:hAnsi="Arial" w:cs="Arial"/>
          <w:lang w:val="ro-RO"/>
        </w:rPr>
        <w:t>d</w:t>
      </w:r>
      <w:r w:rsidRPr="00641105">
        <w:rPr>
          <w:rFonts w:ascii="Arial" w:hAnsi="Arial" w:cs="Arial"/>
          <w:lang w:val="ro-RO"/>
        </w:rPr>
        <w:t xml:space="preserve">ioxidul de sulf rezultă în proporţie de </w:t>
      </w:r>
      <w:r w:rsidR="00641105" w:rsidRPr="00641105">
        <w:rPr>
          <w:rFonts w:ascii="Arial" w:hAnsi="Arial" w:cs="Arial"/>
          <w:lang w:val="ro-RO"/>
        </w:rPr>
        <w:t>100</w:t>
      </w:r>
      <w:r w:rsidRPr="00641105">
        <w:rPr>
          <w:rFonts w:ascii="Arial" w:hAnsi="Arial" w:cs="Arial"/>
          <w:lang w:val="ro-RO"/>
        </w:rPr>
        <w:t xml:space="preserve">% din </w:t>
      </w:r>
      <w:r w:rsidR="00641105" w:rsidRPr="00641105">
        <w:rPr>
          <w:rFonts w:ascii="Arial" w:hAnsi="Arial" w:cs="Arial"/>
          <w:lang w:val="ro-RO"/>
        </w:rPr>
        <w:t>sectorul industrial</w:t>
      </w:r>
      <w:r w:rsidRPr="00641105">
        <w:rPr>
          <w:rFonts w:ascii="Arial" w:hAnsi="Arial" w:cs="Arial"/>
          <w:lang w:val="ro-RO"/>
        </w:rPr>
        <w:t xml:space="preserve"> iar oxizii de sulf </w:t>
      </w:r>
      <w:r w:rsidR="00641105" w:rsidRPr="00641105">
        <w:rPr>
          <w:rFonts w:ascii="Arial" w:hAnsi="Arial" w:cs="Arial"/>
          <w:lang w:val="ro-RO"/>
        </w:rPr>
        <w:t xml:space="preserve">SOx </w:t>
      </w:r>
      <w:r w:rsidRPr="00641105">
        <w:rPr>
          <w:rFonts w:ascii="Arial" w:hAnsi="Arial" w:cs="Arial"/>
          <w:lang w:val="ro-RO"/>
        </w:rPr>
        <w:t>provin</w:t>
      </w:r>
      <w:r w:rsidR="005969C8" w:rsidRPr="00641105">
        <w:rPr>
          <w:rFonts w:ascii="Arial" w:hAnsi="Arial" w:cs="Arial"/>
          <w:lang w:val="ro-RO"/>
        </w:rPr>
        <w:t xml:space="preserve"> </w:t>
      </w:r>
      <w:r w:rsidR="00641105" w:rsidRPr="00641105">
        <w:rPr>
          <w:rFonts w:ascii="Arial" w:hAnsi="Arial" w:cs="Arial"/>
          <w:lang w:val="ro-RO"/>
        </w:rPr>
        <w:t>99,98%</w:t>
      </w:r>
      <w:r w:rsidRPr="00641105">
        <w:rPr>
          <w:rFonts w:ascii="Arial" w:hAnsi="Arial" w:cs="Arial"/>
          <w:lang w:val="ro-RO"/>
        </w:rPr>
        <w:t xml:space="preserve"> din </w:t>
      </w:r>
      <w:r w:rsidR="00641105" w:rsidRPr="00641105">
        <w:rPr>
          <w:rFonts w:ascii="Arial" w:hAnsi="Arial" w:cs="Arial"/>
          <w:lang w:val="ro-RO"/>
        </w:rPr>
        <w:t>sectorul energetic (</w:t>
      </w:r>
      <w:r w:rsidRPr="00641105">
        <w:rPr>
          <w:rFonts w:ascii="Arial" w:hAnsi="Arial" w:cs="Arial"/>
          <w:lang w:val="ro-RO"/>
        </w:rPr>
        <w:t>arderi comercial/instituţionale şi industriale</w:t>
      </w:r>
      <w:r w:rsidR="00641105" w:rsidRPr="00641105">
        <w:rPr>
          <w:rFonts w:ascii="Arial" w:hAnsi="Arial" w:cs="Arial"/>
          <w:lang w:val="ro-RO"/>
        </w:rPr>
        <w:t>)</w:t>
      </w:r>
      <w:r w:rsidRPr="00641105">
        <w:rPr>
          <w:rFonts w:ascii="Arial" w:hAnsi="Arial" w:cs="Arial"/>
          <w:lang w:val="ro-RO"/>
        </w:rPr>
        <w:t>.</w:t>
      </w:r>
    </w:p>
    <w:p w:rsidR="00743B28" w:rsidRPr="00F308B8" w:rsidRDefault="00743B28" w:rsidP="00755618">
      <w:pPr>
        <w:tabs>
          <w:tab w:val="left" w:pos="851"/>
          <w:tab w:val="left" w:pos="1134"/>
          <w:tab w:val="left" w:leader="dot" w:pos="9356"/>
        </w:tabs>
        <w:jc w:val="center"/>
        <w:rPr>
          <w:rFonts w:ascii="Arial" w:hAnsi="Arial" w:cs="Arial"/>
          <w:b/>
          <w:color w:val="FF0000"/>
          <w:sz w:val="22"/>
          <w:szCs w:val="22"/>
          <w:lang w:val="ro-RO"/>
        </w:rPr>
      </w:pPr>
    </w:p>
    <w:p w:rsidR="00743B28" w:rsidRPr="005964E0" w:rsidRDefault="00743B28" w:rsidP="00755618">
      <w:pPr>
        <w:pStyle w:val="Listparagraf"/>
        <w:numPr>
          <w:ilvl w:val="0"/>
          <w:numId w:val="3"/>
        </w:numPr>
        <w:tabs>
          <w:tab w:val="left" w:pos="851"/>
          <w:tab w:val="left" w:pos="1134"/>
          <w:tab w:val="left" w:leader="dot" w:pos="9356"/>
        </w:tabs>
        <w:ind w:left="0" w:firstLine="0"/>
        <w:jc w:val="both"/>
        <w:rPr>
          <w:rFonts w:ascii="Arial" w:hAnsi="Arial" w:cs="Arial"/>
          <w:sz w:val="20"/>
          <w:szCs w:val="20"/>
          <w:u w:val="single"/>
          <w:lang w:val="ro-RO"/>
        </w:rPr>
      </w:pPr>
      <w:r w:rsidRPr="005964E0">
        <w:rPr>
          <w:rFonts w:ascii="Arial" w:hAnsi="Arial" w:cs="Arial"/>
          <w:b/>
          <w:u w:val="single"/>
          <w:lang w:val="ro-RO"/>
        </w:rPr>
        <w:t>Emisiile de precursori ai ozonului</w:t>
      </w:r>
      <w:r w:rsidRPr="005964E0">
        <w:rPr>
          <w:rFonts w:ascii="Arial" w:hAnsi="Arial" w:cs="Arial"/>
          <w:lang w:val="ro-RO"/>
        </w:rPr>
        <w:t xml:space="preserve"> includ gaze ce duc la formarea ozonului, respectiv: oxizii de azot, metanul, oxidul de carbon și compușii organici volatili non-metanici. </w:t>
      </w:r>
    </w:p>
    <w:p w:rsidR="005969C8" w:rsidRPr="005964E0" w:rsidRDefault="005969C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5964E0"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5964E0">
        <w:rPr>
          <w:rFonts w:ascii="Arial" w:hAnsi="Arial" w:cs="Arial"/>
          <w:b/>
          <w:sz w:val="22"/>
          <w:szCs w:val="22"/>
          <w:lang w:val="ro-RO"/>
        </w:rPr>
        <w:t>Tabel I.2.1.2.</w:t>
      </w:r>
    </w:p>
    <w:p w:rsidR="00743B28" w:rsidRPr="005964E0" w:rsidRDefault="00743B28" w:rsidP="00755618">
      <w:pPr>
        <w:tabs>
          <w:tab w:val="left" w:pos="851"/>
        </w:tabs>
        <w:jc w:val="center"/>
        <w:rPr>
          <w:rFonts w:ascii="Arial" w:hAnsi="Arial" w:cs="Arial"/>
          <w:b/>
          <w:sz w:val="22"/>
          <w:szCs w:val="22"/>
          <w:lang w:val="ro-RO" w:eastAsia="ro-RO"/>
        </w:rPr>
      </w:pPr>
      <w:r w:rsidRPr="005964E0">
        <w:rPr>
          <w:rFonts w:ascii="Arial" w:hAnsi="Arial" w:cs="Arial"/>
          <w:b/>
          <w:sz w:val="22"/>
          <w:szCs w:val="22"/>
          <w:lang w:val="ro-RO" w:eastAsia="ro-RO"/>
        </w:rPr>
        <w:t xml:space="preserve">Cantitățile de precursori ai ozonului (în tone) emise  în județul Bistrița-Năsăud, anul </w:t>
      </w:r>
      <w:r w:rsidR="0078048E" w:rsidRPr="005964E0">
        <w:rPr>
          <w:rFonts w:ascii="Arial" w:hAnsi="Arial" w:cs="Arial"/>
          <w:b/>
          <w:sz w:val="22"/>
          <w:szCs w:val="22"/>
          <w:lang w:val="ro-RO" w:eastAsia="ro-RO"/>
        </w:rPr>
        <w:t>20</w:t>
      </w:r>
      <w:r w:rsidR="005964E0">
        <w:rPr>
          <w:rFonts w:ascii="Arial" w:hAnsi="Arial" w:cs="Arial"/>
          <w:b/>
          <w:sz w:val="22"/>
          <w:szCs w:val="22"/>
          <w:lang w:val="ro-RO" w:eastAsia="ro-RO"/>
        </w:rPr>
        <w:t>21</w:t>
      </w:r>
    </w:p>
    <w:tbl>
      <w:tblPr>
        <w:tblStyle w:val="Listcolorat-Accentuare4"/>
        <w:tblW w:w="4966" w:type="pct"/>
        <w:tblLook w:val="00A0" w:firstRow="1" w:lastRow="0" w:firstColumn="1" w:lastColumn="0" w:noHBand="0" w:noVBand="0"/>
      </w:tblPr>
      <w:tblGrid>
        <w:gridCol w:w="2261"/>
        <w:gridCol w:w="2152"/>
        <w:gridCol w:w="2417"/>
        <w:gridCol w:w="2460"/>
      </w:tblGrid>
      <w:tr w:rsidR="004E02DB" w:rsidRPr="004E02DB" w:rsidTr="00743B2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17" w:type="pct"/>
            <w:shd w:val="clear" w:color="auto" w:fill="92D050"/>
          </w:tcPr>
          <w:p w:rsidR="00743B28" w:rsidRPr="004E02DB" w:rsidRDefault="00743B28" w:rsidP="00755618">
            <w:pPr>
              <w:jc w:val="center"/>
              <w:rPr>
                <w:rFonts w:ascii="Arial" w:hAnsi="Arial" w:cs="Arial"/>
                <w:bCs w:val="0"/>
                <w:color w:val="auto"/>
                <w:sz w:val="22"/>
                <w:szCs w:val="22"/>
              </w:rPr>
            </w:pPr>
            <w:r w:rsidRPr="004E02DB">
              <w:rPr>
                <w:rFonts w:ascii="Arial" w:hAnsi="Arial" w:cs="Arial"/>
                <w:color w:val="auto"/>
                <w:sz w:val="22"/>
                <w:szCs w:val="22"/>
              </w:rPr>
              <w:t>CH4 - tone</w:t>
            </w:r>
          </w:p>
        </w:tc>
        <w:tc>
          <w:tcPr>
            <w:cnfStyle w:val="000010000000" w:firstRow="0" w:lastRow="0" w:firstColumn="0" w:lastColumn="0" w:oddVBand="1" w:evenVBand="0" w:oddHBand="0" w:evenHBand="0" w:firstRowFirstColumn="0" w:firstRowLastColumn="0" w:lastRowFirstColumn="0" w:lastRowLastColumn="0"/>
            <w:tcW w:w="1158" w:type="pct"/>
            <w:shd w:val="clear" w:color="auto" w:fill="92D050"/>
          </w:tcPr>
          <w:p w:rsidR="00743B28" w:rsidRPr="004E02DB" w:rsidRDefault="00743B28" w:rsidP="00755618">
            <w:pPr>
              <w:jc w:val="center"/>
              <w:rPr>
                <w:rFonts w:ascii="Arial" w:hAnsi="Arial" w:cs="Arial"/>
                <w:bCs w:val="0"/>
                <w:color w:val="auto"/>
                <w:sz w:val="22"/>
                <w:szCs w:val="22"/>
              </w:rPr>
            </w:pPr>
            <w:r w:rsidRPr="004E02DB">
              <w:rPr>
                <w:rFonts w:ascii="Arial" w:hAnsi="Arial" w:cs="Arial"/>
                <w:color w:val="auto"/>
                <w:sz w:val="22"/>
                <w:szCs w:val="22"/>
              </w:rPr>
              <w:t>CO - tone</w:t>
            </w:r>
          </w:p>
        </w:tc>
        <w:tc>
          <w:tcPr>
            <w:tcW w:w="1301" w:type="pct"/>
            <w:shd w:val="clear" w:color="auto" w:fill="92D050"/>
          </w:tcPr>
          <w:p w:rsidR="00743B28" w:rsidRPr="004E02DB"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2"/>
                <w:szCs w:val="22"/>
              </w:rPr>
            </w:pPr>
            <w:r w:rsidRPr="004E02DB">
              <w:rPr>
                <w:rFonts w:ascii="Arial" w:hAnsi="Arial" w:cs="Arial"/>
                <w:color w:val="auto"/>
                <w:sz w:val="22"/>
                <w:szCs w:val="22"/>
              </w:rPr>
              <w:t>NMVOC - tone</w:t>
            </w:r>
          </w:p>
        </w:tc>
        <w:tc>
          <w:tcPr>
            <w:cnfStyle w:val="000010000000" w:firstRow="0" w:lastRow="0" w:firstColumn="0" w:lastColumn="0" w:oddVBand="1" w:evenVBand="0" w:oddHBand="0" w:evenHBand="0" w:firstRowFirstColumn="0" w:firstRowLastColumn="0" w:lastRowFirstColumn="0" w:lastRowLastColumn="0"/>
            <w:tcW w:w="1324" w:type="pct"/>
            <w:shd w:val="clear" w:color="auto" w:fill="92D050"/>
          </w:tcPr>
          <w:p w:rsidR="00743B28" w:rsidRPr="004E02DB" w:rsidRDefault="00743B28" w:rsidP="00755618">
            <w:pPr>
              <w:jc w:val="center"/>
              <w:rPr>
                <w:rFonts w:ascii="Arial" w:hAnsi="Arial" w:cs="Arial"/>
                <w:bCs w:val="0"/>
                <w:color w:val="auto"/>
                <w:sz w:val="22"/>
                <w:szCs w:val="22"/>
              </w:rPr>
            </w:pPr>
            <w:r w:rsidRPr="004E02DB">
              <w:rPr>
                <w:rFonts w:ascii="Arial" w:hAnsi="Arial" w:cs="Arial"/>
                <w:color w:val="auto"/>
                <w:sz w:val="22"/>
                <w:szCs w:val="22"/>
              </w:rPr>
              <w:t>NOX - tone</w:t>
            </w:r>
          </w:p>
        </w:tc>
      </w:tr>
      <w:tr w:rsidR="005964E0" w:rsidRPr="005964E0" w:rsidTr="00743B2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17" w:type="pct"/>
            <w:noWrap/>
            <w:hideMark/>
          </w:tcPr>
          <w:p w:rsidR="00743B28" w:rsidRPr="004E02DB" w:rsidRDefault="00641105" w:rsidP="005964E0">
            <w:pPr>
              <w:jc w:val="center"/>
              <w:rPr>
                <w:rFonts w:ascii="Arial" w:eastAsia="Times New Roman" w:hAnsi="Arial" w:cs="Arial"/>
                <w:b w:val="0"/>
                <w:sz w:val="22"/>
                <w:szCs w:val="22"/>
                <w:lang w:val="ro-RO" w:eastAsia="ro-RO"/>
              </w:rPr>
            </w:pPr>
            <w:r w:rsidRPr="004E02DB">
              <w:rPr>
                <w:rFonts w:ascii="Arial" w:eastAsia="Times New Roman" w:hAnsi="Arial" w:cs="Arial"/>
                <w:b w:val="0"/>
                <w:sz w:val="22"/>
                <w:szCs w:val="22"/>
                <w:lang w:val="ro-RO" w:eastAsia="ro-RO"/>
              </w:rPr>
              <w:t>18</w:t>
            </w:r>
            <w:r w:rsidR="00743B28" w:rsidRPr="004E02DB">
              <w:rPr>
                <w:rFonts w:ascii="Arial" w:eastAsia="Times New Roman" w:hAnsi="Arial" w:cs="Arial"/>
                <w:b w:val="0"/>
                <w:sz w:val="22"/>
                <w:szCs w:val="22"/>
                <w:lang w:val="ro-RO" w:eastAsia="ro-RO"/>
              </w:rPr>
              <w:t>,</w:t>
            </w:r>
            <w:r w:rsidRPr="004E02DB">
              <w:rPr>
                <w:rFonts w:ascii="Arial" w:eastAsia="Times New Roman" w:hAnsi="Arial" w:cs="Arial"/>
                <w:b w:val="0"/>
                <w:sz w:val="22"/>
                <w:szCs w:val="22"/>
                <w:lang w:val="ro-RO" w:eastAsia="ro-RO"/>
              </w:rPr>
              <w:t>5001</w:t>
            </w:r>
          </w:p>
        </w:tc>
        <w:tc>
          <w:tcPr>
            <w:tcW w:w="1158" w:type="pct"/>
            <w:noWrap/>
            <w:hideMark/>
          </w:tcPr>
          <w:p w:rsidR="00743B28" w:rsidRPr="005964E0" w:rsidRDefault="00743B28" w:rsidP="005964E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ro-RO" w:eastAsia="ro-RO"/>
              </w:rPr>
            </w:pPr>
            <w:r w:rsidRPr="005964E0">
              <w:rPr>
                <w:rFonts w:ascii="Arial" w:eastAsia="Times New Roman" w:hAnsi="Arial" w:cs="Arial"/>
                <w:sz w:val="22"/>
                <w:szCs w:val="22"/>
                <w:lang w:val="ro-RO" w:eastAsia="ro-RO"/>
              </w:rPr>
              <w:t>1</w:t>
            </w:r>
            <w:r w:rsidR="00641105" w:rsidRPr="005964E0">
              <w:rPr>
                <w:rFonts w:ascii="Arial" w:eastAsia="Times New Roman" w:hAnsi="Arial" w:cs="Arial"/>
                <w:sz w:val="22"/>
                <w:szCs w:val="22"/>
                <w:lang w:val="ro-RO" w:eastAsia="ro-RO"/>
              </w:rPr>
              <w:t>3659</w:t>
            </w:r>
            <w:r w:rsidRPr="005964E0">
              <w:rPr>
                <w:rFonts w:ascii="Arial" w:eastAsia="Times New Roman" w:hAnsi="Arial" w:cs="Arial"/>
                <w:sz w:val="22"/>
                <w:szCs w:val="22"/>
                <w:lang w:val="ro-RO" w:eastAsia="ro-RO"/>
              </w:rPr>
              <w:t>,</w:t>
            </w:r>
            <w:r w:rsidR="005964E0" w:rsidRPr="005964E0">
              <w:rPr>
                <w:rFonts w:ascii="Arial" w:eastAsia="Times New Roman" w:hAnsi="Arial" w:cs="Arial"/>
                <w:sz w:val="22"/>
                <w:szCs w:val="22"/>
                <w:lang w:val="ro-RO" w:eastAsia="ro-RO"/>
              </w:rPr>
              <w:t>1047</w:t>
            </w:r>
          </w:p>
        </w:tc>
        <w:tc>
          <w:tcPr>
            <w:tcW w:w="1301" w:type="pct"/>
            <w:noWrap/>
            <w:hideMark/>
          </w:tcPr>
          <w:p w:rsidR="00743B28" w:rsidRPr="005964E0" w:rsidRDefault="005964E0" w:rsidP="005964E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ro-RO" w:eastAsia="ro-RO"/>
              </w:rPr>
            </w:pPr>
            <w:r w:rsidRPr="005964E0">
              <w:rPr>
                <w:rFonts w:ascii="Arial" w:eastAsia="Times New Roman" w:hAnsi="Arial" w:cs="Arial"/>
                <w:sz w:val="22"/>
                <w:szCs w:val="22"/>
                <w:lang w:val="ro-RO" w:eastAsia="ro-RO"/>
              </w:rPr>
              <w:t>3987</w:t>
            </w:r>
            <w:r w:rsidR="00743B28" w:rsidRPr="005964E0">
              <w:rPr>
                <w:rFonts w:ascii="Arial" w:eastAsia="Times New Roman" w:hAnsi="Arial" w:cs="Arial"/>
                <w:sz w:val="22"/>
                <w:szCs w:val="22"/>
                <w:lang w:val="ro-RO" w:eastAsia="ro-RO"/>
              </w:rPr>
              <w:t>,</w:t>
            </w:r>
            <w:r w:rsidRPr="005964E0">
              <w:rPr>
                <w:rFonts w:ascii="Arial" w:eastAsia="Times New Roman" w:hAnsi="Arial" w:cs="Arial"/>
                <w:sz w:val="22"/>
                <w:szCs w:val="22"/>
                <w:lang w:val="ro-RO" w:eastAsia="ro-RO"/>
              </w:rPr>
              <w:t>1931</w:t>
            </w:r>
          </w:p>
        </w:tc>
        <w:tc>
          <w:tcPr>
            <w:tcW w:w="1324" w:type="pct"/>
            <w:noWrap/>
            <w:hideMark/>
          </w:tcPr>
          <w:p w:rsidR="00743B28" w:rsidRPr="005964E0" w:rsidRDefault="005964E0" w:rsidP="005964E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ro-RO" w:eastAsia="ro-RO"/>
              </w:rPr>
            </w:pPr>
            <w:r w:rsidRPr="005964E0">
              <w:rPr>
                <w:rFonts w:ascii="Arial" w:eastAsia="Times New Roman" w:hAnsi="Arial" w:cs="Arial"/>
                <w:sz w:val="22"/>
                <w:szCs w:val="22"/>
                <w:lang w:val="ro-RO" w:eastAsia="ro-RO"/>
              </w:rPr>
              <w:t>1935</w:t>
            </w:r>
            <w:r w:rsidR="00743B28" w:rsidRPr="005964E0">
              <w:rPr>
                <w:rFonts w:ascii="Arial" w:eastAsia="Times New Roman" w:hAnsi="Arial" w:cs="Arial"/>
                <w:sz w:val="22"/>
                <w:szCs w:val="22"/>
                <w:lang w:val="ro-RO" w:eastAsia="ro-RO"/>
              </w:rPr>
              <w:t>,</w:t>
            </w:r>
            <w:r w:rsidRPr="005964E0">
              <w:rPr>
                <w:rFonts w:ascii="Arial" w:eastAsia="Times New Roman" w:hAnsi="Arial" w:cs="Arial"/>
                <w:sz w:val="22"/>
                <w:szCs w:val="22"/>
                <w:lang w:val="ro-RO" w:eastAsia="ro-RO"/>
              </w:rPr>
              <w:t>3417</w:t>
            </w:r>
          </w:p>
        </w:tc>
      </w:tr>
    </w:tbl>
    <w:p w:rsidR="00743B28" w:rsidRPr="005964E0" w:rsidRDefault="00743B28" w:rsidP="00755618">
      <w:pPr>
        <w:tabs>
          <w:tab w:val="left" w:pos="851"/>
        </w:tabs>
        <w:jc w:val="center"/>
        <w:rPr>
          <w:rFonts w:ascii="Arial" w:hAnsi="Arial" w:cs="Arial"/>
          <w:lang w:val="ro-RO"/>
        </w:rPr>
      </w:pPr>
      <w:r w:rsidRPr="005964E0">
        <w:rPr>
          <w:rFonts w:ascii="Arial" w:hAnsi="Arial" w:cs="Arial"/>
          <w:sz w:val="20"/>
          <w:szCs w:val="20"/>
          <w:lang w:val="ro-RO"/>
        </w:rPr>
        <w:t>Sursa: Agenţia pentru Protecţia Mediului Bistriţa-Năsăud</w:t>
      </w:r>
    </w:p>
    <w:p w:rsidR="000D6AF9" w:rsidRDefault="000D6AF9" w:rsidP="00755618">
      <w:pPr>
        <w:tabs>
          <w:tab w:val="left" w:pos="851"/>
        </w:tabs>
        <w:jc w:val="both"/>
        <w:rPr>
          <w:rFonts w:ascii="Arial" w:hAnsi="Arial" w:cs="Arial"/>
          <w:lang w:val="ro-RO"/>
        </w:rPr>
      </w:pPr>
    </w:p>
    <w:p w:rsidR="00743B28" w:rsidRPr="005964E0" w:rsidRDefault="00743B28" w:rsidP="00755618">
      <w:pPr>
        <w:tabs>
          <w:tab w:val="left" w:pos="851"/>
        </w:tabs>
        <w:jc w:val="both"/>
        <w:rPr>
          <w:rFonts w:ascii="Arial" w:hAnsi="Arial" w:cs="Arial"/>
          <w:lang w:val="ro-RO"/>
        </w:rPr>
      </w:pPr>
      <w:r w:rsidRPr="005964E0">
        <w:rPr>
          <w:rFonts w:ascii="Arial" w:hAnsi="Arial" w:cs="Arial"/>
          <w:lang w:val="ro-RO"/>
        </w:rPr>
        <w:t xml:space="preserve">În județul Bistrița-Năsăud, la nivelul anului </w:t>
      </w:r>
      <w:r w:rsidR="0078048E" w:rsidRPr="005964E0">
        <w:rPr>
          <w:rFonts w:ascii="Arial" w:hAnsi="Arial" w:cs="Arial"/>
          <w:lang w:val="ro-RO"/>
        </w:rPr>
        <w:t>20</w:t>
      </w:r>
      <w:r w:rsidR="005964E0" w:rsidRPr="005964E0">
        <w:rPr>
          <w:rFonts w:ascii="Arial" w:hAnsi="Arial" w:cs="Arial"/>
          <w:lang w:val="ro-RO"/>
        </w:rPr>
        <w:t>21</w:t>
      </w:r>
      <w:r w:rsidRPr="005964E0">
        <w:rPr>
          <w:rFonts w:ascii="Arial" w:hAnsi="Arial" w:cs="Arial"/>
          <w:lang w:val="ro-RO"/>
        </w:rPr>
        <w:t xml:space="preserve">, </w:t>
      </w:r>
      <w:r w:rsidR="005964E0" w:rsidRPr="005964E0">
        <w:rPr>
          <w:rFonts w:ascii="Arial" w:hAnsi="Arial" w:cs="Arial"/>
          <w:lang w:val="ro-RO"/>
        </w:rPr>
        <w:t xml:space="preserve">la fel ca și în anii anteriori, </w:t>
      </w:r>
      <w:r w:rsidRPr="005964E0">
        <w:rPr>
          <w:rFonts w:ascii="Arial" w:hAnsi="Arial" w:cs="Arial"/>
          <w:lang w:val="ro-RO"/>
        </w:rPr>
        <w:t>principalele surse de precursori ai ozonului sunt transportul și arderile.</w:t>
      </w:r>
    </w:p>
    <w:p w:rsidR="00743B28" w:rsidRPr="00F308B8" w:rsidRDefault="00743B28" w:rsidP="00755618">
      <w:pPr>
        <w:tabs>
          <w:tab w:val="left" w:pos="851"/>
        </w:tabs>
        <w:jc w:val="center"/>
        <w:rPr>
          <w:rFonts w:ascii="Arial" w:hAnsi="Arial" w:cs="Arial"/>
          <w:color w:val="FF0000"/>
          <w:lang w:val="ro-RO"/>
        </w:rPr>
      </w:pPr>
    </w:p>
    <w:p w:rsidR="00743B28" w:rsidRPr="005964E0" w:rsidRDefault="00743B28" w:rsidP="00755618">
      <w:pPr>
        <w:pStyle w:val="Listparagraf"/>
        <w:numPr>
          <w:ilvl w:val="0"/>
          <w:numId w:val="3"/>
        </w:numPr>
        <w:tabs>
          <w:tab w:val="left" w:pos="851"/>
          <w:tab w:val="left" w:pos="1134"/>
          <w:tab w:val="left" w:leader="dot" w:pos="9356"/>
        </w:tabs>
        <w:ind w:left="0" w:firstLine="0"/>
        <w:rPr>
          <w:rFonts w:ascii="Arial" w:hAnsi="Arial" w:cs="Arial"/>
          <w:b/>
          <w:u w:val="single"/>
          <w:lang w:val="ro-RO"/>
        </w:rPr>
      </w:pPr>
      <w:r w:rsidRPr="005964E0">
        <w:rPr>
          <w:rFonts w:ascii="Arial" w:hAnsi="Arial" w:cs="Arial"/>
          <w:b/>
          <w:u w:val="single"/>
          <w:lang w:val="ro-RO"/>
        </w:rPr>
        <w:t xml:space="preserve">Emisiile de particule primare și precursori secundari de particule, </w:t>
      </w:r>
      <w:r w:rsidRPr="005964E0">
        <w:rPr>
          <w:rFonts w:ascii="Arial" w:hAnsi="Arial" w:cs="Arial"/>
          <w:lang w:val="ro-RO"/>
        </w:rPr>
        <w:t xml:space="preserve">care </w:t>
      </w:r>
      <w:r w:rsidRPr="005964E0">
        <w:rPr>
          <w:rFonts w:ascii="Arial" w:hAnsi="Arial" w:cs="Arial"/>
        </w:rPr>
        <w:t xml:space="preserve">pot fi responsabile pentru o serie de probleme respiratorii. </w:t>
      </w:r>
    </w:p>
    <w:p w:rsidR="00743B28" w:rsidRPr="005964E0" w:rsidRDefault="00743B28" w:rsidP="00755618">
      <w:pPr>
        <w:pStyle w:val="Listparagraf"/>
        <w:tabs>
          <w:tab w:val="left" w:pos="851"/>
          <w:tab w:val="left" w:pos="1134"/>
          <w:tab w:val="left" w:leader="dot" w:pos="9356"/>
        </w:tabs>
        <w:ind w:left="0"/>
        <w:jc w:val="both"/>
        <w:rPr>
          <w:rFonts w:ascii="Arial" w:hAnsi="Arial" w:cs="Arial"/>
          <w:lang w:val="ro-RO"/>
        </w:rPr>
      </w:pPr>
      <w:r w:rsidRPr="005964E0">
        <w:rPr>
          <w:rFonts w:ascii="Arial" w:hAnsi="Arial" w:cs="Arial"/>
          <w:lang w:val="ro-RO"/>
        </w:rPr>
        <w:tab/>
        <w:t>Cei mai importanţi precursori pentru particule secundare sunt SO</w:t>
      </w:r>
      <w:r w:rsidRPr="005964E0">
        <w:rPr>
          <w:rFonts w:ascii="Arial" w:hAnsi="Arial" w:cs="Arial"/>
          <w:vertAlign w:val="subscript"/>
          <w:lang w:val="ro-RO"/>
        </w:rPr>
        <w:t>2</w:t>
      </w:r>
      <w:r w:rsidRPr="005964E0">
        <w:rPr>
          <w:rFonts w:ascii="Arial" w:hAnsi="Arial" w:cs="Arial"/>
          <w:lang w:val="ro-RO"/>
        </w:rPr>
        <w:t>, NOx și NH</w:t>
      </w:r>
      <w:r w:rsidRPr="005964E0">
        <w:rPr>
          <w:rFonts w:ascii="Arial" w:hAnsi="Arial" w:cs="Arial"/>
          <w:vertAlign w:val="subscript"/>
          <w:lang w:val="ro-RO"/>
        </w:rPr>
        <w:t>3</w:t>
      </w:r>
      <w:r w:rsidRPr="005964E0">
        <w:rPr>
          <w:rFonts w:ascii="Arial" w:hAnsi="Arial" w:cs="Arial"/>
          <w:lang w:val="ro-RO"/>
        </w:rPr>
        <w:t xml:space="preserve"> care reacţionează în atmosferă şi formează compuşi ce condensează şi duc la apariţia în aer a aerosolilor secundari anorganici. </w:t>
      </w:r>
    </w:p>
    <w:p w:rsidR="00743B28" w:rsidRPr="005964E0"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5964E0"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5964E0">
        <w:rPr>
          <w:rFonts w:ascii="Arial" w:hAnsi="Arial" w:cs="Arial"/>
          <w:b/>
          <w:sz w:val="22"/>
          <w:szCs w:val="22"/>
          <w:lang w:val="ro-RO"/>
        </w:rPr>
        <w:t>Tabel I.2.1.3.</w:t>
      </w:r>
    </w:p>
    <w:p w:rsidR="00743B28" w:rsidRPr="005964E0"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5964E0">
        <w:rPr>
          <w:rFonts w:ascii="Arial" w:hAnsi="Arial" w:cs="Arial"/>
          <w:b/>
          <w:sz w:val="22"/>
          <w:szCs w:val="22"/>
          <w:lang w:val="ro-RO" w:eastAsia="ro-RO"/>
        </w:rPr>
        <w:t xml:space="preserve">Cantitățile de particule primare și precursori secundari de particule (în Gg) emise în județul Bistrița-Năsăud în anul </w:t>
      </w:r>
      <w:r w:rsidR="0078048E" w:rsidRPr="005964E0">
        <w:rPr>
          <w:rFonts w:ascii="Arial" w:hAnsi="Arial" w:cs="Arial"/>
          <w:b/>
          <w:sz w:val="22"/>
          <w:szCs w:val="22"/>
          <w:lang w:val="ro-RO" w:eastAsia="ro-RO"/>
        </w:rPr>
        <w:t>20</w:t>
      </w:r>
      <w:r w:rsidR="005964E0">
        <w:rPr>
          <w:rFonts w:ascii="Arial" w:hAnsi="Arial" w:cs="Arial"/>
          <w:b/>
          <w:sz w:val="22"/>
          <w:szCs w:val="22"/>
          <w:lang w:val="ro-RO" w:eastAsia="ro-RO"/>
        </w:rPr>
        <w:t>21</w:t>
      </w:r>
      <w:r w:rsidRPr="005964E0">
        <w:rPr>
          <w:rFonts w:ascii="Arial" w:hAnsi="Arial" w:cs="Arial"/>
          <w:b/>
          <w:sz w:val="22"/>
          <w:szCs w:val="22"/>
          <w:lang w:val="ro-RO" w:eastAsia="ro-RO"/>
        </w:rPr>
        <w:t>  </w:t>
      </w:r>
    </w:p>
    <w:tbl>
      <w:tblPr>
        <w:tblW w:w="5000" w:type="pct"/>
        <w:tblLook w:val="00A0" w:firstRow="1" w:lastRow="0" w:firstColumn="1" w:lastColumn="0" w:noHBand="0" w:noVBand="0"/>
      </w:tblPr>
      <w:tblGrid>
        <w:gridCol w:w="1769"/>
        <w:gridCol w:w="1769"/>
        <w:gridCol w:w="1540"/>
        <w:gridCol w:w="2138"/>
        <w:gridCol w:w="2138"/>
      </w:tblGrid>
      <w:tr w:rsidR="00F308B8" w:rsidRPr="005964E0" w:rsidTr="00743B28">
        <w:trPr>
          <w:trHeight w:val="336"/>
        </w:trPr>
        <w:tc>
          <w:tcPr>
            <w:tcW w:w="945" w:type="pct"/>
            <w:tcBorders>
              <w:top w:val="nil"/>
              <w:left w:val="nil"/>
              <w:bottom w:val="single" w:sz="12" w:space="0" w:color="FFFFFF"/>
              <w:right w:val="nil"/>
            </w:tcBorders>
            <w:shd w:val="clear" w:color="auto" w:fill="92D050"/>
            <w:vAlign w:val="center"/>
            <w:hideMark/>
          </w:tcPr>
          <w:p w:rsidR="00743B28" w:rsidRPr="005964E0" w:rsidRDefault="00743B28" w:rsidP="00755618">
            <w:pPr>
              <w:jc w:val="center"/>
              <w:rPr>
                <w:rFonts w:ascii="Arial" w:eastAsia="Times New Roman" w:hAnsi="Arial" w:cs="Arial"/>
                <w:b/>
                <w:bCs/>
                <w:sz w:val="22"/>
                <w:szCs w:val="22"/>
                <w:lang w:val="ro-RO" w:eastAsia="ro-RO"/>
              </w:rPr>
            </w:pPr>
            <w:r w:rsidRPr="005964E0">
              <w:rPr>
                <w:rFonts w:ascii="Arial" w:eastAsia="Times New Roman" w:hAnsi="Arial" w:cs="Arial"/>
                <w:b/>
                <w:bCs/>
                <w:sz w:val="22"/>
                <w:szCs w:val="22"/>
                <w:lang w:val="ro-RO" w:eastAsia="ro-RO"/>
              </w:rPr>
              <w:t>NH</w:t>
            </w:r>
            <w:r w:rsidRPr="005964E0">
              <w:rPr>
                <w:rFonts w:ascii="Arial" w:eastAsia="Times New Roman" w:hAnsi="Arial" w:cs="Arial"/>
                <w:b/>
                <w:bCs/>
                <w:sz w:val="22"/>
                <w:szCs w:val="22"/>
                <w:vertAlign w:val="subscript"/>
                <w:lang w:val="ro-RO" w:eastAsia="ro-RO"/>
              </w:rPr>
              <w:t>3</w:t>
            </w:r>
          </w:p>
        </w:tc>
        <w:tc>
          <w:tcPr>
            <w:tcW w:w="945" w:type="pct"/>
            <w:tcBorders>
              <w:top w:val="nil"/>
              <w:left w:val="nil"/>
              <w:bottom w:val="single" w:sz="12" w:space="0" w:color="FFFFFF"/>
              <w:right w:val="nil"/>
            </w:tcBorders>
            <w:shd w:val="clear" w:color="auto" w:fill="92D050"/>
            <w:vAlign w:val="center"/>
            <w:hideMark/>
          </w:tcPr>
          <w:p w:rsidR="00743B28" w:rsidRPr="005964E0" w:rsidRDefault="00743B28" w:rsidP="00755618">
            <w:pPr>
              <w:jc w:val="center"/>
              <w:rPr>
                <w:rFonts w:ascii="Arial" w:eastAsia="Times New Roman" w:hAnsi="Arial" w:cs="Arial"/>
                <w:b/>
                <w:bCs/>
                <w:sz w:val="22"/>
                <w:szCs w:val="22"/>
                <w:lang w:val="ro-RO" w:eastAsia="ro-RO"/>
              </w:rPr>
            </w:pPr>
            <w:r w:rsidRPr="005964E0">
              <w:rPr>
                <w:rFonts w:ascii="Arial" w:eastAsia="Times New Roman" w:hAnsi="Arial" w:cs="Arial"/>
                <w:b/>
                <w:bCs/>
                <w:sz w:val="22"/>
                <w:szCs w:val="22"/>
                <w:lang w:val="ro-RO" w:eastAsia="ro-RO"/>
              </w:rPr>
              <w:t>NO</w:t>
            </w:r>
            <w:r w:rsidRPr="005964E0">
              <w:rPr>
                <w:rFonts w:ascii="Arial" w:eastAsia="Times New Roman" w:hAnsi="Arial" w:cs="Arial"/>
                <w:b/>
                <w:bCs/>
                <w:sz w:val="22"/>
                <w:szCs w:val="22"/>
                <w:vertAlign w:val="subscript"/>
                <w:lang w:val="ro-RO" w:eastAsia="ro-RO"/>
              </w:rPr>
              <w:t>X</w:t>
            </w:r>
          </w:p>
        </w:tc>
        <w:tc>
          <w:tcPr>
            <w:tcW w:w="823" w:type="pct"/>
            <w:tcBorders>
              <w:top w:val="nil"/>
              <w:left w:val="nil"/>
              <w:bottom w:val="single" w:sz="12" w:space="0" w:color="FFFFFF"/>
              <w:right w:val="nil"/>
            </w:tcBorders>
            <w:shd w:val="clear" w:color="auto" w:fill="92D050"/>
            <w:vAlign w:val="center"/>
            <w:hideMark/>
          </w:tcPr>
          <w:p w:rsidR="00743B28" w:rsidRPr="005964E0" w:rsidRDefault="00743B28" w:rsidP="00755618">
            <w:pPr>
              <w:jc w:val="center"/>
              <w:rPr>
                <w:rFonts w:ascii="Arial" w:eastAsia="Times New Roman" w:hAnsi="Arial" w:cs="Arial"/>
                <w:b/>
                <w:bCs/>
                <w:sz w:val="22"/>
                <w:szCs w:val="22"/>
                <w:lang w:val="ro-RO" w:eastAsia="ro-RO"/>
              </w:rPr>
            </w:pPr>
            <w:r w:rsidRPr="005964E0">
              <w:rPr>
                <w:rFonts w:ascii="Arial" w:eastAsia="Times New Roman" w:hAnsi="Arial" w:cs="Arial"/>
                <w:b/>
                <w:bCs/>
                <w:sz w:val="22"/>
                <w:szCs w:val="22"/>
                <w:lang w:val="ro-RO" w:eastAsia="ro-RO"/>
              </w:rPr>
              <w:t>SO</w:t>
            </w:r>
            <w:r w:rsidRPr="005964E0">
              <w:rPr>
                <w:rFonts w:ascii="Arial" w:eastAsia="Times New Roman" w:hAnsi="Arial" w:cs="Arial"/>
                <w:b/>
                <w:bCs/>
                <w:sz w:val="22"/>
                <w:szCs w:val="22"/>
                <w:vertAlign w:val="subscript"/>
                <w:lang w:val="ro-RO" w:eastAsia="ro-RO"/>
              </w:rPr>
              <w:t>2</w:t>
            </w:r>
          </w:p>
        </w:tc>
        <w:tc>
          <w:tcPr>
            <w:tcW w:w="1143" w:type="pct"/>
            <w:tcBorders>
              <w:top w:val="nil"/>
              <w:left w:val="nil"/>
              <w:bottom w:val="single" w:sz="12" w:space="0" w:color="FFFFFF"/>
              <w:right w:val="nil"/>
            </w:tcBorders>
            <w:shd w:val="clear" w:color="auto" w:fill="92D050"/>
            <w:vAlign w:val="center"/>
            <w:hideMark/>
          </w:tcPr>
          <w:p w:rsidR="00743B28" w:rsidRPr="005964E0" w:rsidRDefault="00743B28" w:rsidP="00755618">
            <w:pPr>
              <w:jc w:val="center"/>
              <w:rPr>
                <w:rFonts w:ascii="Arial" w:eastAsia="Times New Roman" w:hAnsi="Arial" w:cs="Arial"/>
                <w:b/>
                <w:bCs/>
                <w:sz w:val="22"/>
                <w:szCs w:val="22"/>
                <w:lang w:val="ro-RO" w:eastAsia="ro-RO"/>
              </w:rPr>
            </w:pPr>
            <w:r w:rsidRPr="005964E0">
              <w:rPr>
                <w:rFonts w:ascii="Arial" w:eastAsia="Times New Roman" w:hAnsi="Arial" w:cs="Arial"/>
                <w:b/>
                <w:bCs/>
                <w:sz w:val="22"/>
                <w:szCs w:val="22"/>
                <w:lang w:val="ro-RO" w:eastAsia="ro-RO"/>
              </w:rPr>
              <w:t>PM10</w:t>
            </w:r>
          </w:p>
        </w:tc>
        <w:tc>
          <w:tcPr>
            <w:tcW w:w="1143" w:type="pct"/>
            <w:tcBorders>
              <w:top w:val="nil"/>
              <w:left w:val="nil"/>
              <w:bottom w:val="single" w:sz="12" w:space="0" w:color="FFFFFF"/>
              <w:right w:val="nil"/>
            </w:tcBorders>
            <w:shd w:val="clear" w:color="auto" w:fill="92D050"/>
            <w:vAlign w:val="center"/>
            <w:hideMark/>
          </w:tcPr>
          <w:p w:rsidR="00743B28" w:rsidRPr="005964E0" w:rsidRDefault="00743B28" w:rsidP="00755618">
            <w:pPr>
              <w:jc w:val="center"/>
              <w:rPr>
                <w:rFonts w:ascii="Arial" w:eastAsia="Times New Roman" w:hAnsi="Arial" w:cs="Arial"/>
                <w:b/>
                <w:bCs/>
                <w:sz w:val="22"/>
                <w:szCs w:val="22"/>
                <w:lang w:val="ro-RO" w:eastAsia="ro-RO"/>
              </w:rPr>
            </w:pPr>
            <w:r w:rsidRPr="005964E0">
              <w:rPr>
                <w:rFonts w:ascii="Arial" w:eastAsia="Times New Roman" w:hAnsi="Arial" w:cs="Arial"/>
                <w:b/>
                <w:bCs/>
                <w:sz w:val="22"/>
                <w:szCs w:val="22"/>
                <w:lang w:val="ro-RO" w:eastAsia="ro-RO"/>
              </w:rPr>
              <w:t>PM2.5</w:t>
            </w:r>
          </w:p>
        </w:tc>
      </w:tr>
      <w:tr w:rsidR="005964E0" w:rsidRPr="005964E0" w:rsidTr="00743B28">
        <w:trPr>
          <w:trHeight w:val="288"/>
        </w:trPr>
        <w:tc>
          <w:tcPr>
            <w:tcW w:w="945" w:type="pct"/>
            <w:tcBorders>
              <w:top w:val="nil"/>
              <w:left w:val="nil"/>
              <w:bottom w:val="nil"/>
              <w:right w:val="nil"/>
            </w:tcBorders>
            <w:shd w:val="clear" w:color="000000" w:fill="E5DFEC"/>
            <w:noWrap/>
            <w:vAlign w:val="bottom"/>
            <w:hideMark/>
          </w:tcPr>
          <w:p w:rsidR="00743B28" w:rsidRPr="005964E0" w:rsidRDefault="005964E0" w:rsidP="00E60DBC">
            <w:pPr>
              <w:jc w:val="center"/>
              <w:rPr>
                <w:rFonts w:ascii="Arial" w:hAnsi="Arial" w:cs="Arial"/>
                <w:bCs/>
                <w:sz w:val="22"/>
                <w:szCs w:val="22"/>
              </w:rPr>
            </w:pPr>
            <w:r w:rsidRPr="005964E0">
              <w:rPr>
                <w:rFonts w:ascii="Arial" w:hAnsi="Arial" w:cs="Arial"/>
                <w:bCs/>
                <w:sz w:val="22"/>
                <w:szCs w:val="22"/>
              </w:rPr>
              <w:t>3,1694</w:t>
            </w:r>
          </w:p>
        </w:tc>
        <w:tc>
          <w:tcPr>
            <w:tcW w:w="945" w:type="pct"/>
            <w:tcBorders>
              <w:top w:val="nil"/>
              <w:left w:val="nil"/>
              <w:bottom w:val="nil"/>
              <w:right w:val="nil"/>
            </w:tcBorders>
            <w:shd w:val="clear" w:color="000000" w:fill="E5DFEC"/>
            <w:noWrap/>
            <w:vAlign w:val="bottom"/>
            <w:hideMark/>
          </w:tcPr>
          <w:p w:rsidR="00743B28" w:rsidRPr="005964E0" w:rsidRDefault="005964E0" w:rsidP="00E60DBC">
            <w:pPr>
              <w:jc w:val="center"/>
              <w:rPr>
                <w:rFonts w:ascii="Arial" w:hAnsi="Arial" w:cs="Arial"/>
                <w:bCs/>
                <w:sz w:val="22"/>
                <w:szCs w:val="22"/>
              </w:rPr>
            </w:pPr>
            <w:r w:rsidRPr="005964E0">
              <w:rPr>
                <w:rFonts w:ascii="Arial" w:hAnsi="Arial" w:cs="Arial"/>
                <w:bCs/>
                <w:sz w:val="22"/>
                <w:szCs w:val="22"/>
              </w:rPr>
              <w:t>1,9353</w:t>
            </w:r>
          </w:p>
        </w:tc>
        <w:tc>
          <w:tcPr>
            <w:tcW w:w="823" w:type="pct"/>
            <w:tcBorders>
              <w:top w:val="nil"/>
              <w:left w:val="nil"/>
              <w:bottom w:val="nil"/>
              <w:right w:val="nil"/>
            </w:tcBorders>
            <w:shd w:val="clear" w:color="000000" w:fill="E5DFEC"/>
            <w:noWrap/>
            <w:vAlign w:val="bottom"/>
            <w:hideMark/>
          </w:tcPr>
          <w:p w:rsidR="00743B28" w:rsidRPr="005964E0" w:rsidRDefault="005964E0" w:rsidP="00E60DBC">
            <w:pPr>
              <w:jc w:val="center"/>
              <w:rPr>
                <w:rFonts w:ascii="Arial" w:hAnsi="Arial" w:cs="Arial"/>
                <w:bCs/>
                <w:sz w:val="22"/>
                <w:szCs w:val="22"/>
              </w:rPr>
            </w:pPr>
            <w:r w:rsidRPr="005964E0">
              <w:rPr>
                <w:rFonts w:ascii="Arial" w:hAnsi="Arial" w:cs="Arial"/>
                <w:bCs/>
                <w:sz w:val="22"/>
                <w:szCs w:val="22"/>
              </w:rPr>
              <w:t>0,0017</w:t>
            </w:r>
          </w:p>
        </w:tc>
        <w:tc>
          <w:tcPr>
            <w:tcW w:w="1143" w:type="pct"/>
            <w:tcBorders>
              <w:top w:val="nil"/>
              <w:left w:val="nil"/>
              <w:bottom w:val="nil"/>
              <w:right w:val="nil"/>
            </w:tcBorders>
            <w:shd w:val="clear" w:color="000000" w:fill="E5DFEC"/>
            <w:noWrap/>
            <w:vAlign w:val="bottom"/>
            <w:hideMark/>
          </w:tcPr>
          <w:p w:rsidR="00743B28" w:rsidRPr="005964E0" w:rsidRDefault="005964E0" w:rsidP="00E60DBC">
            <w:pPr>
              <w:jc w:val="center"/>
              <w:rPr>
                <w:rFonts w:ascii="Arial" w:hAnsi="Arial" w:cs="Arial"/>
                <w:bCs/>
                <w:sz w:val="22"/>
                <w:szCs w:val="22"/>
              </w:rPr>
            </w:pPr>
            <w:r w:rsidRPr="005964E0">
              <w:rPr>
                <w:rFonts w:ascii="Arial" w:hAnsi="Arial" w:cs="Arial"/>
                <w:bCs/>
                <w:sz w:val="22"/>
                <w:szCs w:val="22"/>
              </w:rPr>
              <w:t>4,5168</w:t>
            </w:r>
          </w:p>
        </w:tc>
        <w:tc>
          <w:tcPr>
            <w:tcW w:w="1143" w:type="pct"/>
            <w:tcBorders>
              <w:top w:val="nil"/>
              <w:left w:val="nil"/>
              <w:bottom w:val="nil"/>
              <w:right w:val="nil"/>
            </w:tcBorders>
            <w:shd w:val="clear" w:color="000000" w:fill="E5DFEC"/>
            <w:noWrap/>
            <w:vAlign w:val="bottom"/>
            <w:hideMark/>
          </w:tcPr>
          <w:p w:rsidR="00743B28" w:rsidRPr="005964E0" w:rsidRDefault="00E60DBC" w:rsidP="005964E0">
            <w:pPr>
              <w:jc w:val="center"/>
              <w:rPr>
                <w:rFonts w:ascii="Arial" w:hAnsi="Arial" w:cs="Arial"/>
                <w:bCs/>
                <w:sz w:val="22"/>
                <w:szCs w:val="22"/>
              </w:rPr>
            </w:pPr>
            <w:r w:rsidRPr="005964E0">
              <w:rPr>
                <w:rFonts w:ascii="Arial" w:hAnsi="Arial" w:cs="Arial"/>
                <w:bCs/>
                <w:sz w:val="22"/>
                <w:szCs w:val="22"/>
              </w:rPr>
              <w:t>2,</w:t>
            </w:r>
            <w:r w:rsidR="005964E0" w:rsidRPr="005964E0">
              <w:rPr>
                <w:rFonts w:ascii="Arial" w:hAnsi="Arial" w:cs="Arial"/>
                <w:bCs/>
                <w:sz w:val="22"/>
                <w:szCs w:val="22"/>
              </w:rPr>
              <w:t>3468</w:t>
            </w:r>
          </w:p>
        </w:tc>
      </w:tr>
    </w:tbl>
    <w:p w:rsidR="00743B28" w:rsidRPr="005964E0" w:rsidRDefault="00743B28" w:rsidP="00755618">
      <w:pPr>
        <w:tabs>
          <w:tab w:val="left" w:pos="851"/>
        </w:tabs>
        <w:jc w:val="center"/>
        <w:rPr>
          <w:rFonts w:ascii="Arial" w:hAnsi="Arial" w:cs="Arial"/>
          <w:lang w:val="ro-RO"/>
        </w:rPr>
      </w:pPr>
      <w:r w:rsidRPr="005964E0">
        <w:rPr>
          <w:rFonts w:ascii="Arial" w:hAnsi="Arial" w:cs="Arial"/>
          <w:sz w:val="20"/>
          <w:szCs w:val="20"/>
          <w:lang w:val="ro-RO"/>
        </w:rPr>
        <w:t>Sursa: Agenţia pentru Protecţia Mediului Bistriţa-Năsăud</w:t>
      </w:r>
    </w:p>
    <w:p w:rsidR="00743B28" w:rsidRPr="00F308B8" w:rsidRDefault="00743B28" w:rsidP="00755618">
      <w:pPr>
        <w:pStyle w:val="Listparagraf"/>
        <w:tabs>
          <w:tab w:val="left" w:pos="851"/>
          <w:tab w:val="left" w:pos="1134"/>
          <w:tab w:val="left" w:leader="dot" w:pos="9356"/>
        </w:tabs>
        <w:ind w:left="0"/>
        <w:jc w:val="center"/>
        <w:rPr>
          <w:rFonts w:ascii="Arial" w:hAnsi="Arial" w:cs="Arial"/>
          <w:b/>
          <w:color w:val="FF0000"/>
          <w:sz w:val="22"/>
          <w:szCs w:val="22"/>
          <w:lang w:val="ro-RO"/>
        </w:rPr>
      </w:pPr>
    </w:p>
    <w:p w:rsidR="00743B28" w:rsidRPr="005964E0" w:rsidRDefault="00743B28" w:rsidP="00755618">
      <w:pPr>
        <w:pStyle w:val="Listparagraf"/>
        <w:numPr>
          <w:ilvl w:val="0"/>
          <w:numId w:val="3"/>
        </w:numPr>
        <w:tabs>
          <w:tab w:val="left" w:pos="851"/>
          <w:tab w:val="left" w:pos="1134"/>
          <w:tab w:val="left" w:leader="dot" w:pos="9356"/>
        </w:tabs>
        <w:ind w:left="0" w:firstLine="0"/>
        <w:jc w:val="both"/>
        <w:rPr>
          <w:rFonts w:ascii="Arial" w:hAnsi="Arial" w:cs="Arial"/>
          <w:lang w:val="ro-RO"/>
        </w:rPr>
      </w:pPr>
      <w:r w:rsidRPr="005964E0">
        <w:rPr>
          <w:rFonts w:ascii="Arial" w:hAnsi="Arial" w:cs="Arial"/>
          <w:b/>
          <w:u w:val="single"/>
          <w:lang w:val="ro-RO"/>
        </w:rPr>
        <w:t xml:space="preserve">Emisiile de metale grele (Pb, Cd, Hg) </w:t>
      </w:r>
      <w:r w:rsidRPr="005964E0">
        <w:rPr>
          <w:rFonts w:ascii="Arial" w:hAnsi="Arial" w:cs="Arial"/>
          <w:lang w:val="ro-RO"/>
        </w:rPr>
        <w:t xml:space="preserve"> au remanenţă de lungă durată în sol şi sunt preluate de către plante şi animale. Ele se concentrează la nivelul fiecărui nivel trofic datorită slabei lor mobilităţi, respectiv concentraţia lor în plante este mai mare decât în sol, în animalele ierbivore mai mare decât în plante, în ţesuturile carnivorelor mai mare decât la ierbivore, concentraţia cea mai mare fiind atinsă la capetele lanţurilor trofice, respectiv la răpitorii de vârf şi implicit la om. La aceste elemente de toxicitate se adaugă posibilitatea combinării metalelor grele cu minerale şi oligominerale devenind blocanţi ai acestora, frustrând organismele de aceste elemente indispensabile vieţii.(ECOS 22-2010)</w:t>
      </w:r>
    </w:p>
    <w:p w:rsidR="00743B28" w:rsidRPr="006B01A5" w:rsidRDefault="00743B28" w:rsidP="00755618">
      <w:pPr>
        <w:pStyle w:val="Listparagraf"/>
        <w:tabs>
          <w:tab w:val="left" w:pos="851"/>
          <w:tab w:val="left" w:pos="1134"/>
          <w:tab w:val="left" w:leader="dot" w:pos="9356"/>
        </w:tabs>
        <w:ind w:left="0"/>
        <w:jc w:val="both"/>
        <w:rPr>
          <w:rFonts w:ascii="Arial" w:hAnsi="Arial" w:cs="Arial"/>
          <w:color w:val="FF0000"/>
          <w:lang w:val="ro-RO"/>
        </w:rPr>
      </w:pPr>
    </w:p>
    <w:p w:rsidR="00743B28" w:rsidRPr="005964E0"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5964E0">
        <w:rPr>
          <w:rFonts w:ascii="Arial" w:hAnsi="Arial" w:cs="Arial"/>
          <w:b/>
          <w:sz w:val="22"/>
          <w:szCs w:val="22"/>
          <w:lang w:val="ro-RO"/>
        </w:rPr>
        <w:t>Tabel I.2.1.4.</w:t>
      </w:r>
    </w:p>
    <w:p w:rsidR="00743B28" w:rsidRPr="005964E0" w:rsidRDefault="00743B28" w:rsidP="00755618">
      <w:pPr>
        <w:tabs>
          <w:tab w:val="left" w:pos="851"/>
        </w:tabs>
        <w:jc w:val="center"/>
        <w:rPr>
          <w:rFonts w:ascii="Arial" w:hAnsi="Arial" w:cs="Arial"/>
          <w:b/>
          <w:lang w:val="ro-RO"/>
        </w:rPr>
      </w:pPr>
      <w:r w:rsidRPr="005964E0">
        <w:rPr>
          <w:rFonts w:ascii="Arial" w:hAnsi="Arial" w:cs="Arial"/>
          <w:b/>
          <w:sz w:val="22"/>
          <w:szCs w:val="22"/>
          <w:lang w:val="ro-RO" w:eastAsia="ro-RO"/>
        </w:rPr>
        <w:t xml:space="preserve">Cantitățile de metale grele (în kg) emise  în județul Bistrița-Năsăud în anul </w:t>
      </w:r>
      <w:r w:rsidR="005964E0" w:rsidRPr="005964E0">
        <w:rPr>
          <w:rFonts w:ascii="Arial" w:hAnsi="Arial" w:cs="Arial"/>
          <w:b/>
          <w:sz w:val="22"/>
          <w:szCs w:val="22"/>
          <w:lang w:val="ro-RO" w:eastAsia="ro-RO"/>
        </w:rPr>
        <w:t>2021</w:t>
      </w:r>
      <w:r w:rsidRPr="005964E0">
        <w:rPr>
          <w:rFonts w:ascii="Arial" w:hAnsi="Arial" w:cs="Arial"/>
          <w:b/>
          <w:sz w:val="22"/>
          <w:szCs w:val="22"/>
          <w:lang w:val="ro-RO" w:eastAsia="ro-RO"/>
        </w:rPr>
        <w:t>  </w:t>
      </w:r>
    </w:p>
    <w:tbl>
      <w:tblPr>
        <w:tblStyle w:val="Style1"/>
        <w:tblW w:w="4944" w:type="pct"/>
        <w:jc w:val="center"/>
        <w:tblLook w:val="04A0" w:firstRow="1" w:lastRow="0" w:firstColumn="1" w:lastColumn="0" w:noHBand="0" w:noVBand="1"/>
      </w:tblPr>
      <w:tblGrid>
        <w:gridCol w:w="1066"/>
        <w:gridCol w:w="1051"/>
        <w:gridCol w:w="1001"/>
        <w:gridCol w:w="1001"/>
        <w:gridCol w:w="1011"/>
        <w:gridCol w:w="1162"/>
        <w:gridCol w:w="1011"/>
        <w:gridCol w:w="895"/>
        <w:gridCol w:w="1051"/>
      </w:tblGrid>
      <w:tr w:rsidR="005964E0" w:rsidRPr="005964E0" w:rsidTr="005964E0">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619" w:type="pct"/>
            <w:shd w:val="clear" w:color="auto" w:fill="92D050"/>
            <w:vAlign w:val="center"/>
            <w:hideMark/>
          </w:tcPr>
          <w:p w:rsidR="00743B28" w:rsidRPr="005964E0" w:rsidRDefault="00743B28" w:rsidP="00755618">
            <w:pPr>
              <w:jc w:val="center"/>
              <w:rPr>
                <w:rFonts w:ascii="Arial" w:hAnsi="Arial" w:cs="Arial"/>
                <w:b/>
                <w:bCs/>
                <w:sz w:val="20"/>
                <w:szCs w:val="20"/>
              </w:rPr>
            </w:pPr>
            <w:r w:rsidRPr="005964E0">
              <w:rPr>
                <w:rFonts w:ascii="Arial" w:hAnsi="Arial" w:cs="Arial"/>
                <w:b/>
                <w:bCs/>
                <w:sz w:val="20"/>
                <w:szCs w:val="20"/>
              </w:rPr>
              <w:t>arsen</w:t>
            </w:r>
          </w:p>
        </w:tc>
        <w:tc>
          <w:tcPr>
            <w:tcW w:w="509" w:type="pct"/>
            <w:shd w:val="clear" w:color="auto" w:fill="92D050"/>
            <w:vAlign w:val="center"/>
            <w:hideMark/>
          </w:tcPr>
          <w:p w:rsidR="00743B28" w:rsidRPr="005964E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5964E0">
              <w:rPr>
                <w:rFonts w:ascii="Arial" w:hAnsi="Arial" w:cs="Arial"/>
                <w:b/>
                <w:bCs/>
                <w:sz w:val="20"/>
                <w:szCs w:val="20"/>
              </w:rPr>
              <w:t>cupru</w:t>
            </w:r>
          </w:p>
        </w:tc>
        <w:tc>
          <w:tcPr>
            <w:tcW w:w="584" w:type="pct"/>
            <w:shd w:val="clear" w:color="auto" w:fill="92D050"/>
            <w:vAlign w:val="center"/>
            <w:hideMark/>
          </w:tcPr>
          <w:p w:rsidR="00743B28" w:rsidRPr="005964E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5964E0">
              <w:rPr>
                <w:rFonts w:ascii="Arial" w:hAnsi="Arial" w:cs="Arial"/>
                <w:b/>
                <w:bCs/>
                <w:sz w:val="20"/>
                <w:szCs w:val="20"/>
              </w:rPr>
              <w:t>nichel</w:t>
            </w:r>
          </w:p>
        </w:tc>
        <w:tc>
          <w:tcPr>
            <w:tcW w:w="584" w:type="pct"/>
            <w:shd w:val="clear" w:color="auto" w:fill="92D050"/>
            <w:vAlign w:val="center"/>
            <w:hideMark/>
          </w:tcPr>
          <w:p w:rsidR="00743B28" w:rsidRPr="005964E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5964E0">
              <w:rPr>
                <w:rFonts w:ascii="Arial" w:hAnsi="Arial" w:cs="Arial"/>
                <w:b/>
                <w:bCs/>
                <w:sz w:val="20"/>
                <w:szCs w:val="20"/>
              </w:rPr>
              <w:t>crom</w:t>
            </w:r>
          </w:p>
        </w:tc>
        <w:tc>
          <w:tcPr>
            <w:tcW w:w="589" w:type="pct"/>
            <w:shd w:val="clear" w:color="auto" w:fill="92D050"/>
            <w:vAlign w:val="center"/>
            <w:hideMark/>
          </w:tcPr>
          <w:p w:rsidR="00743B28" w:rsidRPr="005964E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5964E0">
              <w:rPr>
                <w:rFonts w:ascii="Arial" w:hAnsi="Arial" w:cs="Arial"/>
                <w:b/>
                <w:bCs/>
                <w:sz w:val="20"/>
                <w:szCs w:val="20"/>
              </w:rPr>
              <w:t>seleniu</w:t>
            </w:r>
          </w:p>
        </w:tc>
        <w:tc>
          <w:tcPr>
            <w:tcW w:w="555" w:type="pct"/>
            <w:shd w:val="clear" w:color="auto" w:fill="92D050"/>
            <w:vAlign w:val="center"/>
            <w:hideMark/>
          </w:tcPr>
          <w:p w:rsidR="00743B28" w:rsidRPr="005964E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5964E0">
              <w:rPr>
                <w:rFonts w:ascii="Arial" w:hAnsi="Arial" w:cs="Arial"/>
                <w:b/>
                <w:bCs/>
                <w:sz w:val="20"/>
                <w:szCs w:val="20"/>
              </w:rPr>
              <w:t>zinc</w:t>
            </w:r>
          </w:p>
        </w:tc>
        <w:tc>
          <w:tcPr>
            <w:tcW w:w="589" w:type="pct"/>
            <w:shd w:val="clear" w:color="auto" w:fill="92D050"/>
            <w:vAlign w:val="center"/>
            <w:hideMark/>
          </w:tcPr>
          <w:p w:rsidR="00743B28" w:rsidRPr="005964E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5964E0">
              <w:rPr>
                <w:rFonts w:ascii="Arial" w:hAnsi="Arial" w:cs="Arial"/>
                <w:b/>
                <w:bCs/>
                <w:sz w:val="20"/>
                <w:szCs w:val="20"/>
              </w:rPr>
              <w:t>cadmiu</w:t>
            </w:r>
          </w:p>
        </w:tc>
        <w:tc>
          <w:tcPr>
            <w:tcW w:w="474" w:type="pct"/>
            <w:shd w:val="clear" w:color="auto" w:fill="92D050"/>
            <w:vAlign w:val="center"/>
            <w:hideMark/>
          </w:tcPr>
          <w:p w:rsidR="00743B28" w:rsidRPr="005964E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5964E0">
              <w:rPr>
                <w:rFonts w:ascii="Arial" w:hAnsi="Arial" w:cs="Arial"/>
                <w:b/>
                <w:bCs/>
                <w:sz w:val="20"/>
                <w:szCs w:val="20"/>
              </w:rPr>
              <w:t>mercur</w:t>
            </w:r>
          </w:p>
        </w:tc>
        <w:tc>
          <w:tcPr>
            <w:tcW w:w="496" w:type="pct"/>
            <w:shd w:val="clear" w:color="auto" w:fill="92D050"/>
            <w:vAlign w:val="center"/>
            <w:hideMark/>
          </w:tcPr>
          <w:p w:rsidR="00743B28" w:rsidRPr="005964E0"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5964E0">
              <w:rPr>
                <w:rFonts w:ascii="Arial" w:hAnsi="Arial" w:cs="Arial"/>
                <w:b/>
                <w:bCs/>
                <w:sz w:val="20"/>
                <w:szCs w:val="20"/>
              </w:rPr>
              <w:t>plumb</w:t>
            </w:r>
          </w:p>
        </w:tc>
      </w:tr>
      <w:tr w:rsidR="005964E0" w:rsidRPr="005964E0" w:rsidTr="005964E0">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619" w:type="pct"/>
            <w:noWrap/>
            <w:vAlign w:val="bottom"/>
            <w:hideMark/>
          </w:tcPr>
          <w:p w:rsidR="005964E0" w:rsidRPr="005964E0" w:rsidRDefault="005964E0" w:rsidP="005964E0">
            <w:pPr>
              <w:jc w:val="right"/>
              <w:rPr>
                <w:rFonts w:ascii="Arial" w:eastAsia="Times New Roman" w:hAnsi="Arial" w:cs="Arial"/>
                <w:sz w:val="20"/>
                <w:szCs w:val="20"/>
                <w:lang w:val="en-US"/>
              </w:rPr>
            </w:pPr>
            <w:r w:rsidRPr="005964E0">
              <w:rPr>
                <w:rFonts w:ascii="Arial" w:hAnsi="Arial" w:cs="Arial"/>
                <w:sz w:val="20"/>
                <w:szCs w:val="20"/>
              </w:rPr>
              <w:t>0.8685</w:t>
            </w:r>
          </w:p>
        </w:tc>
        <w:tc>
          <w:tcPr>
            <w:tcW w:w="509" w:type="pct"/>
            <w:noWrap/>
            <w:vAlign w:val="bottom"/>
            <w:hideMark/>
          </w:tcPr>
          <w:p w:rsidR="005964E0" w:rsidRPr="005964E0" w:rsidRDefault="005964E0" w:rsidP="005964E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4E0">
              <w:rPr>
                <w:rFonts w:ascii="Arial" w:hAnsi="Arial" w:cs="Arial"/>
                <w:sz w:val="20"/>
                <w:szCs w:val="20"/>
              </w:rPr>
              <w:t>394.4634</w:t>
            </w:r>
          </w:p>
        </w:tc>
        <w:tc>
          <w:tcPr>
            <w:tcW w:w="584" w:type="pct"/>
            <w:noWrap/>
            <w:vAlign w:val="bottom"/>
            <w:hideMark/>
          </w:tcPr>
          <w:p w:rsidR="005964E0" w:rsidRPr="005964E0" w:rsidRDefault="005964E0" w:rsidP="005964E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4E0">
              <w:rPr>
                <w:rFonts w:ascii="Arial" w:hAnsi="Arial" w:cs="Arial"/>
                <w:sz w:val="20"/>
                <w:szCs w:val="20"/>
              </w:rPr>
              <w:t>10.2500</w:t>
            </w:r>
          </w:p>
        </w:tc>
        <w:tc>
          <w:tcPr>
            <w:tcW w:w="584" w:type="pct"/>
            <w:noWrap/>
            <w:vAlign w:val="bottom"/>
            <w:hideMark/>
          </w:tcPr>
          <w:p w:rsidR="005964E0" w:rsidRPr="005964E0" w:rsidRDefault="005964E0" w:rsidP="005964E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4E0">
              <w:rPr>
                <w:rFonts w:ascii="Arial" w:hAnsi="Arial" w:cs="Arial"/>
                <w:sz w:val="20"/>
                <w:szCs w:val="20"/>
              </w:rPr>
              <w:t>90.8918</w:t>
            </w:r>
          </w:p>
        </w:tc>
        <w:tc>
          <w:tcPr>
            <w:tcW w:w="589" w:type="pct"/>
            <w:noWrap/>
            <w:vAlign w:val="bottom"/>
            <w:hideMark/>
          </w:tcPr>
          <w:p w:rsidR="005964E0" w:rsidRPr="005964E0" w:rsidRDefault="005964E0" w:rsidP="005964E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4E0">
              <w:rPr>
                <w:rFonts w:ascii="Arial" w:hAnsi="Arial" w:cs="Arial"/>
                <w:sz w:val="20"/>
                <w:szCs w:val="20"/>
              </w:rPr>
              <w:t>2.0085</w:t>
            </w:r>
          </w:p>
        </w:tc>
        <w:tc>
          <w:tcPr>
            <w:tcW w:w="555" w:type="pct"/>
            <w:noWrap/>
            <w:vAlign w:val="bottom"/>
            <w:hideMark/>
          </w:tcPr>
          <w:p w:rsidR="005964E0" w:rsidRPr="005964E0" w:rsidRDefault="005964E0" w:rsidP="005964E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4E0">
              <w:rPr>
                <w:rFonts w:ascii="Arial" w:hAnsi="Arial" w:cs="Arial"/>
                <w:sz w:val="20"/>
                <w:szCs w:val="20"/>
              </w:rPr>
              <w:t>1923.5661</w:t>
            </w:r>
          </w:p>
        </w:tc>
        <w:tc>
          <w:tcPr>
            <w:tcW w:w="589" w:type="pct"/>
            <w:noWrap/>
            <w:vAlign w:val="bottom"/>
            <w:hideMark/>
          </w:tcPr>
          <w:p w:rsidR="005964E0" w:rsidRPr="005964E0" w:rsidRDefault="005964E0" w:rsidP="005964E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4E0">
              <w:rPr>
                <w:rFonts w:ascii="Arial" w:hAnsi="Arial" w:cs="Arial"/>
                <w:sz w:val="20"/>
                <w:szCs w:val="20"/>
              </w:rPr>
              <w:t>41.4386</w:t>
            </w:r>
          </w:p>
        </w:tc>
        <w:tc>
          <w:tcPr>
            <w:tcW w:w="474" w:type="pct"/>
            <w:noWrap/>
            <w:vAlign w:val="bottom"/>
            <w:hideMark/>
          </w:tcPr>
          <w:p w:rsidR="005964E0" w:rsidRPr="005964E0" w:rsidRDefault="005964E0" w:rsidP="005964E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4E0">
              <w:rPr>
                <w:rFonts w:ascii="Arial" w:hAnsi="Arial" w:cs="Arial"/>
                <w:sz w:val="20"/>
                <w:szCs w:val="20"/>
              </w:rPr>
              <w:t>2.2002</w:t>
            </w:r>
          </w:p>
        </w:tc>
        <w:tc>
          <w:tcPr>
            <w:tcW w:w="496" w:type="pct"/>
            <w:noWrap/>
            <w:vAlign w:val="bottom"/>
            <w:hideMark/>
          </w:tcPr>
          <w:p w:rsidR="005964E0" w:rsidRPr="005964E0" w:rsidRDefault="005964E0" w:rsidP="005964E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964E0">
              <w:rPr>
                <w:rFonts w:ascii="Arial" w:hAnsi="Arial" w:cs="Arial"/>
                <w:sz w:val="20"/>
                <w:szCs w:val="20"/>
              </w:rPr>
              <w:t>142.2948</w:t>
            </w:r>
          </w:p>
        </w:tc>
      </w:tr>
    </w:tbl>
    <w:p w:rsidR="00743B28" w:rsidRPr="005964E0" w:rsidRDefault="00743B28" w:rsidP="00755618">
      <w:pPr>
        <w:tabs>
          <w:tab w:val="left" w:pos="851"/>
        </w:tabs>
        <w:jc w:val="center"/>
        <w:rPr>
          <w:rFonts w:ascii="Arial" w:hAnsi="Arial" w:cs="Arial"/>
          <w:lang w:val="ro-RO"/>
        </w:rPr>
      </w:pPr>
      <w:r w:rsidRPr="005964E0">
        <w:rPr>
          <w:rFonts w:ascii="Arial" w:hAnsi="Arial" w:cs="Arial"/>
          <w:sz w:val="20"/>
          <w:szCs w:val="20"/>
          <w:lang w:val="ro-RO"/>
        </w:rPr>
        <w:t>Sursa: Agenţia pentru Protecţia Mediului Bistriţa-Năsăud</w:t>
      </w:r>
    </w:p>
    <w:p w:rsidR="00743B28" w:rsidRPr="005964E0"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B74D3F" w:rsidRDefault="00743B28" w:rsidP="00755618">
      <w:pPr>
        <w:pStyle w:val="Listparagraf"/>
        <w:numPr>
          <w:ilvl w:val="0"/>
          <w:numId w:val="3"/>
        </w:numPr>
        <w:tabs>
          <w:tab w:val="left" w:pos="0"/>
          <w:tab w:val="left" w:pos="1134"/>
          <w:tab w:val="left" w:leader="dot" w:pos="9356"/>
        </w:tabs>
        <w:ind w:left="0" w:firstLine="0"/>
        <w:jc w:val="both"/>
        <w:rPr>
          <w:rFonts w:ascii="Arial" w:hAnsi="Arial" w:cs="Arial"/>
          <w:shd w:val="clear" w:color="auto" w:fill="F9F9F9"/>
          <w:lang w:val="ro-RO"/>
        </w:rPr>
      </w:pPr>
      <w:r w:rsidRPr="00B74D3F">
        <w:rPr>
          <w:rFonts w:ascii="Arial" w:hAnsi="Arial" w:cs="Arial"/>
          <w:b/>
          <w:u w:val="single"/>
          <w:lang w:val="ro-RO"/>
        </w:rPr>
        <w:t>Emisiile de POPs</w:t>
      </w:r>
      <w:r w:rsidRPr="00B74D3F">
        <w:rPr>
          <w:rFonts w:ascii="Arial" w:hAnsi="Arial" w:cs="Arial"/>
          <w:lang w:val="ro-RO"/>
        </w:rPr>
        <w:t xml:space="preserve">, </w:t>
      </w:r>
      <w:r w:rsidR="00D14A8E">
        <w:rPr>
          <w:rFonts w:ascii="Arial" w:hAnsi="Arial" w:cs="Arial"/>
          <w:shd w:val="clear" w:color="auto" w:fill="F9F9F9"/>
          <w:lang w:val="ro-RO"/>
        </w:rPr>
        <w:t xml:space="preserve">substanţe </w:t>
      </w:r>
      <w:r w:rsidRPr="00B74D3F">
        <w:rPr>
          <w:rFonts w:ascii="Arial" w:hAnsi="Arial" w:cs="Arial"/>
          <w:shd w:val="clear" w:color="auto" w:fill="F9F9F9"/>
          <w:lang w:val="ro-RO"/>
        </w:rPr>
        <w:t>chimice toxice care rămân intacte în mediu perioade îndelungate şi care se bioacumulează în ţesuturile grase, sunt volatile şi au o circulaţie globală prin atmosfera şi apele mărilor şi oceanelor.</w:t>
      </w:r>
    </w:p>
    <w:p w:rsidR="00743B28" w:rsidRPr="00B74D3F"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B74D3F"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B74D3F">
        <w:rPr>
          <w:rFonts w:ascii="Arial" w:hAnsi="Arial" w:cs="Arial"/>
          <w:b/>
          <w:sz w:val="22"/>
          <w:szCs w:val="22"/>
          <w:lang w:val="ro-RO"/>
        </w:rPr>
        <w:t>Tabel I.2.1.5.</w:t>
      </w:r>
    </w:p>
    <w:p w:rsidR="00743B28" w:rsidRPr="00B74D3F" w:rsidRDefault="00743B28" w:rsidP="00755618">
      <w:pPr>
        <w:tabs>
          <w:tab w:val="left" w:pos="851"/>
        </w:tabs>
        <w:jc w:val="center"/>
        <w:rPr>
          <w:rFonts w:ascii="Arial" w:hAnsi="Arial" w:cs="Arial"/>
          <w:sz w:val="20"/>
          <w:szCs w:val="20"/>
          <w:lang w:val="ro-RO"/>
        </w:rPr>
      </w:pPr>
      <w:r w:rsidRPr="00B74D3F">
        <w:rPr>
          <w:rFonts w:ascii="Arial" w:hAnsi="Arial" w:cs="Arial"/>
          <w:b/>
          <w:sz w:val="22"/>
          <w:szCs w:val="22"/>
          <w:lang w:val="ro-RO" w:eastAsia="ro-RO"/>
        </w:rPr>
        <w:t xml:space="preserve">Cantitățile de POPs (în Kg) emise în județul Bistrița-Năsăud în anul </w:t>
      </w:r>
      <w:r w:rsidR="005964E0" w:rsidRPr="00B74D3F">
        <w:rPr>
          <w:rFonts w:ascii="Arial" w:hAnsi="Arial" w:cs="Arial"/>
          <w:b/>
          <w:sz w:val="22"/>
          <w:szCs w:val="22"/>
          <w:lang w:val="ro-RO" w:eastAsia="ro-RO"/>
        </w:rPr>
        <w:t>2021</w:t>
      </w:r>
      <w:r w:rsidRPr="00B74D3F">
        <w:rPr>
          <w:rFonts w:ascii="Arial" w:hAnsi="Arial" w:cs="Arial"/>
          <w:b/>
          <w:sz w:val="22"/>
          <w:szCs w:val="22"/>
          <w:lang w:val="ro-RO" w:eastAsia="ro-RO"/>
        </w:rPr>
        <w:t> </w:t>
      </w:r>
    </w:p>
    <w:tbl>
      <w:tblPr>
        <w:tblStyle w:val="Listcolorat-Accentuare4"/>
        <w:tblW w:w="5000" w:type="pct"/>
        <w:tblLook w:val="00A0" w:firstRow="1" w:lastRow="0" w:firstColumn="1" w:lastColumn="0" w:noHBand="0" w:noVBand="0"/>
      </w:tblPr>
      <w:tblGrid>
        <w:gridCol w:w="2167"/>
        <w:gridCol w:w="128"/>
        <w:gridCol w:w="1823"/>
        <w:gridCol w:w="330"/>
        <w:gridCol w:w="1634"/>
        <w:gridCol w:w="788"/>
        <w:gridCol w:w="734"/>
        <w:gridCol w:w="1750"/>
      </w:tblGrid>
      <w:tr w:rsidR="00B74D3F" w:rsidRPr="00B74D3F" w:rsidTr="00B74D3F">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132" w:type="pct"/>
            <w:shd w:val="clear" w:color="auto" w:fill="92D050"/>
            <w:vAlign w:val="center"/>
            <w:hideMark/>
          </w:tcPr>
          <w:p w:rsidR="00743B28" w:rsidRPr="00B74D3F" w:rsidRDefault="00743B28" w:rsidP="00755618">
            <w:pPr>
              <w:jc w:val="center"/>
              <w:rPr>
                <w:rFonts w:ascii="Arial" w:eastAsia="Times New Roman" w:hAnsi="Arial" w:cs="Arial"/>
                <w:bCs w:val="0"/>
                <w:sz w:val="20"/>
                <w:szCs w:val="20"/>
                <w:lang w:val="ro-RO" w:eastAsia="ro-RO"/>
              </w:rPr>
            </w:pPr>
            <w:r w:rsidRPr="00B74D3F">
              <w:rPr>
                <w:rFonts w:ascii="Arial" w:eastAsia="Times New Roman" w:hAnsi="Arial" w:cs="Arial"/>
                <w:sz w:val="20"/>
                <w:szCs w:val="20"/>
                <w:lang w:val="ro-RO" w:eastAsia="ro-RO"/>
              </w:rPr>
              <w:t>Benzo(a)pyrene</w:t>
            </w:r>
          </w:p>
        </w:tc>
        <w:tc>
          <w:tcPr>
            <w:cnfStyle w:val="000010000000" w:firstRow="0" w:lastRow="0" w:firstColumn="0" w:lastColumn="0" w:oddVBand="1" w:evenVBand="0" w:oddHBand="0" w:evenHBand="0" w:firstRowFirstColumn="0" w:firstRowLastColumn="0" w:lastRowFirstColumn="0" w:lastRowLastColumn="0"/>
            <w:tcW w:w="1227" w:type="pct"/>
            <w:gridSpan w:val="3"/>
            <w:shd w:val="clear" w:color="auto" w:fill="92D050"/>
            <w:vAlign w:val="center"/>
            <w:hideMark/>
          </w:tcPr>
          <w:p w:rsidR="00743B28" w:rsidRPr="00B74D3F" w:rsidRDefault="00743B28" w:rsidP="00755618">
            <w:pPr>
              <w:jc w:val="center"/>
              <w:rPr>
                <w:rFonts w:ascii="Arial" w:eastAsia="Times New Roman" w:hAnsi="Arial" w:cs="Arial"/>
                <w:bCs w:val="0"/>
                <w:sz w:val="20"/>
                <w:szCs w:val="20"/>
                <w:lang w:val="ro-RO" w:eastAsia="ro-RO"/>
              </w:rPr>
            </w:pPr>
            <w:r w:rsidRPr="00B74D3F">
              <w:rPr>
                <w:rFonts w:ascii="Arial" w:eastAsia="Times New Roman" w:hAnsi="Arial" w:cs="Arial"/>
                <w:sz w:val="20"/>
                <w:szCs w:val="20"/>
                <w:lang w:val="ro-RO" w:eastAsia="ro-RO"/>
              </w:rPr>
              <w:t>Benzo(b)fluoranhene</w:t>
            </w:r>
          </w:p>
        </w:tc>
        <w:tc>
          <w:tcPr>
            <w:tcW w:w="1304" w:type="pct"/>
            <w:gridSpan w:val="2"/>
            <w:shd w:val="clear" w:color="auto" w:fill="92D050"/>
            <w:vAlign w:val="center"/>
            <w:hideMark/>
          </w:tcPr>
          <w:p w:rsidR="00743B28" w:rsidRPr="00B74D3F"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val="ro-RO" w:eastAsia="ro-RO"/>
              </w:rPr>
            </w:pPr>
            <w:r w:rsidRPr="00B74D3F">
              <w:rPr>
                <w:rFonts w:ascii="Arial" w:eastAsia="Times New Roman" w:hAnsi="Arial" w:cs="Arial"/>
                <w:sz w:val="20"/>
                <w:szCs w:val="20"/>
                <w:lang w:val="ro-RO" w:eastAsia="ro-RO"/>
              </w:rPr>
              <w:t>Benzo(k) fluoranhene</w:t>
            </w:r>
          </w:p>
        </w:tc>
        <w:tc>
          <w:tcPr>
            <w:cnfStyle w:val="000010000000" w:firstRow="0" w:lastRow="0" w:firstColumn="0" w:lastColumn="0" w:oddVBand="1" w:evenVBand="0" w:oddHBand="0" w:evenHBand="0" w:firstRowFirstColumn="0" w:firstRowLastColumn="0" w:lastRowFirstColumn="0" w:lastRowLastColumn="0"/>
            <w:tcW w:w="1337" w:type="pct"/>
            <w:gridSpan w:val="2"/>
            <w:shd w:val="clear" w:color="auto" w:fill="92D050"/>
            <w:vAlign w:val="center"/>
            <w:hideMark/>
          </w:tcPr>
          <w:p w:rsidR="00743B28" w:rsidRPr="00B74D3F" w:rsidRDefault="00743B28" w:rsidP="00755618">
            <w:pPr>
              <w:jc w:val="center"/>
              <w:rPr>
                <w:rFonts w:ascii="Arial" w:eastAsia="Times New Roman" w:hAnsi="Arial" w:cs="Arial"/>
                <w:bCs w:val="0"/>
                <w:sz w:val="20"/>
                <w:szCs w:val="20"/>
                <w:lang w:val="ro-RO" w:eastAsia="ro-RO"/>
              </w:rPr>
            </w:pPr>
            <w:r w:rsidRPr="00B74D3F">
              <w:rPr>
                <w:rFonts w:ascii="Arial" w:eastAsia="Times New Roman" w:hAnsi="Arial" w:cs="Arial"/>
                <w:sz w:val="20"/>
                <w:szCs w:val="20"/>
                <w:lang w:val="ro-RO" w:eastAsia="ro-RO"/>
              </w:rPr>
              <w:t>Indeno(1,2,3)pyrene</w:t>
            </w:r>
          </w:p>
        </w:tc>
      </w:tr>
      <w:tr w:rsidR="00B74D3F" w:rsidRPr="00B74D3F" w:rsidTr="00B74D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2" w:type="pct"/>
            <w:noWrap/>
            <w:hideMark/>
          </w:tcPr>
          <w:p w:rsidR="00743B28" w:rsidRPr="00B74D3F" w:rsidRDefault="005964E0" w:rsidP="0015683C">
            <w:pPr>
              <w:jc w:val="center"/>
              <w:rPr>
                <w:rFonts w:ascii="Arial" w:eastAsia="Times New Roman" w:hAnsi="Arial" w:cs="Arial"/>
                <w:b w:val="0"/>
                <w:sz w:val="20"/>
                <w:szCs w:val="20"/>
                <w:lang w:val="ro-RO" w:eastAsia="ro-RO"/>
              </w:rPr>
            </w:pPr>
            <w:r w:rsidRPr="00B74D3F">
              <w:rPr>
                <w:rFonts w:ascii="Arial" w:eastAsia="Times New Roman" w:hAnsi="Arial" w:cs="Arial"/>
                <w:b w:val="0"/>
                <w:sz w:val="20"/>
                <w:szCs w:val="20"/>
                <w:lang w:val="ro-RO" w:eastAsia="ro-RO"/>
              </w:rPr>
              <w:t>362,5209</w:t>
            </w:r>
          </w:p>
        </w:tc>
        <w:tc>
          <w:tcPr>
            <w:cnfStyle w:val="000010000000" w:firstRow="0" w:lastRow="0" w:firstColumn="0" w:lastColumn="0" w:oddVBand="1" w:evenVBand="0" w:oddHBand="0" w:evenHBand="0" w:firstRowFirstColumn="0" w:firstRowLastColumn="0" w:lastRowFirstColumn="0" w:lastRowLastColumn="0"/>
            <w:tcW w:w="1227" w:type="pct"/>
            <w:gridSpan w:val="3"/>
            <w:noWrap/>
            <w:hideMark/>
          </w:tcPr>
          <w:p w:rsidR="00743B28" w:rsidRPr="00B74D3F" w:rsidRDefault="005964E0" w:rsidP="0015683C">
            <w:pPr>
              <w:jc w:val="center"/>
              <w:rPr>
                <w:rFonts w:ascii="Arial" w:eastAsia="Times New Roman" w:hAnsi="Arial" w:cs="Arial"/>
                <w:sz w:val="20"/>
                <w:szCs w:val="20"/>
                <w:lang w:val="ro-RO" w:eastAsia="ro-RO"/>
              </w:rPr>
            </w:pPr>
            <w:r w:rsidRPr="00B74D3F">
              <w:rPr>
                <w:rFonts w:ascii="Arial" w:eastAsia="Times New Roman" w:hAnsi="Arial" w:cs="Arial"/>
                <w:sz w:val="20"/>
                <w:szCs w:val="20"/>
                <w:lang w:val="ro-RO" w:eastAsia="ro-RO"/>
              </w:rPr>
              <w:t>333,7649</w:t>
            </w:r>
          </w:p>
        </w:tc>
        <w:tc>
          <w:tcPr>
            <w:tcW w:w="1304" w:type="pct"/>
            <w:gridSpan w:val="2"/>
            <w:noWrap/>
            <w:hideMark/>
          </w:tcPr>
          <w:p w:rsidR="00743B28" w:rsidRPr="00B74D3F" w:rsidRDefault="005964E0" w:rsidP="0015683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ro-RO" w:eastAsia="ro-RO"/>
              </w:rPr>
            </w:pPr>
            <w:r w:rsidRPr="00B74D3F">
              <w:rPr>
                <w:rFonts w:ascii="Arial" w:eastAsia="Times New Roman" w:hAnsi="Arial" w:cs="Arial"/>
                <w:sz w:val="20"/>
                <w:szCs w:val="20"/>
                <w:lang w:val="ro-RO" w:eastAsia="ro-RO"/>
              </w:rPr>
              <w:t>125,9725</w:t>
            </w:r>
          </w:p>
        </w:tc>
        <w:tc>
          <w:tcPr>
            <w:cnfStyle w:val="000010000000" w:firstRow="0" w:lastRow="0" w:firstColumn="0" w:lastColumn="0" w:oddVBand="1" w:evenVBand="0" w:oddHBand="0" w:evenHBand="0" w:firstRowFirstColumn="0" w:firstRowLastColumn="0" w:lastRowFirstColumn="0" w:lastRowLastColumn="0"/>
            <w:tcW w:w="1337" w:type="pct"/>
            <w:gridSpan w:val="2"/>
            <w:noWrap/>
            <w:hideMark/>
          </w:tcPr>
          <w:p w:rsidR="00743B28" w:rsidRPr="00B74D3F" w:rsidRDefault="00B74D3F" w:rsidP="005A4621">
            <w:pPr>
              <w:jc w:val="center"/>
              <w:rPr>
                <w:rFonts w:ascii="Arial" w:eastAsia="Times New Roman" w:hAnsi="Arial" w:cs="Arial"/>
                <w:sz w:val="20"/>
                <w:szCs w:val="20"/>
                <w:lang w:val="ro-RO" w:eastAsia="ro-RO"/>
              </w:rPr>
            </w:pPr>
            <w:r w:rsidRPr="00B74D3F">
              <w:rPr>
                <w:rFonts w:ascii="Arial" w:eastAsia="Times New Roman" w:hAnsi="Arial" w:cs="Arial"/>
                <w:sz w:val="20"/>
                <w:szCs w:val="20"/>
                <w:lang w:val="ro-RO" w:eastAsia="ro-RO"/>
              </w:rPr>
              <w:t>212,4360</w:t>
            </w:r>
          </w:p>
        </w:tc>
      </w:tr>
      <w:tr w:rsidR="00B74D3F" w:rsidRPr="00B74D3F" w:rsidTr="00B74D3F">
        <w:tblPrEx>
          <w:tblLook w:val="04A0" w:firstRow="1" w:lastRow="0" w:firstColumn="1" w:lastColumn="0" w:noHBand="0" w:noVBand="1"/>
        </w:tblPrEx>
        <w:trPr>
          <w:trHeight w:val="564"/>
        </w:trPr>
        <w:tc>
          <w:tcPr>
            <w:cnfStyle w:val="001000000000" w:firstRow="0" w:lastRow="0" w:firstColumn="1" w:lastColumn="0" w:oddVBand="0" w:evenVBand="0" w:oddHBand="0" w:evenHBand="0" w:firstRowFirstColumn="0" w:firstRowLastColumn="0" w:lastRowFirstColumn="0" w:lastRowLastColumn="0"/>
            <w:tcW w:w="1199" w:type="pct"/>
            <w:gridSpan w:val="2"/>
            <w:shd w:val="clear" w:color="auto" w:fill="92D050"/>
            <w:vAlign w:val="center"/>
            <w:hideMark/>
          </w:tcPr>
          <w:p w:rsidR="00B74D3F" w:rsidRPr="00B74D3F" w:rsidRDefault="00B74D3F" w:rsidP="00B74D3F">
            <w:pPr>
              <w:jc w:val="center"/>
              <w:rPr>
                <w:rFonts w:ascii="Arial" w:hAnsi="Arial" w:cs="Arial"/>
                <w:sz w:val="22"/>
                <w:szCs w:val="22"/>
              </w:rPr>
            </w:pPr>
            <w:r w:rsidRPr="00B74D3F">
              <w:rPr>
                <w:rFonts w:ascii="Arial" w:hAnsi="Arial" w:cs="Arial"/>
                <w:sz w:val="22"/>
                <w:szCs w:val="22"/>
              </w:rPr>
              <w:t>Hexachlorobenzene (HCB)</w:t>
            </w:r>
          </w:p>
        </w:tc>
        <w:tc>
          <w:tcPr>
            <w:tcW w:w="979" w:type="pct"/>
            <w:shd w:val="clear" w:color="auto" w:fill="92D050"/>
            <w:vAlign w:val="center"/>
            <w:hideMark/>
          </w:tcPr>
          <w:p w:rsidR="00B74D3F" w:rsidRPr="00B74D3F" w:rsidRDefault="00B74D3F" w:rsidP="00B74D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74D3F">
              <w:rPr>
                <w:rFonts w:ascii="Arial" w:hAnsi="Arial" w:cs="Arial"/>
                <w:sz w:val="22"/>
                <w:szCs w:val="22"/>
              </w:rPr>
              <w:t>PCDD+PCDF (dioxine+furani)</w:t>
            </w:r>
          </w:p>
        </w:tc>
        <w:tc>
          <w:tcPr>
            <w:tcW w:w="1059" w:type="pct"/>
            <w:gridSpan w:val="2"/>
            <w:shd w:val="clear" w:color="auto" w:fill="92D050"/>
            <w:vAlign w:val="center"/>
            <w:hideMark/>
          </w:tcPr>
          <w:p w:rsidR="00B74D3F" w:rsidRPr="00B74D3F" w:rsidRDefault="00B74D3F" w:rsidP="00B74D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74D3F">
              <w:rPr>
                <w:rFonts w:ascii="Arial" w:hAnsi="Arial" w:cs="Arial"/>
                <w:sz w:val="22"/>
                <w:szCs w:val="22"/>
              </w:rPr>
              <w:t>Polychlorinated  Biphenyls(PCBS)</w:t>
            </w:r>
          </w:p>
        </w:tc>
        <w:tc>
          <w:tcPr>
            <w:tcW w:w="823" w:type="pct"/>
            <w:gridSpan w:val="2"/>
            <w:shd w:val="clear" w:color="auto" w:fill="92D050"/>
            <w:vAlign w:val="center"/>
          </w:tcPr>
          <w:p w:rsidR="00B74D3F" w:rsidRPr="00B74D3F" w:rsidRDefault="00B74D3F" w:rsidP="00B74D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74D3F">
              <w:rPr>
                <w:rFonts w:ascii="Arial" w:hAnsi="Arial" w:cs="Arial"/>
                <w:sz w:val="20"/>
                <w:szCs w:val="20"/>
              </w:rPr>
              <w:t>Diobenzo(a,h) anthracene</w:t>
            </w:r>
          </w:p>
        </w:tc>
        <w:tc>
          <w:tcPr>
            <w:tcW w:w="939" w:type="pct"/>
            <w:shd w:val="clear" w:color="auto" w:fill="92D050"/>
          </w:tcPr>
          <w:p w:rsidR="00B74D3F" w:rsidRPr="00B74D3F" w:rsidRDefault="00B74D3F" w:rsidP="00B74D3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B74D3F">
              <w:rPr>
                <w:rFonts w:ascii="Arial" w:hAnsi="Arial" w:cs="Arial"/>
                <w:sz w:val="22"/>
                <w:szCs w:val="22"/>
              </w:rPr>
              <w:t>Total 4PAHs</w:t>
            </w:r>
          </w:p>
        </w:tc>
      </w:tr>
      <w:tr w:rsidR="00B74D3F" w:rsidRPr="00B74D3F" w:rsidTr="00B74D3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9" w:type="pct"/>
            <w:gridSpan w:val="2"/>
            <w:noWrap/>
            <w:vAlign w:val="center"/>
            <w:hideMark/>
          </w:tcPr>
          <w:p w:rsidR="00B74D3F" w:rsidRPr="00B74D3F" w:rsidRDefault="00B74D3F" w:rsidP="00B74D3F">
            <w:pPr>
              <w:jc w:val="center"/>
              <w:rPr>
                <w:rFonts w:ascii="Arial" w:hAnsi="Arial" w:cs="Arial"/>
                <w:b w:val="0"/>
                <w:bCs w:val="0"/>
                <w:sz w:val="22"/>
                <w:szCs w:val="22"/>
              </w:rPr>
            </w:pPr>
            <w:r w:rsidRPr="00B74D3F">
              <w:rPr>
                <w:rFonts w:ascii="Arial" w:hAnsi="Arial" w:cs="Arial"/>
                <w:b w:val="0"/>
                <w:sz w:val="22"/>
                <w:szCs w:val="22"/>
              </w:rPr>
              <w:t>0,0155</w:t>
            </w:r>
          </w:p>
        </w:tc>
        <w:tc>
          <w:tcPr>
            <w:tcW w:w="979" w:type="pct"/>
            <w:noWrap/>
            <w:vAlign w:val="center"/>
            <w:hideMark/>
          </w:tcPr>
          <w:p w:rsidR="00B74D3F" w:rsidRPr="00B74D3F" w:rsidRDefault="00B74D3F" w:rsidP="00B74D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B74D3F">
              <w:rPr>
                <w:rFonts w:ascii="Arial" w:hAnsi="Arial" w:cs="Arial"/>
                <w:bCs/>
                <w:sz w:val="22"/>
                <w:szCs w:val="22"/>
              </w:rPr>
              <w:t>0,0023</w:t>
            </w:r>
          </w:p>
        </w:tc>
        <w:tc>
          <w:tcPr>
            <w:tcW w:w="1059" w:type="pct"/>
            <w:gridSpan w:val="2"/>
            <w:noWrap/>
            <w:vAlign w:val="center"/>
            <w:hideMark/>
          </w:tcPr>
          <w:p w:rsidR="00B74D3F" w:rsidRPr="00B74D3F" w:rsidRDefault="00B74D3F" w:rsidP="00B74D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B74D3F">
              <w:rPr>
                <w:rFonts w:ascii="Arial" w:hAnsi="Arial" w:cs="Arial"/>
                <w:bCs/>
                <w:sz w:val="22"/>
                <w:szCs w:val="22"/>
              </w:rPr>
              <w:t>0,0002</w:t>
            </w:r>
          </w:p>
        </w:tc>
        <w:tc>
          <w:tcPr>
            <w:tcW w:w="823" w:type="pct"/>
            <w:gridSpan w:val="2"/>
          </w:tcPr>
          <w:p w:rsidR="00B74D3F" w:rsidRPr="00B74D3F" w:rsidRDefault="00B74D3F" w:rsidP="00B74D3F">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B74D3F">
              <w:rPr>
                <w:rFonts w:ascii="Arial" w:hAnsi="Arial" w:cs="Arial"/>
                <w:bCs/>
                <w:sz w:val="20"/>
                <w:szCs w:val="20"/>
              </w:rPr>
              <w:t>0,0327</w:t>
            </w:r>
          </w:p>
        </w:tc>
        <w:tc>
          <w:tcPr>
            <w:tcW w:w="939" w:type="pct"/>
          </w:tcPr>
          <w:p w:rsidR="00B74D3F" w:rsidRPr="00B74D3F" w:rsidRDefault="00B74D3F" w:rsidP="00B74D3F">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B74D3F">
              <w:rPr>
                <w:rFonts w:ascii="Arial" w:hAnsi="Arial" w:cs="Arial"/>
                <w:bCs/>
                <w:sz w:val="22"/>
                <w:szCs w:val="22"/>
              </w:rPr>
              <w:t>0,0004</w:t>
            </w:r>
          </w:p>
        </w:tc>
      </w:tr>
    </w:tbl>
    <w:p w:rsidR="00743B28" w:rsidRPr="00B74D3F" w:rsidRDefault="00743B28" w:rsidP="00755618">
      <w:pPr>
        <w:tabs>
          <w:tab w:val="left" w:pos="851"/>
        </w:tabs>
        <w:jc w:val="center"/>
        <w:rPr>
          <w:rFonts w:ascii="Arial" w:hAnsi="Arial" w:cs="Arial"/>
          <w:lang w:val="ro-RO"/>
        </w:rPr>
      </w:pPr>
      <w:r w:rsidRPr="00B74D3F">
        <w:rPr>
          <w:rFonts w:ascii="Arial" w:hAnsi="Arial" w:cs="Arial"/>
          <w:sz w:val="20"/>
          <w:szCs w:val="20"/>
          <w:lang w:val="ro-RO"/>
        </w:rPr>
        <w:t>Sursa: Agenţia pentru Protecţia Mediului Bistriţa-Năsăud</w:t>
      </w:r>
    </w:p>
    <w:p w:rsidR="00743B28" w:rsidRPr="00B74D3F" w:rsidRDefault="00743B28" w:rsidP="00755618">
      <w:pPr>
        <w:tabs>
          <w:tab w:val="left" w:pos="851"/>
          <w:tab w:val="left" w:pos="1134"/>
          <w:tab w:val="left" w:leader="dot" w:pos="9356"/>
        </w:tabs>
        <w:rPr>
          <w:rFonts w:ascii="Arial" w:hAnsi="Arial" w:cs="Arial"/>
          <w:lang w:val="ro-RO"/>
        </w:rPr>
      </w:pPr>
    </w:p>
    <w:p w:rsidR="00743B28" w:rsidRPr="000713EE" w:rsidRDefault="00743B28" w:rsidP="00755618">
      <w:pPr>
        <w:tabs>
          <w:tab w:val="left" w:pos="851"/>
          <w:tab w:val="left" w:pos="1134"/>
          <w:tab w:val="left" w:leader="dot" w:pos="9356"/>
        </w:tabs>
        <w:jc w:val="both"/>
        <w:rPr>
          <w:rFonts w:ascii="Arial" w:hAnsi="Arial" w:cs="Arial"/>
          <w:lang w:val="ro-RO"/>
        </w:rPr>
      </w:pPr>
      <w:r w:rsidRPr="000713EE">
        <w:rPr>
          <w:rFonts w:ascii="Arial" w:hAnsi="Arial" w:cs="Arial"/>
          <w:lang w:val="ro-RO"/>
        </w:rPr>
        <w:tab/>
        <w:t>Benzo(a)pirenul, benzo(b)fluorantenul, benzo(k)fluorantenul şi indeno(1,2,3) pirenul au rezultat în proporţie de 99% din arderile rezidenţiale. Phenantrenul, benzoantracenul, fluoranthenele şi chrisenele au rezultat 100% din transportul nerutier. Dibenzo-antracenul a fost produs doar de transportul nerutier</w:t>
      </w:r>
      <w:r w:rsidR="000713EE" w:rsidRPr="000713EE">
        <w:rPr>
          <w:rFonts w:ascii="Arial" w:hAnsi="Arial" w:cs="Arial"/>
          <w:lang w:val="ro-RO"/>
        </w:rPr>
        <w:t>.</w:t>
      </w:r>
      <w:r w:rsidRPr="000713EE">
        <w:rPr>
          <w:rFonts w:ascii="Arial" w:hAnsi="Arial" w:cs="Arial"/>
          <w:lang w:val="ro-RO"/>
        </w:rPr>
        <w:t xml:space="preserve"> </w:t>
      </w:r>
    </w:p>
    <w:p w:rsidR="00743B28" w:rsidRPr="006B01A5" w:rsidRDefault="00743B28" w:rsidP="00755618">
      <w:pPr>
        <w:tabs>
          <w:tab w:val="left" w:pos="851"/>
          <w:tab w:val="left" w:pos="1134"/>
          <w:tab w:val="left" w:leader="dot" w:pos="9356"/>
        </w:tabs>
        <w:rPr>
          <w:rFonts w:ascii="Arial" w:hAnsi="Arial" w:cs="Arial"/>
          <w:color w:val="FF0000"/>
          <w:lang w:val="ro-RO"/>
        </w:rPr>
      </w:pPr>
    </w:p>
    <w:p w:rsidR="00743B28" w:rsidRPr="006B01A5" w:rsidRDefault="00743B28" w:rsidP="00755618">
      <w:pPr>
        <w:tabs>
          <w:tab w:val="left" w:pos="851"/>
          <w:tab w:val="left" w:pos="1134"/>
          <w:tab w:val="left" w:leader="dot" w:pos="9356"/>
        </w:tabs>
        <w:rPr>
          <w:rFonts w:ascii="Arial" w:hAnsi="Arial" w:cs="Arial"/>
          <w:color w:val="FF0000"/>
          <w:lang w:val="ro-RO"/>
        </w:rPr>
      </w:pPr>
    </w:p>
    <w:p w:rsidR="00743B28" w:rsidRPr="000713EE" w:rsidRDefault="00743B28" w:rsidP="00755618">
      <w:pPr>
        <w:tabs>
          <w:tab w:val="left" w:pos="851"/>
          <w:tab w:val="left" w:leader="dot" w:pos="9356"/>
        </w:tabs>
        <w:jc w:val="center"/>
        <w:rPr>
          <w:rFonts w:ascii="Arial" w:hAnsi="Arial" w:cs="Arial"/>
          <w:b/>
          <w:sz w:val="28"/>
          <w:szCs w:val="28"/>
          <w:lang w:val="ro-RO"/>
        </w:rPr>
      </w:pPr>
      <w:r w:rsidRPr="000713EE">
        <w:rPr>
          <w:rFonts w:ascii="Arial" w:hAnsi="Arial" w:cs="Arial"/>
          <w:b/>
          <w:sz w:val="28"/>
          <w:szCs w:val="28"/>
          <w:lang w:val="ro-RO"/>
        </w:rPr>
        <w:t>I.2.1.1. ENERGIA</w:t>
      </w:r>
    </w:p>
    <w:p w:rsidR="00743B28" w:rsidRPr="000713EE" w:rsidRDefault="00743B28" w:rsidP="00755618">
      <w:pPr>
        <w:tabs>
          <w:tab w:val="left" w:pos="851"/>
          <w:tab w:val="left" w:leader="dot" w:pos="9356"/>
        </w:tabs>
        <w:rPr>
          <w:rFonts w:ascii="Arial" w:hAnsi="Arial" w:cs="Arial"/>
          <w:b/>
          <w:lang w:val="ro-RO"/>
        </w:rPr>
      </w:pPr>
    </w:p>
    <w:p w:rsidR="00743B28" w:rsidRPr="000713EE"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0713EE" w:rsidRDefault="00743B28" w:rsidP="00755618">
      <w:pPr>
        <w:pStyle w:val="Default"/>
        <w:numPr>
          <w:ilvl w:val="0"/>
          <w:numId w:val="4"/>
        </w:numPr>
        <w:tabs>
          <w:tab w:val="left" w:pos="851"/>
        </w:tabs>
        <w:ind w:left="0" w:firstLine="0"/>
        <w:rPr>
          <w:b/>
          <w:bCs/>
          <w:color w:val="auto"/>
          <w:sz w:val="20"/>
          <w:szCs w:val="20"/>
        </w:rPr>
      </w:pPr>
      <w:r w:rsidRPr="000713EE">
        <w:rPr>
          <w:b/>
          <w:color w:val="auto"/>
          <w:u w:val="single"/>
        </w:rPr>
        <w:t>Emisiile de substan</w:t>
      </w:r>
      <w:r w:rsidRPr="000713EE">
        <w:rPr>
          <w:rFonts w:ascii="Tahoma" w:eastAsia="Times New Roman"/>
          <w:b/>
          <w:color w:val="auto"/>
          <w:u w:val="single"/>
        </w:rPr>
        <w:t>ț</w:t>
      </w:r>
      <w:r w:rsidRPr="000713EE">
        <w:rPr>
          <w:b/>
          <w:color w:val="auto"/>
          <w:u w:val="single"/>
        </w:rPr>
        <w:t xml:space="preserve">e  acidifiante </w:t>
      </w:r>
    </w:p>
    <w:p w:rsidR="00743B28" w:rsidRPr="000713EE" w:rsidRDefault="00743B28" w:rsidP="00755618">
      <w:pPr>
        <w:pStyle w:val="Default"/>
        <w:tabs>
          <w:tab w:val="left" w:pos="851"/>
        </w:tabs>
        <w:rPr>
          <w:b/>
          <w:bCs/>
          <w:color w:val="auto"/>
          <w:sz w:val="20"/>
          <w:szCs w:val="20"/>
        </w:rPr>
      </w:pPr>
    </w:p>
    <w:p w:rsidR="00743B28" w:rsidRPr="000713EE"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0713EE">
        <w:rPr>
          <w:rFonts w:ascii="Arial" w:hAnsi="Arial" w:cs="Arial"/>
          <w:b/>
          <w:sz w:val="22"/>
          <w:szCs w:val="22"/>
          <w:lang w:val="ro-RO"/>
        </w:rPr>
        <w:t>Tabel I.2.1.1.1.</w:t>
      </w:r>
    </w:p>
    <w:p w:rsidR="00743B28" w:rsidRPr="000713EE" w:rsidRDefault="00743B28" w:rsidP="00755618">
      <w:pPr>
        <w:pStyle w:val="Listparagraf"/>
        <w:tabs>
          <w:tab w:val="left" w:pos="851"/>
          <w:tab w:val="left" w:pos="1134"/>
          <w:tab w:val="left" w:leader="dot" w:pos="9356"/>
        </w:tabs>
        <w:ind w:left="0"/>
        <w:jc w:val="center"/>
        <w:rPr>
          <w:rFonts w:ascii="Arial" w:hAnsi="Arial" w:cs="Arial"/>
          <w:b/>
          <w:bCs/>
          <w:sz w:val="20"/>
          <w:szCs w:val="20"/>
          <w:lang w:val="ro-RO"/>
        </w:rPr>
      </w:pPr>
      <w:r w:rsidRPr="000713EE">
        <w:rPr>
          <w:rFonts w:ascii="Arial" w:hAnsi="Arial" w:cs="Arial"/>
          <w:b/>
          <w:sz w:val="22"/>
          <w:szCs w:val="22"/>
          <w:lang w:val="ro-RO"/>
        </w:rPr>
        <w:t xml:space="preserve">Emisiile de </w:t>
      </w:r>
      <w:r w:rsidRPr="000713EE">
        <w:rPr>
          <w:rFonts w:ascii="Arial" w:hAnsi="Arial" w:cs="Arial"/>
          <w:b/>
          <w:i/>
          <w:sz w:val="22"/>
          <w:szCs w:val="22"/>
          <w:lang w:val="ro-RO"/>
        </w:rPr>
        <w:t>substanțe acidifiante din sectorul energetic</w:t>
      </w:r>
      <w:r w:rsidRPr="000713EE">
        <w:rPr>
          <w:rFonts w:ascii="Arial" w:hAnsi="Arial" w:cs="Arial"/>
          <w:b/>
          <w:sz w:val="22"/>
          <w:szCs w:val="22"/>
          <w:lang w:val="ro-RO"/>
        </w:rPr>
        <w:t xml:space="preserve">, Bistrița-Năsăud, anul </w:t>
      </w:r>
      <w:r w:rsidR="005964E0" w:rsidRPr="000713EE">
        <w:rPr>
          <w:rFonts w:ascii="Arial" w:hAnsi="Arial" w:cs="Arial"/>
          <w:b/>
          <w:sz w:val="22"/>
          <w:szCs w:val="22"/>
          <w:lang w:val="ro-RO"/>
        </w:rPr>
        <w:t>2021</w:t>
      </w:r>
    </w:p>
    <w:tbl>
      <w:tblPr>
        <w:tblStyle w:val="Style1"/>
        <w:tblW w:w="5000" w:type="pct"/>
        <w:tblLook w:val="04A0" w:firstRow="1" w:lastRow="0" w:firstColumn="1" w:lastColumn="0" w:noHBand="0" w:noVBand="1"/>
      </w:tblPr>
      <w:tblGrid>
        <w:gridCol w:w="4631"/>
        <w:gridCol w:w="1576"/>
        <w:gridCol w:w="1574"/>
        <w:gridCol w:w="1573"/>
      </w:tblGrid>
      <w:tr w:rsidR="000713EE" w:rsidRPr="000713EE" w:rsidTr="000713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pct"/>
            <w:shd w:val="clear" w:color="auto" w:fill="92D050"/>
            <w:noWrap/>
            <w:hideMark/>
          </w:tcPr>
          <w:p w:rsidR="000713EE" w:rsidRPr="000713EE" w:rsidRDefault="000713EE" w:rsidP="00755618">
            <w:pPr>
              <w:rPr>
                <w:rFonts w:ascii="Arial" w:eastAsia="Times New Roman" w:hAnsi="Arial" w:cs="Arial"/>
                <w:sz w:val="22"/>
                <w:szCs w:val="22"/>
                <w:lang w:val="ro-RO" w:eastAsia="ro-RO"/>
              </w:rPr>
            </w:pPr>
          </w:p>
        </w:tc>
        <w:tc>
          <w:tcPr>
            <w:tcW w:w="842" w:type="pct"/>
            <w:shd w:val="clear" w:color="auto" w:fill="92D050"/>
            <w:vAlign w:val="center"/>
            <w:hideMark/>
          </w:tcPr>
          <w:p w:rsidR="000713EE" w:rsidRPr="000713EE" w:rsidRDefault="000713EE"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0713EE">
              <w:rPr>
                <w:rFonts w:ascii="Arial" w:eastAsia="Times New Roman" w:hAnsi="Arial" w:cs="Arial"/>
                <w:b/>
                <w:bCs/>
                <w:sz w:val="22"/>
                <w:szCs w:val="22"/>
                <w:lang w:val="ro-RO" w:eastAsia="ro-RO"/>
              </w:rPr>
              <w:t>NH3</w:t>
            </w:r>
          </w:p>
        </w:tc>
        <w:tc>
          <w:tcPr>
            <w:tcW w:w="841" w:type="pct"/>
            <w:shd w:val="clear" w:color="auto" w:fill="92D050"/>
            <w:vAlign w:val="center"/>
            <w:hideMark/>
          </w:tcPr>
          <w:p w:rsidR="000713EE" w:rsidRPr="000713EE" w:rsidRDefault="000713EE"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0713EE">
              <w:rPr>
                <w:rFonts w:ascii="Arial" w:eastAsia="Times New Roman" w:hAnsi="Arial" w:cs="Arial"/>
                <w:b/>
                <w:bCs/>
                <w:sz w:val="22"/>
                <w:szCs w:val="22"/>
                <w:lang w:val="ro-RO" w:eastAsia="ro-RO"/>
              </w:rPr>
              <w:t>NOX</w:t>
            </w:r>
          </w:p>
        </w:tc>
        <w:tc>
          <w:tcPr>
            <w:tcW w:w="841" w:type="pct"/>
            <w:shd w:val="clear" w:color="auto" w:fill="92D050"/>
            <w:vAlign w:val="center"/>
            <w:hideMark/>
          </w:tcPr>
          <w:p w:rsidR="000713EE" w:rsidRPr="000713EE" w:rsidRDefault="000713EE"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0713EE">
              <w:rPr>
                <w:rFonts w:ascii="Arial" w:eastAsia="Times New Roman" w:hAnsi="Arial" w:cs="Arial"/>
                <w:b/>
                <w:bCs/>
                <w:sz w:val="22"/>
                <w:szCs w:val="22"/>
                <w:lang w:val="ro-RO" w:eastAsia="ro-RO"/>
              </w:rPr>
              <w:t>SOX</w:t>
            </w:r>
          </w:p>
        </w:tc>
      </w:tr>
      <w:tr w:rsidR="000713EE" w:rsidRPr="000713EE" w:rsidTr="00071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5" w:type="pct"/>
            <w:noWrap/>
            <w:hideMark/>
          </w:tcPr>
          <w:p w:rsidR="000713EE" w:rsidRPr="000713EE" w:rsidRDefault="000713EE" w:rsidP="000713EE">
            <w:pPr>
              <w:rPr>
                <w:rFonts w:ascii="Arial" w:eastAsia="Times New Roman" w:hAnsi="Arial" w:cs="Arial"/>
                <w:sz w:val="22"/>
                <w:szCs w:val="22"/>
                <w:lang w:val="ro-RO" w:eastAsia="ro-RO"/>
              </w:rPr>
            </w:pPr>
            <w:r w:rsidRPr="000713EE">
              <w:rPr>
                <w:rFonts w:ascii="Arial" w:eastAsia="Times New Roman" w:hAnsi="Arial" w:cs="Arial"/>
                <w:sz w:val="22"/>
                <w:szCs w:val="22"/>
                <w:lang w:val="ro-RO" w:eastAsia="ro-RO"/>
              </w:rPr>
              <w:t>cantitate poluant (Gg)</w:t>
            </w:r>
          </w:p>
        </w:tc>
        <w:tc>
          <w:tcPr>
            <w:tcW w:w="842" w:type="pct"/>
            <w:noWrap/>
            <w:vAlign w:val="bottom"/>
            <w:hideMark/>
          </w:tcPr>
          <w:p w:rsidR="000713EE" w:rsidRPr="000713EE" w:rsidRDefault="000713EE" w:rsidP="000713E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0713EE">
              <w:rPr>
                <w:rFonts w:ascii="Arial" w:hAnsi="Arial" w:cs="Arial"/>
                <w:sz w:val="20"/>
                <w:szCs w:val="20"/>
              </w:rPr>
              <w:t>0.2126</w:t>
            </w:r>
          </w:p>
        </w:tc>
        <w:tc>
          <w:tcPr>
            <w:tcW w:w="841" w:type="pct"/>
            <w:noWrap/>
            <w:vAlign w:val="bottom"/>
            <w:hideMark/>
          </w:tcPr>
          <w:p w:rsidR="000713EE" w:rsidRPr="000713EE" w:rsidRDefault="000713EE" w:rsidP="000713E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13EE">
              <w:rPr>
                <w:rFonts w:ascii="Arial" w:hAnsi="Arial" w:cs="Arial"/>
                <w:sz w:val="20"/>
                <w:szCs w:val="20"/>
              </w:rPr>
              <w:t>0.3134</w:t>
            </w:r>
          </w:p>
        </w:tc>
        <w:tc>
          <w:tcPr>
            <w:tcW w:w="841" w:type="pct"/>
            <w:noWrap/>
            <w:vAlign w:val="bottom"/>
            <w:hideMark/>
          </w:tcPr>
          <w:p w:rsidR="000713EE" w:rsidRPr="000713EE" w:rsidRDefault="000713EE" w:rsidP="000713E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713EE">
              <w:rPr>
                <w:rFonts w:ascii="Arial" w:hAnsi="Arial" w:cs="Arial"/>
                <w:sz w:val="20"/>
                <w:szCs w:val="20"/>
              </w:rPr>
              <w:t>0,0402</w:t>
            </w:r>
          </w:p>
        </w:tc>
      </w:tr>
      <w:tr w:rsidR="000713EE" w:rsidRPr="000713EE" w:rsidTr="000713E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75" w:type="pct"/>
            <w:noWrap/>
            <w:hideMark/>
          </w:tcPr>
          <w:p w:rsidR="000713EE" w:rsidRPr="000713EE" w:rsidRDefault="000713EE" w:rsidP="005A4621">
            <w:pPr>
              <w:rPr>
                <w:rFonts w:ascii="Arial" w:eastAsia="Times New Roman" w:hAnsi="Arial" w:cs="Arial"/>
                <w:sz w:val="22"/>
                <w:szCs w:val="22"/>
                <w:lang w:val="ro-RO" w:eastAsia="ro-RO"/>
              </w:rPr>
            </w:pPr>
            <w:r w:rsidRPr="000713EE">
              <w:rPr>
                <w:rFonts w:ascii="Arial" w:eastAsia="Times New Roman" w:hAnsi="Arial" w:cs="Arial"/>
                <w:sz w:val="22"/>
                <w:szCs w:val="22"/>
                <w:lang w:val="ro-RO" w:eastAsia="ro-RO"/>
              </w:rPr>
              <w:t>pondere din emisia totală (%)</w:t>
            </w:r>
          </w:p>
        </w:tc>
        <w:tc>
          <w:tcPr>
            <w:tcW w:w="842" w:type="pct"/>
            <w:noWrap/>
            <w:hideMark/>
          </w:tcPr>
          <w:p w:rsidR="000713EE" w:rsidRPr="000713EE" w:rsidRDefault="000713EE" w:rsidP="000713E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713EE">
              <w:rPr>
                <w:rFonts w:ascii="Arial" w:hAnsi="Arial" w:cs="Arial"/>
                <w:sz w:val="22"/>
                <w:szCs w:val="22"/>
              </w:rPr>
              <w:t>6,71</w:t>
            </w:r>
          </w:p>
        </w:tc>
        <w:tc>
          <w:tcPr>
            <w:tcW w:w="841" w:type="pct"/>
            <w:noWrap/>
            <w:hideMark/>
          </w:tcPr>
          <w:p w:rsidR="000713EE" w:rsidRPr="000713EE" w:rsidRDefault="000713EE" w:rsidP="000713E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713EE">
              <w:rPr>
                <w:rFonts w:ascii="Arial" w:hAnsi="Arial" w:cs="Arial"/>
                <w:sz w:val="22"/>
                <w:szCs w:val="22"/>
              </w:rPr>
              <w:t>16,19</w:t>
            </w:r>
          </w:p>
        </w:tc>
        <w:tc>
          <w:tcPr>
            <w:tcW w:w="841" w:type="pct"/>
            <w:noWrap/>
            <w:hideMark/>
          </w:tcPr>
          <w:p w:rsidR="000713EE" w:rsidRPr="000713EE" w:rsidRDefault="000713EE" w:rsidP="000713EE">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713EE">
              <w:rPr>
                <w:rFonts w:ascii="Arial" w:hAnsi="Arial" w:cs="Arial"/>
                <w:sz w:val="22"/>
                <w:szCs w:val="22"/>
              </w:rPr>
              <w:t>99,98</w:t>
            </w:r>
          </w:p>
        </w:tc>
      </w:tr>
    </w:tbl>
    <w:p w:rsidR="00743B28" w:rsidRPr="00DA72CA" w:rsidRDefault="00743B28" w:rsidP="00755618">
      <w:pPr>
        <w:tabs>
          <w:tab w:val="left" w:pos="851"/>
        </w:tabs>
        <w:jc w:val="center"/>
        <w:rPr>
          <w:rFonts w:ascii="Arial" w:hAnsi="Arial" w:cs="Arial"/>
          <w:lang w:val="ro-RO"/>
        </w:rPr>
      </w:pPr>
      <w:r w:rsidRPr="00DA72CA">
        <w:rPr>
          <w:rFonts w:ascii="Arial" w:hAnsi="Arial" w:cs="Arial"/>
          <w:sz w:val="20"/>
          <w:szCs w:val="20"/>
          <w:lang w:val="ro-RO"/>
        </w:rPr>
        <w:t>Sursa: Agenţia pentru Protecţia Mediului Bistriţa-Năsăud</w:t>
      </w:r>
    </w:p>
    <w:p w:rsidR="00743B28" w:rsidRPr="00DA72CA" w:rsidRDefault="00743B28" w:rsidP="00755618">
      <w:pPr>
        <w:pStyle w:val="Default"/>
        <w:tabs>
          <w:tab w:val="left" w:pos="851"/>
        </w:tabs>
        <w:ind w:firstLine="851"/>
        <w:jc w:val="both"/>
        <w:rPr>
          <w:bCs/>
          <w:color w:val="auto"/>
        </w:rPr>
      </w:pPr>
    </w:p>
    <w:p w:rsidR="00743B28" w:rsidRPr="00DA72CA" w:rsidRDefault="00743B28" w:rsidP="00755618">
      <w:pPr>
        <w:pStyle w:val="Default"/>
        <w:tabs>
          <w:tab w:val="left" w:pos="851"/>
        </w:tabs>
        <w:ind w:firstLine="851"/>
        <w:jc w:val="both"/>
        <w:rPr>
          <w:bCs/>
          <w:color w:val="auto"/>
        </w:rPr>
      </w:pPr>
      <w:r w:rsidRPr="00DA72CA">
        <w:rPr>
          <w:bCs/>
          <w:color w:val="auto"/>
        </w:rPr>
        <w:t>Amoniacul din sectorul energetic provine în proporție de 9</w:t>
      </w:r>
      <w:r w:rsidR="000713EE" w:rsidRPr="00DA72CA">
        <w:rPr>
          <w:bCs/>
          <w:color w:val="auto"/>
        </w:rPr>
        <w:t>9,6</w:t>
      </w:r>
      <w:r w:rsidRPr="00DA72CA">
        <w:rPr>
          <w:bCs/>
          <w:color w:val="auto"/>
        </w:rPr>
        <w:t>% din arderile rezidenți</w:t>
      </w:r>
      <w:r w:rsidR="007060B0" w:rsidRPr="00DA72CA">
        <w:rPr>
          <w:bCs/>
          <w:color w:val="auto"/>
        </w:rPr>
        <w:t>a</w:t>
      </w:r>
      <w:r w:rsidR="00D14A8E">
        <w:rPr>
          <w:bCs/>
          <w:color w:val="auto"/>
        </w:rPr>
        <w:t>le</w:t>
      </w:r>
      <w:r w:rsidRPr="00DA72CA">
        <w:rPr>
          <w:bCs/>
          <w:color w:val="auto"/>
        </w:rPr>
        <w:t>.</w:t>
      </w:r>
    </w:p>
    <w:p w:rsidR="000713EE" w:rsidRPr="00DA72CA" w:rsidRDefault="000713EE" w:rsidP="00755618">
      <w:pPr>
        <w:pStyle w:val="Default"/>
        <w:tabs>
          <w:tab w:val="left" w:pos="851"/>
        </w:tabs>
        <w:ind w:firstLine="851"/>
        <w:jc w:val="both"/>
        <w:rPr>
          <w:bCs/>
          <w:color w:val="auto"/>
        </w:rPr>
      </w:pPr>
    </w:p>
    <w:p w:rsidR="00743B28" w:rsidRPr="00DA72CA"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DA72CA">
        <w:rPr>
          <w:rFonts w:ascii="Arial" w:hAnsi="Arial" w:cs="Arial"/>
          <w:b/>
          <w:sz w:val="22"/>
          <w:szCs w:val="22"/>
          <w:lang w:val="ro-RO"/>
        </w:rPr>
        <w:t>Figura I.2.1.1.1.</w:t>
      </w:r>
    </w:p>
    <w:p w:rsidR="00743B28" w:rsidRPr="00DA72CA"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DA72CA">
        <w:rPr>
          <w:rFonts w:ascii="Arial" w:hAnsi="Arial" w:cs="Arial"/>
          <w:b/>
          <w:sz w:val="22"/>
          <w:szCs w:val="22"/>
          <w:lang w:val="ro-RO"/>
        </w:rPr>
        <w:t xml:space="preserve">Emisiile de </w:t>
      </w:r>
      <w:r w:rsidRPr="00DA72CA">
        <w:rPr>
          <w:rFonts w:ascii="Arial" w:hAnsi="Arial" w:cs="Arial"/>
          <w:b/>
          <w:i/>
          <w:sz w:val="22"/>
          <w:szCs w:val="22"/>
          <w:lang w:val="ro-RO"/>
        </w:rPr>
        <w:t>substanțe acidifiante provenite din sectorul energetic</w:t>
      </w:r>
      <w:r w:rsidRPr="00DA72CA">
        <w:rPr>
          <w:rFonts w:ascii="Arial" w:hAnsi="Arial" w:cs="Arial"/>
          <w:b/>
          <w:sz w:val="22"/>
          <w:szCs w:val="22"/>
          <w:lang w:val="ro-RO"/>
        </w:rPr>
        <w:t xml:space="preserve">, pe tipuri de activități, județul Bistrița-Năsăud, anul </w:t>
      </w:r>
      <w:r w:rsidR="005964E0" w:rsidRPr="00DA72CA">
        <w:rPr>
          <w:rFonts w:ascii="Arial" w:hAnsi="Arial" w:cs="Arial"/>
          <w:b/>
          <w:sz w:val="22"/>
          <w:szCs w:val="22"/>
          <w:lang w:val="ro-RO"/>
        </w:rPr>
        <w:t>2021</w:t>
      </w:r>
    </w:p>
    <w:p w:rsidR="00743B28" w:rsidRPr="006B01A5" w:rsidRDefault="00DA72CA" w:rsidP="00DA72CA">
      <w:pPr>
        <w:pStyle w:val="Listparagraf"/>
        <w:tabs>
          <w:tab w:val="left" w:pos="851"/>
          <w:tab w:val="left" w:pos="1134"/>
          <w:tab w:val="left" w:leader="dot" w:pos="9356"/>
        </w:tabs>
        <w:ind w:left="0"/>
        <w:jc w:val="center"/>
        <w:rPr>
          <w:rFonts w:ascii="Arial" w:hAnsi="Arial" w:cs="Arial"/>
          <w:color w:val="FF0000"/>
          <w:sz w:val="20"/>
          <w:szCs w:val="20"/>
          <w:lang w:val="ro-RO"/>
        </w:rPr>
      </w:pPr>
      <w:r>
        <w:rPr>
          <w:rFonts w:ascii="Arial" w:hAnsi="Arial" w:cs="Arial"/>
          <w:noProof/>
          <w:color w:val="FF0000"/>
          <w:sz w:val="20"/>
          <w:szCs w:val="20"/>
          <w:lang w:val="en-US"/>
        </w:rPr>
        <w:drawing>
          <wp:inline distT="0" distB="0" distL="0" distR="0" wp14:anchorId="0541DBD3">
            <wp:extent cx="5797389" cy="2042160"/>
            <wp:effectExtent l="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3564" cy="2044335"/>
                    </a:xfrm>
                    <a:prstGeom prst="rect">
                      <a:avLst/>
                    </a:prstGeom>
                    <a:noFill/>
                  </pic:spPr>
                </pic:pic>
              </a:graphicData>
            </a:graphic>
          </wp:inline>
        </w:drawing>
      </w:r>
    </w:p>
    <w:p w:rsidR="007060B0" w:rsidRPr="006B01A5" w:rsidRDefault="007060B0" w:rsidP="00755618">
      <w:pPr>
        <w:pStyle w:val="Listparagraf"/>
        <w:tabs>
          <w:tab w:val="left" w:pos="851"/>
          <w:tab w:val="left" w:pos="1134"/>
          <w:tab w:val="left" w:leader="dot" w:pos="9356"/>
        </w:tabs>
        <w:ind w:left="0"/>
        <w:jc w:val="both"/>
        <w:rPr>
          <w:rFonts w:ascii="Arial" w:hAnsi="Arial" w:cs="Arial"/>
          <w:color w:val="FF0000"/>
          <w:sz w:val="20"/>
          <w:szCs w:val="20"/>
          <w:lang w:val="ro-RO"/>
        </w:rPr>
      </w:pPr>
    </w:p>
    <w:p w:rsidR="00743B28" w:rsidRPr="00DA72CA" w:rsidRDefault="00743B28" w:rsidP="00755618">
      <w:pPr>
        <w:tabs>
          <w:tab w:val="left" w:pos="851"/>
        </w:tabs>
        <w:jc w:val="center"/>
        <w:rPr>
          <w:rFonts w:ascii="Arial" w:hAnsi="Arial" w:cs="Arial"/>
          <w:sz w:val="20"/>
          <w:szCs w:val="20"/>
          <w:lang w:val="ro-RO"/>
        </w:rPr>
      </w:pPr>
      <w:r w:rsidRPr="00DA72CA">
        <w:rPr>
          <w:rFonts w:ascii="Arial" w:hAnsi="Arial" w:cs="Arial"/>
          <w:sz w:val="20"/>
          <w:szCs w:val="20"/>
          <w:lang w:val="ro-RO"/>
        </w:rPr>
        <w:t>Sursa: Agenţia pentru Protecţia Mediului Bistriţa-Năsăud</w:t>
      </w:r>
    </w:p>
    <w:p w:rsidR="00743B28" w:rsidRPr="00DA72CA" w:rsidRDefault="00743B28" w:rsidP="00755618">
      <w:pPr>
        <w:tabs>
          <w:tab w:val="left" w:pos="851"/>
        </w:tabs>
        <w:jc w:val="both"/>
        <w:rPr>
          <w:rFonts w:ascii="Arial" w:hAnsi="Arial" w:cs="Arial"/>
          <w:lang w:val="ro-RO"/>
        </w:rPr>
      </w:pPr>
      <w:r w:rsidRPr="00DA72CA">
        <w:rPr>
          <w:rFonts w:ascii="Arial" w:hAnsi="Arial" w:cs="Arial"/>
          <w:lang w:val="ro-RO"/>
        </w:rPr>
        <w:tab/>
      </w:r>
    </w:p>
    <w:p w:rsidR="00743B28" w:rsidRPr="00DA72CA" w:rsidRDefault="00743B28" w:rsidP="00755618">
      <w:pPr>
        <w:tabs>
          <w:tab w:val="left" w:pos="851"/>
        </w:tabs>
        <w:jc w:val="both"/>
        <w:rPr>
          <w:rFonts w:ascii="Arial" w:hAnsi="Arial" w:cs="Arial"/>
          <w:lang w:val="ro-RO"/>
        </w:rPr>
      </w:pPr>
      <w:r w:rsidRPr="00DA72CA">
        <w:rPr>
          <w:rFonts w:ascii="Arial" w:hAnsi="Arial" w:cs="Arial"/>
          <w:lang w:val="ro-RO"/>
        </w:rPr>
        <w:tab/>
        <w:t>Se observă că majoritatea emisii</w:t>
      </w:r>
      <w:r w:rsidR="00D14A8E">
        <w:rPr>
          <w:rFonts w:ascii="Arial" w:hAnsi="Arial" w:cs="Arial"/>
          <w:lang w:val="ro-RO"/>
        </w:rPr>
        <w:t>lor</w:t>
      </w:r>
      <w:r w:rsidRPr="00DA72CA">
        <w:rPr>
          <w:rFonts w:ascii="Arial" w:hAnsi="Arial" w:cs="Arial"/>
          <w:lang w:val="ro-RO"/>
        </w:rPr>
        <w:t xml:space="preserve"> de oxizi de sulf şi azot provin din arderea combustibililor în sectorul rezidenţial.</w:t>
      </w:r>
    </w:p>
    <w:p w:rsidR="00743B28" w:rsidRDefault="00743B28" w:rsidP="00755618">
      <w:pPr>
        <w:tabs>
          <w:tab w:val="left" w:pos="851"/>
        </w:tabs>
        <w:jc w:val="both"/>
        <w:rPr>
          <w:rFonts w:ascii="Arial" w:hAnsi="Arial" w:cs="Arial"/>
          <w:color w:val="FF0000"/>
          <w:lang w:val="ro-RO"/>
        </w:rPr>
      </w:pPr>
    </w:p>
    <w:p w:rsidR="00CD2FE2" w:rsidRDefault="00CD2FE2" w:rsidP="00755618">
      <w:pPr>
        <w:tabs>
          <w:tab w:val="left" w:pos="851"/>
        </w:tabs>
        <w:jc w:val="both"/>
        <w:rPr>
          <w:rFonts w:ascii="Arial" w:hAnsi="Arial" w:cs="Arial"/>
          <w:color w:val="FF0000"/>
          <w:lang w:val="ro-RO"/>
        </w:rPr>
      </w:pPr>
    </w:p>
    <w:p w:rsidR="00743B28" w:rsidRPr="00DA72CA" w:rsidRDefault="00743B28" w:rsidP="00755618">
      <w:pPr>
        <w:pStyle w:val="Listparagraf"/>
        <w:numPr>
          <w:ilvl w:val="0"/>
          <w:numId w:val="4"/>
        </w:numPr>
        <w:tabs>
          <w:tab w:val="left" w:pos="851"/>
          <w:tab w:val="left" w:pos="1134"/>
          <w:tab w:val="left" w:leader="dot" w:pos="9356"/>
        </w:tabs>
        <w:ind w:left="0" w:firstLine="0"/>
        <w:rPr>
          <w:rFonts w:ascii="Arial" w:hAnsi="Arial" w:cs="Arial"/>
          <w:b/>
          <w:lang w:val="ro-RO"/>
        </w:rPr>
      </w:pPr>
      <w:r w:rsidRPr="00DA72CA">
        <w:rPr>
          <w:rFonts w:ascii="Arial" w:hAnsi="Arial" w:cs="Arial"/>
          <w:b/>
          <w:u w:val="single"/>
          <w:lang w:val="ro-RO"/>
        </w:rPr>
        <w:t>Emisiile de precursori ai ozonului</w:t>
      </w:r>
    </w:p>
    <w:p w:rsidR="00743B28" w:rsidRPr="00DA72CA" w:rsidRDefault="00743B28" w:rsidP="00755618">
      <w:pPr>
        <w:pStyle w:val="Listparagraf"/>
        <w:tabs>
          <w:tab w:val="left" w:pos="851"/>
          <w:tab w:val="left" w:pos="1134"/>
          <w:tab w:val="left" w:leader="dot" w:pos="9356"/>
        </w:tabs>
        <w:ind w:left="0"/>
        <w:rPr>
          <w:rFonts w:ascii="Arial" w:hAnsi="Arial" w:cs="Arial"/>
          <w:lang w:val="ro-RO"/>
        </w:rPr>
      </w:pPr>
    </w:p>
    <w:p w:rsidR="00743B28" w:rsidRPr="00DA72CA"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DA72CA">
        <w:rPr>
          <w:rFonts w:ascii="Arial" w:hAnsi="Arial" w:cs="Arial"/>
          <w:b/>
          <w:sz w:val="22"/>
          <w:szCs w:val="22"/>
          <w:lang w:val="ro-RO"/>
        </w:rPr>
        <w:t>Tabel I.2.1.1.2.</w:t>
      </w:r>
    </w:p>
    <w:p w:rsidR="00743B28" w:rsidRPr="00DA72CA" w:rsidRDefault="00743B28" w:rsidP="00755618">
      <w:pPr>
        <w:pStyle w:val="Listparagraf"/>
        <w:tabs>
          <w:tab w:val="left" w:pos="851"/>
          <w:tab w:val="left" w:pos="1134"/>
          <w:tab w:val="left" w:leader="dot" w:pos="9356"/>
        </w:tabs>
        <w:ind w:left="0"/>
        <w:jc w:val="center"/>
        <w:rPr>
          <w:rFonts w:ascii="Arial" w:hAnsi="Arial" w:cs="Arial"/>
          <w:b/>
          <w:bCs/>
          <w:sz w:val="20"/>
          <w:szCs w:val="20"/>
          <w:lang w:val="ro-RO"/>
        </w:rPr>
      </w:pPr>
      <w:r w:rsidRPr="00DA72CA">
        <w:rPr>
          <w:rFonts w:ascii="Arial" w:hAnsi="Arial" w:cs="Arial"/>
          <w:b/>
          <w:i/>
          <w:sz w:val="22"/>
          <w:szCs w:val="22"/>
          <w:lang w:val="ro-RO"/>
        </w:rPr>
        <w:t>Precursori ai ozonului proveniți din sectorul energetic</w:t>
      </w:r>
      <w:r w:rsidRPr="00DA72CA">
        <w:rPr>
          <w:rFonts w:ascii="Arial" w:hAnsi="Arial" w:cs="Arial"/>
          <w:b/>
          <w:sz w:val="22"/>
          <w:szCs w:val="22"/>
          <w:lang w:val="ro-RO"/>
        </w:rPr>
        <w:t xml:space="preserve">, Bistrița-Năsăud, anul </w:t>
      </w:r>
      <w:r w:rsidR="005964E0" w:rsidRPr="00DA72CA">
        <w:rPr>
          <w:rFonts w:ascii="Arial" w:hAnsi="Arial" w:cs="Arial"/>
          <w:b/>
          <w:sz w:val="22"/>
          <w:szCs w:val="22"/>
          <w:lang w:val="ro-RO"/>
        </w:rPr>
        <w:t>2021</w:t>
      </w:r>
    </w:p>
    <w:tbl>
      <w:tblPr>
        <w:tblStyle w:val="Listcolorat-Accentuare4"/>
        <w:tblW w:w="5000" w:type="pct"/>
        <w:tblLook w:val="04A0" w:firstRow="1" w:lastRow="0" w:firstColumn="1" w:lastColumn="0" w:noHBand="0" w:noVBand="1"/>
      </w:tblPr>
      <w:tblGrid>
        <w:gridCol w:w="4434"/>
        <w:gridCol w:w="791"/>
        <w:gridCol w:w="1341"/>
        <w:gridCol w:w="1636"/>
        <w:gridCol w:w="1152"/>
      </w:tblGrid>
      <w:tr w:rsidR="000D6AF9" w:rsidRPr="000D6AF9" w:rsidTr="00FC07B4">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317" w:type="pct"/>
            <w:hideMark/>
          </w:tcPr>
          <w:p w:rsidR="00743B28" w:rsidRPr="000D6AF9" w:rsidRDefault="00743B28" w:rsidP="00755618">
            <w:pPr>
              <w:jc w:val="center"/>
              <w:rPr>
                <w:rFonts w:ascii="Arial" w:eastAsia="Times New Roman" w:hAnsi="Arial" w:cs="Arial"/>
                <w:bCs w:val="0"/>
                <w:color w:val="auto"/>
                <w:sz w:val="22"/>
                <w:szCs w:val="22"/>
                <w:lang w:val="ro-RO" w:eastAsia="ro-RO"/>
              </w:rPr>
            </w:pPr>
          </w:p>
        </w:tc>
        <w:tc>
          <w:tcPr>
            <w:tcW w:w="436" w:type="pct"/>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ro-RO" w:eastAsia="ro-RO"/>
              </w:rPr>
            </w:pPr>
          </w:p>
        </w:tc>
        <w:tc>
          <w:tcPr>
            <w:tcW w:w="730" w:type="pct"/>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ro-RO" w:eastAsia="ro-RO"/>
              </w:rPr>
            </w:pPr>
            <w:r w:rsidRPr="000D6AF9">
              <w:rPr>
                <w:rFonts w:ascii="Arial" w:eastAsia="Times New Roman" w:hAnsi="Arial" w:cs="Arial"/>
                <w:color w:val="auto"/>
                <w:sz w:val="22"/>
                <w:szCs w:val="22"/>
                <w:lang w:val="ro-RO" w:eastAsia="ro-RO"/>
              </w:rPr>
              <w:t>CO</w:t>
            </w:r>
          </w:p>
        </w:tc>
        <w:tc>
          <w:tcPr>
            <w:tcW w:w="888" w:type="pct"/>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ro-RO" w:eastAsia="ro-RO"/>
              </w:rPr>
            </w:pPr>
            <w:r w:rsidRPr="000D6AF9">
              <w:rPr>
                <w:rFonts w:ascii="Arial" w:eastAsia="Times New Roman" w:hAnsi="Arial" w:cs="Arial"/>
                <w:color w:val="auto"/>
                <w:sz w:val="22"/>
                <w:szCs w:val="22"/>
                <w:lang w:val="ro-RO" w:eastAsia="ro-RO"/>
              </w:rPr>
              <w:t>NMVOC</w:t>
            </w:r>
          </w:p>
        </w:tc>
        <w:tc>
          <w:tcPr>
            <w:tcW w:w="629" w:type="pct"/>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2"/>
                <w:szCs w:val="22"/>
                <w:lang w:val="ro-RO" w:eastAsia="ro-RO"/>
              </w:rPr>
            </w:pPr>
            <w:r w:rsidRPr="000D6AF9">
              <w:rPr>
                <w:rFonts w:ascii="Arial" w:eastAsia="Times New Roman" w:hAnsi="Arial" w:cs="Arial"/>
                <w:color w:val="auto"/>
                <w:sz w:val="22"/>
                <w:szCs w:val="22"/>
                <w:lang w:val="ro-RO" w:eastAsia="ro-RO"/>
              </w:rPr>
              <w:t>NOX</w:t>
            </w:r>
          </w:p>
        </w:tc>
      </w:tr>
      <w:tr w:rsidR="00DA72CA" w:rsidRPr="00DA72CA" w:rsidTr="00F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7" w:type="pct"/>
            <w:noWrap/>
            <w:hideMark/>
          </w:tcPr>
          <w:p w:rsidR="00DA72CA" w:rsidRPr="00DA72CA" w:rsidRDefault="00DA72CA" w:rsidP="00DA72CA">
            <w:pPr>
              <w:rPr>
                <w:rFonts w:ascii="Arial" w:eastAsia="Times New Roman" w:hAnsi="Arial" w:cs="Arial"/>
                <w:b w:val="0"/>
                <w:sz w:val="22"/>
                <w:szCs w:val="22"/>
                <w:lang w:val="ro-RO" w:eastAsia="ro-RO"/>
              </w:rPr>
            </w:pPr>
            <w:r w:rsidRPr="00DA72CA">
              <w:rPr>
                <w:rFonts w:ascii="Arial" w:eastAsia="Times New Roman" w:hAnsi="Arial" w:cs="Arial"/>
                <w:sz w:val="22"/>
                <w:szCs w:val="22"/>
                <w:lang w:val="ro-RO" w:eastAsia="ro-RO"/>
              </w:rPr>
              <w:t>cantitatea de poluant (Gg)</w:t>
            </w:r>
          </w:p>
        </w:tc>
        <w:tc>
          <w:tcPr>
            <w:tcW w:w="436" w:type="pct"/>
            <w:noWrap/>
            <w:hideMark/>
          </w:tcPr>
          <w:p w:rsidR="00DA72CA" w:rsidRPr="00DA72CA" w:rsidRDefault="00DA72CA" w:rsidP="00DA7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ro-RO" w:eastAsia="ro-RO"/>
              </w:rPr>
            </w:pPr>
          </w:p>
        </w:tc>
        <w:tc>
          <w:tcPr>
            <w:tcW w:w="730" w:type="pct"/>
            <w:noWrap/>
            <w:hideMark/>
          </w:tcPr>
          <w:p w:rsidR="00DA72CA" w:rsidRPr="00DA72CA" w:rsidRDefault="00DA72CA" w:rsidP="00DA7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DA72CA">
              <w:rPr>
                <w:rFonts w:ascii="Arial" w:hAnsi="Arial" w:cs="Arial"/>
                <w:sz w:val="20"/>
                <w:szCs w:val="20"/>
              </w:rPr>
              <w:t>12,1701</w:t>
            </w:r>
          </w:p>
        </w:tc>
        <w:tc>
          <w:tcPr>
            <w:tcW w:w="888" w:type="pct"/>
            <w:noWrap/>
            <w:hideMark/>
          </w:tcPr>
          <w:p w:rsidR="00DA72CA" w:rsidRPr="00DA72CA" w:rsidRDefault="00DA72CA" w:rsidP="00DA72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72CA">
              <w:rPr>
                <w:rFonts w:ascii="Arial" w:hAnsi="Arial" w:cs="Arial"/>
                <w:sz w:val="20"/>
                <w:szCs w:val="20"/>
              </w:rPr>
              <w:t>1,7757</w:t>
            </w:r>
          </w:p>
        </w:tc>
        <w:tc>
          <w:tcPr>
            <w:tcW w:w="629" w:type="pct"/>
            <w:noWrap/>
            <w:hideMark/>
          </w:tcPr>
          <w:p w:rsidR="00DA72CA" w:rsidRPr="00DA72CA" w:rsidRDefault="00DA72CA" w:rsidP="00DA72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72CA">
              <w:rPr>
                <w:rFonts w:ascii="Arial" w:hAnsi="Arial" w:cs="Arial"/>
                <w:sz w:val="20"/>
                <w:szCs w:val="20"/>
              </w:rPr>
              <w:t>0,3134</w:t>
            </w:r>
          </w:p>
        </w:tc>
      </w:tr>
      <w:tr w:rsidR="00DA72CA" w:rsidRPr="00DA72CA" w:rsidTr="00FC07B4">
        <w:trPr>
          <w:trHeight w:val="288"/>
        </w:trPr>
        <w:tc>
          <w:tcPr>
            <w:cnfStyle w:val="001000000000" w:firstRow="0" w:lastRow="0" w:firstColumn="1" w:lastColumn="0" w:oddVBand="0" w:evenVBand="0" w:oddHBand="0" w:evenHBand="0" w:firstRowFirstColumn="0" w:firstRowLastColumn="0" w:lastRowFirstColumn="0" w:lastRowLastColumn="0"/>
            <w:tcW w:w="2317" w:type="pct"/>
            <w:noWrap/>
            <w:hideMark/>
          </w:tcPr>
          <w:p w:rsidR="00DA72CA" w:rsidRPr="00DA72CA" w:rsidRDefault="00DA72CA" w:rsidP="00DA72CA">
            <w:pPr>
              <w:rPr>
                <w:rFonts w:ascii="Arial" w:eastAsia="Times New Roman" w:hAnsi="Arial" w:cs="Arial"/>
                <w:b w:val="0"/>
                <w:sz w:val="22"/>
                <w:szCs w:val="22"/>
                <w:lang w:val="ro-RO" w:eastAsia="ro-RO"/>
              </w:rPr>
            </w:pPr>
            <w:r w:rsidRPr="00DA72CA">
              <w:rPr>
                <w:rFonts w:ascii="Arial" w:eastAsia="Times New Roman" w:hAnsi="Arial" w:cs="Arial"/>
                <w:sz w:val="22"/>
                <w:szCs w:val="22"/>
                <w:lang w:val="ro-RO" w:eastAsia="ro-RO"/>
              </w:rPr>
              <w:t>ponderea din emisia totală (%), din care:</w:t>
            </w:r>
          </w:p>
        </w:tc>
        <w:tc>
          <w:tcPr>
            <w:tcW w:w="436" w:type="pct"/>
            <w:noWrap/>
            <w:hideMark/>
          </w:tcPr>
          <w:p w:rsidR="00DA72CA" w:rsidRPr="00DA72CA" w:rsidRDefault="00DA72CA" w:rsidP="00DA72C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ro-RO" w:eastAsia="ro-RO"/>
              </w:rPr>
            </w:pPr>
          </w:p>
        </w:tc>
        <w:tc>
          <w:tcPr>
            <w:tcW w:w="730" w:type="pct"/>
            <w:noWrap/>
            <w:hideMark/>
          </w:tcPr>
          <w:p w:rsidR="00DA72CA" w:rsidRPr="00DA72CA" w:rsidRDefault="00DA72CA" w:rsidP="00DA72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DA72CA">
              <w:rPr>
                <w:rFonts w:ascii="Arial" w:hAnsi="Arial" w:cs="Arial"/>
                <w:sz w:val="22"/>
                <w:szCs w:val="22"/>
              </w:rPr>
              <w:t>89,0985</w:t>
            </w:r>
          </w:p>
        </w:tc>
        <w:tc>
          <w:tcPr>
            <w:tcW w:w="888" w:type="pct"/>
            <w:noWrap/>
            <w:hideMark/>
          </w:tcPr>
          <w:p w:rsidR="00DA72CA" w:rsidRPr="00DA72CA" w:rsidRDefault="00DA72CA" w:rsidP="00DA72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72CA">
              <w:rPr>
                <w:rFonts w:ascii="Arial" w:hAnsi="Arial" w:cs="Arial"/>
                <w:sz w:val="22"/>
                <w:szCs w:val="22"/>
              </w:rPr>
              <w:t>44,5360</w:t>
            </w:r>
          </w:p>
        </w:tc>
        <w:tc>
          <w:tcPr>
            <w:tcW w:w="629" w:type="pct"/>
            <w:noWrap/>
            <w:hideMark/>
          </w:tcPr>
          <w:p w:rsidR="00DA72CA" w:rsidRPr="00DA72CA" w:rsidRDefault="00DA72CA" w:rsidP="00DA72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72CA">
              <w:rPr>
                <w:rFonts w:ascii="Arial" w:hAnsi="Arial" w:cs="Arial"/>
                <w:sz w:val="22"/>
                <w:szCs w:val="22"/>
              </w:rPr>
              <w:t>16,1948</w:t>
            </w:r>
          </w:p>
        </w:tc>
      </w:tr>
      <w:tr w:rsidR="00DA72CA" w:rsidRPr="00DA72CA" w:rsidTr="00F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7" w:type="pct"/>
            <w:noWrap/>
          </w:tcPr>
          <w:p w:rsidR="00DA72CA" w:rsidRPr="00DA72CA" w:rsidRDefault="00DA72CA" w:rsidP="00DA72CA">
            <w:pPr>
              <w:rPr>
                <w:rFonts w:ascii="Arial" w:hAnsi="Arial" w:cs="Arial"/>
                <w:b w:val="0"/>
                <w:sz w:val="22"/>
                <w:szCs w:val="22"/>
              </w:rPr>
            </w:pPr>
            <w:r w:rsidRPr="00DA72CA">
              <w:rPr>
                <w:rFonts w:ascii="Arial" w:hAnsi="Arial" w:cs="Arial"/>
                <w:sz w:val="22"/>
                <w:szCs w:val="22"/>
              </w:rPr>
              <w:t>Producţia şi distribuţia energiei</w:t>
            </w:r>
          </w:p>
        </w:tc>
        <w:tc>
          <w:tcPr>
            <w:tcW w:w="436" w:type="pct"/>
            <w:noWrap/>
          </w:tcPr>
          <w:p w:rsidR="00DA72CA" w:rsidRPr="00DA72CA" w:rsidRDefault="00DA72CA" w:rsidP="00DA7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ro-RO" w:eastAsia="ro-RO"/>
              </w:rPr>
            </w:pPr>
          </w:p>
        </w:tc>
        <w:tc>
          <w:tcPr>
            <w:tcW w:w="730" w:type="pct"/>
            <w:noWrap/>
          </w:tcPr>
          <w:p w:rsidR="00DA72CA" w:rsidRPr="00DA72CA" w:rsidRDefault="00DA72CA" w:rsidP="00DA72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DA72CA">
              <w:rPr>
                <w:rFonts w:ascii="Arial" w:hAnsi="Arial" w:cs="Arial"/>
                <w:sz w:val="22"/>
                <w:szCs w:val="22"/>
              </w:rPr>
              <w:t>0</w:t>
            </w:r>
          </w:p>
        </w:tc>
        <w:tc>
          <w:tcPr>
            <w:tcW w:w="888" w:type="pct"/>
            <w:noWrap/>
          </w:tcPr>
          <w:p w:rsidR="00DA72CA" w:rsidRPr="00DA72CA" w:rsidRDefault="00DA72CA" w:rsidP="00DA72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72CA">
              <w:rPr>
                <w:rFonts w:ascii="Arial" w:hAnsi="Arial" w:cs="Arial"/>
                <w:sz w:val="22"/>
                <w:szCs w:val="22"/>
              </w:rPr>
              <w:t>0,3039</w:t>
            </w:r>
          </w:p>
        </w:tc>
        <w:tc>
          <w:tcPr>
            <w:tcW w:w="629" w:type="pct"/>
            <w:noWrap/>
          </w:tcPr>
          <w:p w:rsidR="00DA72CA" w:rsidRPr="00DA72CA" w:rsidRDefault="00DA72CA" w:rsidP="00DA72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72CA">
              <w:rPr>
                <w:rFonts w:ascii="Arial" w:hAnsi="Arial" w:cs="Arial"/>
                <w:sz w:val="22"/>
                <w:szCs w:val="22"/>
              </w:rPr>
              <w:t>0</w:t>
            </w:r>
          </w:p>
        </w:tc>
      </w:tr>
      <w:tr w:rsidR="00DA72CA" w:rsidRPr="00DA72CA" w:rsidTr="00FC07B4">
        <w:trPr>
          <w:trHeight w:val="288"/>
        </w:trPr>
        <w:tc>
          <w:tcPr>
            <w:cnfStyle w:val="001000000000" w:firstRow="0" w:lastRow="0" w:firstColumn="1" w:lastColumn="0" w:oddVBand="0" w:evenVBand="0" w:oddHBand="0" w:evenHBand="0" w:firstRowFirstColumn="0" w:firstRowLastColumn="0" w:lastRowFirstColumn="0" w:lastRowLastColumn="0"/>
            <w:tcW w:w="2317" w:type="pct"/>
            <w:noWrap/>
          </w:tcPr>
          <w:p w:rsidR="00DA72CA" w:rsidRPr="00DA72CA" w:rsidRDefault="00DA72CA" w:rsidP="00DA72CA">
            <w:pPr>
              <w:rPr>
                <w:rFonts w:ascii="Arial" w:hAnsi="Arial" w:cs="Arial"/>
                <w:b w:val="0"/>
                <w:sz w:val="22"/>
                <w:szCs w:val="22"/>
              </w:rPr>
            </w:pPr>
            <w:r w:rsidRPr="00DA72CA">
              <w:rPr>
                <w:rFonts w:ascii="Arial" w:hAnsi="Arial" w:cs="Arial"/>
                <w:sz w:val="22"/>
                <w:szCs w:val="22"/>
              </w:rPr>
              <w:t>Utilizarea energiei în industrie</w:t>
            </w:r>
          </w:p>
        </w:tc>
        <w:tc>
          <w:tcPr>
            <w:tcW w:w="436" w:type="pct"/>
            <w:noWrap/>
          </w:tcPr>
          <w:p w:rsidR="00DA72CA" w:rsidRPr="00DA72CA" w:rsidRDefault="00DA72CA" w:rsidP="00DA72C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ro-RO" w:eastAsia="ro-RO"/>
              </w:rPr>
            </w:pPr>
          </w:p>
        </w:tc>
        <w:tc>
          <w:tcPr>
            <w:tcW w:w="730" w:type="pct"/>
            <w:noWrap/>
          </w:tcPr>
          <w:p w:rsidR="00DA72CA" w:rsidRPr="00DA72CA" w:rsidRDefault="00DA72CA" w:rsidP="00DA72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72CA">
              <w:rPr>
                <w:rFonts w:ascii="Arial" w:hAnsi="Arial" w:cs="Arial"/>
                <w:sz w:val="22"/>
                <w:szCs w:val="22"/>
              </w:rPr>
              <w:t>0,5540</w:t>
            </w:r>
          </w:p>
        </w:tc>
        <w:tc>
          <w:tcPr>
            <w:tcW w:w="888" w:type="pct"/>
            <w:noWrap/>
          </w:tcPr>
          <w:p w:rsidR="00DA72CA" w:rsidRPr="00DA72CA" w:rsidRDefault="00DA72CA" w:rsidP="00DA72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72CA">
              <w:rPr>
                <w:rFonts w:ascii="Arial" w:hAnsi="Arial" w:cs="Arial"/>
                <w:sz w:val="22"/>
                <w:szCs w:val="22"/>
              </w:rPr>
              <w:t>0,4457</w:t>
            </w:r>
          </w:p>
        </w:tc>
        <w:tc>
          <w:tcPr>
            <w:tcW w:w="629" w:type="pct"/>
            <w:noWrap/>
          </w:tcPr>
          <w:p w:rsidR="00DA72CA" w:rsidRPr="00DA72CA" w:rsidRDefault="00DA72CA" w:rsidP="00DA72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72CA">
              <w:rPr>
                <w:rFonts w:ascii="Arial" w:hAnsi="Arial" w:cs="Arial"/>
                <w:sz w:val="22"/>
                <w:szCs w:val="22"/>
              </w:rPr>
              <w:t>2,0021</w:t>
            </w:r>
          </w:p>
        </w:tc>
      </w:tr>
      <w:tr w:rsidR="00DA72CA" w:rsidRPr="00DA72CA" w:rsidTr="00FC07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7" w:type="pct"/>
            <w:noWrap/>
          </w:tcPr>
          <w:p w:rsidR="00DA72CA" w:rsidRPr="00DA72CA" w:rsidRDefault="00DA72CA" w:rsidP="00DA72CA">
            <w:pPr>
              <w:rPr>
                <w:rFonts w:ascii="Arial" w:hAnsi="Arial" w:cs="Arial"/>
                <w:b w:val="0"/>
                <w:sz w:val="22"/>
                <w:szCs w:val="22"/>
              </w:rPr>
            </w:pPr>
            <w:r w:rsidRPr="00DA72CA">
              <w:rPr>
                <w:rFonts w:ascii="Arial" w:hAnsi="Arial" w:cs="Arial"/>
                <w:sz w:val="22"/>
                <w:szCs w:val="22"/>
              </w:rPr>
              <w:t xml:space="preserve">Comercial, instituţional </w:t>
            </w:r>
          </w:p>
        </w:tc>
        <w:tc>
          <w:tcPr>
            <w:tcW w:w="436" w:type="pct"/>
            <w:noWrap/>
          </w:tcPr>
          <w:p w:rsidR="00DA72CA" w:rsidRPr="00DA72CA" w:rsidRDefault="00DA72CA" w:rsidP="00DA72C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ro-RO" w:eastAsia="ro-RO"/>
              </w:rPr>
            </w:pPr>
          </w:p>
        </w:tc>
        <w:tc>
          <w:tcPr>
            <w:tcW w:w="730" w:type="pct"/>
            <w:noWrap/>
          </w:tcPr>
          <w:p w:rsidR="00DA72CA" w:rsidRPr="00DA72CA" w:rsidRDefault="00DA72CA" w:rsidP="00DA72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72CA">
              <w:rPr>
                <w:rFonts w:ascii="Arial" w:hAnsi="Arial" w:cs="Arial"/>
                <w:sz w:val="22"/>
                <w:szCs w:val="22"/>
              </w:rPr>
              <w:t>0</w:t>
            </w:r>
          </w:p>
        </w:tc>
        <w:tc>
          <w:tcPr>
            <w:tcW w:w="888" w:type="pct"/>
            <w:noWrap/>
          </w:tcPr>
          <w:p w:rsidR="00DA72CA" w:rsidRPr="00DA72CA" w:rsidRDefault="00DA72CA" w:rsidP="00DA72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72CA">
              <w:rPr>
                <w:rFonts w:ascii="Arial" w:hAnsi="Arial" w:cs="Arial"/>
                <w:sz w:val="22"/>
                <w:szCs w:val="22"/>
              </w:rPr>
              <w:t>0,3410</w:t>
            </w:r>
          </w:p>
        </w:tc>
        <w:tc>
          <w:tcPr>
            <w:tcW w:w="629" w:type="pct"/>
            <w:noWrap/>
          </w:tcPr>
          <w:p w:rsidR="00DA72CA" w:rsidRPr="00DA72CA" w:rsidRDefault="00DA72CA" w:rsidP="00DA72C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A72CA">
              <w:rPr>
                <w:rFonts w:ascii="Arial" w:hAnsi="Arial" w:cs="Arial"/>
                <w:sz w:val="22"/>
                <w:szCs w:val="22"/>
              </w:rPr>
              <w:t>1,9668</w:t>
            </w:r>
          </w:p>
        </w:tc>
      </w:tr>
      <w:tr w:rsidR="00DA72CA" w:rsidRPr="00DA72CA" w:rsidTr="00FC07B4">
        <w:trPr>
          <w:trHeight w:val="288"/>
        </w:trPr>
        <w:tc>
          <w:tcPr>
            <w:cnfStyle w:val="001000000000" w:firstRow="0" w:lastRow="0" w:firstColumn="1" w:lastColumn="0" w:oddVBand="0" w:evenVBand="0" w:oddHBand="0" w:evenHBand="0" w:firstRowFirstColumn="0" w:firstRowLastColumn="0" w:lastRowFirstColumn="0" w:lastRowLastColumn="0"/>
            <w:tcW w:w="2317" w:type="pct"/>
            <w:noWrap/>
          </w:tcPr>
          <w:p w:rsidR="00DA72CA" w:rsidRPr="00DA72CA" w:rsidRDefault="00DA72CA" w:rsidP="00DA72CA">
            <w:pPr>
              <w:rPr>
                <w:rFonts w:ascii="Arial" w:hAnsi="Arial" w:cs="Arial"/>
                <w:b w:val="0"/>
                <w:sz w:val="22"/>
                <w:szCs w:val="22"/>
              </w:rPr>
            </w:pPr>
            <w:r w:rsidRPr="00DA72CA">
              <w:rPr>
                <w:rFonts w:ascii="Arial" w:hAnsi="Arial" w:cs="Arial"/>
                <w:sz w:val="22"/>
                <w:szCs w:val="22"/>
              </w:rPr>
              <w:t>Rezidential (gospodării)</w:t>
            </w:r>
          </w:p>
        </w:tc>
        <w:tc>
          <w:tcPr>
            <w:tcW w:w="436" w:type="pct"/>
            <w:noWrap/>
          </w:tcPr>
          <w:p w:rsidR="00DA72CA" w:rsidRPr="00DA72CA" w:rsidRDefault="00DA72CA" w:rsidP="00DA72C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ro-RO" w:eastAsia="ro-RO"/>
              </w:rPr>
            </w:pPr>
          </w:p>
        </w:tc>
        <w:tc>
          <w:tcPr>
            <w:tcW w:w="730" w:type="pct"/>
            <w:noWrap/>
          </w:tcPr>
          <w:p w:rsidR="00DA72CA" w:rsidRPr="00DA72CA" w:rsidRDefault="00DA72CA" w:rsidP="00DA72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72CA">
              <w:rPr>
                <w:rFonts w:ascii="Arial" w:hAnsi="Arial" w:cs="Arial"/>
                <w:sz w:val="22"/>
                <w:szCs w:val="22"/>
              </w:rPr>
              <w:t>88,3553</w:t>
            </w:r>
          </w:p>
        </w:tc>
        <w:tc>
          <w:tcPr>
            <w:tcW w:w="888" w:type="pct"/>
            <w:noWrap/>
          </w:tcPr>
          <w:p w:rsidR="00DA72CA" w:rsidRPr="00DA72CA" w:rsidRDefault="00DA72CA" w:rsidP="00DA72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72CA">
              <w:rPr>
                <w:rFonts w:ascii="Arial" w:hAnsi="Arial" w:cs="Arial"/>
                <w:sz w:val="22"/>
                <w:szCs w:val="22"/>
              </w:rPr>
              <w:t>43,4453</w:t>
            </w:r>
          </w:p>
        </w:tc>
        <w:tc>
          <w:tcPr>
            <w:tcW w:w="629" w:type="pct"/>
            <w:noWrap/>
          </w:tcPr>
          <w:p w:rsidR="00DA72CA" w:rsidRPr="00DA72CA" w:rsidRDefault="00DA72CA" w:rsidP="00DA72C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A72CA">
              <w:rPr>
                <w:rFonts w:ascii="Arial" w:hAnsi="Arial" w:cs="Arial"/>
                <w:sz w:val="22"/>
                <w:szCs w:val="22"/>
              </w:rPr>
              <w:t>12,2259</w:t>
            </w:r>
          </w:p>
        </w:tc>
      </w:tr>
    </w:tbl>
    <w:p w:rsidR="00743B28" w:rsidRPr="00DA72CA" w:rsidRDefault="00743B28" w:rsidP="00755618">
      <w:pPr>
        <w:tabs>
          <w:tab w:val="left" w:pos="851"/>
        </w:tabs>
        <w:jc w:val="center"/>
        <w:rPr>
          <w:rFonts w:ascii="Arial" w:hAnsi="Arial" w:cs="Arial"/>
          <w:lang w:val="ro-RO"/>
        </w:rPr>
      </w:pPr>
      <w:r w:rsidRPr="00DA72CA">
        <w:rPr>
          <w:rFonts w:ascii="Arial" w:hAnsi="Arial" w:cs="Arial"/>
          <w:sz w:val="20"/>
          <w:szCs w:val="20"/>
          <w:lang w:val="ro-RO"/>
        </w:rPr>
        <w:t>Sursa: Agenţia pentru Protecţia Mediului Bistriţa-Năsăud</w:t>
      </w:r>
    </w:p>
    <w:p w:rsidR="00743B28" w:rsidRPr="006B01A5" w:rsidRDefault="00743B28" w:rsidP="00755618">
      <w:pPr>
        <w:pStyle w:val="Listparagraf"/>
        <w:tabs>
          <w:tab w:val="left" w:pos="851"/>
          <w:tab w:val="left" w:pos="1134"/>
          <w:tab w:val="left" w:leader="dot" w:pos="9356"/>
        </w:tabs>
        <w:ind w:left="0"/>
        <w:jc w:val="both"/>
        <w:rPr>
          <w:rFonts w:ascii="Arial" w:hAnsi="Arial" w:cs="Arial"/>
          <w:color w:val="FF0000"/>
          <w:lang w:val="ro-RO"/>
        </w:rPr>
      </w:pPr>
      <w:r w:rsidRPr="006B01A5">
        <w:rPr>
          <w:rFonts w:ascii="Arial" w:hAnsi="Arial" w:cs="Arial"/>
          <w:color w:val="FF0000"/>
          <w:lang w:val="ro-RO"/>
        </w:rPr>
        <w:tab/>
      </w:r>
    </w:p>
    <w:p w:rsidR="00743B28" w:rsidRPr="006B01A5" w:rsidRDefault="00743B28" w:rsidP="00755618">
      <w:pPr>
        <w:pStyle w:val="Listparagraf"/>
        <w:tabs>
          <w:tab w:val="left" w:pos="851"/>
          <w:tab w:val="left" w:pos="1134"/>
          <w:tab w:val="left" w:leader="dot" w:pos="9356"/>
        </w:tabs>
        <w:ind w:left="0"/>
        <w:jc w:val="both"/>
        <w:rPr>
          <w:rFonts w:ascii="Arial" w:hAnsi="Arial" w:cs="Arial"/>
          <w:color w:val="FF0000"/>
          <w:lang w:val="ro-RO"/>
        </w:rPr>
      </w:pPr>
    </w:p>
    <w:p w:rsidR="00743B28" w:rsidRPr="00FC07B4" w:rsidRDefault="00743B28" w:rsidP="00755618">
      <w:pPr>
        <w:pStyle w:val="Listparagraf"/>
        <w:numPr>
          <w:ilvl w:val="0"/>
          <w:numId w:val="4"/>
        </w:numPr>
        <w:tabs>
          <w:tab w:val="left" w:pos="851"/>
          <w:tab w:val="left" w:pos="1134"/>
          <w:tab w:val="left" w:leader="dot" w:pos="9356"/>
        </w:tabs>
        <w:ind w:left="0" w:firstLine="0"/>
        <w:rPr>
          <w:rFonts w:ascii="Arial" w:hAnsi="Arial" w:cs="Arial"/>
          <w:b/>
          <w:u w:val="single"/>
          <w:lang w:val="ro-RO"/>
        </w:rPr>
      </w:pPr>
      <w:r w:rsidRPr="00FC07B4">
        <w:rPr>
          <w:rFonts w:ascii="Arial" w:hAnsi="Arial" w:cs="Arial"/>
          <w:b/>
          <w:u w:val="single"/>
          <w:lang w:val="ro-RO"/>
        </w:rPr>
        <w:t>Emisiile de particule primare și precursori secundari de particule</w:t>
      </w:r>
    </w:p>
    <w:p w:rsidR="00743B28" w:rsidRPr="00FC07B4"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FC07B4"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FC07B4">
        <w:rPr>
          <w:rFonts w:ascii="Arial" w:hAnsi="Arial" w:cs="Arial"/>
          <w:b/>
          <w:sz w:val="22"/>
          <w:szCs w:val="22"/>
          <w:lang w:val="ro-RO"/>
        </w:rPr>
        <w:t>Tabel I.2.1.1.3.</w:t>
      </w:r>
    </w:p>
    <w:p w:rsidR="00743B28" w:rsidRPr="00FC07B4" w:rsidRDefault="00743B28" w:rsidP="00755618">
      <w:pPr>
        <w:pStyle w:val="Listparagraf"/>
        <w:tabs>
          <w:tab w:val="left" w:pos="851"/>
          <w:tab w:val="left" w:pos="1134"/>
          <w:tab w:val="left" w:leader="dot" w:pos="9356"/>
        </w:tabs>
        <w:ind w:left="0"/>
        <w:jc w:val="center"/>
        <w:rPr>
          <w:rFonts w:ascii="Arial" w:hAnsi="Arial" w:cs="Arial"/>
          <w:b/>
          <w:i/>
          <w:sz w:val="22"/>
          <w:szCs w:val="22"/>
          <w:lang w:val="ro-RO"/>
        </w:rPr>
      </w:pPr>
      <w:r w:rsidRPr="00FC07B4">
        <w:rPr>
          <w:rFonts w:ascii="Arial" w:hAnsi="Arial" w:cs="Arial"/>
          <w:b/>
          <w:sz w:val="22"/>
          <w:szCs w:val="22"/>
          <w:lang w:val="ro-RO"/>
        </w:rPr>
        <w:t xml:space="preserve">Emisiile de </w:t>
      </w:r>
      <w:r w:rsidRPr="00FC07B4">
        <w:rPr>
          <w:rFonts w:ascii="Arial" w:hAnsi="Arial" w:cs="Arial"/>
          <w:b/>
          <w:i/>
          <w:sz w:val="22"/>
          <w:szCs w:val="22"/>
          <w:lang w:val="ro-RO"/>
        </w:rPr>
        <w:t xml:space="preserve">particule primare și precursori secundari de particule </w:t>
      </w:r>
    </w:p>
    <w:p w:rsidR="00743B28" w:rsidRPr="00FC07B4" w:rsidRDefault="00743B28" w:rsidP="00755618">
      <w:pPr>
        <w:pStyle w:val="Listparagraf"/>
        <w:tabs>
          <w:tab w:val="left" w:pos="851"/>
          <w:tab w:val="left" w:pos="1134"/>
          <w:tab w:val="left" w:leader="dot" w:pos="9356"/>
        </w:tabs>
        <w:ind w:left="0"/>
        <w:jc w:val="center"/>
        <w:rPr>
          <w:rFonts w:ascii="Arial" w:hAnsi="Arial" w:cs="Arial"/>
          <w:b/>
          <w:bCs/>
          <w:sz w:val="20"/>
          <w:szCs w:val="20"/>
          <w:lang w:val="ro-RO"/>
        </w:rPr>
      </w:pPr>
      <w:r w:rsidRPr="00FC07B4">
        <w:rPr>
          <w:rFonts w:ascii="Arial" w:hAnsi="Arial" w:cs="Arial"/>
          <w:b/>
          <w:i/>
          <w:sz w:val="22"/>
          <w:szCs w:val="22"/>
          <w:lang w:val="ro-RO"/>
        </w:rPr>
        <w:t>provenite din sectorul energetic</w:t>
      </w:r>
      <w:r w:rsidRPr="00FC07B4">
        <w:rPr>
          <w:rFonts w:ascii="Arial" w:hAnsi="Arial" w:cs="Arial"/>
          <w:b/>
          <w:sz w:val="22"/>
          <w:szCs w:val="22"/>
          <w:lang w:val="ro-RO"/>
        </w:rPr>
        <w:t xml:space="preserve">, județul Bistrița-Năsăud, anul </w:t>
      </w:r>
      <w:r w:rsidR="005964E0" w:rsidRPr="00FC07B4">
        <w:rPr>
          <w:rFonts w:ascii="Arial" w:hAnsi="Arial" w:cs="Arial"/>
          <w:b/>
          <w:sz w:val="22"/>
          <w:szCs w:val="22"/>
          <w:lang w:val="ro-RO"/>
        </w:rPr>
        <w:t>2021</w:t>
      </w:r>
    </w:p>
    <w:tbl>
      <w:tblPr>
        <w:tblStyle w:val="Style1"/>
        <w:tblW w:w="5000" w:type="pct"/>
        <w:tblLook w:val="00A0" w:firstRow="1" w:lastRow="0" w:firstColumn="1" w:lastColumn="0" w:noHBand="0" w:noVBand="0"/>
      </w:tblPr>
      <w:tblGrid>
        <w:gridCol w:w="4166"/>
        <w:gridCol w:w="939"/>
        <w:gridCol w:w="1009"/>
        <w:gridCol w:w="1052"/>
        <w:gridCol w:w="1108"/>
        <w:gridCol w:w="1080"/>
      </w:tblGrid>
      <w:tr w:rsidR="00FC07B4" w:rsidRPr="00FC07B4" w:rsidTr="00FC07B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33" w:type="pct"/>
            <w:hideMark/>
          </w:tcPr>
          <w:p w:rsidR="00FC07B4" w:rsidRPr="00FC07B4" w:rsidRDefault="00FC07B4" w:rsidP="00FC07B4">
            <w:pPr>
              <w:rPr>
                <w:rFonts w:ascii="Arial" w:eastAsia="Times New Roman" w:hAnsi="Arial" w:cs="Arial"/>
                <w:b/>
                <w:bCs/>
                <w:sz w:val="22"/>
                <w:szCs w:val="22"/>
                <w:lang w:val="en-US"/>
              </w:rPr>
            </w:pPr>
            <w:r w:rsidRPr="00FC07B4">
              <w:rPr>
                <w:rFonts w:ascii="Arial" w:eastAsia="Times New Roman" w:hAnsi="Arial" w:cs="Arial"/>
                <w:b/>
                <w:bCs/>
                <w:sz w:val="22"/>
                <w:szCs w:val="22"/>
                <w:lang w:val="ro-RO"/>
              </w:rPr>
              <w:t> </w:t>
            </w:r>
          </w:p>
        </w:tc>
        <w:tc>
          <w:tcPr>
            <w:tcW w:w="801" w:type="pct"/>
            <w:hideMark/>
          </w:tcPr>
          <w:p w:rsidR="00FC07B4" w:rsidRPr="00FC07B4" w:rsidRDefault="00FC07B4" w:rsidP="00FC07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FC07B4">
              <w:rPr>
                <w:rFonts w:ascii="Arial" w:eastAsia="Times New Roman" w:hAnsi="Arial" w:cs="Arial"/>
                <w:b/>
                <w:bCs/>
                <w:sz w:val="22"/>
                <w:szCs w:val="22"/>
                <w:lang w:val="ro-RO"/>
              </w:rPr>
              <w:t>NH</w:t>
            </w:r>
            <w:r w:rsidRPr="00FC07B4">
              <w:rPr>
                <w:rFonts w:ascii="Arial" w:eastAsia="Times New Roman" w:hAnsi="Arial" w:cs="Arial"/>
                <w:b/>
                <w:bCs/>
                <w:sz w:val="22"/>
                <w:szCs w:val="22"/>
                <w:vertAlign w:val="subscript"/>
                <w:lang w:val="ro-RO"/>
              </w:rPr>
              <w:t>3</w:t>
            </w:r>
            <w:r w:rsidRPr="00FC07B4">
              <w:rPr>
                <w:rFonts w:ascii="Arial" w:eastAsia="Times New Roman" w:hAnsi="Arial" w:cs="Arial"/>
                <w:b/>
                <w:bCs/>
                <w:sz w:val="22"/>
                <w:szCs w:val="22"/>
                <w:lang w:val="ro-RO"/>
              </w:rPr>
              <w:t xml:space="preserve"> </w:t>
            </w:r>
          </w:p>
        </w:tc>
        <w:tc>
          <w:tcPr>
            <w:tcW w:w="838" w:type="pct"/>
            <w:hideMark/>
          </w:tcPr>
          <w:p w:rsidR="00FC07B4" w:rsidRPr="00FC07B4" w:rsidRDefault="00FC07B4" w:rsidP="00FC07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FC07B4">
              <w:rPr>
                <w:rFonts w:ascii="Arial" w:eastAsia="Times New Roman" w:hAnsi="Arial" w:cs="Arial"/>
                <w:b/>
                <w:bCs/>
                <w:sz w:val="22"/>
                <w:szCs w:val="22"/>
                <w:lang w:val="ro-RO"/>
              </w:rPr>
              <w:t xml:space="preserve">NOX </w:t>
            </w:r>
          </w:p>
        </w:tc>
        <w:tc>
          <w:tcPr>
            <w:tcW w:w="861" w:type="pct"/>
            <w:hideMark/>
          </w:tcPr>
          <w:p w:rsidR="00FC07B4" w:rsidRPr="00FC07B4" w:rsidRDefault="00FC07B4" w:rsidP="00FC07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FC07B4">
              <w:rPr>
                <w:rFonts w:ascii="Arial" w:eastAsia="Times New Roman" w:hAnsi="Arial" w:cs="Arial"/>
                <w:b/>
                <w:bCs/>
                <w:sz w:val="22"/>
                <w:szCs w:val="22"/>
                <w:lang w:val="ro-RO"/>
              </w:rPr>
              <w:t xml:space="preserve">PM2.5 </w:t>
            </w:r>
          </w:p>
        </w:tc>
        <w:tc>
          <w:tcPr>
            <w:tcW w:w="891" w:type="pct"/>
            <w:hideMark/>
          </w:tcPr>
          <w:p w:rsidR="00FC07B4" w:rsidRPr="00FC07B4" w:rsidRDefault="00FC07B4" w:rsidP="00FC07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FC07B4">
              <w:rPr>
                <w:rFonts w:ascii="Arial" w:eastAsia="Times New Roman" w:hAnsi="Arial" w:cs="Arial"/>
                <w:b/>
                <w:bCs/>
                <w:sz w:val="22"/>
                <w:szCs w:val="22"/>
                <w:lang w:val="ro-RO"/>
              </w:rPr>
              <w:t xml:space="preserve">PM10 </w:t>
            </w:r>
          </w:p>
        </w:tc>
        <w:tc>
          <w:tcPr>
            <w:tcW w:w="876" w:type="pct"/>
            <w:hideMark/>
          </w:tcPr>
          <w:p w:rsidR="00FC07B4" w:rsidRPr="00FC07B4" w:rsidRDefault="00FC07B4" w:rsidP="00FC07B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FC07B4">
              <w:rPr>
                <w:rFonts w:ascii="Arial" w:eastAsia="Times New Roman" w:hAnsi="Arial" w:cs="Arial"/>
                <w:b/>
                <w:bCs/>
                <w:sz w:val="22"/>
                <w:szCs w:val="22"/>
                <w:lang w:val="en-US"/>
              </w:rPr>
              <w:t>SO2</w:t>
            </w:r>
          </w:p>
        </w:tc>
      </w:tr>
      <w:tr w:rsidR="00FC07B4" w:rsidRPr="00FC07B4" w:rsidTr="00FC07B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33" w:type="pct"/>
            <w:noWrap/>
            <w:hideMark/>
          </w:tcPr>
          <w:p w:rsidR="00FC07B4" w:rsidRPr="00FC07B4" w:rsidRDefault="00FC07B4" w:rsidP="00FC07B4">
            <w:pPr>
              <w:rPr>
                <w:rFonts w:ascii="Arial" w:eastAsia="Times New Roman" w:hAnsi="Arial" w:cs="Arial"/>
                <w:sz w:val="22"/>
                <w:szCs w:val="22"/>
                <w:lang w:val="en-US"/>
              </w:rPr>
            </w:pPr>
            <w:r w:rsidRPr="00FC07B4">
              <w:rPr>
                <w:rFonts w:ascii="Arial" w:eastAsia="Times New Roman" w:hAnsi="Arial" w:cs="Arial"/>
                <w:sz w:val="22"/>
                <w:szCs w:val="22"/>
                <w:lang w:val="ro-RO"/>
              </w:rPr>
              <w:t>cantitatea de poluant (Gg)</w:t>
            </w:r>
          </w:p>
        </w:tc>
        <w:tc>
          <w:tcPr>
            <w:tcW w:w="801"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0.2126</w:t>
            </w:r>
          </w:p>
        </w:tc>
        <w:tc>
          <w:tcPr>
            <w:tcW w:w="838"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0.3134</w:t>
            </w:r>
          </w:p>
        </w:tc>
        <w:tc>
          <w:tcPr>
            <w:tcW w:w="861"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2.0078</w:t>
            </w:r>
          </w:p>
        </w:tc>
        <w:tc>
          <w:tcPr>
            <w:tcW w:w="891"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2.2022</w:t>
            </w:r>
          </w:p>
        </w:tc>
        <w:tc>
          <w:tcPr>
            <w:tcW w:w="876"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0.0402</w:t>
            </w:r>
          </w:p>
        </w:tc>
      </w:tr>
      <w:tr w:rsidR="00FC07B4" w:rsidRPr="00FC07B4" w:rsidTr="00FC07B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33" w:type="pct"/>
            <w:noWrap/>
            <w:hideMark/>
          </w:tcPr>
          <w:p w:rsidR="00FC07B4" w:rsidRPr="00FC07B4" w:rsidRDefault="00FC07B4" w:rsidP="00FC07B4">
            <w:pPr>
              <w:rPr>
                <w:rFonts w:ascii="Arial" w:eastAsia="Times New Roman" w:hAnsi="Arial" w:cs="Arial"/>
                <w:color w:val="000000"/>
                <w:sz w:val="22"/>
                <w:szCs w:val="22"/>
                <w:lang w:val="en-US"/>
              </w:rPr>
            </w:pPr>
            <w:r w:rsidRPr="00FC07B4">
              <w:rPr>
                <w:rFonts w:ascii="Arial" w:eastAsia="Times New Roman" w:hAnsi="Arial" w:cs="Arial"/>
                <w:color w:val="000000"/>
                <w:sz w:val="22"/>
                <w:szCs w:val="22"/>
                <w:lang w:val="ro-RO"/>
              </w:rPr>
              <w:t>ponderea din emisia totală (%), din care:</w:t>
            </w:r>
          </w:p>
        </w:tc>
        <w:tc>
          <w:tcPr>
            <w:tcW w:w="801"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6.71</w:t>
            </w:r>
          </w:p>
        </w:tc>
        <w:tc>
          <w:tcPr>
            <w:tcW w:w="838"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16.19</w:t>
            </w:r>
          </w:p>
        </w:tc>
        <w:tc>
          <w:tcPr>
            <w:tcW w:w="861"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85.55</w:t>
            </w:r>
          </w:p>
        </w:tc>
        <w:tc>
          <w:tcPr>
            <w:tcW w:w="891"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48.76</w:t>
            </w:r>
          </w:p>
        </w:tc>
        <w:tc>
          <w:tcPr>
            <w:tcW w:w="876"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FC07B4">
              <w:rPr>
                <w:rFonts w:ascii="Arial" w:eastAsia="Times New Roman" w:hAnsi="Arial" w:cs="Arial"/>
                <w:sz w:val="22"/>
                <w:szCs w:val="22"/>
                <w:lang w:val="en-US"/>
              </w:rPr>
              <w:t>99.98</w:t>
            </w:r>
          </w:p>
        </w:tc>
      </w:tr>
      <w:tr w:rsidR="00FC07B4" w:rsidRPr="00FC07B4" w:rsidTr="00FC07B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3" w:type="pct"/>
            <w:noWrap/>
            <w:hideMark/>
          </w:tcPr>
          <w:p w:rsidR="00FC07B4" w:rsidRPr="00FC07B4" w:rsidRDefault="00FC07B4" w:rsidP="00FC07B4">
            <w:pPr>
              <w:rPr>
                <w:rFonts w:ascii="Arial" w:eastAsia="Times New Roman" w:hAnsi="Arial" w:cs="Arial"/>
                <w:sz w:val="20"/>
                <w:szCs w:val="20"/>
                <w:lang w:val="en-US"/>
              </w:rPr>
            </w:pPr>
            <w:r w:rsidRPr="00FC07B4">
              <w:rPr>
                <w:rFonts w:ascii="Arial" w:eastAsia="Times New Roman" w:hAnsi="Arial" w:cs="Arial"/>
                <w:sz w:val="20"/>
                <w:szCs w:val="20"/>
              </w:rPr>
              <w:t>Producţia şi distribuţia energiei</w:t>
            </w:r>
          </w:p>
        </w:tc>
        <w:tc>
          <w:tcPr>
            <w:tcW w:w="801"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0.00</w:t>
            </w:r>
          </w:p>
        </w:tc>
        <w:tc>
          <w:tcPr>
            <w:tcW w:w="838"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0.00</w:t>
            </w:r>
          </w:p>
        </w:tc>
        <w:tc>
          <w:tcPr>
            <w:tcW w:w="861"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0.00</w:t>
            </w:r>
          </w:p>
        </w:tc>
        <w:tc>
          <w:tcPr>
            <w:tcW w:w="891"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0.00</w:t>
            </w:r>
          </w:p>
        </w:tc>
        <w:tc>
          <w:tcPr>
            <w:tcW w:w="876"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0.00</w:t>
            </w:r>
          </w:p>
        </w:tc>
      </w:tr>
      <w:tr w:rsidR="00FC07B4" w:rsidRPr="00FC07B4" w:rsidTr="00FC07B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3" w:type="pct"/>
            <w:noWrap/>
            <w:hideMark/>
          </w:tcPr>
          <w:p w:rsidR="00FC07B4" w:rsidRPr="00FC07B4" w:rsidRDefault="00FC07B4" w:rsidP="00FC07B4">
            <w:pPr>
              <w:rPr>
                <w:rFonts w:ascii="Arial" w:eastAsia="Times New Roman" w:hAnsi="Arial" w:cs="Arial"/>
                <w:sz w:val="20"/>
                <w:szCs w:val="20"/>
                <w:lang w:val="en-US"/>
              </w:rPr>
            </w:pPr>
            <w:r w:rsidRPr="00FC07B4">
              <w:rPr>
                <w:rFonts w:ascii="Arial" w:eastAsia="Times New Roman" w:hAnsi="Arial" w:cs="Arial"/>
                <w:sz w:val="20"/>
                <w:szCs w:val="20"/>
              </w:rPr>
              <w:t>Utilizarea energiei în industrie</w:t>
            </w:r>
          </w:p>
        </w:tc>
        <w:tc>
          <w:tcPr>
            <w:tcW w:w="801"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0.00</w:t>
            </w:r>
          </w:p>
        </w:tc>
        <w:tc>
          <w:tcPr>
            <w:tcW w:w="838"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2.00</w:t>
            </w:r>
          </w:p>
        </w:tc>
        <w:tc>
          <w:tcPr>
            <w:tcW w:w="861"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0.28</w:t>
            </w:r>
          </w:p>
        </w:tc>
        <w:tc>
          <w:tcPr>
            <w:tcW w:w="891"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0.15</w:t>
            </w:r>
          </w:p>
        </w:tc>
        <w:tc>
          <w:tcPr>
            <w:tcW w:w="876"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14.36</w:t>
            </w:r>
          </w:p>
        </w:tc>
      </w:tr>
      <w:tr w:rsidR="00FC07B4" w:rsidRPr="00FC07B4" w:rsidTr="00FC07B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3" w:type="pct"/>
            <w:noWrap/>
            <w:hideMark/>
          </w:tcPr>
          <w:p w:rsidR="00FC07B4" w:rsidRPr="00FC07B4" w:rsidRDefault="00FC07B4" w:rsidP="00FC07B4">
            <w:pPr>
              <w:rPr>
                <w:rFonts w:ascii="Arial" w:eastAsia="Times New Roman" w:hAnsi="Arial" w:cs="Arial"/>
                <w:sz w:val="20"/>
                <w:szCs w:val="20"/>
                <w:lang w:val="en-US"/>
              </w:rPr>
            </w:pPr>
            <w:r w:rsidRPr="00FC07B4">
              <w:rPr>
                <w:rFonts w:ascii="Arial" w:eastAsia="Times New Roman" w:hAnsi="Arial" w:cs="Arial"/>
                <w:sz w:val="20"/>
                <w:szCs w:val="20"/>
              </w:rPr>
              <w:t xml:space="preserve">Comercial, instituţional </w:t>
            </w:r>
          </w:p>
        </w:tc>
        <w:tc>
          <w:tcPr>
            <w:tcW w:w="801"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0.02</w:t>
            </w:r>
          </w:p>
        </w:tc>
        <w:tc>
          <w:tcPr>
            <w:tcW w:w="838"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1.97</w:t>
            </w:r>
          </w:p>
        </w:tc>
        <w:tc>
          <w:tcPr>
            <w:tcW w:w="861"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0.15</w:t>
            </w:r>
          </w:p>
        </w:tc>
        <w:tc>
          <w:tcPr>
            <w:tcW w:w="891"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0.08</w:t>
            </w:r>
          </w:p>
        </w:tc>
        <w:tc>
          <w:tcPr>
            <w:tcW w:w="876" w:type="pct"/>
            <w:noWrap/>
            <w:hideMark/>
          </w:tcPr>
          <w:p w:rsidR="00FC07B4" w:rsidRPr="00FC07B4" w:rsidRDefault="00FC07B4" w:rsidP="00FC07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1.58</w:t>
            </w:r>
          </w:p>
        </w:tc>
      </w:tr>
      <w:tr w:rsidR="00FC07B4" w:rsidRPr="00FC07B4" w:rsidTr="00FC07B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3" w:type="pct"/>
            <w:noWrap/>
            <w:hideMark/>
          </w:tcPr>
          <w:p w:rsidR="00FC07B4" w:rsidRPr="00FC07B4" w:rsidRDefault="00FC07B4" w:rsidP="00FC07B4">
            <w:pPr>
              <w:rPr>
                <w:rFonts w:ascii="Arial" w:eastAsia="Times New Roman" w:hAnsi="Arial" w:cs="Arial"/>
                <w:sz w:val="20"/>
                <w:szCs w:val="20"/>
                <w:lang w:val="en-US"/>
              </w:rPr>
            </w:pPr>
            <w:r w:rsidRPr="00FC07B4">
              <w:rPr>
                <w:rFonts w:ascii="Arial" w:eastAsia="Times New Roman" w:hAnsi="Arial" w:cs="Arial"/>
                <w:sz w:val="20"/>
                <w:szCs w:val="20"/>
              </w:rPr>
              <w:t>Rezidential (gospodării)</w:t>
            </w:r>
          </w:p>
        </w:tc>
        <w:tc>
          <w:tcPr>
            <w:tcW w:w="801"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6.68</w:t>
            </w:r>
          </w:p>
        </w:tc>
        <w:tc>
          <w:tcPr>
            <w:tcW w:w="838"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12.23</w:t>
            </w:r>
          </w:p>
        </w:tc>
        <w:tc>
          <w:tcPr>
            <w:tcW w:w="861"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85.13</w:t>
            </w:r>
          </w:p>
        </w:tc>
        <w:tc>
          <w:tcPr>
            <w:tcW w:w="891"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48.53</w:t>
            </w:r>
          </w:p>
        </w:tc>
        <w:tc>
          <w:tcPr>
            <w:tcW w:w="876" w:type="pct"/>
            <w:noWrap/>
            <w:hideMark/>
          </w:tcPr>
          <w:p w:rsidR="00FC07B4" w:rsidRPr="00FC07B4" w:rsidRDefault="00FC07B4" w:rsidP="00FC07B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FC07B4">
              <w:rPr>
                <w:rFonts w:ascii="Arial" w:eastAsia="Times New Roman" w:hAnsi="Arial" w:cs="Arial"/>
                <w:sz w:val="20"/>
                <w:szCs w:val="20"/>
                <w:lang w:val="en-US"/>
              </w:rPr>
              <w:t>84.04</w:t>
            </w:r>
          </w:p>
        </w:tc>
      </w:tr>
    </w:tbl>
    <w:p w:rsidR="00743B28" w:rsidRPr="00FC07B4" w:rsidRDefault="00743B28" w:rsidP="00755618">
      <w:pPr>
        <w:tabs>
          <w:tab w:val="left" w:pos="851"/>
        </w:tabs>
        <w:jc w:val="center"/>
        <w:rPr>
          <w:rFonts w:ascii="Arial" w:hAnsi="Arial" w:cs="Arial"/>
          <w:lang w:val="ro-RO"/>
        </w:rPr>
      </w:pPr>
      <w:r w:rsidRPr="00FC07B4">
        <w:rPr>
          <w:rFonts w:ascii="Arial" w:hAnsi="Arial" w:cs="Arial"/>
          <w:sz w:val="20"/>
          <w:szCs w:val="20"/>
          <w:lang w:val="ro-RO"/>
        </w:rPr>
        <w:t>Sursa: Agenţia pentru Protecţia Mediului Bistriţa-Năsăud</w:t>
      </w:r>
    </w:p>
    <w:p w:rsidR="00D126C8" w:rsidRPr="006B01A5" w:rsidRDefault="00743B28" w:rsidP="00755618">
      <w:pPr>
        <w:pStyle w:val="Listparagraf"/>
        <w:tabs>
          <w:tab w:val="left" w:pos="851"/>
          <w:tab w:val="left" w:pos="1134"/>
          <w:tab w:val="left" w:leader="dot" w:pos="9356"/>
        </w:tabs>
        <w:ind w:left="0"/>
        <w:jc w:val="both"/>
        <w:rPr>
          <w:rFonts w:ascii="Arial" w:hAnsi="Arial" w:cs="Arial"/>
          <w:color w:val="FF0000"/>
          <w:sz w:val="22"/>
          <w:szCs w:val="22"/>
          <w:lang w:val="ro-RO"/>
        </w:rPr>
      </w:pPr>
      <w:r w:rsidRPr="006B01A5">
        <w:rPr>
          <w:rFonts w:ascii="Arial" w:hAnsi="Arial" w:cs="Arial"/>
          <w:color w:val="FF0000"/>
          <w:sz w:val="22"/>
          <w:szCs w:val="22"/>
          <w:lang w:val="ro-RO"/>
        </w:rPr>
        <w:tab/>
      </w:r>
    </w:p>
    <w:p w:rsidR="00743B28" w:rsidRPr="00814E82" w:rsidRDefault="00743B28" w:rsidP="00755618">
      <w:pPr>
        <w:pStyle w:val="Listparagraf"/>
        <w:tabs>
          <w:tab w:val="left" w:pos="851"/>
          <w:tab w:val="left" w:pos="1134"/>
          <w:tab w:val="left" w:leader="dot" w:pos="9356"/>
        </w:tabs>
        <w:ind w:left="0"/>
        <w:jc w:val="both"/>
        <w:rPr>
          <w:rFonts w:ascii="Arial" w:hAnsi="Arial" w:cs="Arial"/>
          <w:b/>
          <w:u w:val="single"/>
          <w:lang w:val="ro-RO"/>
        </w:rPr>
      </w:pPr>
      <w:r w:rsidRPr="00814E82">
        <w:rPr>
          <w:rFonts w:ascii="Arial" w:hAnsi="Arial" w:cs="Arial"/>
          <w:b/>
          <w:u w:val="single"/>
          <w:lang w:val="ro-RO"/>
        </w:rPr>
        <w:t xml:space="preserve">Emisiile de metale grele </w:t>
      </w:r>
    </w:p>
    <w:p w:rsidR="00743B28" w:rsidRPr="00814E82" w:rsidRDefault="00743B28" w:rsidP="00755618">
      <w:pPr>
        <w:pStyle w:val="Listparagraf"/>
        <w:tabs>
          <w:tab w:val="left" w:pos="851"/>
          <w:tab w:val="left" w:pos="1134"/>
          <w:tab w:val="left" w:leader="dot" w:pos="9356"/>
        </w:tabs>
        <w:ind w:left="0"/>
        <w:rPr>
          <w:rFonts w:ascii="Arial" w:hAnsi="Arial" w:cs="Arial"/>
          <w:u w:val="single"/>
          <w:lang w:val="ro-RO"/>
        </w:rPr>
      </w:pPr>
    </w:p>
    <w:p w:rsidR="00743B28" w:rsidRPr="00814E82"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814E82">
        <w:rPr>
          <w:rFonts w:ascii="Arial" w:hAnsi="Arial" w:cs="Arial"/>
          <w:b/>
          <w:sz w:val="22"/>
          <w:szCs w:val="22"/>
          <w:lang w:val="ro-RO"/>
        </w:rPr>
        <w:t>Tabel I.2.1.1.5.</w:t>
      </w:r>
    </w:p>
    <w:p w:rsidR="00743B28" w:rsidRPr="00814E82"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814E82">
        <w:rPr>
          <w:rFonts w:ascii="Arial" w:hAnsi="Arial" w:cs="Arial"/>
          <w:b/>
          <w:sz w:val="22"/>
          <w:szCs w:val="22"/>
          <w:lang w:val="ro-RO"/>
        </w:rPr>
        <w:t xml:space="preserve">Cantitățile de metale grele (Kg) provenite din </w:t>
      </w:r>
      <w:r w:rsidRPr="00814E82">
        <w:rPr>
          <w:rFonts w:ascii="Arial" w:hAnsi="Arial" w:cs="Arial"/>
          <w:b/>
          <w:i/>
          <w:sz w:val="22"/>
          <w:szCs w:val="22"/>
          <w:lang w:val="ro-RO"/>
        </w:rPr>
        <w:t>sectorul energetic</w:t>
      </w:r>
      <w:r w:rsidRPr="00814E82">
        <w:rPr>
          <w:rFonts w:ascii="Arial" w:hAnsi="Arial" w:cs="Arial"/>
          <w:b/>
          <w:sz w:val="22"/>
          <w:szCs w:val="22"/>
          <w:lang w:val="ro-RO"/>
        </w:rPr>
        <w:t xml:space="preserve"> și ponderea lor </w:t>
      </w:r>
    </w:p>
    <w:p w:rsidR="00743B28" w:rsidRPr="00814E82" w:rsidRDefault="00743B28" w:rsidP="00755618">
      <w:pPr>
        <w:pStyle w:val="Listparagraf"/>
        <w:tabs>
          <w:tab w:val="left" w:pos="851"/>
          <w:tab w:val="left" w:pos="1134"/>
          <w:tab w:val="left" w:leader="dot" w:pos="9356"/>
        </w:tabs>
        <w:ind w:left="0"/>
        <w:jc w:val="center"/>
        <w:rPr>
          <w:rFonts w:ascii="Arial" w:hAnsi="Arial" w:cs="Arial"/>
          <w:b/>
          <w:bCs/>
          <w:sz w:val="20"/>
          <w:szCs w:val="20"/>
          <w:lang w:val="ro-RO"/>
        </w:rPr>
      </w:pPr>
      <w:r w:rsidRPr="00814E82">
        <w:rPr>
          <w:rFonts w:ascii="Arial" w:hAnsi="Arial" w:cs="Arial"/>
          <w:b/>
          <w:sz w:val="22"/>
          <w:szCs w:val="22"/>
          <w:lang w:val="ro-RO"/>
        </w:rPr>
        <w:t xml:space="preserve">ca % din emisiile totale, județul Bistrița-Năsăud, anul </w:t>
      </w:r>
      <w:r w:rsidR="005964E0" w:rsidRPr="00814E82">
        <w:rPr>
          <w:rFonts w:ascii="Arial" w:hAnsi="Arial" w:cs="Arial"/>
          <w:b/>
          <w:sz w:val="22"/>
          <w:szCs w:val="22"/>
          <w:lang w:val="ro-RO"/>
        </w:rPr>
        <w:t>2021</w:t>
      </w:r>
    </w:p>
    <w:p w:rsidR="00743B28" w:rsidRPr="006B01A5" w:rsidRDefault="00743B28" w:rsidP="00755618">
      <w:pPr>
        <w:pStyle w:val="Listparagraf"/>
        <w:tabs>
          <w:tab w:val="left" w:pos="851"/>
          <w:tab w:val="left" w:pos="1134"/>
          <w:tab w:val="left" w:leader="dot" w:pos="9356"/>
        </w:tabs>
        <w:ind w:left="0"/>
        <w:jc w:val="center"/>
        <w:rPr>
          <w:rFonts w:ascii="Arial" w:hAnsi="Arial" w:cs="Arial"/>
          <w:b/>
          <w:color w:val="FF0000"/>
          <w:sz w:val="16"/>
          <w:szCs w:val="16"/>
          <w:lang w:val="ro-RO"/>
        </w:rPr>
      </w:pPr>
    </w:p>
    <w:tbl>
      <w:tblPr>
        <w:tblStyle w:val="Style1"/>
        <w:tblW w:w="5000" w:type="pct"/>
        <w:jc w:val="center"/>
        <w:tblLook w:val="04A0" w:firstRow="1" w:lastRow="0" w:firstColumn="1" w:lastColumn="0" w:noHBand="0" w:noVBand="1"/>
      </w:tblPr>
      <w:tblGrid>
        <w:gridCol w:w="2944"/>
        <w:gridCol w:w="1030"/>
        <w:gridCol w:w="1030"/>
        <w:gridCol w:w="1030"/>
        <w:gridCol w:w="1031"/>
        <w:gridCol w:w="1033"/>
        <w:gridCol w:w="1256"/>
      </w:tblGrid>
      <w:tr w:rsidR="00814E82" w:rsidRPr="00814E82" w:rsidTr="00A04AE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74" w:type="pct"/>
            <w:shd w:val="clear" w:color="auto" w:fill="92D050"/>
            <w:noWrap/>
            <w:hideMark/>
          </w:tcPr>
          <w:p w:rsidR="00743B28" w:rsidRPr="00814E82" w:rsidRDefault="00743B28" w:rsidP="00755618">
            <w:pPr>
              <w:rPr>
                <w:rFonts w:ascii="Arial" w:eastAsia="Times New Roman" w:hAnsi="Arial" w:cs="Arial"/>
                <w:sz w:val="20"/>
                <w:szCs w:val="20"/>
                <w:lang w:val="ro-RO" w:eastAsia="ro-RO"/>
              </w:rPr>
            </w:pPr>
          </w:p>
        </w:tc>
        <w:tc>
          <w:tcPr>
            <w:tcW w:w="551" w:type="pct"/>
            <w:shd w:val="clear" w:color="auto" w:fill="92D050"/>
            <w:hideMark/>
          </w:tcPr>
          <w:p w:rsidR="00743B28" w:rsidRPr="00814E8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814E82">
              <w:rPr>
                <w:rFonts w:ascii="Arial" w:hAnsi="Arial" w:cs="Arial"/>
                <w:b/>
                <w:bCs/>
                <w:sz w:val="20"/>
                <w:szCs w:val="20"/>
              </w:rPr>
              <w:t>arsen</w:t>
            </w:r>
          </w:p>
        </w:tc>
        <w:tc>
          <w:tcPr>
            <w:tcW w:w="551" w:type="pct"/>
            <w:shd w:val="clear" w:color="auto" w:fill="92D050"/>
            <w:hideMark/>
          </w:tcPr>
          <w:p w:rsidR="00743B28" w:rsidRPr="00814E8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814E82">
              <w:rPr>
                <w:rFonts w:ascii="Arial" w:hAnsi="Arial" w:cs="Arial"/>
                <w:b/>
                <w:bCs/>
                <w:sz w:val="20"/>
                <w:szCs w:val="20"/>
              </w:rPr>
              <w:t>cupru</w:t>
            </w:r>
          </w:p>
        </w:tc>
        <w:tc>
          <w:tcPr>
            <w:tcW w:w="551" w:type="pct"/>
            <w:shd w:val="clear" w:color="auto" w:fill="92D050"/>
            <w:hideMark/>
          </w:tcPr>
          <w:p w:rsidR="00743B28" w:rsidRPr="00814E8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814E82">
              <w:rPr>
                <w:rFonts w:ascii="Arial" w:hAnsi="Arial" w:cs="Arial"/>
                <w:b/>
                <w:bCs/>
                <w:sz w:val="20"/>
                <w:szCs w:val="20"/>
              </w:rPr>
              <w:t>nichel</w:t>
            </w:r>
          </w:p>
        </w:tc>
        <w:tc>
          <w:tcPr>
            <w:tcW w:w="551" w:type="pct"/>
            <w:shd w:val="clear" w:color="auto" w:fill="92D050"/>
            <w:hideMark/>
          </w:tcPr>
          <w:p w:rsidR="00743B28" w:rsidRPr="00814E8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814E82">
              <w:rPr>
                <w:rFonts w:ascii="Arial" w:hAnsi="Arial" w:cs="Arial"/>
                <w:b/>
                <w:bCs/>
                <w:sz w:val="20"/>
                <w:szCs w:val="20"/>
              </w:rPr>
              <w:t>crom</w:t>
            </w:r>
          </w:p>
        </w:tc>
        <w:tc>
          <w:tcPr>
            <w:tcW w:w="552" w:type="pct"/>
            <w:shd w:val="clear" w:color="auto" w:fill="92D050"/>
            <w:hideMark/>
          </w:tcPr>
          <w:p w:rsidR="00743B28" w:rsidRPr="00814E8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814E82">
              <w:rPr>
                <w:rFonts w:ascii="Arial" w:hAnsi="Arial" w:cs="Arial"/>
                <w:b/>
                <w:bCs/>
                <w:sz w:val="20"/>
                <w:szCs w:val="20"/>
              </w:rPr>
              <w:t>seleniu</w:t>
            </w:r>
          </w:p>
        </w:tc>
        <w:tc>
          <w:tcPr>
            <w:tcW w:w="669" w:type="pct"/>
            <w:shd w:val="clear" w:color="auto" w:fill="92D050"/>
            <w:hideMark/>
          </w:tcPr>
          <w:p w:rsidR="00743B28" w:rsidRPr="00814E8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814E82">
              <w:rPr>
                <w:rFonts w:ascii="Arial" w:hAnsi="Arial" w:cs="Arial"/>
                <w:b/>
                <w:bCs/>
                <w:sz w:val="20"/>
                <w:szCs w:val="20"/>
              </w:rPr>
              <w:t>zinc</w:t>
            </w:r>
          </w:p>
        </w:tc>
      </w:tr>
      <w:tr w:rsidR="00814E82" w:rsidRPr="00814E82" w:rsidTr="00823A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74" w:type="pct"/>
            <w:noWrap/>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Cantitatea emisă (kg)</w:t>
            </w:r>
          </w:p>
        </w:tc>
        <w:tc>
          <w:tcPr>
            <w:tcW w:w="551" w:type="pct"/>
            <w:noWrap/>
            <w:vAlign w:val="bottom"/>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814E82">
              <w:rPr>
                <w:rFonts w:ascii="Arial" w:hAnsi="Arial" w:cs="Arial"/>
                <w:sz w:val="22"/>
                <w:szCs w:val="22"/>
              </w:rPr>
              <w:t>0.8633</w:t>
            </w:r>
          </w:p>
        </w:tc>
        <w:tc>
          <w:tcPr>
            <w:tcW w:w="551" w:type="pct"/>
            <w:noWrap/>
            <w:vAlign w:val="bottom"/>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18.5540</w:t>
            </w:r>
          </w:p>
        </w:tc>
        <w:tc>
          <w:tcPr>
            <w:tcW w:w="551" w:type="pct"/>
            <w:noWrap/>
            <w:vAlign w:val="bottom"/>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6.1901</w:t>
            </w:r>
          </w:p>
        </w:tc>
        <w:tc>
          <w:tcPr>
            <w:tcW w:w="551" w:type="pct"/>
            <w:noWrap/>
            <w:vAlign w:val="bottom"/>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71.1092</w:t>
            </w:r>
          </w:p>
        </w:tc>
        <w:tc>
          <w:tcPr>
            <w:tcW w:w="552" w:type="pct"/>
            <w:noWrap/>
            <w:vAlign w:val="bottom"/>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1.5958</w:t>
            </w:r>
          </w:p>
        </w:tc>
        <w:tc>
          <w:tcPr>
            <w:tcW w:w="669" w:type="pct"/>
            <w:noWrap/>
            <w:vAlign w:val="bottom"/>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1583.8087</w:t>
            </w:r>
          </w:p>
        </w:tc>
      </w:tr>
      <w:tr w:rsidR="00814E82" w:rsidRPr="00814E82" w:rsidTr="00823AC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74" w:type="pct"/>
            <w:noWrap/>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 din emisiile totale, din care:</w:t>
            </w:r>
          </w:p>
        </w:tc>
        <w:tc>
          <w:tcPr>
            <w:tcW w:w="551" w:type="pct"/>
            <w:noWrap/>
            <w:vAlign w:val="bottom"/>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99.40</w:t>
            </w:r>
          </w:p>
        </w:tc>
        <w:tc>
          <w:tcPr>
            <w:tcW w:w="551" w:type="pct"/>
            <w:noWrap/>
            <w:vAlign w:val="bottom"/>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4.70</w:t>
            </w:r>
          </w:p>
        </w:tc>
        <w:tc>
          <w:tcPr>
            <w:tcW w:w="551" w:type="pct"/>
            <w:noWrap/>
            <w:vAlign w:val="bottom"/>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60.39</w:t>
            </w:r>
          </w:p>
        </w:tc>
        <w:tc>
          <w:tcPr>
            <w:tcW w:w="551" w:type="pct"/>
            <w:noWrap/>
            <w:vAlign w:val="bottom"/>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78.23</w:t>
            </w:r>
          </w:p>
        </w:tc>
        <w:tc>
          <w:tcPr>
            <w:tcW w:w="552" w:type="pct"/>
            <w:noWrap/>
            <w:vAlign w:val="bottom"/>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79.45</w:t>
            </w:r>
          </w:p>
        </w:tc>
        <w:tc>
          <w:tcPr>
            <w:tcW w:w="669" w:type="pct"/>
            <w:noWrap/>
            <w:vAlign w:val="bottom"/>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82.34</w:t>
            </w:r>
          </w:p>
        </w:tc>
      </w:tr>
      <w:tr w:rsidR="00814E82" w:rsidRPr="00814E82" w:rsidTr="00823AC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74" w:type="pct"/>
            <w:noWrap/>
            <w:hideMark/>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Producţia şi distribuţia energiei</w:t>
            </w:r>
          </w:p>
        </w:tc>
        <w:tc>
          <w:tcPr>
            <w:tcW w:w="551"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814E82">
              <w:rPr>
                <w:rFonts w:ascii="Arial" w:hAnsi="Arial" w:cs="Arial"/>
                <w:sz w:val="22"/>
                <w:szCs w:val="22"/>
              </w:rPr>
              <w:t>0.00</w:t>
            </w:r>
          </w:p>
        </w:tc>
        <w:tc>
          <w:tcPr>
            <w:tcW w:w="551"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0.00</w:t>
            </w:r>
          </w:p>
        </w:tc>
        <w:tc>
          <w:tcPr>
            <w:tcW w:w="551"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0.00</w:t>
            </w:r>
          </w:p>
        </w:tc>
        <w:tc>
          <w:tcPr>
            <w:tcW w:w="551"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0.00</w:t>
            </w:r>
          </w:p>
        </w:tc>
        <w:tc>
          <w:tcPr>
            <w:tcW w:w="552"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0.00</w:t>
            </w:r>
          </w:p>
        </w:tc>
        <w:tc>
          <w:tcPr>
            <w:tcW w:w="669"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0.00</w:t>
            </w:r>
          </w:p>
        </w:tc>
      </w:tr>
      <w:tr w:rsidR="00814E82" w:rsidRPr="00814E82" w:rsidTr="00823AC4">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74" w:type="pct"/>
            <w:noWrap/>
            <w:hideMark/>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Utilizarea energiei în industrie</w:t>
            </w:r>
          </w:p>
        </w:tc>
        <w:tc>
          <w:tcPr>
            <w:tcW w:w="551"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3.36</w:t>
            </w:r>
          </w:p>
        </w:tc>
        <w:tc>
          <w:tcPr>
            <w:tcW w:w="551"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0.06</w:t>
            </w:r>
          </w:p>
        </w:tc>
        <w:tc>
          <w:tcPr>
            <w:tcW w:w="551"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0.83</w:t>
            </w:r>
          </w:p>
        </w:tc>
        <w:tc>
          <w:tcPr>
            <w:tcW w:w="551"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1.05</w:t>
            </w:r>
          </w:p>
        </w:tc>
        <w:tc>
          <w:tcPr>
            <w:tcW w:w="552"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1.55</w:t>
            </w:r>
          </w:p>
        </w:tc>
        <w:tc>
          <w:tcPr>
            <w:tcW w:w="669"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1.15</w:t>
            </w:r>
          </w:p>
        </w:tc>
      </w:tr>
      <w:tr w:rsidR="00814E82" w:rsidRPr="00814E82" w:rsidTr="00823AC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74" w:type="pct"/>
            <w:noWrap/>
            <w:hideMark/>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Comercial, instituţional</w:t>
            </w:r>
          </w:p>
        </w:tc>
        <w:tc>
          <w:tcPr>
            <w:tcW w:w="551"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6.90</w:t>
            </w:r>
          </w:p>
        </w:tc>
        <w:tc>
          <w:tcPr>
            <w:tcW w:w="551"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0.03</w:t>
            </w:r>
          </w:p>
        </w:tc>
        <w:tc>
          <w:tcPr>
            <w:tcW w:w="551"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0.44</w:t>
            </w:r>
          </w:p>
        </w:tc>
        <w:tc>
          <w:tcPr>
            <w:tcW w:w="551"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0.52</w:t>
            </w:r>
          </w:p>
        </w:tc>
        <w:tc>
          <w:tcPr>
            <w:tcW w:w="552"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1.58</w:t>
            </w:r>
          </w:p>
        </w:tc>
        <w:tc>
          <w:tcPr>
            <w:tcW w:w="669" w:type="pct"/>
            <w:noWrap/>
            <w:vAlign w:val="bottom"/>
            <w:hideMark/>
          </w:tcPr>
          <w:p w:rsidR="00814E82" w:rsidRPr="00814E82" w:rsidRDefault="00814E82" w:rsidP="00814E82">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0.55</w:t>
            </w:r>
          </w:p>
        </w:tc>
      </w:tr>
      <w:tr w:rsidR="00814E82" w:rsidRPr="00814E82" w:rsidTr="00823AC4">
        <w:trPr>
          <w:cnfStyle w:val="000000010000" w:firstRow="0" w:lastRow="0" w:firstColumn="0" w:lastColumn="0" w:oddVBand="0" w:evenVBand="0" w:oddHBand="0" w:evenHBand="1"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74" w:type="pct"/>
            <w:noWrap/>
            <w:hideMark/>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Rezidential (gospodării)</w:t>
            </w:r>
          </w:p>
        </w:tc>
        <w:tc>
          <w:tcPr>
            <w:tcW w:w="551"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89.14</w:t>
            </w:r>
          </w:p>
        </w:tc>
        <w:tc>
          <w:tcPr>
            <w:tcW w:w="551"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4.61</w:t>
            </w:r>
          </w:p>
        </w:tc>
        <w:tc>
          <w:tcPr>
            <w:tcW w:w="551"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59.12</w:t>
            </w:r>
          </w:p>
        </w:tc>
        <w:tc>
          <w:tcPr>
            <w:tcW w:w="551"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76.66</w:t>
            </w:r>
          </w:p>
        </w:tc>
        <w:tc>
          <w:tcPr>
            <w:tcW w:w="552"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76.32</w:t>
            </w:r>
          </w:p>
        </w:tc>
        <w:tc>
          <w:tcPr>
            <w:tcW w:w="669" w:type="pct"/>
            <w:noWrap/>
            <w:vAlign w:val="bottom"/>
            <w:hideMark/>
          </w:tcPr>
          <w:p w:rsidR="00814E82" w:rsidRPr="00814E82" w:rsidRDefault="00814E82" w:rsidP="00814E82">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80.64</w:t>
            </w:r>
          </w:p>
        </w:tc>
      </w:tr>
    </w:tbl>
    <w:p w:rsidR="00743B28" w:rsidRPr="00814E82" w:rsidRDefault="00743B28" w:rsidP="00A04AEF">
      <w:pPr>
        <w:tabs>
          <w:tab w:val="left" w:pos="851"/>
        </w:tabs>
        <w:jc w:val="center"/>
        <w:rPr>
          <w:rFonts w:ascii="Arial" w:hAnsi="Arial" w:cs="Arial"/>
          <w:sz w:val="16"/>
          <w:szCs w:val="16"/>
          <w:lang w:val="ro-RO"/>
        </w:rPr>
      </w:pPr>
    </w:p>
    <w:tbl>
      <w:tblPr>
        <w:tblStyle w:val="Style1"/>
        <w:tblW w:w="5000" w:type="pct"/>
        <w:tblLook w:val="04A0" w:firstRow="1" w:lastRow="0" w:firstColumn="1" w:lastColumn="0" w:noHBand="0" w:noVBand="1"/>
      </w:tblPr>
      <w:tblGrid>
        <w:gridCol w:w="4493"/>
        <w:gridCol w:w="1621"/>
        <w:gridCol w:w="1620"/>
        <w:gridCol w:w="1620"/>
      </w:tblGrid>
      <w:tr w:rsidR="00814E82" w:rsidRPr="00814E82" w:rsidTr="00814E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1" w:type="pct"/>
            <w:shd w:val="clear" w:color="auto" w:fill="92D050"/>
            <w:noWrap/>
            <w:hideMark/>
          </w:tcPr>
          <w:p w:rsidR="00743B28" w:rsidRPr="00814E82" w:rsidRDefault="00743B28" w:rsidP="00755618">
            <w:pPr>
              <w:rPr>
                <w:rFonts w:ascii="Arial" w:eastAsia="Times New Roman" w:hAnsi="Arial" w:cs="Arial"/>
                <w:sz w:val="20"/>
                <w:szCs w:val="20"/>
                <w:lang w:val="ro-RO" w:eastAsia="ro-RO"/>
              </w:rPr>
            </w:pPr>
          </w:p>
        </w:tc>
        <w:tc>
          <w:tcPr>
            <w:tcW w:w="866" w:type="pct"/>
            <w:shd w:val="clear" w:color="auto" w:fill="92D050"/>
            <w:hideMark/>
          </w:tcPr>
          <w:p w:rsidR="00743B28" w:rsidRPr="00814E8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814E82">
              <w:rPr>
                <w:rFonts w:ascii="Arial" w:hAnsi="Arial" w:cs="Arial"/>
                <w:b/>
                <w:bCs/>
                <w:sz w:val="20"/>
                <w:szCs w:val="20"/>
              </w:rPr>
              <w:t>cadmiu</w:t>
            </w:r>
          </w:p>
        </w:tc>
        <w:tc>
          <w:tcPr>
            <w:tcW w:w="866" w:type="pct"/>
            <w:shd w:val="clear" w:color="auto" w:fill="92D050"/>
            <w:hideMark/>
          </w:tcPr>
          <w:p w:rsidR="00743B28" w:rsidRPr="00814E8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814E82">
              <w:rPr>
                <w:rFonts w:ascii="Arial" w:hAnsi="Arial" w:cs="Arial"/>
                <w:b/>
                <w:bCs/>
                <w:sz w:val="20"/>
                <w:szCs w:val="20"/>
              </w:rPr>
              <w:t>mercur</w:t>
            </w:r>
          </w:p>
        </w:tc>
        <w:tc>
          <w:tcPr>
            <w:tcW w:w="866" w:type="pct"/>
            <w:shd w:val="clear" w:color="auto" w:fill="92D050"/>
            <w:hideMark/>
          </w:tcPr>
          <w:p w:rsidR="00743B28" w:rsidRPr="00814E82"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814E82">
              <w:rPr>
                <w:rFonts w:ascii="Arial" w:hAnsi="Arial" w:cs="Arial"/>
                <w:b/>
                <w:bCs/>
                <w:sz w:val="20"/>
                <w:szCs w:val="20"/>
              </w:rPr>
              <w:t>plumb</w:t>
            </w:r>
          </w:p>
        </w:tc>
      </w:tr>
      <w:tr w:rsidR="00814E82" w:rsidRPr="00814E82" w:rsidTr="00814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1" w:type="pct"/>
            <w:noWrap/>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Cantitatea emisă (kg)</w:t>
            </w:r>
          </w:p>
        </w:tc>
        <w:tc>
          <w:tcPr>
            <w:tcW w:w="866" w:type="pct"/>
            <w:noWrap/>
            <w:vAlign w:val="bottom"/>
          </w:tcPr>
          <w:p w:rsidR="00814E82" w:rsidRPr="00814E82"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814E82">
              <w:rPr>
                <w:rFonts w:ascii="Arial" w:hAnsi="Arial" w:cs="Arial"/>
                <w:sz w:val="22"/>
                <w:szCs w:val="22"/>
              </w:rPr>
              <w:t>40.1855</w:t>
            </w:r>
          </w:p>
        </w:tc>
        <w:tc>
          <w:tcPr>
            <w:tcW w:w="866" w:type="pct"/>
            <w:noWrap/>
            <w:vAlign w:val="bottom"/>
          </w:tcPr>
          <w:p w:rsidR="00814E82" w:rsidRPr="00814E82"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2.1979</w:t>
            </w:r>
          </w:p>
        </w:tc>
        <w:tc>
          <w:tcPr>
            <w:tcW w:w="866" w:type="pct"/>
            <w:noWrap/>
            <w:vAlign w:val="bottom"/>
          </w:tcPr>
          <w:p w:rsidR="00814E82" w:rsidRPr="00814E82"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83.4685</w:t>
            </w:r>
          </w:p>
        </w:tc>
      </w:tr>
      <w:tr w:rsidR="00814E82" w:rsidRPr="00814E82" w:rsidTr="00814E8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1" w:type="pct"/>
            <w:noWrap/>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 din emisiile totale, din care:</w:t>
            </w:r>
          </w:p>
        </w:tc>
        <w:tc>
          <w:tcPr>
            <w:tcW w:w="866" w:type="pct"/>
            <w:noWrap/>
            <w:vAlign w:val="bottom"/>
          </w:tcPr>
          <w:p w:rsidR="00814E82" w:rsidRPr="00814E82"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96.98</w:t>
            </w:r>
          </w:p>
        </w:tc>
        <w:tc>
          <w:tcPr>
            <w:tcW w:w="866" w:type="pct"/>
            <w:noWrap/>
            <w:vAlign w:val="bottom"/>
          </w:tcPr>
          <w:p w:rsidR="00814E82" w:rsidRPr="00814E82"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99.90</w:t>
            </w:r>
          </w:p>
        </w:tc>
        <w:tc>
          <w:tcPr>
            <w:tcW w:w="866" w:type="pct"/>
            <w:noWrap/>
            <w:vAlign w:val="bottom"/>
          </w:tcPr>
          <w:p w:rsidR="00814E82" w:rsidRPr="00814E82"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58.66</w:t>
            </w:r>
          </w:p>
        </w:tc>
      </w:tr>
      <w:tr w:rsidR="00814E82" w:rsidRPr="00814E82" w:rsidTr="00823A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1" w:type="pct"/>
            <w:noWrap/>
            <w:hideMark/>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Producţia şi distribuţia energiei</w:t>
            </w:r>
          </w:p>
        </w:tc>
        <w:tc>
          <w:tcPr>
            <w:tcW w:w="866" w:type="pct"/>
            <w:noWrap/>
            <w:vAlign w:val="bottom"/>
            <w:hideMark/>
          </w:tcPr>
          <w:p w:rsidR="00814E82" w:rsidRPr="00814E82"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814E82">
              <w:rPr>
                <w:rFonts w:ascii="Arial" w:hAnsi="Arial" w:cs="Arial"/>
                <w:sz w:val="22"/>
                <w:szCs w:val="22"/>
              </w:rPr>
              <w:t>0.00</w:t>
            </w:r>
          </w:p>
        </w:tc>
        <w:tc>
          <w:tcPr>
            <w:tcW w:w="866" w:type="pct"/>
            <w:noWrap/>
            <w:vAlign w:val="bottom"/>
            <w:hideMark/>
          </w:tcPr>
          <w:p w:rsidR="00814E82" w:rsidRPr="00814E82"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0.00</w:t>
            </w:r>
          </w:p>
        </w:tc>
        <w:tc>
          <w:tcPr>
            <w:tcW w:w="866" w:type="pct"/>
            <w:noWrap/>
            <w:vAlign w:val="bottom"/>
            <w:hideMark/>
          </w:tcPr>
          <w:p w:rsidR="00814E82" w:rsidRPr="00814E82"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0.00</w:t>
            </w:r>
          </w:p>
        </w:tc>
      </w:tr>
      <w:tr w:rsidR="00814E82" w:rsidRPr="00814E82" w:rsidTr="00823AC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1" w:type="pct"/>
            <w:noWrap/>
            <w:hideMark/>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Utilizarea energiei în industrie</w:t>
            </w:r>
          </w:p>
        </w:tc>
        <w:tc>
          <w:tcPr>
            <w:tcW w:w="866" w:type="pct"/>
            <w:noWrap/>
            <w:vAlign w:val="bottom"/>
            <w:hideMark/>
          </w:tcPr>
          <w:p w:rsidR="00814E82" w:rsidRPr="00814E82"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1.30</w:t>
            </w:r>
          </w:p>
        </w:tc>
        <w:tc>
          <w:tcPr>
            <w:tcW w:w="866" w:type="pct"/>
            <w:noWrap/>
            <w:vAlign w:val="bottom"/>
            <w:hideMark/>
          </w:tcPr>
          <w:p w:rsidR="00814E82" w:rsidRPr="00814E82"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6.22</w:t>
            </w:r>
          </w:p>
        </w:tc>
        <w:tc>
          <w:tcPr>
            <w:tcW w:w="866" w:type="pct"/>
            <w:noWrap/>
            <w:vAlign w:val="bottom"/>
            <w:hideMark/>
          </w:tcPr>
          <w:p w:rsidR="00814E82" w:rsidRPr="00814E82"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0.78</w:t>
            </w:r>
          </w:p>
        </w:tc>
      </w:tr>
      <w:tr w:rsidR="00814E82" w:rsidRPr="00814E82" w:rsidTr="00823AC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1" w:type="pct"/>
            <w:noWrap/>
            <w:hideMark/>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 xml:space="preserve">Comercial, instituţional </w:t>
            </w:r>
          </w:p>
        </w:tc>
        <w:tc>
          <w:tcPr>
            <w:tcW w:w="866" w:type="pct"/>
            <w:noWrap/>
            <w:vAlign w:val="bottom"/>
            <w:hideMark/>
          </w:tcPr>
          <w:p w:rsidR="00814E82" w:rsidRPr="00814E82"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0.64</w:t>
            </w:r>
          </w:p>
        </w:tc>
        <w:tc>
          <w:tcPr>
            <w:tcW w:w="866" w:type="pct"/>
            <w:noWrap/>
            <w:vAlign w:val="bottom"/>
            <w:hideMark/>
          </w:tcPr>
          <w:p w:rsidR="00814E82" w:rsidRPr="00814E82"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9.04</w:t>
            </w:r>
          </w:p>
        </w:tc>
        <w:tc>
          <w:tcPr>
            <w:tcW w:w="866" w:type="pct"/>
            <w:noWrap/>
            <w:vAlign w:val="bottom"/>
            <w:hideMark/>
          </w:tcPr>
          <w:p w:rsidR="00814E82" w:rsidRPr="00814E82"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14E82">
              <w:rPr>
                <w:rFonts w:ascii="Arial" w:hAnsi="Arial" w:cs="Arial"/>
                <w:sz w:val="22"/>
                <w:szCs w:val="22"/>
              </w:rPr>
              <w:t>0.39</w:t>
            </w:r>
          </w:p>
        </w:tc>
      </w:tr>
      <w:tr w:rsidR="00814E82" w:rsidRPr="00814E82" w:rsidTr="00823AC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1" w:type="pct"/>
            <w:noWrap/>
            <w:hideMark/>
          </w:tcPr>
          <w:p w:rsidR="00814E82" w:rsidRPr="00814E82" w:rsidRDefault="00814E82" w:rsidP="00814E82">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Rezidential (gospodării)</w:t>
            </w:r>
          </w:p>
        </w:tc>
        <w:tc>
          <w:tcPr>
            <w:tcW w:w="866" w:type="pct"/>
            <w:noWrap/>
            <w:vAlign w:val="bottom"/>
            <w:hideMark/>
          </w:tcPr>
          <w:p w:rsidR="00814E82" w:rsidRPr="00814E82"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95.04</w:t>
            </w:r>
          </w:p>
        </w:tc>
        <w:tc>
          <w:tcPr>
            <w:tcW w:w="866" w:type="pct"/>
            <w:noWrap/>
            <w:vAlign w:val="bottom"/>
            <w:hideMark/>
          </w:tcPr>
          <w:p w:rsidR="00814E82" w:rsidRPr="00814E82"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84.63</w:t>
            </w:r>
          </w:p>
        </w:tc>
        <w:tc>
          <w:tcPr>
            <w:tcW w:w="866" w:type="pct"/>
            <w:noWrap/>
            <w:vAlign w:val="bottom"/>
            <w:hideMark/>
          </w:tcPr>
          <w:p w:rsidR="00814E82" w:rsidRPr="00814E82"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814E82">
              <w:rPr>
                <w:rFonts w:ascii="Arial" w:hAnsi="Arial" w:cs="Arial"/>
                <w:sz w:val="22"/>
                <w:szCs w:val="22"/>
              </w:rPr>
              <w:t>57.49</w:t>
            </w:r>
          </w:p>
        </w:tc>
      </w:tr>
    </w:tbl>
    <w:p w:rsidR="00743B28" w:rsidRPr="00814E82" w:rsidRDefault="00743B28" w:rsidP="00755618">
      <w:pPr>
        <w:tabs>
          <w:tab w:val="left" w:pos="851"/>
        </w:tabs>
        <w:jc w:val="center"/>
        <w:rPr>
          <w:rFonts w:ascii="Arial" w:hAnsi="Arial" w:cs="Arial"/>
          <w:lang w:val="ro-RO"/>
        </w:rPr>
      </w:pPr>
      <w:r w:rsidRPr="00814E82">
        <w:rPr>
          <w:rFonts w:ascii="Arial" w:hAnsi="Arial" w:cs="Arial"/>
          <w:sz w:val="20"/>
          <w:szCs w:val="20"/>
          <w:lang w:val="ro-RO"/>
        </w:rPr>
        <w:t>Sursa: Agenţia pentru Protecţia Mediului Bistriţa-Năsăud</w:t>
      </w:r>
    </w:p>
    <w:p w:rsidR="00743B28" w:rsidRPr="006B01A5" w:rsidRDefault="00743B28" w:rsidP="00755618">
      <w:pPr>
        <w:pStyle w:val="Default"/>
        <w:tabs>
          <w:tab w:val="left" w:pos="851"/>
        </w:tabs>
        <w:jc w:val="both"/>
        <w:rPr>
          <w:bCs/>
          <w:color w:val="FF0000"/>
        </w:rPr>
      </w:pPr>
    </w:p>
    <w:p w:rsidR="00743B28" w:rsidRPr="006B01A5" w:rsidRDefault="00743B28" w:rsidP="00755618">
      <w:pPr>
        <w:pStyle w:val="Default"/>
        <w:tabs>
          <w:tab w:val="left" w:pos="851"/>
        </w:tabs>
        <w:jc w:val="both"/>
        <w:rPr>
          <w:bCs/>
          <w:color w:val="FF0000"/>
        </w:rPr>
      </w:pPr>
    </w:p>
    <w:p w:rsidR="00743B28" w:rsidRPr="00814E82" w:rsidRDefault="00743B28" w:rsidP="00755618">
      <w:pPr>
        <w:pStyle w:val="Listparagraf"/>
        <w:numPr>
          <w:ilvl w:val="0"/>
          <w:numId w:val="4"/>
        </w:numPr>
        <w:tabs>
          <w:tab w:val="left" w:pos="851"/>
          <w:tab w:val="left" w:pos="1134"/>
          <w:tab w:val="left" w:leader="dot" w:pos="9356"/>
        </w:tabs>
        <w:ind w:left="0" w:firstLine="0"/>
        <w:rPr>
          <w:rFonts w:ascii="Arial" w:hAnsi="Arial" w:cs="Arial"/>
          <w:b/>
          <w:lang w:val="ro-RO"/>
        </w:rPr>
      </w:pPr>
      <w:r w:rsidRPr="00814E82">
        <w:rPr>
          <w:rFonts w:ascii="Arial" w:hAnsi="Arial" w:cs="Arial"/>
          <w:b/>
          <w:u w:val="single"/>
          <w:lang w:val="ro-RO"/>
        </w:rPr>
        <w:t>Emisiile de POPs</w:t>
      </w:r>
    </w:p>
    <w:p w:rsidR="00743B28" w:rsidRPr="00814E82" w:rsidRDefault="00743B28" w:rsidP="00755618">
      <w:pPr>
        <w:pStyle w:val="Listparagraf"/>
        <w:tabs>
          <w:tab w:val="left" w:pos="851"/>
          <w:tab w:val="left" w:pos="1134"/>
          <w:tab w:val="left" w:leader="dot" w:pos="9356"/>
        </w:tabs>
        <w:ind w:left="0"/>
        <w:rPr>
          <w:rFonts w:ascii="Arial" w:hAnsi="Arial" w:cs="Arial"/>
          <w:b/>
          <w:lang w:val="ro-RO"/>
        </w:rPr>
      </w:pPr>
    </w:p>
    <w:p w:rsidR="00743B28" w:rsidRPr="00814E82"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814E82">
        <w:rPr>
          <w:rFonts w:ascii="Arial" w:hAnsi="Arial" w:cs="Arial"/>
          <w:b/>
          <w:sz w:val="22"/>
          <w:szCs w:val="22"/>
          <w:lang w:val="ro-RO"/>
        </w:rPr>
        <w:t>Tabel I.2.1.1.6.</w:t>
      </w:r>
    </w:p>
    <w:p w:rsidR="00743B28" w:rsidRPr="00814E82"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814E82">
        <w:rPr>
          <w:rFonts w:ascii="Arial" w:hAnsi="Arial" w:cs="Arial"/>
          <w:b/>
          <w:sz w:val="22"/>
          <w:szCs w:val="22"/>
          <w:lang w:val="ro-RO"/>
        </w:rPr>
        <w:t xml:space="preserve">Emisiile de </w:t>
      </w:r>
      <w:r w:rsidRPr="00814E82">
        <w:rPr>
          <w:rFonts w:ascii="Arial" w:hAnsi="Arial" w:cs="Arial"/>
          <w:b/>
          <w:i/>
          <w:sz w:val="22"/>
          <w:szCs w:val="22"/>
          <w:lang w:val="ro-RO"/>
        </w:rPr>
        <w:t>POPs proveniți din sectorul energetic</w:t>
      </w:r>
      <w:r w:rsidRPr="00814E82">
        <w:rPr>
          <w:rFonts w:ascii="Arial" w:hAnsi="Arial" w:cs="Arial"/>
          <w:b/>
          <w:sz w:val="22"/>
          <w:szCs w:val="22"/>
          <w:lang w:val="ro-RO"/>
        </w:rPr>
        <w:t>,</w:t>
      </w:r>
    </w:p>
    <w:p w:rsidR="00743B28" w:rsidRPr="00814E82"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814E82">
        <w:rPr>
          <w:rFonts w:ascii="Arial" w:hAnsi="Arial" w:cs="Arial"/>
          <w:b/>
          <w:sz w:val="22"/>
          <w:szCs w:val="22"/>
          <w:lang w:val="ro-RO"/>
        </w:rPr>
        <w:t xml:space="preserve">județul Bistrița-Năsăud, anul </w:t>
      </w:r>
      <w:r w:rsidR="005964E0" w:rsidRPr="00814E82">
        <w:rPr>
          <w:rFonts w:ascii="Arial" w:hAnsi="Arial" w:cs="Arial"/>
          <w:b/>
          <w:sz w:val="22"/>
          <w:szCs w:val="22"/>
          <w:lang w:val="ro-RO"/>
        </w:rPr>
        <w:t>2021</w:t>
      </w:r>
    </w:p>
    <w:tbl>
      <w:tblPr>
        <w:tblStyle w:val="Listcolorat-Accentuare4"/>
        <w:tblW w:w="5000" w:type="pct"/>
        <w:tblLook w:val="04A0" w:firstRow="1" w:lastRow="0" w:firstColumn="1" w:lastColumn="0" w:noHBand="0" w:noVBand="1"/>
      </w:tblPr>
      <w:tblGrid>
        <w:gridCol w:w="3255"/>
        <w:gridCol w:w="1706"/>
        <w:gridCol w:w="1476"/>
        <w:gridCol w:w="1420"/>
        <w:gridCol w:w="1497"/>
      </w:tblGrid>
      <w:tr w:rsidR="000D6AF9" w:rsidRPr="000D6AF9" w:rsidTr="00743B28">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740" w:type="pct"/>
            <w:shd w:val="clear" w:color="auto" w:fill="92D050"/>
            <w:noWrap/>
            <w:vAlign w:val="center"/>
            <w:hideMark/>
          </w:tcPr>
          <w:p w:rsidR="00743B28" w:rsidRPr="000D6AF9" w:rsidRDefault="00743B28" w:rsidP="00755618">
            <w:pPr>
              <w:jc w:val="center"/>
              <w:rPr>
                <w:rFonts w:ascii="Arial" w:eastAsia="Times New Roman" w:hAnsi="Arial" w:cs="Arial"/>
                <w:color w:val="auto"/>
                <w:sz w:val="20"/>
                <w:szCs w:val="20"/>
                <w:lang w:val="ro-RO" w:eastAsia="ro-RO"/>
              </w:rPr>
            </w:pPr>
          </w:p>
        </w:tc>
        <w:tc>
          <w:tcPr>
            <w:tcW w:w="912" w:type="pct"/>
            <w:shd w:val="clear" w:color="auto" w:fill="92D050"/>
            <w:vAlign w:val="center"/>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Benz-b-fluoranten</w:t>
            </w:r>
          </w:p>
        </w:tc>
        <w:tc>
          <w:tcPr>
            <w:tcW w:w="789" w:type="pct"/>
            <w:shd w:val="clear" w:color="auto" w:fill="92D050"/>
            <w:vAlign w:val="center"/>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Benzo-a-piren</w:t>
            </w:r>
          </w:p>
        </w:tc>
        <w:tc>
          <w:tcPr>
            <w:tcW w:w="759" w:type="pct"/>
            <w:shd w:val="clear" w:color="auto" w:fill="92D050"/>
            <w:vAlign w:val="center"/>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Benzo-k-fluoranten</w:t>
            </w:r>
          </w:p>
        </w:tc>
        <w:tc>
          <w:tcPr>
            <w:tcW w:w="800" w:type="pct"/>
            <w:shd w:val="clear" w:color="auto" w:fill="92D050"/>
            <w:vAlign w:val="center"/>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Indeno (1,2,3) piren</w:t>
            </w:r>
          </w:p>
        </w:tc>
      </w:tr>
      <w:tr w:rsidR="000D6AF9" w:rsidRPr="000D6AF9" w:rsidTr="00814E8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40" w:type="pct"/>
            <w:noWrap/>
            <w:hideMark/>
          </w:tcPr>
          <w:p w:rsidR="00743B28" w:rsidRPr="000D6AF9" w:rsidRDefault="00743B28" w:rsidP="00755618">
            <w:pPr>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cantitatea de poluant (kg)</w:t>
            </w:r>
          </w:p>
        </w:tc>
        <w:tc>
          <w:tcPr>
            <w:tcW w:w="912" w:type="pct"/>
            <w:noWrap/>
          </w:tcPr>
          <w:p w:rsidR="00743B28" w:rsidRPr="000D6AF9" w:rsidRDefault="00814E82" w:rsidP="00A04A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333,4738</w:t>
            </w:r>
          </w:p>
        </w:tc>
        <w:tc>
          <w:tcPr>
            <w:tcW w:w="789" w:type="pct"/>
            <w:noWrap/>
          </w:tcPr>
          <w:p w:rsidR="00743B28" w:rsidRPr="000D6AF9" w:rsidRDefault="00814E82" w:rsidP="00A04A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362,3476</w:t>
            </w:r>
          </w:p>
        </w:tc>
        <w:tc>
          <w:tcPr>
            <w:tcW w:w="759" w:type="pct"/>
            <w:noWrap/>
          </w:tcPr>
          <w:p w:rsidR="00743B28" w:rsidRPr="000D6AF9" w:rsidRDefault="00814E82" w:rsidP="00A04A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125,9642</w:t>
            </w:r>
          </w:p>
        </w:tc>
        <w:tc>
          <w:tcPr>
            <w:tcW w:w="800" w:type="pct"/>
            <w:noWrap/>
          </w:tcPr>
          <w:p w:rsidR="00743B28" w:rsidRPr="000D6AF9" w:rsidRDefault="00814E82" w:rsidP="00A04AE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212,4360</w:t>
            </w:r>
          </w:p>
        </w:tc>
      </w:tr>
      <w:tr w:rsidR="000D6AF9" w:rsidRPr="000D6AF9" w:rsidTr="00814E82">
        <w:trPr>
          <w:trHeight w:val="264"/>
        </w:trPr>
        <w:tc>
          <w:tcPr>
            <w:cnfStyle w:val="001000000000" w:firstRow="0" w:lastRow="0" w:firstColumn="1" w:lastColumn="0" w:oddVBand="0" w:evenVBand="0" w:oddHBand="0" w:evenHBand="0" w:firstRowFirstColumn="0" w:firstRowLastColumn="0" w:lastRowFirstColumn="0" w:lastRowLastColumn="0"/>
            <w:tcW w:w="1740" w:type="pct"/>
            <w:noWrap/>
            <w:hideMark/>
          </w:tcPr>
          <w:p w:rsidR="00743B28" w:rsidRPr="000D6AF9" w:rsidRDefault="00743B28" w:rsidP="00755618">
            <w:pPr>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ponderea din emisiile totale (%)</w:t>
            </w:r>
          </w:p>
        </w:tc>
        <w:tc>
          <w:tcPr>
            <w:tcW w:w="912" w:type="pct"/>
            <w:noWrap/>
          </w:tcPr>
          <w:p w:rsidR="00743B28" w:rsidRPr="000D6AF9" w:rsidRDefault="00814E82" w:rsidP="0075561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99,913</w:t>
            </w:r>
          </w:p>
        </w:tc>
        <w:tc>
          <w:tcPr>
            <w:tcW w:w="789" w:type="pct"/>
            <w:noWrap/>
          </w:tcPr>
          <w:p w:rsidR="00743B28" w:rsidRPr="000D6AF9" w:rsidRDefault="00814E82" w:rsidP="00A04A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99,952</w:t>
            </w:r>
          </w:p>
        </w:tc>
        <w:tc>
          <w:tcPr>
            <w:tcW w:w="759" w:type="pct"/>
            <w:noWrap/>
          </w:tcPr>
          <w:p w:rsidR="00743B28" w:rsidRPr="000D6AF9" w:rsidRDefault="00814E82" w:rsidP="00A04A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99,993</w:t>
            </w:r>
          </w:p>
        </w:tc>
        <w:tc>
          <w:tcPr>
            <w:tcW w:w="800" w:type="pct"/>
            <w:noWrap/>
          </w:tcPr>
          <w:p w:rsidR="00743B28" w:rsidRPr="000D6AF9" w:rsidRDefault="00814E82" w:rsidP="00A04AE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99,997</w:t>
            </w:r>
          </w:p>
        </w:tc>
      </w:tr>
    </w:tbl>
    <w:p w:rsidR="00743B28" w:rsidRPr="000D6AF9" w:rsidRDefault="00743B28" w:rsidP="00755618">
      <w:pPr>
        <w:tabs>
          <w:tab w:val="left" w:pos="851"/>
        </w:tabs>
        <w:jc w:val="center"/>
        <w:rPr>
          <w:rFonts w:ascii="Arial" w:hAnsi="Arial" w:cs="Arial"/>
          <w:sz w:val="20"/>
          <w:szCs w:val="20"/>
          <w:lang w:val="ro-RO"/>
        </w:rPr>
      </w:pPr>
    </w:p>
    <w:tbl>
      <w:tblPr>
        <w:tblStyle w:val="Listcolorat-Accentuare4"/>
        <w:tblW w:w="5000" w:type="pct"/>
        <w:tblLook w:val="04A0" w:firstRow="1" w:lastRow="0" w:firstColumn="1" w:lastColumn="0" w:noHBand="0" w:noVBand="1"/>
      </w:tblPr>
      <w:tblGrid>
        <w:gridCol w:w="3242"/>
        <w:gridCol w:w="2262"/>
        <w:gridCol w:w="1850"/>
        <w:gridCol w:w="2000"/>
      </w:tblGrid>
      <w:tr w:rsidR="000D6AF9" w:rsidRPr="000D6AF9" w:rsidTr="00743B28">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733" w:type="pct"/>
            <w:shd w:val="clear" w:color="auto" w:fill="92D050"/>
            <w:noWrap/>
            <w:vAlign w:val="center"/>
            <w:hideMark/>
          </w:tcPr>
          <w:p w:rsidR="00743B28" w:rsidRPr="000D6AF9" w:rsidRDefault="00743B28" w:rsidP="00755618">
            <w:pPr>
              <w:jc w:val="center"/>
              <w:rPr>
                <w:rFonts w:ascii="Arial" w:eastAsia="Times New Roman" w:hAnsi="Arial" w:cs="Arial"/>
                <w:color w:val="auto"/>
                <w:sz w:val="20"/>
                <w:szCs w:val="20"/>
                <w:lang w:val="ro-RO" w:eastAsia="ro-RO"/>
              </w:rPr>
            </w:pPr>
          </w:p>
        </w:tc>
        <w:tc>
          <w:tcPr>
            <w:tcW w:w="1209" w:type="pct"/>
            <w:shd w:val="clear" w:color="auto" w:fill="92D050"/>
            <w:vAlign w:val="center"/>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Hexachlorobenzene (HCB)</w:t>
            </w:r>
          </w:p>
        </w:tc>
        <w:tc>
          <w:tcPr>
            <w:tcW w:w="989" w:type="pct"/>
            <w:shd w:val="clear" w:color="auto" w:fill="92D050"/>
            <w:vAlign w:val="center"/>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PCDD+PCDF (dioxine+furani)</w:t>
            </w:r>
          </w:p>
        </w:tc>
        <w:tc>
          <w:tcPr>
            <w:tcW w:w="1069" w:type="pct"/>
            <w:shd w:val="clear" w:color="auto" w:fill="92D050"/>
            <w:vAlign w:val="center"/>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Polychlorinated  Biphenyls(PCBS)</w:t>
            </w:r>
          </w:p>
        </w:tc>
      </w:tr>
      <w:tr w:rsidR="00814E82" w:rsidRPr="00814E82" w:rsidTr="00743B2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33" w:type="pct"/>
            <w:noWrap/>
            <w:hideMark/>
          </w:tcPr>
          <w:p w:rsidR="00743B28" w:rsidRPr="00814E82" w:rsidRDefault="00743B28" w:rsidP="00755618">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cantitatea de poluant (kg)</w:t>
            </w:r>
          </w:p>
        </w:tc>
        <w:tc>
          <w:tcPr>
            <w:tcW w:w="1209" w:type="pct"/>
            <w:noWrap/>
            <w:hideMark/>
          </w:tcPr>
          <w:p w:rsidR="00743B28" w:rsidRPr="00814E82" w:rsidRDefault="00743B28" w:rsidP="00814E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0,01</w:t>
            </w:r>
            <w:r w:rsidR="00814E82" w:rsidRPr="00814E82">
              <w:rPr>
                <w:rFonts w:ascii="Arial" w:eastAsia="Times New Roman" w:hAnsi="Arial" w:cs="Arial"/>
                <w:sz w:val="20"/>
                <w:szCs w:val="20"/>
                <w:lang w:val="ro-RO" w:eastAsia="ro-RO"/>
              </w:rPr>
              <w:t>5</w:t>
            </w:r>
          </w:p>
        </w:tc>
        <w:tc>
          <w:tcPr>
            <w:tcW w:w="989" w:type="pct"/>
            <w:noWrap/>
            <w:hideMark/>
          </w:tcPr>
          <w:p w:rsidR="00743B28" w:rsidRPr="00814E82" w:rsidRDefault="00743B28" w:rsidP="004D1BB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0,002</w:t>
            </w:r>
            <w:r w:rsidR="004D1BBF" w:rsidRPr="00814E82">
              <w:rPr>
                <w:rFonts w:ascii="Arial" w:eastAsia="Times New Roman" w:hAnsi="Arial" w:cs="Arial"/>
                <w:sz w:val="20"/>
                <w:szCs w:val="20"/>
                <w:lang w:val="ro-RO" w:eastAsia="ro-RO"/>
              </w:rPr>
              <w:t>3</w:t>
            </w:r>
          </w:p>
        </w:tc>
        <w:tc>
          <w:tcPr>
            <w:tcW w:w="1069" w:type="pct"/>
            <w:noWrap/>
            <w:hideMark/>
          </w:tcPr>
          <w:p w:rsidR="00743B28" w:rsidRPr="00814E82" w:rsidRDefault="00743B28" w:rsidP="00814E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0,000</w:t>
            </w:r>
            <w:r w:rsidR="00814E82" w:rsidRPr="00814E82">
              <w:rPr>
                <w:rFonts w:ascii="Arial" w:eastAsia="Times New Roman" w:hAnsi="Arial" w:cs="Arial"/>
                <w:sz w:val="20"/>
                <w:szCs w:val="20"/>
                <w:lang w:val="ro-RO" w:eastAsia="ro-RO"/>
              </w:rPr>
              <w:t>1</w:t>
            </w:r>
            <w:r w:rsidR="004D1BBF" w:rsidRPr="00814E82">
              <w:rPr>
                <w:rFonts w:ascii="Arial" w:eastAsia="Times New Roman" w:hAnsi="Arial" w:cs="Arial"/>
                <w:sz w:val="20"/>
                <w:szCs w:val="20"/>
                <w:lang w:val="ro-RO" w:eastAsia="ro-RO"/>
              </w:rPr>
              <w:t>8</w:t>
            </w:r>
          </w:p>
        </w:tc>
      </w:tr>
      <w:tr w:rsidR="006B01A5" w:rsidRPr="00814E82" w:rsidTr="00743B28">
        <w:trPr>
          <w:trHeight w:val="264"/>
        </w:trPr>
        <w:tc>
          <w:tcPr>
            <w:cnfStyle w:val="001000000000" w:firstRow="0" w:lastRow="0" w:firstColumn="1" w:lastColumn="0" w:oddVBand="0" w:evenVBand="0" w:oddHBand="0" w:evenHBand="0" w:firstRowFirstColumn="0" w:firstRowLastColumn="0" w:lastRowFirstColumn="0" w:lastRowLastColumn="0"/>
            <w:tcW w:w="1733" w:type="pct"/>
            <w:noWrap/>
            <w:hideMark/>
          </w:tcPr>
          <w:p w:rsidR="00743B28" w:rsidRPr="00814E82" w:rsidRDefault="00743B28" w:rsidP="00755618">
            <w:pPr>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ponderea din emisiile totale (%)</w:t>
            </w:r>
          </w:p>
        </w:tc>
        <w:tc>
          <w:tcPr>
            <w:tcW w:w="1209" w:type="pct"/>
            <w:noWrap/>
            <w:hideMark/>
          </w:tcPr>
          <w:p w:rsidR="00743B28" w:rsidRPr="00814E82" w:rsidRDefault="00743B28" w:rsidP="00814E8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99,</w:t>
            </w:r>
            <w:r w:rsidR="00814E82" w:rsidRPr="00814E82">
              <w:rPr>
                <w:rFonts w:ascii="Arial" w:eastAsia="Times New Roman" w:hAnsi="Arial" w:cs="Arial"/>
                <w:sz w:val="20"/>
                <w:szCs w:val="20"/>
                <w:lang w:val="ro-RO" w:eastAsia="ro-RO"/>
              </w:rPr>
              <w:t>747</w:t>
            </w:r>
          </w:p>
        </w:tc>
        <w:tc>
          <w:tcPr>
            <w:tcW w:w="989" w:type="pct"/>
            <w:noWrap/>
            <w:hideMark/>
          </w:tcPr>
          <w:p w:rsidR="00743B28" w:rsidRPr="00814E82" w:rsidRDefault="00814E82" w:rsidP="004D1B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99,71</w:t>
            </w:r>
          </w:p>
        </w:tc>
        <w:tc>
          <w:tcPr>
            <w:tcW w:w="1069" w:type="pct"/>
            <w:noWrap/>
            <w:hideMark/>
          </w:tcPr>
          <w:p w:rsidR="00743B28" w:rsidRPr="00814E82" w:rsidRDefault="00814E82" w:rsidP="004D1BB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ro-RO" w:eastAsia="ro-RO"/>
              </w:rPr>
            </w:pPr>
            <w:r w:rsidRPr="00814E82">
              <w:rPr>
                <w:rFonts w:ascii="Arial" w:eastAsia="Times New Roman" w:hAnsi="Arial" w:cs="Arial"/>
                <w:sz w:val="20"/>
                <w:szCs w:val="20"/>
                <w:lang w:val="ro-RO" w:eastAsia="ro-RO"/>
              </w:rPr>
              <w:t>100</w:t>
            </w:r>
          </w:p>
        </w:tc>
      </w:tr>
    </w:tbl>
    <w:p w:rsidR="00743B28" w:rsidRPr="00814E82" w:rsidRDefault="00743B28" w:rsidP="00755618">
      <w:pPr>
        <w:tabs>
          <w:tab w:val="left" w:pos="851"/>
        </w:tabs>
        <w:jc w:val="center"/>
        <w:rPr>
          <w:rFonts w:ascii="Arial" w:hAnsi="Arial" w:cs="Arial"/>
          <w:lang w:val="ro-RO"/>
        </w:rPr>
      </w:pPr>
      <w:r w:rsidRPr="00814E82">
        <w:rPr>
          <w:rFonts w:ascii="Arial" w:hAnsi="Arial" w:cs="Arial"/>
          <w:sz w:val="20"/>
          <w:szCs w:val="20"/>
          <w:lang w:val="ro-RO"/>
        </w:rPr>
        <w:t>Sursa: Agenţia pentru Protecţia Mediului Bistriţa-Năsăud</w:t>
      </w:r>
    </w:p>
    <w:p w:rsidR="00743B28" w:rsidRPr="00814E82" w:rsidRDefault="00743B28" w:rsidP="00755618">
      <w:pPr>
        <w:tabs>
          <w:tab w:val="left" w:pos="851"/>
          <w:tab w:val="left" w:leader="dot" w:pos="9356"/>
        </w:tabs>
        <w:rPr>
          <w:rFonts w:ascii="Arial" w:hAnsi="Arial" w:cs="Arial"/>
          <w:b/>
          <w:lang w:val="ro-RO"/>
        </w:rPr>
      </w:pPr>
    </w:p>
    <w:p w:rsidR="00E37DFB" w:rsidRPr="00F37795" w:rsidRDefault="00E37DFB" w:rsidP="00755618">
      <w:pPr>
        <w:tabs>
          <w:tab w:val="left" w:pos="851"/>
          <w:tab w:val="left" w:leader="dot" w:pos="9356"/>
        </w:tabs>
        <w:jc w:val="center"/>
        <w:rPr>
          <w:rFonts w:ascii="Arial" w:hAnsi="Arial" w:cs="Arial"/>
          <w:b/>
          <w:sz w:val="28"/>
          <w:szCs w:val="28"/>
          <w:lang w:val="ro-RO"/>
        </w:rPr>
      </w:pPr>
    </w:p>
    <w:p w:rsidR="00743B28" w:rsidRPr="00F37795" w:rsidRDefault="00743B28" w:rsidP="00755618">
      <w:pPr>
        <w:tabs>
          <w:tab w:val="left" w:pos="851"/>
          <w:tab w:val="left" w:leader="dot" w:pos="9356"/>
        </w:tabs>
        <w:jc w:val="center"/>
        <w:rPr>
          <w:rFonts w:ascii="Arial" w:hAnsi="Arial" w:cs="Arial"/>
          <w:b/>
          <w:sz w:val="28"/>
          <w:szCs w:val="28"/>
          <w:lang w:val="ro-RO"/>
        </w:rPr>
      </w:pPr>
      <w:r w:rsidRPr="00F37795">
        <w:rPr>
          <w:rFonts w:ascii="Arial" w:hAnsi="Arial" w:cs="Arial"/>
          <w:b/>
          <w:sz w:val="28"/>
          <w:szCs w:val="28"/>
          <w:lang w:val="ro-RO"/>
        </w:rPr>
        <w:t>I.2.1.2. INDUSTRIA</w:t>
      </w:r>
    </w:p>
    <w:p w:rsidR="00743B28" w:rsidRPr="00F37795" w:rsidRDefault="00743B28" w:rsidP="00755618">
      <w:pPr>
        <w:tabs>
          <w:tab w:val="left" w:pos="851"/>
          <w:tab w:val="left" w:leader="dot" w:pos="9356"/>
        </w:tabs>
        <w:rPr>
          <w:rFonts w:ascii="Arial" w:hAnsi="Arial" w:cs="Arial"/>
          <w:b/>
          <w:lang w:val="ro-RO"/>
        </w:rPr>
      </w:pPr>
    </w:p>
    <w:p w:rsidR="00743B28" w:rsidRPr="00F37795" w:rsidRDefault="00743B28" w:rsidP="00755618">
      <w:pPr>
        <w:pStyle w:val="Default"/>
        <w:numPr>
          <w:ilvl w:val="0"/>
          <w:numId w:val="8"/>
        </w:numPr>
        <w:tabs>
          <w:tab w:val="left" w:pos="851"/>
        </w:tabs>
        <w:ind w:left="0" w:firstLine="0"/>
        <w:rPr>
          <w:b/>
          <w:bCs/>
          <w:color w:val="auto"/>
          <w:sz w:val="20"/>
          <w:szCs w:val="20"/>
        </w:rPr>
      </w:pPr>
      <w:r w:rsidRPr="00F37795">
        <w:rPr>
          <w:b/>
          <w:color w:val="auto"/>
          <w:u w:val="single"/>
        </w:rPr>
        <w:t>Emisiile de substan</w:t>
      </w:r>
      <w:r w:rsidRPr="00F37795">
        <w:rPr>
          <w:rFonts w:ascii="Tahoma" w:eastAsia="Times New Roman"/>
          <w:b/>
          <w:color w:val="auto"/>
          <w:u w:val="single"/>
        </w:rPr>
        <w:t>ț</w:t>
      </w:r>
      <w:r w:rsidRPr="00F37795">
        <w:rPr>
          <w:b/>
          <w:color w:val="auto"/>
          <w:u w:val="single"/>
        </w:rPr>
        <w:t xml:space="preserve">ele acidifiante </w:t>
      </w:r>
    </w:p>
    <w:p w:rsidR="00743B28" w:rsidRPr="00F37795" w:rsidRDefault="00743B28" w:rsidP="00755618">
      <w:pPr>
        <w:pStyle w:val="Default"/>
        <w:tabs>
          <w:tab w:val="left" w:pos="851"/>
        </w:tabs>
        <w:rPr>
          <w:color w:val="auto"/>
          <w:sz w:val="20"/>
          <w:szCs w:val="20"/>
        </w:rPr>
      </w:pPr>
    </w:p>
    <w:p w:rsidR="00743B28" w:rsidRPr="00F37795"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F37795">
        <w:rPr>
          <w:rFonts w:ascii="Arial" w:hAnsi="Arial" w:cs="Arial"/>
          <w:b/>
          <w:sz w:val="22"/>
          <w:szCs w:val="22"/>
          <w:lang w:val="ro-RO"/>
        </w:rPr>
        <w:t>Tabel I.2.1.2.1.</w:t>
      </w:r>
    </w:p>
    <w:p w:rsidR="00743B28" w:rsidRPr="00F37795" w:rsidRDefault="00743B28" w:rsidP="00755618">
      <w:pPr>
        <w:pStyle w:val="Listparagraf"/>
        <w:tabs>
          <w:tab w:val="left" w:pos="851"/>
          <w:tab w:val="left" w:pos="1134"/>
          <w:tab w:val="left" w:leader="dot" w:pos="9356"/>
        </w:tabs>
        <w:ind w:left="0"/>
        <w:jc w:val="center"/>
        <w:rPr>
          <w:rFonts w:ascii="Arial" w:hAnsi="Arial" w:cs="Arial"/>
          <w:b/>
          <w:sz w:val="22"/>
          <w:szCs w:val="22"/>
          <w:lang w:val="ro-RO" w:eastAsia="ro-RO"/>
        </w:rPr>
      </w:pPr>
      <w:r w:rsidRPr="00F37795">
        <w:rPr>
          <w:rFonts w:ascii="Arial" w:hAnsi="Arial" w:cs="Arial"/>
          <w:b/>
          <w:sz w:val="22"/>
          <w:szCs w:val="22"/>
          <w:lang w:val="ro-RO" w:eastAsia="ro-RO"/>
        </w:rPr>
        <w:t xml:space="preserve">Emisiile de </w:t>
      </w:r>
      <w:r w:rsidRPr="00F37795">
        <w:rPr>
          <w:rFonts w:ascii="Arial" w:hAnsi="Arial" w:cs="Arial"/>
          <w:b/>
          <w:i/>
          <w:sz w:val="22"/>
          <w:szCs w:val="22"/>
          <w:lang w:val="ro-RO" w:eastAsia="ro-RO"/>
        </w:rPr>
        <w:t>substanțe acidifiante provenite din sectorul industrial</w:t>
      </w:r>
      <w:r w:rsidRPr="00F37795">
        <w:rPr>
          <w:rFonts w:ascii="Arial" w:hAnsi="Arial" w:cs="Arial"/>
          <w:b/>
          <w:sz w:val="22"/>
          <w:szCs w:val="22"/>
          <w:lang w:val="ro-RO" w:eastAsia="ro-RO"/>
        </w:rPr>
        <w:t>,</w:t>
      </w:r>
    </w:p>
    <w:p w:rsidR="00743B28" w:rsidRPr="00F37795"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F37795">
        <w:rPr>
          <w:rFonts w:ascii="Arial" w:hAnsi="Arial" w:cs="Arial"/>
          <w:b/>
          <w:sz w:val="22"/>
          <w:szCs w:val="22"/>
          <w:lang w:val="ro-RO" w:eastAsia="ro-RO"/>
        </w:rPr>
        <w:t xml:space="preserve"> județul Bistrița-Năsăud, anul </w:t>
      </w:r>
      <w:r w:rsidR="005964E0" w:rsidRPr="00F37795">
        <w:rPr>
          <w:rFonts w:ascii="Arial" w:hAnsi="Arial" w:cs="Arial"/>
          <w:b/>
          <w:sz w:val="22"/>
          <w:szCs w:val="22"/>
          <w:lang w:val="ro-RO" w:eastAsia="ro-RO"/>
        </w:rPr>
        <w:t>2021</w:t>
      </w:r>
    </w:p>
    <w:tbl>
      <w:tblPr>
        <w:tblStyle w:val="Style1"/>
        <w:tblW w:w="4824" w:type="pct"/>
        <w:jc w:val="center"/>
        <w:tblLook w:val="04A0" w:firstRow="1" w:lastRow="0" w:firstColumn="1" w:lastColumn="0" w:noHBand="0" w:noVBand="1"/>
      </w:tblPr>
      <w:tblGrid>
        <w:gridCol w:w="4797"/>
        <w:gridCol w:w="2114"/>
        <w:gridCol w:w="2114"/>
      </w:tblGrid>
      <w:tr w:rsidR="00F37795" w:rsidRPr="00F37795" w:rsidTr="00814E82">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58" w:type="pct"/>
            <w:shd w:val="clear" w:color="auto" w:fill="92D050"/>
            <w:noWrap/>
            <w:hideMark/>
          </w:tcPr>
          <w:p w:rsidR="00814E82" w:rsidRPr="00F37795" w:rsidRDefault="00814E82" w:rsidP="00755618">
            <w:pPr>
              <w:rPr>
                <w:rFonts w:ascii="Arial" w:eastAsia="Times New Roman" w:hAnsi="Arial" w:cs="Arial"/>
                <w:b/>
                <w:sz w:val="20"/>
                <w:szCs w:val="20"/>
                <w:lang w:val="ro-RO" w:eastAsia="ro-RO"/>
              </w:rPr>
            </w:pPr>
            <w:r w:rsidRPr="00F37795">
              <w:rPr>
                <w:rFonts w:ascii="Arial" w:eastAsia="Times New Roman" w:hAnsi="Arial" w:cs="Arial"/>
                <w:b/>
                <w:sz w:val="20"/>
                <w:szCs w:val="20"/>
                <w:lang w:val="ro-RO" w:eastAsia="ro-RO"/>
              </w:rPr>
              <w:t> </w:t>
            </w:r>
          </w:p>
        </w:tc>
        <w:tc>
          <w:tcPr>
            <w:tcW w:w="1171" w:type="pct"/>
            <w:shd w:val="clear" w:color="auto" w:fill="92D050"/>
            <w:hideMark/>
          </w:tcPr>
          <w:p w:rsidR="00814E82" w:rsidRPr="00F37795" w:rsidRDefault="00814E82"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szCs w:val="20"/>
                <w:lang w:val="ro-RO" w:eastAsia="ro-RO"/>
              </w:rPr>
            </w:pPr>
            <w:r w:rsidRPr="00F37795">
              <w:rPr>
                <w:rFonts w:ascii="Arial" w:eastAsia="Times New Roman" w:hAnsi="Arial" w:cs="Arial"/>
                <w:b/>
                <w:sz w:val="20"/>
                <w:szCs w:val="20"/>
                <w:lang w:val="ro-RO" w:eastAsia="ro-RO"/>
              </w:rPr>
              <w:t>NH</w:t>
            </w:r>
            <w:r w:rsidRPr="00F37795">
              <w:rPr>
                <w:rFonts w:ascii="Arial" w:eastAsia="Times New Roman" w:hAnsi="Arial" w:cs="Arial"/>
                <w:b/>
                <w:sz w:val="20"/>
                <w:szCs w:val="20"/>
                <w:vertAlign w:val="subscript"/>
                <w:lang w:val="ro-RO" w:eastAsia="ro-RO"/>
              </w:rPr>
              <w:t>3</w:t>
            </w:r>
          </w:p>
        </w:tc>
        <w:tc>
          <w:tcPr>
            <w:tcW w:w="1171" w:type="pct"/>
            <w:shd w:val="clear" w:color="auto" w:fill="92D050"/>
          </w:tcPr>
          <w:p w:rsidR="00814E82" w:rsidRPr="00F37795" w:rsidRDefault="00814E82"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szCs w:val="20"/>
                <w:lang w:val="ro-RO" w:eastAsia="ro-RO"/>
              </w:rPr>
            </w:pPr>
            <w:r w:rsidRPr="00F37795">
              <w:rPr>
                <w:rFonts w:ascii="Arial" w:eastAsia="Times New Roman" w:hAnsi="Arial" w:cs="Arial"/>
                <w:b/>
                <w:sz w:val="20"/>
                <w:szCs w:val="20"/>
                <w:lang w:val="ro-RO" w:eastAsia="ro-RO"/>
              </w:rPr>
              <w:t>SO</w:t>
            </w:r>
            <w:r w:rsidRPr="00F37795">
              <w:rPr>
                <w:rFonts w:ascii="Arial" w:eastAsia="Times New Roman" w:hAnsi="Arial" w:cs="Arial"/>
                <w:b/>
                <w:sz w:val="20"/>
                <w:szCs w:val="20"/>
                <w:vertAlign w:val="subscript"/>
                <w:lang w:val="ro-RO" w:eastAsia="ro-RO"/>
              </w:rPr>
              <w:t>2</w:t>
            </w:r>
          </w:p>
        </w:tc>
      </w:tr>
      <w:tr w:rsidR="00F37795" w:rsidRPr="00F37795" w:rsidTr="00814E82">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658" w:type="pct"/>
            <w:noWrap/>
            <w:vAlign w:val="bottom"/>
            <w:hideMark/>
          </w:tcPr>
          <w:p w:rsidR="00814E82" w:rsidRPr="00F37795" w:rsidRDefault="00814E82" w:rsidP="00814E82">
            <w:pPr>
              <w:rPr>
                <w:rFonts w:ascii="Arial" w:eastAsia="Times New Roman" w:hAnsi="Arial" w:cs="Arial"/>
                <w:b/>
                <w:bCs/>
                <w:sz w:val="20"/>
                <w:szCs w:val="20"/>
                <w:lang w:val="ro-RO" w:eastAsia="ro-RO"/>
              </w:rPr>
            </w:pPr>
            <w:r w:rsidRPr="00F37795">
              <w:rPr>
                <w:rFonts w:ascii="Arial" w:hAnsi="Arial" w:cs="Arial"/>
                <w:b/>
                <w:bCs/>
                <w:sz w:val="20"/>
                <w:szCs w:val="20"/>
              </w:rPr>
              <w:t>cantitate emisă (Kg)</w:t>
            </w:r>
          </w:p>
        </w:tc>
        <w:tc>
          <w:tcPr>
            <w:tcW w:w="1171" w:type="pct"/>
            <w:noWrap/>
            <w:vAlign w:val="center"/>
            <w:hideMark/>
          </w:tcPr>
          <w:p w:rsidR="00814E82" w:rsidRPr="00F37795"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F37795">
              <w:rPr>
                <w:rFonts w:ascii="Arial" w:hAnsi="Arial" w:cs="Arial"/>
                <w:sz w:val="20"/>
                <w:szCs w:val="20"/>
              </w:rPr>
              <w:t>98.8000</w:t>
            </w:r>
          </w:p>
        </w:tc>
        <w:tc>
          <w:tcPr>
            <w:tcW w:w="1171" w:type="pct"/>
            <w:vAlign w:val="center"/>
          </w:tcPr>
          <w:p w:rsidR="00814E82" w:rsidRPr="00F37795" w:rsidRDefault="00814E82" w:rsidP="00814E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795">
              <w:rPr>
                <w:rFonts w:ascii="Arial" w:hAnsi="Arial" w:cs="Arial"/>
                <w:sz w:val="20"/>
                <w:szCs w:val="20"/>
              </w:rPr>
              <w:t>1679.1182</w:t>
            </w:r>
          </w:p>
        </w:tc>
      </w:tr>
      <w:tr w:rsidR="00F37795" w:rsidRPr="00F37795" w:rsidTr="00814E82">
        <w:trPr>
          <w:cnfStyle w:val="000000010000" w:firstRow="0" w:lastRow="0" w:firstColumn="0" w:lastColumn="0" w:oddVBand="0" w:evenVBand="0" w:oddHBand="0" w:evenHBand="1"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2658" w:type="pct"/>
            <w:noWrap/>
            <w:vAlign w:val="bottom"/>
            <w:hideMark/>
          </w:tcPr>
          <w:p w:rsidR="00814E82" w:rsidRPr="00F37795" w:rsidRDefault="00814E82" w:rsidP="00814E82">
            <w:pPr>
              <w:rPr>
                <w:rFonts w:ascii="Arial" w:hAnsi="Arial" w:cs="Arial"/>
                <w:b/>
                <w:bCs/>
                <w:sz w:val="20"/>
                <w:szCs w:val="20"/>
              </w:rPr>
            </w:pPr>
            <w:r w:rsidRPr="00F37795">
              <w:rPr>
                <w:rFonts w:ascii="Arial" w:hAnsi="Arial" w:cs="Arial"/>
                <w:b/>
                <w:bCs/>
                <w:sz w:val="20"/>
                <w:szCs w:val="20"/>
              </w:rPr>
              <w:t>% din emisia totală</w:t>
            </w:r>
          </w:p>
        </w:tc>
        <w:tc>
          <w:tcPr>
            <w:tcW w:w="1171" w:type="pct"/>
            <w:noWrap/>
            <w:vAlign w:val="bottom"/>
            <w:hideMark/>
          </w:tcPr>
          <w:p w:rsidR="00814E82" w:rsidRPr="00F37795"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F37795">
              <w:rPr>
                <w:rFonts w:ascii="Arial" w:hAnsi="Arial" w:cs="Arial"/>
                <w:sz w:val="20"/>
                <w:szCs w:val="20"/>
              </w:rPr>
              <w:t>0.0031</w:t>
            </w:r>
          </w:p>
        </w:tc>
        <w:tc>
          <w:tcPr>
            <w:tcW w:w="1171" w:type="pct"/>
            <w:vAlign w:val="bottom"/>
          </w:tcPr>
          <w:p w:rsidR="00814E82" w:rsidRPr="00F37795" w:rsidRDefault="00814E82" w:rsidP="00814E82">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F37795">
              <w:rPr>
                <w:rFonts w:ascii="Arial" w:hAnsi="Arial" w:cs="Arial"/>
                <w:sz w:val="20"/>
                <w:szCs w:val="20"/>
              </w:rPr>
              <w:t>100.0000</w:t>
            </w:r>
          </w:p>
        </w:tc>
      </w:tr>
    </w:tbl>
    <w:p w:rsidR="00743B28" w:rsidRPr="00F37795" w:rsidRDefault="00743B28" w:rsidP="00755618">
      <w:pPr>
        <w:tabs>
          <w:tab w:val="left" w:pos="851"/>
        </w:tabs>
        <w:jc w:val="center"/>
        <w:rPr>
          <w:rFonts w:ascii="Arial" w:hAnsi="Arial" w:cs="Arial"/>
          <w:lang w:val="ro-RO"/>
        </w:rPr>
      </w:pPr>
      <w:r w:rsidRPr="00F37795">
        <w:rPr>
          <w:rFonts w:ascii="Arial" w:hAnsi="Arial" w:cs="Arial"/>
          <w:sz w:val="20"/>
          <w:szCs w:val="20"/>
          <w:lang w:val="ro-RO"/>
        </w:rPr>
        <w:t>Sursa: Agenţia pentru Protecţia Mediului Bistriţa-Năsăud</w:t>
      </w:r>
    </w:p>
    <w:p w:rsidR="00743B28" w:rsidRPr="00F37795" w:rsidRDefault="00BF2909" w:rsidP="00755618">
      <w:pPr>
        <w:tabs>
          <w:tab w:val="left" w:pos="851"/>
          <w:tab w:val="left" w:pos="1134"/>
          <w:tab w:val="left" w:leader="dot" w:pos="9356"/>
        </w:tabs>
        <w:jc w:val="both"/>
        <w:rPr>
          <w:rFonts w:ascii="Arial" w:hAnsi="Arial" w:cs="Arial"/>
          <w:sz w:val="22"/>
          <w:szCs w:val="22"/>
          <w:lang w:val="ro-RO"/>
        </w:rPr>
      </w:pPr>
      <w:r w:rsidRPr="00F37795">
        <w:rPr>
          <w:rFonts w:ascii="Arial" w:hAnsi="Arial" w:cs="Arial"/>
          <w:sz w:val="22"/>
          <w:szCs w:val="22"/>
          <w:lang w:val="ro-RO"/>
        </w:rPr>
        <w:tab/>
      </w:r>
    </w:p>
    <w:p w:rsidR="00BF2909" w:rsidRPr="00F37795" w:rsidRDefault="00BF2909" w:rsidP="00755618">
      <w:pPr>
        <w:tabs>
          <w:tab w:val="left" w:pos="851"/>
          <w:tab w:val="left" w:pos="1134"/>
          <w:tab w:val="left" w:leader="dot" w:pos="9356"/>
        </w:tabs>
        <w:jc w:val="both"/>
        <w:rPr>
          <w:rFonts w:ascii="Arial" w:hAnsi="Arial" w:cs="Arial"/>
          <w:sz w:val="22"/>
          <w:szCs w:val="22"/>
          <w:lang w:val="ro-RO"/>
        </w:rPr>
      </w:pPr>
      <w:r w:rsidRPr="00F37795">
        <w:rPr>
          <w:rFonts w:ascii="Arial" w:hAnsi="Arial" w:cs="Arial"/>
          <w:sz w:val="22"/>
          <w:szCs w:val="22"/>
          <w:lang w:val="ro-RO"/>
        </w:rPr>
        <w:tab/>
      </w:r>
      <w:r w:rsidR="00F37795">
        <w:rPr>
          <w:rFonts w:ascii="Arial" w:hAnsi="Arial" w:cs="Arial"/>
          <w:sz w:val="22"/>
          <w:szCs w:val="22"/>
          <w:lang w:val="ro-RO"/>
        </w:rPr>
        <w:t>Emisiile de SO2</w:t>
      </w:r>
      <w:r w:rsidRPr="00F37795">
        <w:rPr>
          <w:rFonts w:ascii="Arial" w:hAnsi="Arial" w:cs="Arial"/>
          <w:sz w:val="22"/>
          <w:szCs w:val="22"/>
          <w:lang w:val="ro-RO"/>
        </w:rPr>
        <w:t xml:space="preserve"> provin din fabricarea bateriilor și </w:t>
      </w:r>
      <w:r w:rsidR="00F37795">
        <w:rPr>
          <w:rFonts w:ascii="Arial" w:hAnsi="Arial" w:cs="Arial"/>
          <w:sz w:val="22"/>
          <w:szCs w:val="22"/>
          <w:lang w:val="ro-RO"/>
        </w:rPr>
        <w:t>cele de NH3</w:t>
      </w:r>
      <w:r w:rsidRPr="00F37795">
        <w:rPr>
          <w:rFonts w:ascii="Arial" w:hAnsi="Arial" w:cs="Arial"/>
          <w:sz w:val="22"/>
          <w:szCs w:val="22"/>
          <w:lang w:val="ro-RO"/>
        </w:rPr>
        <w:t xml:space="preserve"> din procesul de decapare ca etapă a activității de galvanizare.</w:t>
      </w:r>
    </w:p>
    <w:p w:rsidR="00743B28" w:rsidRPr="006B01A5" w:rsidRDefault="00743B28" w:rsidP="00755618">
      <w:pPr>
        <w:tabs>
          <w:tab w:val="left" w:pos="851"/>
        </w:tabs>
        <w:jc w:val="center"/>
        <w:rPr>
          <w:rFonts w:ascii="Arial" w:hAnsi="Arial" w:cs="Arial"/>
          <w:color w:val="FF0000"/>
          <w:lang w:val="ro-RO"/>
        </w:rPr>
      </w:pPr>
    </w:p>
    <w:p w:rsidR="00743B28" w:rsidRPr="0047694F" w:rsidRDefault="00743B28" w:rsidP="00755618">
      <w:pPr>
        <w:pStyle w:val="Listparagraf"/>
        <w:numPr>
          <w:ilvl w:val="0"/>
          <w:numId w:val="8"/>
        </w:numPr>
        <w:tabs>
          <w:tab w:val="left" w:pos="851"/>
          <w:tab w:val="left" w:pos="1134"/>
          <w:tab w:val="left" w:leader="dot" w:pos="9356"/>
        </w:tabs>
        <w:ind w:left="0" w:firstLine="0"/>
        <w:rPr>
          <w:rFonts w:ascii="Arial" w:hAnsi="Arial" w:cs="Arial"/>
          <w:b/>
          <w:lang w:val="ro-RO"/>
        </w:rPr>
      </w:pPr>
      <w:r w:rsidRPr="0047694F">
        <w:rPr>
          <w:rFonts w:ascii="Arial" w:hAnsi="Arial" w:cs="Arial"/>
          <w:b/>
          <w:u w:val="single"/>
          <w:lang w:val="ro-RO"/>
        </w:rPr>
        <w:t>Emisiile de precursori ai ozonului</w:t>
      </w:r>
    </w:p>
    <w:p w:rsidR="00743B28" w:rsidRPr="00F37795" w:rsidRDefault="00743B28" w:rsidP="00755618">
      <w:pPr>
        <w:pStyle w:val="Listparagraf"/>
        <w:tabs>
          <w:tab w:val="left" w:pos="851"/>
          <w:tab w:val="left" w:pos="1134"/>
          <w:tab w:val="left" w:leader="dot" w:pos="9356"/>
        </w:tabs>
        <w:ind w:left="0"/>
        <w:rPr>
          <w:rFonts w:ascii="Arial" w:hAnsi="Arial" w:cs="Arial"/>
          <w:lang w:val="ro-RO"/>
        </w:rPr>
      </w:pPr>
    </w:p>
    <w:p w:rsidR="00743B28" w:rsidRPr="00F37795"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F37795">
        <w:rPr>
          <w:rFonts w:ascii="Arial" w:hAnsi="Arial" w:cs="Arial"/>
          <w:b/>
          <w:sz w:val="22"/>
          <w:szCs w:val="22"/>
          <w:lang w:val="ro-RO"/>
        </w:rPr>
        <w:t>Tabel I.2.1.2.</w:t>
      </w:r>
      <w:r w:rsidR="00A27379" w:rsidRPr="00F37795">
        <w:rPr>
          <w:rFonts w:ascii="Arial" w:hAnsi="Arial" w:cs="Arial"/>
          <w:b/>
          <w:sz w:val="22"/>
          <w:szCs w:val="22"/>
          <w:lang w:val="ro-RO"/>
        </w:rPr>
        <w:t>1</w:t>
      </w:r>
      <w:r w:rsidRPr="00F37795">
        <w:rPr>
          <w:rFonts w:ascii="Arial" w:hAnsi="Arial" w:cs="Arial"/>
          <w:b/>
          <w:sz w:val="22"/>
          <w:szCs w:val="22"/>
          <w:lang w:val="ro-RO"/>
        </w:rPr>
        <w:t>.</w:t>
      </w:r>
    </w:p>
    <w:p w:rsidR="00743B28" w:rsidRPr="00F37795" w:rsidRDefault="00743B28" w:rsidP="00755618">
      <w:pPr>
        <w:pStyle w:val="Listparagraf"/>
        <w:tabs>
          <w:tab w:val="left" w:pos="851"/>
          <w:tab w:val="left" w:pos="1134"/>
          <w:tab w:val="left" w:leader="dot" w:pos="9356"/>
        </w:tabs>
        <w:ind w:left="0"/>
        <w:jc w:val="center"/>
        <w:rPr>
          <w:rFonts w:ascii="Arial" w:hAnsi="Arial" w:cs="Arial"/>
          <w:b/>
          <w:sz w:val="22"/>
          <w:szCs w:val="22"/>
          <w:lang w:val="ro-RO" w:eastAsia="ro-RO"/>
        </w:rPr>
      </w:pPr>
      <w:r w:rsidRPr="00F37795">
        <w:rPr>
          <w:rFonts w:ascii="Arial" w:hAnsi="Arial" w:cs="Arial"/>
          <w:b/>
          <w:sz w:val="22"/>
          <w:szCs w:val="22"/>
          <w:lang w:val="ro-RO" w:eastAsia="ro-RO"/>
        </w:rPr>
        <w:t xml:space="preserve">Emisiile de </w:t>
      </w:r>
      <w:r w:rsidRPr="00F37795">
        <w:rPr>
          <w:rFonts w:ascii="Arial" w:hAnsi="Arial" w:cs="Arial"/>
          <w:b/>
          <w:i/>
          <w:sz w:val="22"/>
          <w:szCs w:val="22"/>
          <w:lang w:val="ro-RO" w:eastAsia="ro-RO"/>
        </w:rPr>
        <w:t>precursori ai ozonului</w:t>
      </w:r>
      <w:r w:rsidRPr="00F37795">
        <w:rPr>
          <w:rFonts w:ascii="Arial" w:hAnsi="Arial" w:cs="Arial"/>
          <w:b/>
          <w:sz w:val="22"/>
          <w:szCs w:val="22"/>
          <w:lang w:val="ro-RO" w:eastAsia="ro-RO"/>
        </w:rPr>
        <w:t xml:space="preserve"> </w:t>
      </w:r>
      <w:r w:rsidRPr="00F37795">
        <w:rPr>
          <w:rFonts w:ascii="Arial" w:hAnsi="Arial" w:cs="Arial"/>
          <w:b/>
          <w:i/>
          <w:sz w:val="22"/>
          <w:szCs w:val="22"/>
          <w:lang w:val="ro-RO" w:eastAsia="ro-RO"/>
        </w:rPr>
        <w:t>proveniți din sectorul industrial</w:t>
      </w:r>
      <w:r w:rsidRPr="00F37795">
        <w:rPr>
          <w:rFonts w:ascii="Arial" w:hAnsi="Arial" w:cs="Arial"/>
          <w:b/>
          <w:sz w:val="22"/>
          <w:szCs w:val="22"/>
          <w:lang w:val="ro-RO" w:eastAsia="ro-RO"/>
        </w:rPr>
        <w:t>,</w:t>
      </w:r>
    </w:p>
    <w:p w:rsidR="00743B28" w:rsidRPr="00F37795"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F37795">
        <w:rPr>
          <w:rFonts w:ascii="Arial" w:hAnsi="Arial" w:cs="Arial"/>
          <w:b/>
          <w:sz w:val="22"/>
          <w:szCs w:val="22"/>
          <w:lang w:val="ro-RO" w:eastAsia="ro-RO"/>
        </w:rPr>
        <w:t xml:space="preserve"> județul Bistrița-Năsăud, anul </w:t>
      </w:r>
      <w:r w:rsidR="005964E0" w:rsidRPr="00F37795">
        <w:rPr>
          <w:rFonts w:ascii="Arial" w:hAnsi="Arial" w:cs="Arial"/>
          <w:b/>
          <w:sz w:val="22"/>
          <w:szCs w:val="22"/>
          <w:lang w:val="ro-RO" w:eastAsia="ro-RO"/>
        </w:rPr>
        <w:t>2021</w:t>
      </w:r>
    </w:p>
    <w:tbl>
      <w:tblPr>
        <w:tblStyle w:val="Style1"/>
        <w:tblW w:w="5000" w:type="pct"/>
        <w:tblLook w:val="04A0" w:firstRow="1" w:lastRow="0" w:firstColumn="1" w:lastColumn="0" w:noHBand="0" w:noVBand="1"/>
      </w:tblPr>
      <w:tblGrid>
        <w:gridCol w:w="3200"/>
        <w:gridCol w:w="1924"/>
        <w:gridCol w:w="2115"/>
        <w:gridCol w:w="2115"/>
      </w:tblGrid>
      <w:tr w:rsidR="00F37795" w:rsidRPr="00F37795" w:rsidTr="00F3779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8" w:type="pct"/>
            <w:hideMark/>
          </w:tcPr>
          <w:p w:rsidR="00F37795" w:rsidRPr="00F37795" w:rsidRDefault="00F37795" w:rsidP="00755618">
            <w:pPr>
              <w:rPr>
                <w:rFonts w:ascii="Arial" w:eastAsia="Times New Roman" w:hAnsi="Arial" w:cs="Arial"/>
                <w:b/>
                <w:bCs/>
                <w:sz w:val="22"/>
                <w:szCs w:val="22"/>
                <w:lang w:val="ro-RO" w:eastAsia="ro-RO"/>
              </w:rPr>
            </w:pPr>
            <w:r w:rsidRPr="00F37795">
              <w:rPr>
                <w:rFonts w:ascii="Arial" w:eastAsia="Times New Roman" w:hAnsi="Arial" w:cs="Arial"/>
                <w:b/>
                <w:bCs/>
                <w:sz w:val="22"/>
                <w:szCs w:val="22"/>
                <w:lang w:val="ro-RO" w:eastAsia="ro-RO"/>
              </w:rPr>
              <w:t> </w:t>
            </w:r>
          </w:p>
        </w:tc>
        <w:tc>
          <w:tcPr>
            <w:tcW w:w="1029" w:type="pct"/>
            <w:hideMark/>
          </w:tcPr>
          <w:p w:rsidR="00F37795" w:rsidRPr="00F37795" w:rsidRDefault="00F37795" w:rsidP="00F3779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F37795">
              <w:rPr>
                <w:rFonts w:ascii="Arial" w:eastAsia="Times New Roman" w:hAnsi="Arial" w:cs="Arial"/>
                <w:b/>
                <w:bCs/>
                <w:sz w:val="22"/>
                <w:szCs w:val="22"/>
                <w:lang w:val="ro-RO" w:eastAsia="ro-RO"/>
              </w:rPr>
              <w:t>CO</w:t>
            </w:r>
          </w:p>
        </w:tc>
        <w:tc>
          <w:tcPr>
            <w:tcW w:w="1131" w:type="pct"/>
            <w:hideMark/>
          </w:tcPr>
          <w:p w:rsidR="00F37795" w:rsidRPr="00F37795" w:rsidRDefault="00F37795"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sidRPr="00F37795">
              <w:rPr>
                <w:rFonts w:ascii="Arial" w:eastAsia="Times New Roman" w:hAnsi="Arial" w:cs="Arial"/>
                <w:b/>
                <w:bCs/>
                <w:sz w:val="22"/>
                <w:szCs w:val="22"/>
                <w:lang w:val="ro-RO" w:eastAsia="ro-RO"/>
              </w:rPr>
              <w:t xml:space="preserve">NMVOC </w:t>
            </w:r>
          </w:p>
        </w:tc>
        <w:tc>
          <w:tcPr>
            <w:tcW w:w="1131" w:type="pct"/>
          </w:tcPr>
          <w:p w:rsidR="00F37795" w:rsidRPr="00F37795" w:rsidRDefault="00F37795"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ro-RO" w:eastAsia="ro-RO"/>
              </w:rPr>
            </w:pPr>
            <w:r>
              <w:rPr>
                <w:rFonts w:ascii="Arial" w:eastAsia="Times New Roman" w:hAnsi="Arial" w:cs="Arial"/>
                <w:b/>
                <w:bCs/>
                <w:sz w:val="22"/>
                <w:szCs w:val="22"/>
                <w:lang w:val="ro-RO" w:eastAsia="ro-RO"/>
              </w:rPr>
              <w:t>NOx</w:t>
            </w:r>
          </w:p>
        </w:tc>
      </w:tr>
      <w:tr w:rsidR="00F37795" w:rsidRPr="00F37795" w:rsidTr="00F377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8" w:type="pct"/>
            <w:hideMark/>
          </w:tcPr>
          <w:p w:rsidR="00F37795" w:rsidRPr="00F37795" w:rsidRDefault="00F37795" w:rsidP="00755618">
            <w:pPr>
              <w:rPr>
                <w:rFonts w:ascii="Arial" w:eastAsia="Times New Roman" w:hAnsi="Arial" w:cs="Arial"/>
                <w:sz w:val="22"/>
                <w:szCs w:val="22"/>
                <w:lang w:val="ro-RO" w:eastAsia="ro-RO"/>
              </w:rPr>
            </w:pPr>
            <w:r w:rsidRPr="00F37795">
              <w:rPr>
                <w:rFonts w:ascii="Arial" w:eastAsia="Times New Roman" w:hAnsi="Arial" w:cs="Arial"/>
                <w:sz w:val="22"/>
                <w:szCs w:val="22"/>
                <w:lang w:val="ro-RO" w:eastAsia="ro-RO"/>
              </w:rPr>
              <w:t>cantitatea de poluant (Mg)</w:t>
            </w:r>
          </w:p>
        </w:tc>
        <w:tc>
          <w:tcPr>
            <w:tcW w:w="1029" w:type="pct"/>
            <w:noWrap/>
            <w:vAlign w:val="bottom"/>
          </w:tcPr>
          <w:p w:rsidR="00F37795" w:rsidRPr="00F37795" w:rsidRDefault="00F37795" w:rsidP="00BF29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37795">
              <w:rPr>
                <w:rFonts w:ascii="Arial" w:hAnsi="Arial" w:cs="Arial"/>
                <w:sz w:val="22"/>
                <w:szCs w:val="22"/>
              </w:rPr>
              <w:t>75,669</w:t>
            </w:r>
          </w:p>
        </w:tc>
        <w:tc>
          <w:tcPr>
            <w:tcW w:w="1131" w:type="pct"/>
            <w:noWrap/>
            <w:vAlign w:val="bottom"/>
          </w:tcPr>
          <w:p w:rsidR="00F37795" w:rsidRPr="00F37795" w:rsidRDefault="00F37795" w:rsidP="00BF29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37795">
              <w:rPr>
                <w:rFonts w:ascii="Arial" w:hAnsi="Arial" w:cs="Arial"/>
                <w:sz w:val="22"/>
                <w:szCs w:val="22"/>
              </w:rPr>
              <w:t>234,655</w:t>
            </w:r>
          </w:p>
        </w:tc>
        <w:tc>
          <w:tcPr>
            <w:tcW w:w="1131" w:type="pct"/>
          </w:tcPr>
          <w:p w:rsidR="00F37795" w:rsidRPr="00F37795" w:rsidRDefault="00F37795" w:rsidP="00BF290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38,748</w:t>
            </w:r>
          </w:p>
        </w:tc>
      </w:tr>
      <w:tr w:rsidR="00F37795" w:rsidRPr="00F37795" w:rsidTr="00F3779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8" w:type="pct"/>
            <w:noWrap/>
            <w:hideMark/>
          </w:tcPr>
          <w:p w:rsidR="00F37795" w:rsidRPr="00F37795" w:rsidRDefault="00F37795" w:rsidP="00755618">
            <w:pPr>
              <w:rPr>
                <w:rFonts w:ascii="Arial" w:eastAsia="Times New Roman" w:hAnsi="Arial" w:cs="Arial"/>
                <w:sz w:val="22"/>
                <w:szCs w:val="22"/>
                <w:lang w:val="ro-RO" w:eastAsia="ro-RO"/>
              </w:rPr>
            </w:pPr>
            <w:r w:rsidRPr="00F37795">
              <w:rPr>
                <w:rFonts w:ascii="Arial" w:eastAsia="Times New Roman" w:hAnsi="Arial" w:cs="Arial"/>
                <w:sz w:val="22"/>
                <w:szCs w:val="22"/>
                <w:lang w:val="ro-RO" w:eastAsia="ro-RO"/>
              </w:rPr>
              <w:t>ponderea din emisia totală (%)</w:t>
            </w:r>
          </w:p>
        </w:tc>
        <w:tc>
          <w:tcPr>
            <w:tcW w:w="1029" w:type="pct"/>
            <w:noWrap/>
            <w:vAlign w:val="bottom"/>
          </w:tcPr>
          <w:p w:rsidR="00F37795" w:rsidRPr="00F37795" w:rsidRDefault="00F37795" w:rsidP="00BF290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37795">
              <w:rPr>
                <w:rFonts w:ascii="Arial" w:hAnsi="Arial" w:cs="Arial"/>
                <w:sz w:val="22"/>
                <w:szCs w:val="22"/>
              </w:rPr>
              <w:t>0,55</w:t>
            </w:r>
          </w:p>
        </w:tc>
        <w:tc>
          <w:tcPr>
            <w:tcW w:w="1131" w:type="pct"/>
            <w:noWrap/>
            <w:vAlign w:val="bottom"/>
          </w:tcPr>
          <w:p w:rsidR="00F37795" w:rsidRPr="00F37795" w:rsidRDefault="00F37795" w:rsidP="00BF290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37795">
              <w:rPr>
                <w:rFonts w:ascii="Arial" w:hAnsi="Arial" w:cs="Arial"/>
                <w:sz w:val="22"/>
                <w:szCs w:val="22"/>
              </w:rPr>
              <w:t>5,89</w:t>
            </w:r>
          </w:p>
        </w:tc>
        <w:tc>
          <w:tcPr>
            <w:tcW w:w="1131" w:type="pct"/>
          </w:tcPr>
          <w:p w:rsidR="00F37795" w:rsidRPr="00F37795" w:rsidRDefault="00F37795" w:rsidP="00BF2909">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2,00</w:t>
            </w:r>
          </w:p>
        </w:tc>
      </w:tr>
    </w:tbl>
    <w:p w:rsidR="00743B28" w:rsidRPr="00F37795" w:rsidRDefault="00743B28" w:rsidP="00755618">
      <w:pPr>
        <w:tabs>
          <w:tab w:val="left" w:pos="851"/>
        </w:tabs>
        <w:jc w:val="center"/>
        <w:rPr>
          <w:rFonts w:ascii="Arial" w:hAnsi="Arial" w:cs="Arial"/>
          <w:sz w:val="20"/>
          <w:szCs w:val="20"/>
          <w:lang w:val="ro-RO"/>
        </w:rPr>
      </w:pPr>
      <w:r w:rsidRPr="00F37795">
        <w:rPr>
          <w:rFonts w:ascii="Arial" w:hAnsi="Arial" w:cs="Arial"/>
          <w:sz w:val="20"/>
          <w:szCs w:val="20"/>
          <w:lang w:val="ro-RO"/>
        </w:rPr>
        <w:t>Sursa: Agenţia pentru Protecţia Mediului Bistriţa-Năsăud</w:t>
      </w:r>
    </w:p>
    <w:p w:rsidR="00743B28" w:rsidRPr="001A49D3" w:rsidRDefault="00743B28" w:rsidP="00755618">
      <w:pPr>
        <w:tabs>
          <w:tab w:val="left" w:pos="851"/>
        </w:tabs>
        <w:jc w:val="both"/>
        <w:rPr>
          <w:rFonts w:ascii="Arial" w:hAnsi="Arial" w:cs="Arial"/>
          <w:lang w:val="ro-RO"/>
        </w:rPr>
      </w:pPr>
    </w:p>
    <w:p w:rsidR="00743B28" w:rsidRPr="001A49D3" w:rsidRDefault="00743B28" w:rsidP="00755618">
      <w:pPr>
        <w:tabs>
          <w:tab w:val="left" w:pos="851"/>
          <w:tab w:val="left" w:pos="1134"/>
          <w:tab w:val="left" w:leader="dot" w:pos="9356"/>
        </w:tabs>
        <w:jc w:val="center"/>
        <w:rPr>
          <w:rFonts w:ascii="Arial" w:hAnsi="Arial" w:cs="Arial"/>
          <w:b/>
          <w:sz w:val="22"/>
          <w:szCs w:val="22"/>
          <w:lang w:val="ro-RO"/>
        </w:rPr>
      </w:pPr>
      <w:r w:rsidRPr="001A49D3">
        <w:rPr>
          <w:rFonts w:ascii="Arial" w:hAnsi="Arial" w:cs="Arial"/>
          <w:b/>
          <w:sz w:val="22"/>
          <w:szCs w:val="22"/>
          <w:lang w:val="ro-RO"/>
        </w:rPr>
        <w:t>Figura I.2.1.2.2.</w:t>
      </w:r>
    </w:p>
    <w:p w:rsidR="00743B28" w:rsidRPr="001A49D3" w:rsidRDefault="00743B28" w:rsidP="00755618">
      <w:pPr>
        <w:tabs>
          <w:tab w:val="left" w:pos="851"/>
          <w:tab w:val="left" w:pos="1134"/>
          <w:tab w:val="left" w:leader="dot" w:pos="9356"/>
        </w:tabs>
        <w:jc w:val="center"/>
        <w:rPr>
          <w:rFonts w:ascii="Arial" w:hAnsi="Arial" w:cs="Arial"/>
          <w:b/>
          <w:bCs/>
          <w:sz w:val="22"/>
          <w:szCs w:val="22"/>
          <w:lang w:val="ro-RO"/>
        </w:rPr>
      </w:pPr>
      <w:r w:rsidRPr="001A49D3">
        <w:rPr>
          <w:rFonts w:ascii="Arial" w:hAnsi="Arial" w:cs="Arial"/>
          <w:b/>
          <w:bCs/>
          <w:i/>
          <w:sz w:val="22"/>
          <w:szCs w:val="22"/>
          <w:lang w:val="ro-RO"/>
        </w:rPr>
        <w:t>Emisiile de NMVOC din sectorul industrial</w:t>
      </w:r>
      <w:r w:rsidRPr="001A49D3">
        <w:rPr>
          <w:rFonts w:ascii="Arial" w:hAnsi="Arial" w:cs="Arial"/>
          <w:b/>
          <w:bCs/>
          <w:sz w:val="22"/>
          <w:szCs w:val="22"/>
          <w:lang w:val="ro-RO"/>
        </w:rPr>
        <w:t xml:space="preserve"> (to) pe tipuri de activități </w:t>
      </w:r>
    </w:p>
    <w:p w:rsidR="00743B28" w:rsidRPr="001A49D3" w:rsidRDefault="00743B28" w:rsidP="00755618">
      <w:pPr>
        <w:tabs>
          <w:tab w:val="left" w:pos="851"/>
          <w:tab w:val="left" w:pos="1134"/>
          <w:tab w:val="left" w:leader="dot" w:pos="9356"/>
        </w:tabs>
        <w:jc w:val="center"/>
        <w:rPr>
          <w:rFonts w:ascii="Arial" w:hAnsi="Arial" w:cs="Arial"/>
          <w:b/>
          <w:bCs/>
          <w:sz w:val="22"/>
          <w:szCs w:val="22"/>
          <w:lang w:val="ro-RO"/>
        </w:rPr>
      </w:pPr>
      <w:r w:rsidRPr="001A49D3">
        <w:rPr>
          <w:rFonts w:ascii="Arial" w:hAnsi="Arial" w:cs="Arial"/>
          <w:b/>
          <w:bCs/>
          <w:sz w:val="22"/>
          <w:szCs w:val="22"/>
          <w:lang w:val="ro-RO"/>
        </w:rPr>
        <w:t xml:space="preserve">județul Bistrița-Năsăud, anul </w:t>
      </w:r>
      <w:r w:rsidR="005964E0" w:rsidRPr="001A49D3">
        <w:rPr>
          <w:rFonts w:ascii="Arial" w:hAnsi="Arial" w:cs="Arial"/>
          <w:b/>
          <w:bCs/>
          <w:sz w:val="22"/>
          <w:szCs w:val="22"/>
          <w:lang w:val="ro-RO"/>
        </w:rPr>
        <w:t>2021</w:t>
      </w:r>
    </w:p>
    <w:p w:rsidR="00743B28" w:rsidRPr="006B01A5" w:rsidRDefault="001A49D3" w:rsidP="00755618">
      <w:pPr>
        <w:tabs>
          <w:tab w:val="left" w:pos="851"/>
          <w:tab w:val="left" w:pos="1134"/>
          <w:tab w:val="left" w:leader="dot" w:pos="9356"/>
        </w:tabs>
        <w:jc w:val="center"/>
        <w:rPr>
          <w:rFonts w:ascii="Arial" w:hAnsi="Arial" w:cs="Arial"/>
          <w:b/>
          <w:bCs/>
          <w:color w:val="FF0000"/>
          <w:sz w:val="22"/>
          <w:szCs w:val="22"/>
          <w:lang w:val="ro-RO"/>
        </w:rPr>
      </w:pPr>
      <w:r>
        <w:rPr>
          <w:noProof/>
          <w:lang w:val="en-US"/>
        </w:rPr>
        <w:drawing>
          <wp:inline distT="0" distB="0" distL="0" distR="0" wp14:anchorId="7CCFE9CA" wp14:editId="6D7B7FD1">
            <wp:extent cx="4169410" cy="3352800"/>
            <wp:effectExtent l="0" t="0" r="2540" b="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43B28" w:rsidRPr="001A49D3" w:rsidRDefault="00743B28" w:rsidP="00755618">
      <w:pPr>
        <w:tabs>
          <w:tab w:val="left" w:pos="851"/>
        </w:tabs>
        <w:jc w:val="center"/>
        <w:rPr>
          <w:rFonts w:ascii="Arial" w:hAnsi="Arial" w:cs="Arial"/>
          <w:sz w:val="20"/>
          <w:szCs w:val="20"/>
          <w:lang w:val="ro-RO"/>
        </w:rPr>
      </w:pPr>
      <w:r w:rsidRPr="001A49D3">
        <w:rPr>
          <w:rFonts w:ascii="Arial" w:hAnsi="Arial" w:cs="Arial"/>
          <w:sz w:val="20"/>
          <w:szCs w:val="20"/>
          <w:lang w:val="ro-RO"/>
        </w:rPr>
        <w:t>Sursa: Agenţia pentru Protecţia Mediului Bistriţa-Năsăud</w:t>
      </w:r>
    </w:p>
    <w:p w:rsidR="00743B28" w:rsidRPr="006B01A5" w:rsidRDefault="00743B28" w:rsidP="00755618">
      <w:pPr>
        <w:tabs>
          <w:tab w:val="left" w:pos="851"/>
        </w:tabs>
        <w:jc w:val="center"/>
        <w:rPr>
          <w:rFonts w:ascii="Arial" w:hAnsi="Arial" w:cs="Arial"/>
          <w:color w:val="FF0000"/>
          <w:sz w:val="20"/>
          <w:szCs w:val="20"/>
          <w:lang w:val="ro-RO"/>
        </w:rPr>
      </w:pPr>
    </w:p>
    <w:p w:rsidR="00743B28" w:rsidRPr="00F37795" w:rsidRDefault="00743B28" w:rsidP="00755618">
      <w:pPr>
        <w:pStyle w:val="Listparagraf"/>
        <w:numPr>
          <w:ilvl w:val="0"/>
          <w:numId w:val="8"/>
        </w:numPr>
        <w:tabs>
          <w:tab w:val="left" w:pos="851"/>
          <w:tab w:val="left" w:pos="1134"/>
          <w:tab w:val="left" w:leader="dot" w:pos="9356"/>
        </w:tabs>
        <w:ind w:left="0" w:firstLine="0"/>
        <w:rPr>
          <w:rFonts w:ascii="Arial" w:hAnsi="Arial" w:cs="Arial"/>
          <w:b/>
          <w:u w:val="single"/>
          <w:lang w:val="ro-RO"/>
        </w:rPr>
      </w:pPr>
      <w:r w:rsidRPr="00F37795">
        <w:rPr>
          <w:rFonts w:ascii="Arial" w:hAnsi="Arial" w:cs="Arial"/>
          <w:b/>
          <w:u w:val="single"/>
          <w:lang w:val="ro-RO"/>
        </w:rPr>
        <w:t>Emisiile de particule primare și precursori secundari de particule</w:t>
      </w:r>
    </w:p>
    <w:p w:rsidR="00743B28" w:rsidRPr="00F37795" w:rsidRDefault="00743B28" w:rsidP="00755618">
      <w:pPr>
        <w:pStyle w:val="Listparagraf"/>
        <w:tabs>
          <w:tab w:val="left" w:pos="851"/>
          <w:tab w:val="left" w:pos="1134"/>
          <w:tab w:val="left" w:leader="dot" w:pos="9356"/>
        </w:tabs>
        <w:ind w:left="0"/>
        <w:rPr>
          <w:rFonts w:ascii="Arial" w:hAnsi="Arial" w:cs="Arial"/>
          <w:u w:val="single"/>
          <w:lang w:val="ro-RO"/>
        </w:rPr>
      </w:pPr>
    </w:p>
    <w:p w:rsidR="00743B28" w:rsidRPr="00F37795"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F37795">
        <w:rPr>
          <w:rFonts w:ascii="Arial" w:hAnsi="Arial" w:cs="Arial"/>
          <w:b/>
          <w:sz w:val="22"/>
          <w:szCs w:val="22"/>
          <w:lang w:val="ro-RO"/>
        </w:rPr>
        <w:t>Tabel I.2.1.2.3.</w:t>
      </w:r>
    </w:p>
    <w:p w:rsidR="00743B28" w:rsidRPr="00F37795"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F37795">
        <w:rPr>
          <w:rFonts w:ascii="Arial" w:hAnsi="Arial" w:cs="Arial"/>
          <w:b/>
          <w:sz w:val="22"/>
          <w:szCs w:val="22"/>
          <w:lang w:val="ro-RO"/>
        </w:rPr>
        <w:t xml:space="preserve">Emisiile de </w:t>
      </w:r>
      <w:r w:rsidRPr="00F37795">
        <w:rPr>
          <w:rFonts w:ascii="Arial" w:hAnsi="Arial" w:cs="Arial"/>
          <w:b/>
          <w:i/>
          <w:sz w:val="22"/>
          <w:szCs w:val="22"/>
          <w:lang w:val="ro-RO"/>
        </w:rPr>
        <w:t xml:space="preserve">particule primare și precursori secundari de particule </w:t>
      </w:r>
      <w:r w:rsidRPr="00F4688D">
        <w:rPr>
          <w:rFonts w:ascii="Arial" w:hAnsi="Arial" w:cs="Arial"/>
          <w:b/>
          <w:sz w:val="22"/>
          <w:szCs w:val="22"/>
          <w:lang w:val="ro-RO"/>
        </w:rPr>
        <w:t>provenite din</w:t>
      </w:r>
      <w:r w:rsidRPr="00F37795">
        <w:rPr>
          <w:rFonts w:ascii="Arial" w:hAnsi="Arial" w:cs="Arial"/>
          <w:b/>
          <w:i/>
          <w:sz w:val="22"/>
          <w:szCs w:val="22"/>
          <w:lang w:val="ro-RO"/>
        </w:rPr>
        <w:t xml:space="preserve"> </w:t>
      </w:r>
      <w:r w:rsidRPr="00F4688D">
        <w:rPr>
          <w:rFonts w:ascii="Arial" w:hAnsi="Arial" w:cs="Arial"/>
          <w:b/>
          <w:i/>
          <w:sz w:val="22"/>
          <w:szCs w:val="22"/>
          <w:u w:val="single"/>
          <w:lang w:val="ro-RO"/>
        </w:rPr>
        <w:t>sectorul industrial</w:t>
      </w:r>
      <w:r w:rsidRPr="00F37795">
        <w:rPr>
          <w:rFonts w:ascii="Arial" w:hAnsi="Arial" w:cs="Arial"/>
          <w:b/>
          <w:sz w:val="22"/>
          <w:szCs w:val="22"/>
          <w:lang w:val="ro-RO"/>
        </w:rPr>
        <w:t xml:space="preserve">, județul Bistrița-Năsăud, anul </w:t>
      </w:r>
      <w:r w:rsidR="005964E0" w:rsidRPr="00F37795">
        <w:rPr>
          <w:rFonts w:ascii="Arial" w:hAnsi="Arial" w:cs="Arial"/>
          <w:b/>
          <w:sz w:val="22"/>
          <w:szCs w:val="22"/>
          <w:lang w:val="ro-RO"/>
        </w:rPr>
        <w:t>2021</w:t>
      </w:r>
    </w:p>
    <w:tbl>
      <w:tblPr>
        <w:tblStyle w:val="Style1"/>
        <w:tblW w:w="5000" w:type="pct"/>
        <w:tblLook w:val="04A0" w:firstRow="1" w:lastRow="0" w:firstColumn="1" w:lastColumn="0" w:noHBand="0" w:noVBand="1"/>
      </w:tblPr>
      <w:tblGrid>
        <w:gridCol w:w="4526"/>
        <w:gridCol w:w="1431"/>
        <w:gridCol w:w="1616"/>
        <w:gridCol w:w="1781"/>
      </w:tblGrid>
      <w:tr w:rsidR="006B01A5" w:rsidRPr="00F37795" w:rsidTr="00167BE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19" w:type="pct"/>
            <w:hideMark/>
          </w:tcPr>
          <w:p w:rsidR="00167BE8" w:rsidRPr="00F37795" w:rsidRDefault="00167BE8" w:rsidP="00755618">
            <w:pPr>
              <w:rPr>
                <w:rFonts w:ascii="Arial" w:eastAsia="Times New Roman" w:hAnsi="Arial" w:cs="Arial"/>
                <w:sz w:val="22"/>
                <w:szCs w:val="22"/>
                <w:lang w:val="ro-RO" w:eastAsia="ro-RO"/>
              </w:rPr>
            </w:pPr>
            <w:r w:rsidRPr="00F37795">
              <w:rPr>
                <w:rFonts w:ascii="Arial" w:eastAsia="Times New Roman" w:hAnsi="Arial" w:cs="Arial"/>
                <w:sz w:val="22"/>
                <w:szCs w:val="22"/>
                <w:lang w:val="ro-RO" w:eastAsia="ro-RO"/>
              </w:rPr>
              <w:t> </w:t>
            </w:r>
          </w:p>
        </w:tc>
        <w:tc>
          <w:tcPr>
            <w:tcW w:w="765" w:type="pct"/>
            <w:hideMark/>
          </w:tcPr>
          <w:p w:rsidR="00167BE8" w:rsidRPr="00F37795" w:rsidRDefault="00167BE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2"/>
                <w:szCs w:val="22"/>
                <w:lang w:val="ro-RO" w:eastAsia="ro-RO"/>
              </w:rPr>
            </w:pPr>
            <w:r w:rsidRPr="00F37795">
              <w:rPr>
                <w:rFonts w:ascii="Arial" w:eastAsia="Times New Roman" w:hAnsi="Arial" w:cs="Arial"/>
                <w:b/>
                <w:sz w:val="22"/>
                <w:szCs w:val="22"/>
                <w:lang w:val="ro-RO" w:eastAsia="ro-RO"/>
              </w:rPr>
              <w:t xml:space="preserve">SO2 </w:t>
            </w:r>
          </w:p>
        </w:tc>
        <w:tc>
          <w:tcPr>
            <w:tcW w:w="864" w:type="pct"/>
            <w:hideMark/>
          </w:tcPr>
          <w:p w:rsidR="00167BE8" w:rsidRPr="00F37795" w:rsidRDefault="00167BE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2"/>
                <w:szCs w:val="22"/>
                <w:lang w:val="ro-RO" w:eastAsia="ro-RO"/>
              </w:rPr>
            </w:pPr>
            <w:r w:rsidRPr="00F37795">
              <w:rPr>
                <w:rFonts w:ascii="Arial" w:eastAsia="Times New Roman" w:hAnsi="Arial" w:cs="Arial"/>
                <w:b/>
                <w:sz w:val="22"/>
                <w:szCs w:val="22"/>
                <w:lang w:val="ro-RO" w:eastAsia="ro-RO"/>
              </w:rPr>
              <w:t xml:space="preserve">PM10 </w:t>
            </w:r>
          </w:p>
        </w:tc>
        <w:tc>
          <w:tcPr>
            <w:tcW w:w="952" w:type="pct"/>
            <w:hideMark/>
          </w:tcPr>
          <w:p w:rsidR="00167BE8" w:rsidRPr="00F37795" w:rsidRDefault="00167BE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2"/>
                <w:szCs w:val="22"/>
                <w:lang w:val="ro-RO" w:eastAsia="ro-RO"/>
              </w:rPr>
            </w:pPr>
            <w:r w:rsidRPr="00F37795">
              <w:rPr>
                <w:rFonts w:ascii="Arial" w:eastAsia="Times New Roman" w:hAnsi="Arial" w:cs="Arial"/>
                <w:b/>
                <w:sz w:val="22"/>
                <w:szCs w:val="22"/>
                <w:lang w:val="ro-RO" w:eastAsia="ro-RO"/>
              </w:rPr>
              <w:t xml:space="preserve">PM 2,5 </w:t>
            </w:r>
          </w:p>
        </w:tc>
      </w:tr>
      <w:tr w:rsidR="00F37795" w:rsidRPr="00F37795" w:rsidTr="00F3779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19" w:type="pct"/>
            <w:noWrap/>
            <w:hideMark/>
          </w:tcPr>
          <w:p w:rsidR="00167BE8" w:rsidRPr="00F37795" w:rsidRDefault="00167BE8" w:rsidP="00167BE8">
            <w:pPr>
              <w:rPr>
                <w:rFonts w:ascii="Arial" w:eastAsia="Times New Roman" w:hAnsi="Arial" w:cs="Arial"/>
                <w:sz w:val="22"/>
                <w:szCs w:val="22"/>
                <w:lang w:val="ro-RO" w:eastAsia="ro-RO"/>
              </w:rPr>
            </w:pPr>
            <w:r w:rsidRPr="00F37795">
              <w:rPr>
                <w:rFonts w:ascii="Arial" w:eastAsia="Times New Roman" w:hAnsi="Arial" w:cs="Arial"/>
                <w:sz w:val="22"/>
                <w:szCs w:val="22"/>
                <w:lang w:val="ro-RO" w:eastAsia="ro-RO"/>
              </w:rPr>
              <w:t>cantitatea de poluant (Mg)</w:t>
            </w:r>
          </w:p>
        </w:tc>
        <w:tc>
          <w:tcPr>
            <w:tcW w:w="765" w:type="pct"/>
            <w:noWrap/>
            <w:hideMark/>
          </w:tcPr>
          <w:p w:rsidR="00167BE8" w:rsidRPr="00F37795" w:rsidRDefault="00F37795" w:rsidP="00167B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795">
              <w:rPr>
                <w:rFonts w:ascii="Arial" w:hAnsi="Arial" w:cs="Arial"/>
                <w:sz w:val="20"/>
                <w:szCs w:val="20"/>
              </w:rPr>
              <w:t>1,6791</w:t>
            </w:r>
          </w:p>
        </w:tc>
        <w:tc>
          <w:tcPr>
            <w:tcW w:w="864" w:type="pct"/>
            <w:noWrap/>
          </w:tcPr>
          <w:p w:rsidR="00167BE8" w:rsidRPr="00F37795" w:rsidRDefault="00F37795" w:rsidP="00167B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795">
              <w:rPr>
                <w:rFonts w:ascii="Arial" w:hAnsi="Arial" w:cs="Arial"/>
                <w:sz w:val="20"/>
                <w:szCs w:val="20"/>
              </w:rPr>
              <w:t>2123,3679</w:t>
            </w:r>
          </w:p>
        </w:tc>
        <w:tc>
          <w:tcPr>
            <w:tcW w:w="952" w:type="pct"/>
            <w:noWrap/>
          </w:tcPr>
          <w:p w:rsidR="00167BE8" w:rsidRPr="00F37795" w:rsidRDefault="00F37795" w:rsidP="00167BE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7795">
              <w:rPr>
                <w:rFonts w:ascii="Arial" w:hAnsi="Arial" w:cs="Arial"/>
                <w:sz w:val="20"/>
                <w:szCs w:val="20"/>
              </w:rPr>
              <w:t>231,4711</w:t>
            </w:r>
          </w:p>
        </w:tc>
      </w:tr>
      <w:tr w:rsidR="00F37795" w:rsidRPr="00F37795" w:rsidTr="00F37795">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419" w:type="pct"/>
            <w:noWrap/>
            <w:hideMark/>
          </w:tcPr>
          <w:p w:rsidR="00167BE8" w:rsidRPr="00F37795" w:rsidRDefault="00167BE8" w:rsidP="00167BE8">
            <w:pPr>
              <w:rPr>
                <w:rFonts w:ascii="Arial" w:eastAsia="Times New Roman" w:hAnsi="Arial" w:cs="Arial"/>
                <w:sz w:val="22"/>
                <w:szCs w:val="22"/>
                <w:lang w:val="ro-RO" w:eastAsia="ro-RO"/>
              </w:rPr>
            </w:pPr>
            <w:r w:rsidRPr="00F37795">
              <w:rPr>
                <w:rFonts w:ascii="Arial" w:eastAsia="Times New Roman" w:hAnsi="Arial" w:cs="Arial"/>
                <w:sz w:val="22"/>
                <w:szCs w:val="22"/>
                <w:lang w:val="ro-RO" w:eastAsia="ro-RO"/>
              </w:rPr>
              <w:t>ponderea din emisiile totale (%)</w:t>
            </w:r>
          </w:p>
        </w:tc>
        <w:tc>
          <w:tcPr>
            <w:tcW w:w="765" w:type="pct"/>
            <w:noWrap/>
            <w:hideMark/>
          </w:tcPr>
          <w:p w:rsidR="00167BE8" w:rsidRPr="00F37795" w:rsidRDefault="00F37795" w:rsidP="00167BE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F37795">
              <w:rPr>
                <w:rFonts w:ascii="Arial" w:hAnsi="Arial" w:cs="Arial"/>
                <w:sz w:val="20"/>
                <w:szCs w:val="20"/>
              </w:rPr>
              <w:t>100</w:t>
            </w:r>
          </w:p>
        </w:tc>
        <w:tc>
          <w:tcPr>
            <w:tcW w:w="864" w:type="pct"/>
            <w:noWrap/>
          </w:tcPr>
          <w:p w:rsidR="00167BE8" w:rsidRPr="00F37795" w:rsidRDefault="00F37795" w:rsidP="00167BE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F37795">
              <w:rPr>
                <w:rFonts w:ascii="Arial" w:hAnsi="Arial" w:cs="Arial"/>
                <w:sz w:val="20"/>
                <w:szCs w:val="20"/>
              </w:rPr>
              <w:t>47,01</w:t>
            </w:r>
          </w:p>
        </w:tc>
        <w:tc>
          <w:tcPr>
            <w:tcW w:w="952" w:type="pct"/>
            <w:noWrap/>
          </w:tcPr>
          <w:p w:rsidR="00167BE8" w:rsidRPr="00F37795" w:rsidRDefault="00F37795" w:rsidP="00167BE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F37795">
              <w:rPr>
                <w:rFonts w:ascii="Arial" w:hAnsi="Arial" w:cs="Arial"/>
                <w:sz w:val="20"/>
                <w:szCs w:val="20"/>
              </w:rPr>
              <w:t>9,86</w:t>
            </w:r>
          </w:p>
        </w:tc>
      </w:tr>
    </w:tbl>
    <w:p w:rsidR="00743B28" w:rsidRPr="00F37795" w:rsidRDefault="00743B28" w:rsidP="00755618">
      <w:pPr>
        <w:tabs>
          <w:tab w:val="left" w:pos="851"/>
        </w:tabs>
        <w:jc w:val="center"/>
        <w:rPr>
          <w:rFonts w:ascii="Arial" w:hAnsi="Arial" w:cs="Arial"/>
          <w:lang w:val="ro-RO"/>
        </w:rPr>
      </w:pPr>
      <w:r w:rsidRPr="00F37795">
        <w:rPr>
          <w:rFonts w:ascii="Arial" w:hAnsi="Arial" w:cs="Arial"/>
          <w:sz w:val="20"/>
          <w:szCs w:val="20"/>
          <w:lang w:val="ro-RO"/>
        </w:rPr>
        <w:t>Sursa: Agenţia pentru Protecţia Mediului Bistriţa-Năsăud</w:t>
      </w:r>
    </w:p>
    <w:p w:rsidR="00743B28" w:rsidRPr="00F37795" w:rsidRDefault="00743B28" w:rsidP="00755618">
      <w:pPr>
        <w:pStyle w:val="Listparagraf"/>
        <w:tabs>
          <w:tab w:val="left" w:pos="851"/>
          <w:tab w:val="left" w:pos="1134"/>
          <w:tab w:val="left" w:leader="dot" w:pos="9356"/>
        </w:tabs>
        <w:ind w:left="0"/>
        <w:rPr>
          <w:rFonts w:ascii="Arial" w:hAnsi="Arial" w:cs="Arial"/>
          <w:u w:val="single"/>
          <w:lang w:val="ro-RO"/>
        </w:rPr>
      </w:pPr>
    </w:p>
    <w:p w:rsidR="00743B28" w:rsidRPr="00F4688D" w:rsidRDefault="00743B28" w:rsidP="00755618">
      <w:pPr>
        <w:pStyle w:val="Listparagraf"/>
        <w:tabs>
          <w:tab w:val="left" w:pos="851"/>
          <w:tab w:val="left" w:pos="1134"/>
          <w:tab w:val="left" w:leader="dot" w:pos="9356"/>
        </w:tabs>
        <w:ind w:left="0"/>
        <w:jc w:val="center"/>
        <w:rPr>
          <w:rFonts w:ascii="Arial" w:hAnsi="Arial" w:cs="Arial"/>
          <w:lang w:val="ro-RO"/>
        </w:rPr>
      </w:pPr>
      <w:r w:rsidRPr="00F4688D">
        <w:rPr>
          <w:rFonts w:ascii="Arial" w:hAnsi="Arial" w:cs="Arial"/>
          <w:b/>
          <w:sz w:val="22"/>
          <w:szCs w:val="22"/>
          <w:lang w:val="ro-RO"/>
        </w:rPr>
        <w:t>Tabel I.2.1.2.4.</w:t>
      </w:r>
    </w:p>
    <w:p w:rsidR="00743B28" w:rsidRPr="00F4688D"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F4688D">
        <w:rPr>
          <w:rFonts w:ascii="Arial" w:hAnsi="Arial" w:cs="Arial"/>
          <w:b/>
          <w:sz w:val="22"/>
          <w:szCs w:val="22"/>
          <w:lang w:val="ro-RO"/>
        </w:rPr>
        <w:t xml:space="preserve">Ponderea emisiilor </w:t>
      </w:r>
      <w:r w:rsidRPr="00F4688D">
        <w:rPr>
          <w:rFonts w:ascii="Arial" w:hAnsi="Arial" w:cs="Arial"/>
          <w:b/>
          <w:i/>
          <w:sz w:val="22"/>
          <w:szCs w:val="22"/>
          <w:lang w:val="ro-RO"/>
        </w:rPr>
        <w:t xml:space="preserve">de particule primare  </w:t>
      </w:r>
      <w:r w:rsidRPr="00F4688D">
        <w:rPr>
          <w:rFonts w:ascii="Arial" w:hAnsi="Arial" w:cs="Arial"/>
          <w:b/>
          <w:sz w:val="22"/>
          <w:szCs w:val="22"/>
          <w:lang w:val="ro-RO"/>
        </w:rPr>
        <w:t>din</w:t>
      </w:r>
      <w:r w:rsidRPr="00F4688D">
        <w:rPr>
          <w:rFonts w:ascii="Arial" w:hAnsi="Arial" w:cs="Arial"/>
          <w:b/>
          <w:i/>
          <w:sz w:val="22"/>
          <w:szCs w:val="22"/>
          <w:lang w:val="ro-RO"/>
        </w:rPr>
        <w:t xml:space="preserve"> </w:t>
      </w:r>
      <w:r w:rsidRPr="00F4688D">
        <w:rPr>
          <w:rFonts w:ascii="Arial" w:hAnsi="Arial" w:cs="Arial"/>
          <w:b/>
          <w:i/>
          <w:sz w:val="22"/>
          <w:szCs w:val="22"/>
          <w:u w:val="single"/>
          <w:lang w:val="ro-RO"/>
        </w:rPr>
        <w:t>sectorul industrial</w:t>
      </w:r>
      <w:r w:rsidRPr="00F4688D">
        <w:rPr>
          <w:rFonts w:ascii="Arial" w:hAnsi="Arial" w:cs="Arial"/>
          <w:b/>
          <w:sz w:val="22"/>
          <w:szCs w:val="22"/>
          <w:lang w:val="ro-RO"/>
        </w:rPr>
        <w:t xml:space="preserve"> ca % din emisiile totale, pe tipuri de activități, județul Bistrița-Năsăud, anul </w:t>
      </w:r>
      <w:r w:rsidR="005964E0" w:rsidRPr="00F4688D">
        <w:rPr>
          <w:rFonts w:ascii="Arial" w:hAnsi="Arial" w:cs="Arial"/>
          <w:b/>
          <w:sz w:val="22"/>
          <w:szCs w:val="22"/>
          <w:lang w:val="ro-RO"/>
        </w:rPr>
        <w:t>2021</w:t>
      </w:r>
    </w:p>
    <w:tbl>
      <w:tblPr>
        <w:tblStyle w:val="Style1"/>
        <w:tblW w:w="5000" w:type="pct"/>
        <w:tblLook w:val="04A0" w:firstRow="1" w:lastRow="0" w:firstColumn="1" w:lastColumn="0" w:noHBand="0" w:noVBand="1"/>
      </w:tblPr>
      <w:tblGrid>
        <w:gridCol w:w="5295"/>
        <w:gridCol w:w="2387"/>
        <w:gridCol w:w="1672"/>
      </w:tblGrid>
      <w:tr w:rsidR="00F4688D" w:rsidRPr="00F4688D" w:rsidTr="00F4688D">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30" w:type="pct"/>
            <w:noWrap/>
            <w:hideMark/>
          </w:tcPr>
          <w:p w:rsidR="00F4688D" w:rsidRPr="00F4688D" w:rsidRDefault="00F4688D" w:rsidP="00F4688D">
            <w:pPr>
              <w:rPr>
                <w:rFonts w:ascii="Arial" w:eastAsia="Times New Roman" w:hAnsi="Arial" w:cs="Arial"/>
                <w:b/>
                <w:sz w:val="22"/>
                <w:szCs w:val="22"/>
                <w:lang w:val="ro-RO" w:eastAsia="ro-RO"/>
              </w:rPr>
            </w:pPr>
            <w:r w:rsidRPr="00F4688D">
              <w:rPr>
                <w:rFonts w:ascii="Arial" w:eastAsia="Times New Roman" w:hAnsi="Arial" w:cs="Arial"/>
                <w:b/>
                <w:sz w:val="22"/>
                <w:szCs w:val="22"/>
                <w:lang w:val="ro-RO" w:eastAsia="ro-RO"/>
              </w:rPr>
              <w:t> </w:t>
            </w:r>
            <w:r w:rsidRPr="00F4688D">
              <w:rPr>
                <w:rFonts w:ascii="Arial" w:eastAsia="Times New Roman" w:hAnsi="Arial" w:cs="Arial"/>
                <w:sz w:val="22"/>
                <w:szCs w:val="22"/>
                <w:lang w:val="ro-RO" w:eastAsia="ro-RO"/>
              </w:rPr>
              <w:t>Sector de activitate</w:t>
            </w:r>
          </w:p>
        </w:tc>
        <w:tc>
          <w:tcPr>
            <w:tcW w:w="1276" w:type="pct"/>
            <w:vAlign w:val="center"/>
            <w:hideMark/>
          </w:tcPr>
          <w:p w:rsidR="00F4688D" w:rsidRPr="00F4688D" w:rsidRDefault="00F4688D" w:rsidP="00F4688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F4688D">
              <w:rPr>
                <w:rFonts w:ascii="Arial" w:hAnsi="Arial" w:cs="Arial"/>
                <w:b/>
                <w:bCs/>
                <w:sz w:val="22"/>
                <w:szCs w:val="22"/>
              </w:rPr>
              <w:t xml:space="preserve">PM10 </w:t>
            </w:r>
          </w:p>
        </w:tc>
        <w:tc>
          <w:tcPr>
            <w:tcW w:w="894" w:type="pct"/>
            <w:hideMark/>
          </w:tcPr>
          <w:p w:rsidR="00F4688D" w:rsidRPr="00F4688D" w:rsidRDefault="00F4688D" w:rsidP="00F4688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2"/>
                <w:szCs w:val="22"/>
                <w:lang w:val="ro-RO" w:eastAsia="ro-RO"/>
              </w:rPr>
            </w:pPr>
            <w:r w:rsidRPr="00F4688D">
              <w:rPr>
                <w:rFonts w:ascii="Arial" w:eastAsia="Times New Roman" w:hAnsi="Arial" w:cs="Arial"/>
                <w:b/>
                <w:sz w:val="22"/>
                <w:szCs w:val="22"/>
                <w:lang w:val="ro-RO" w:eastAsia="ro-RO"/>
              </w:rPr>
              <w:t xml:space="preserve">PM 2,5 </w:t>
            </w:r>
          </w:p>
        </w:tc>
      </w:tr>
      <w:tr w:rsidR="00F4688D" w:rsidRPr="00F4688D" w:rsidTr="001A096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30" w:type="pct"/>
            <w:hideMark/>
          </w:tcPr>
          <w:p w:rsidR="00F4688D" w:rsidRPr="00F4688D" w:rsidRDefault="00F4688D" w:rsidP="00F4688D">
            <w:pPr>
              <w:rPr>
                <w:rFonts w:ascii="Arial" w:eastAsia="Times New Roman" w:hAnsi="Arial" w:cs="Arial"/>
                <w:sz w:val="22"/>
                <w:szCs w:val="22"/>
                <w:lang w:val="en-US"/>
              </w:rPr>
            </w:pPr>
            <w:r w:rsidRPr="00F4688D">
              <w:rPr>
                <w:rFonts w:ascii="Arial" w:hAnsi="Arial" w:cs="Arial"/>
                <w:sz w:val="22"/>
                <w:szCs w:val="22"/>
              </w:rPr>
              <w:t>asfaltare</w:t>
            </w:r>
          </w:p>
        </w:tc>
        <w:tc>
          <w:tcPr>
            <w:tcW w:w="1276" w:type="pct"/>
            <w:noWrap/>
            <w:hideMark/>
          </w:tcPr>
          <w:p w:rsidR="00F4688D" w:rsidRPr="00F4688D" w:rsidRDefault="00F4688D" w:rsidP="00F468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4688D">
              <w:rPr>
                <w:rFonts w:ascii="Arial" w:hAnsi="Arial" w:cs="Arial"/>
                <w:sz w:val="22"/>
                <w:szCs w:val="22"/>
              </w:rPr>
              <w:t>13.156</w:t>
            </w:r>
          </w:p>
        </w:tc>
        <w:tc>
          <w:tcPr>
            <w:tcW w:w="894" w:type="pct"/>
            <w:noWrap/>
            <w:hideMark/>
          </w:tcPr>
          <w:p w:rsidR="00F4688D" w:rsidRPr="00F4688D" w:rsidRDefault="00F4688D" w:rsidP="00F4688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F4688D">
              <w:rPr>
                <w:rFonts w:ascii="Arial" w:hAnsi="Arial" w:cs="Arial"/>
                <w:sz w:val="22"/>
                <w:szCs w:val="22"/>
              </w:rPr>
              <w:t>3.347</w:t>
            </w:r>
          </w:p>
        </w:tc>
      </w:tr>
      <w:tr w:rsidR="00F4688D" w:rsidRPr="00F4688D" w:rsidTr="001A096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30" w:type="pct"/>
            <w:noWrap/>
            <w:hideMark/>
          </w:tcPr>
          <w:p w:rsidR="00F4688D" w:rsidRPr="00F4688D" w:rsidRDefault="00F4688D" w:rsidP="00F4688D">
            <w:pPr>
              <w:rPr>
                <w:rFonts w:ascii="Arial" w:hAnsi="Arial" w:cs="Arial"/>
                <w:sz w:val="22"/>
                <w:szCs w:val="22"/>
              </w:rPr>
            </w:pPr>
            <w:r w:rsidRPr="00F4688D">
              <w:rPr>
                <w:rFonts w:ascii="Arial" w:hAnsi="Arial" w:cs="Arial"/>
                <w:sz w:val="22"/>
                <w:szCs w:val="22"/>
              </w:rPr>
              <w:t>cariere</w:t>
            </w:r>
          </w:p>
        </w:tc>
        <w:tc>
          <w:tcPr>
            <w:tcW w:w="1276" w:type="pct"/>
            <w:noWrap/>
            <w:hideMark/>
          </w:tcPr>
          <w:p w:rsidR="00F4688D" w:rsidRPr="00F4688D" w:rsidRDefault="00F4688D" w:rsidP="00F4688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4688D">
              <w:rPr>
                <w:rFonts w:ascii="Arial" w:hAnsi="Arial" w:cs="Arial"/>
                <w:sz w:val="22"/>
                <w:szCs w:val="22"/>
              </w:rPr>
              <w:t>0.454</w:t>
            </w:r>
          </w:p>
        </w:tc>
        <w:tc>
          <w:tcPr>
            <w:tcW w:w="894" w:type="pct"/>
            <w:noWrap/>
            <w:hideMark/>
          </w:tcPr>
          <w:p w:rsidR="00F4688D" w:rsidRPr="00F4688D" w:rsidRDefault="00F4688D" w:rsidP="00F4688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4688D">
              <w:rPr>
                <w:rFonts w:ascii="Arial" w:hAnsi="Arial" w:cs="Arial"/>
                <w:sz w:val="22"/>
                <w:szCs w:val="22"/>
              </w:rPr>
              <w:t>0.087</w:t>
            </w:r>
          </w:p>
        </w:tc>
      </w:tr>
      <w:tr w:rsidR="00F4688D" w:rsidRPr="00F4688D" w:rsidTr="001A096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30" w:type="pct"/>
            <w:noWrap/>
            <w:hideMark/>
          </w:tcPr>
          <w:p w:rsidR="00F4688D" w:rsidRPr="00F4688D" w:rsidRDefault="00F4688D" w:rsidP="00F4688D">
            <w:pPr>
              <w:rPr>
                <w:rFonts w:ascii="Arial" w:hAnsi="Arial" w:cs="Arial"/>
                <w:sz w:val="22"/>
                <w:szCs w:val="22"/>
              </w:rPr>
            </w:pPr>
            <w:r w:rsidRPr="00F4688D">
              <w:rPr>
                <w:rFonts w:ascii="Arial" w:hAnsi="Arial" w:cs="Arial"/>
                <w:sz w:val="22"/>
                <w:szCs w:val="22"/>
              </w:rPr>
              <w:t>balastiere</w:t>
            </w:r>
          </w:p>
        </w:tc>
        <w:tc>
          <w:tcPr>
            <w:tcW w:w="1276" w:type="pct"/>
            <w:noWrap/>
            <w:hideMark/>
          </w:tcPr>
          <w:p w:rsidR="00F4688D" w:rsidRPr="00F4688D" w:rsidRDefault="00F4688D" w:rsidP="00F468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4688D">
              <w:rPr>
                <w:rFonts w:ascii="Arial" w:hAnsi="Arial" w:cs="Arial"/>
                <w:sz w:val="22"/>
                <w:szCs w:val="22"/>
              </w:rPr>
              <w:t>0.229</w:t>
            </w:r>
          </w:p>
        </w:tc>
        <w:tc>
          <w:tcPr>
            <w:tcW w:w="894" w:type="pct"/>
            <w:noWrap/>
            <w:hideMark/>
          </w:tcPr>
          <w:p w:rsidR="00F4688D" w:rsidRPr="00F4688D" w:rsidRDefault="00F4688D" w:rsidP="00F4688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F4688D">
              <w:rPr>
                <w:rFonts w:ascii="Arial" w:hAnsi="Arial" w:cs="Arial"/>
                <w:sz w:val="22"/>
                <w:szCs w:val="22"/>
              </w:rPr>
              <w:t>0.044</w:t>
            </w:r>
          </w:p>
        </w:tc>
      </w:tr>
      <w:tr w:rsidR="00F4688D" w:rsidRPr="00F4688D" w:rsidTr="001A0960">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30" w:type="pct"/>
            <w:noWrap/>
            <w:hideMark/>
          </w:tcPr>
          <w:p w:rsidR="00F4688D" w:rsidRPr="00F4688D" w:rsidRDefault="00F4688D" w:rsidP="00F4688D">
            <w:pPr>
              <w:rPr>
                <w:rFonts w:ascii="Arial" w:hAnsi="Arial" w:cs="Arial"/>
                <w:sz w:val="22"/>
                <w:szCs w:val="22"/>
              </w:rPr>
            </w:pPr>
            <w:r w:rsidRPr="00F4688D">
              <w:rPr>
                <w:rFonts w:ascii="Arial" w:hAnsi="Arial" w:cs="Arial"/>
                <w:sz w:val="22"/>
                <w:szCs w:val="22"/>
              </w:rPr>
              <w:t>infrastructură</w:t>
            </w:r>
          </w:p>
        </w:tc>
        <w:tc>
          <w:tcPr>
            <w:tcW w:w="1276" w:type="pct"/>
            <w:noWrap/>
            <w:hideMark/>
          </w:tcPr>
          <w:p w:rsidR="00F4688D" w:rsidRPr="00F4688D" w:rsidRDefault="00F4688D" w:rsidP="00F4688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4688D">
              <w:rPr>
                <w:rFonts w:ascii="Arial" w:hAnsi="Arial" w:cs="Arial"/>
                <w:sz w:val="22"/>
                <w:szCs w:val="22"/>
              </w:rPr>
              <w:t>33.172</w:t>
            </w:r>
          </w:p>
        </w:tc>
        <w:tc>
          <w:tcPr>
            <w:tcW w:w="894" w:type="pct"/>
            <w:noWrap/>
            <w:hideMark/>
          </w:tcPr>
          <w:p w:rsidR="00F4688D" w:rsidRPr="00F4688D" w:rsidRDefault="00F4688D" w:rsidP="00F4688D">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F4688D">
              <w:rPr>
                <w:rFonts w:ascii="Arial" w:hAnsi="Arial" w:cs="Arial"/>
                <w:sz w:val="22"/>
                <w:szCs w:val="22"/>
              </w:rPr>
              <w:t>6.384</w:t>
            </w:r>
          </w:p>
        </w:tc>
      </w:tr>
    </w:tbl>
    <w:p w:rsidR="00743B28" w:rsidRPr="00F4688D" w:rsidRDefault="00743B28" w:rsidP="00755618">
      <w:pPr>
        <w:tabs>
          <w:tab w:val="left" w:pos="851"/>
        </w:tabs>
        <w:jc w:val="center"/>
        <w:rPr>
          <w:rFonts w:ascii="Arial" w:hAnsi="Arial" w:cs="Arial"/>
          <w:lang w:val="ro-RO"/>
        </w:rPr>
      </w:pPr>
      <w:r w:rsidRPr="00F4688D">
        <w:rPr>
          <w:rFonts w:ascii="Arial" w:hAnsi="Arial" w:cs="Arial"/>
          <w:sz w:val="20"/>
          <w:szCs w:val="20"/>
          <w:lang w:val="ro-RO"/>
        </w:rPr>
        <w:t>Sursa: Agenţia pentru Protecţia Mediului Bistriţa-Năsăud</w:t>
      </w:r>
    </w:p>
    <w:p w:rsidR="00743B28" w:rsidRPr="006B01A5" w:rsidRDefault="00743B28" w:rsidP="00755618">
      <w:pPr>
        <w:pStyle w:val="Default"/>
        <w:tabs>
          <w:tab w:val="left" w:pos="851"/>
        </w:tabs>
        <w:rPr>
          <w:b/>
          <w:bCs/>
          <w:color w:val="FF0000"/>
          <w:sz w:val="20"/>
          <w:szCs w:val="20"/>
        </w:rPr>
      </w:pPr>
    </w:p>
    <w:p w:rsidR="00743B28" w:rsidRPr="0001449A" w:rsidRDefault="00743B28" w:rsidP="00755618">
      <w:pPr>
        <w:pStyle w:val="Listparagraf"/>
        <w:numPr>
          <w:ilvl w:val="0"/>
          <w:numId w:val="8"/>
        </w:numPr>
        <w:tabs>
          <w:tab w:val="left" w:pos="851"/>
          <w:tab w:val="left" w:pos="1134"/>
          <w:tab w:val="left" w:leader="dot" w:pos="9356"/>
        </w:tabs>
        <w:ind w:left="0" w:firstLine="0"/>
        <w:rPr>
          <w:rFonts w:ascii="Arial" w:hAnsi="Arial" w:cs="Arial"/>
          <w:b/>
          <w:u w:val="single"/>
          <w:lang w:val="ro-RO"/>
        </w:rPr>
      </w:pPr>
      <w:r w:rsidRPr="0001449A">
        <w:rPr>
          <w:rFonts w:ascii="Arial" w:hAnsi="Arial" w:cs="Arial"/>
          <w:b/>
          <w:u w:val="single"/>
          <w:lang w:val="ro-RO"/>
        </w:rPr>
        <w:t xml:space="preserve">Emisiile de metale grele </w:t>
      </w:r>
    </w:p>
    <w:p w:rsidR="00743B28" w:rsidRPr="0001449A" w:rsidRDefault="00743B28" w:rsidP="00755618">
      <w:pPr>
        <w:pStyle w:val="Listparagraf"/>
        <w:tabs>
          <w:tab w:val="left" w:pos="851"/>
          <w:tab w:val="left" w:pos="1134"/>
          <w:tab w:val="left" w:leader="dot" w:pos="9356"/>
        </w:tabs>
        <w:ind w:left="0"/>
        <w:rPr>
          <w:rFonts w:ascii="Arial" w:hAnsi="Arial" w:cs="Arial"/>
          <w:b/>
          <w:u w:val="single"/>
          <w:lang w:val="ro-RO"/>
        </w:rPr>
      </w:pPr>
    </w:p>
    <w:p w:rsidR="00743B28" w:rsidRPr="0001449A"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01449A">
        <w:rPr>
          <w:rFonts w:ascii="Arial" w:hAnsi="Arial" w:cs="Arial"/>
          <w:b/>
          <w:sz w:val="22"/>
          <w:szCs w:val="22"/>
          <w:lang w:val="ro-RO"/>
        </w:rPr>
        <w:t>Tabel I.2.1.2.5.</w:t>
      </w:r>
    </w:p>
    <w:p w:rsidR="00743B28" w:rsidRPr="0001449A"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01449A">
        <w:rPr>
          <w:rFonts w:ascii="Arial" w:hAnsi="Arial" w:cs="Arial"/>
          <w:b/>
          <w:sz w:val="22"/>
          <w:szCs w:val="22"/>
          <w:lang w:val="ro-RO"/>
        </w:rPr>
        <w:t xml:space="preserve">Emisiile de </w:t>
      </w:r>
      <w:r w:rsidRPr="0001449A">
        <w:rPr>
          <w:rFonts w:ascii="Arial" w:hAnsi="Arial" w:cs="Arial"/>
          <w:b/>
          <w:i/>
          <w:sz w:val="22"/>
          <w:szCs w:val="22"/>
          <w:lang w:val="ro-RO"/>
        </w:rPr>
        <w:t>metale grele provenite din sectorul industrial</w:t>
      </w:r>
      <w:r w:rsidRPr="0001449A">
        <w:rPr>
          <w:rFonts w:ascii="Arial" w:hAnsi="Arial" w:cs="Arial"/>
          <w:b/>
          <w:sz w:val="22"/>
          <w:szCs w:val="22"/>
          <w:lang w:val="ro-RO"/>
        </w:rPr>
        <w:t xml:space="preserve">, </w:t>
      </w:r>
    </w:p>
    <w:p w:rsidR="00743B28" w:rsidRPr="0001449A"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01449A">
        <w:rPr>
          <w:rFonts w:ascii="Arial" w:hAnsi="Arial" w:cs="Arial"/>
          <w:b/>
          <w:sz w:val="22"/>
          <w:szCs w:val="22"/>
          <w:lang w:val="ro-RO"/>
        </w:rPr>
        <w:t xml:space="preserve">județul Bistrița-Năsăud, anul </w:t>
      </w:r>
      <w:r w:rsidR="005964E0" w:rsidRPr="0001449A">
        <w:rPr>
          <w:rFonts w:ascii="Arial" w:hAnsi="Arial" w:cs="Arial"/>
          <w:b/>
          <w:sz w:val="22"/>
          <w:szCs w:val="22"/>
          <w:lang w:val="ro-RO"/>
        </w:rPr>
        <w:t>2021</w:t>
      </w:r>
    </w:p>
    <w:tbl>
      <w:tblPr>
        <w:tblStyle w:val="Style1"/>
        <w:tblW w:w="5000" w:type="pct"/>
        <w:tblLook w:val="04A0" w:firstRow="1" w:lastRow="0" w:firstColumn="1" w:lastColumn="0" w:noHBand="0" w:noVBand="1"/>
      </w:tblPr>
      <w:tblGrid>
        <w:gridCol w:w="5120"/>
        <w:gridCol w:w="1405"/>
        <w:gridCol w:w="1424"/>
        <w:gridCol w:w="1405"/>
      </w:tblGrid>
      <w:tr w:rsidR="0001449A" w:rsidRPr="0001449A" w:rsidTr="000144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7" w:type="pct"/>
            <w:noWrap/>
            <w:hideMark/>
          </w:tcPr>
          <w:p w:rsidR="0001449A" w:rsidRPr="0001449A" w:rsidRDefault="0001449A" w:rsidP="009F3E1C">
            <w:pPr>
              <w:rPr>
                <w:rFonts w:ascii="Arial" w:eastAsia="Times New Roman" w:hAnsi="Arial" w:cs="Arial"/>
                <w:sz w:val="20"/>
                <w:szCs w:val="20"/>
                <w:lang w:val="ro-RO" w:eastAsia="ro-RO"/>
              </w:rPr>
            </w:pPr>
          </w:p>
        </w:tc>
        <w:tc>
          <w:tcPr>
            <w:tcW w:w="751" w:type="pct"/>
            <w:vAlign w:val="bottom"/>
            <w:hideMark/>
          </w:tcPr>
          <w:p w:rsidR="0001449A" w:rsidRPr="0001449A" w:rsidRDefault="0001449A" w:rsidP="009F3E1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ro-RO" w:eastAsia="ro-RO"/>
              </w:rPr>
            </w:pPr>
            <w:r w:rsidRPr="0001449A">
              <w:rPr>
                <w:rFonts w:ascii="Arial" w:hAnsi="Arial" w:cs="Arial"/>
                <w:sz w:val="20"/>
                <w:szCs w:val="20"/>
              </w:rPr>
              <w:t>arsen</w:t>
            </w:r>
          </w:p>
        </w:tc>
        <w:tc>
          <w:tcPr>
            <w:tcW w:w="761" w:type="pct"/>
            <w:vAlign w:val="bottom"/>
            <w:hideMark/>
          </w:tcPr>
          <w:p w:rsidR="0001449A" w:rsidRPr="0001449A" w:rsidRDefault="0001449A" w:rsidP="009F3E1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1449A">
              <w:rPr>
                <w:rFonts w:ascii="Arial" w:hAnsi="Arial" w:cs="Arial"/>
                <w:sz w:val="20"/>
                <w:szCs w:val="20"/>
              </w:rPr>
              <w:t>Mercur</w:t>
            </w:r>
          </w:p>
        </w:tc>
        <w:tc>
          <w:tcPr>
            <w:tcW w:w="751" w:type="pct"/>
            <w:vAlign w:val="bottom"/>
            <w:hideMark/>
          </w:tcPr>
          <w:p w:rsidR="0001449A" w:rsidRPr="0001449A" w:rsidRDefault="0001449A" w:rsidP="009F3E1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1449A">
              <w:rPr>
                <w:rFonts w:ascii="Arial" w:hAnsi="Arial" w:cs="Arial"/>
                <w:sz w:val="20"/>
                <w:szCs w:val="20"/>
              </w:rPr>
              <w:t>plumb</w:t>
            </w:r>
          </w:p>
        </w:tc>
      </w:tr>
      <w:tr w:rsidR="0001449A" w:rsidRPr="0001449A" w:rsidTr="000144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37" w:type="pct"/>
            <w:noWrap/>
            <w:hideMark/>
          </w:tcPr>
          <w:p w:rsidR="0001449A" w:rsidRPr="0001449A" w:rsidRDefault="0001449A" w:rsidP="009F3E1C">
            <w:pPr>
              <w:rPr>
                <w:rFonts w:ascii="Arial" w:eastAsia="Times New Roman" w:hAnsi="Arial" w:cs="Arial"/>
                <w:sz w:val="20"/>
                <w:szCs w:val="20"/>
                <w:lang w:val="ro-RO" w:eastAsia="ro-RO"/>
              </w:rPr>
            </w:pPr>
            <w:r w:rsidRPr="0001449A">
              <w:rPr>
                <w:rFonts w:ascii="Arial" w:eastAsia="Times New Roman" w:hAnsi="Arial" w:cs="Arial"/>
                <w:sz w:val="20"/>
                <w:szCs w:val="20"/>
                <w:lang w:val="ro-RO" w:eastAsia="ro-RO"/>
              </w:rPr>
              <w:t>cantitate poluant (Kg)</w:t>
            </w:r>
          </w:p>
        </w:tc>
        <w:tc>
          <w:tcPr>
            <w:tcW w:w="751" w:type="pct"/>
            <w:noWrap/>
            <w:vAlign w:val="bottom"/>
          </w:tcPr>
          <w:p w:rsidR="0001449A" w:rsidRPr="0001449A" w:rsidRDefault="0001449A" w:rsidP="009F3E1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ro-RO" w:eastAsia="ro-RO"/>
              </w:rPr>
            </w:pPr>
            <w:r w:rsidRPr="0001449A">
              <w:rPr>
                <w:rFonts w:ascii="Arial" w:eastAsia="Times New Roman" w:hAnsi="Arial" w:cs="Arial"/>
                <w:sz w:val="20"/>
                <w:szCs w:val="20"/>
                <w:lang w:val="ro-RO" w:eastAsia="ro-RO"/>
              </w:rPr>
              <w:t>0,0049</w:t>
            </w:r>
          </w:p>
        </w:tc>
        <w:tc>
          <w:tcPr>
            <w:tcW w:w="761" w:type="pct"/>
            <w:noWrap/>
            <w:vAlign w:val="bottom"/>
          </w:tcPr>
          <w:p w:rsidR="0001449A" w:rsidRPr="0001449A" w:rsidRDefault="0001449A" w:rsidP="009F3E1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1449A">
              <w:rPr>
                <w:rFonts w:ascii="Arial" w:hAnsi="Arial" w:cs="Arial"/>
                <w:sz w:val="20"/>
                <w:szCs w:val="20"/>
              </w:rPr>
              <w:t>0,0012</w:t>
            </w:r>
          </w:p>
        </w:tc>
        <w:tc>
          <w:tcPr>
            <w:tcW w:w="751" w:type="pct"/>
            <w:noWrap/>
            <w:vAlign w:val="bottom"/>
          </w:tcPr>
          <w:p w:rsidR="0001449A" w:rsidRPr="0001449A" w:rsidRDefault="0001449A" w:rsidP="009F3E1C">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1449A">
              <w:rPr>
                <w:rFonts w:ascii="Arial" w:hAnsi="Arial" w:cs="Arial"/>
                <w:sz w:val="20"/>
                <w:szCs w:val="20"/>
              </w:rPr>
              <w:t>0,0061</w:t>
            </w:r>
          </w:p>
        </w:tc>
      </w:tr>
      <w:tr w:rsidR="0001449A" w:rsidRPr="0001449A" w:rsidTr="0001449A">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37" w:type="pct"/>
            <w:noWrap/>
            <w:hideMark/>
          </w:tcPr>
          <w:p w:rsidR="0001449A" w:rsidRPr="0001449A" w:rsidRDefault="0001449A" w:rsidP="009F3E1C">
            <w:pPr>
              <w:rPr>
                <w:rFonts w:ascii="Arial" w:eastAsia="Times New Roman" w:hAnsi="Arial" w:cs="Arial"/>
                <w:sz w:val="20"/>
                <w:szCs w:val="20"/>
                <w:lang w:val="ro-RO" w:eastAsia="ro-RO"/>
              </w:rPr>
            </w:pPr>
            <w:r w:rsidRPr="0001449A">
              <w:rPr>
                <w:rFonts w:ascii="Arial" w:eastAsia="Times New Roman" w:hAnsi="Arial" w:cs="Arial"/>
                <w:sz w:val="20"/>
                <w:szCs w:val="20"/>
                <w:lang w:val="ro-RO" w:eastAsia="ro-RO"/>
              </w:rPr>
              <w:t>ponderea din emisiile totale (%)</w:t>
            </w:r>
          </w:p>
        </w:tc>
        <w:tc>
          <w:tcPr>
            <w:tcW w:w="751" w:type="pct"/>
            <w:noWrap/>
            <w:vAlign w:val="bottom"/>
          </w:tcPr>
          <w:p w:rsidR="0001449A" w:rsidRPr="0001449A" w:rsidRDefault="0001449A" w:rsidP="009F3E1C">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1449A">
              <w:rPr>
                <w:rFonts w:ascii="Arial" w:hAnsi="Arial" w:cs="Arial"/>
                <w:sz w:val="20"/>
                <w:szCs w:val="20"/>
              </w:rPr>
              <w:t>0,57</w:t>
            </w:r>
          </w:p>
        </w:tc>
        <w:tc>
          <w:tcPr>
            <w:tcW w:w="761" w:type="pct"/>
            <w:noWrap/>
            <w:vAlign w:val="bottom"/>
          </w:tcPr>
          <w:p w:rsidR="0001449A" w:rsidRPr="0001449A" w:rsidRDefault="0001449A" w:rsidP="009F3E1C">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1449A">
              <w:rPr>
                <w:rFonts w:ascii="Arial" w:hAnsi="Arial" w:cs="Arial"/>
                <w:sz w:val="20"/>
                <w:szCs w:val="20"/>
              </w:rPr>
              <w:t>0,05</w:t>
            </w:r>
          </w:p>
        </w:tc>
        <w:tc>
          <w:tcPr>
            <w:tcW w:w="751" w:type="pct"/>
            <w:noWrap/>
            <w:vAlign w:val="bottom"/>
          </w:tcPr>
          <w:p w:rsidR="0001449A" w:rsidRPr="0001449A" w:rsidRDefault="0001449A" w:rsidP="009F3E1C">
            <w:pPr>
              <w:jc w:val="right"/>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01449A">
              <w:rPr>
                <w:rFonts w:ascii="Arial" w:hAnsi="Arial" w:cs="Arial"/>
                <w:sz w:val="20"/>
                <w:szCs w:val="20"/>
              </w:rPr>
              <w:t>6,22</w:t>
            </w:r>
          </w:p>
        </w:tc>
      </w:tr>
    </w:tbl>
    <w:p w:rsidR="00743B28" w:rsidRPr="0001449A" w:rsidRDefault="00743B28" w:rsidP="00755618">
      <w:pPr>
        <w:tabs>
          <w:tab w:val="left" w:pos="851"/>
        </w:tabs>
        <w:jc w:val="center"/>
        <w:rPr>
          <w:rFonts w:ascii="Arial" w:hAnsi="Arial" w:cs="Arial"/>
          <w:lang w:val="ro-RO"/>
        </w:rPr>
      </w:pPr>
      <w:r w:rsidRPr="0001449A">
        <w:rPr>
          <w:rFonts w:ascii="Arial" w:hAnsi="Arial" w:cs="Arial"/>
          <w:sz w:val="20"/>
          <w:szCs w:val="20"/>
          <w:lang w:val="ro-RO"/>
        </w:rPr>
        <w:t>Sursa: Agenţia pentru Protecţia Mediului Bistriţa-Năsăud</w:t>
      </w:r>
    </w:p>
    <w:p w:rsidR="00743B28" w:rsidRPr="006B01A5" w:rsidRDefault="00743B28" w:rsidP="00755618">
      <w:pPr>
        <w:tabs>
          <w:tab w:val="left" w:pos="851"/>
          <w:tab w:val="left" w:pos="1134"/>
          <w:tab w:val="left" w:leader="dot" w:pos="9356"/>
        </w:tabs>
        <w:jc w:val="center"/>
        <w:rPr>
          <w:rFonts w:ascii="Arial" w:hAnsi="Arial" w:cs="Arial"/>
          <w:b/>
          <w:color w:val="FF0000"/>
          <w:sz w:val="22"/>
          <w:szCs w:val="22"/>
          <w:lang w:val="ro-RO"/>
        </w:rPr>
      </w:pPr>
    </w:p>
    <w:p w:rsidR="00743B28" w:rsidRPr="0001449A" w:rsidRDefault="00C0178F" w:rsidP="00755618">
      <w:pPr>
        <w:pStyle w:val="Listparagraf"/>
        <w:numPr>
          <w:ilvl w:val="0"/>
          <w:numId w:val="8"/>
        </w:numPr>
        <w:tabs>
          <w:tab w:val="left" w:pos="851"/>
          <w:tab w:val="left" w:pos="1134"/>
          <w:tab w:val="left" w:leader="dot" w:pos="9356"/>
        </w:tabs>
        <w:ind w:left="0" w:firstLine="0"/>
        <w:jc w:val="both"/>
        <w:rPr>
          <w:rFonts w:ascii="Arial" w:hAnsi="Arial" w:cs="Arial"/>
          <w:lang w:val="ro-RO"/>
        </w:rPr>
      </w:pPr>
      <w:r w:rsidRPr="0001449A">
        <w:rPr>
          <w:rFonts w:ascii="Arial" w:hAnsi="Arial" w:cs="Arial"/>
          <w:lang w:val="ro-RO"/>
        </w:rPr>
        <w:t>D</w:t>
      </w:r>
      <w:r w:rsidR="00743B28" w:rsidRPr="0001449A">
        <w:rPr>
          <w:rFonts w:ascii="Arial" w:hAnsi="Arial" w:cs="Arial"/>
          <w:lang w:val="ro-RO"/>
        </w:rPr>
        <w:t xml:space="preserve">in activitățile industriale desfășurate în </w:t>
      </w:r>
      <w:r w:rsidR="005964E0" w:rsidRPr="0001449A">
        <w:rPr>
          <w:rFonts w:ascii="Arial" w:hAnsi="Arial" w:cs="Arial"/>
          <w:lang w:val="ro-RO"/>
        </w:rPr>
        <w:t>2021</w:t>
      </w:r>
      <w:r w:rsidR="00743B28" w:rsidRPr="0001449A">
        <w:rPr>
          <w:rFonts w:ascii="Arial" w:hAnsi="Arial" w:cs="Arial"/>
          <w:lang w:val="ro-RO"/>
        </w:rPr>
        <w:t xml:space="preserve"> la nivelul județului Bistrița-Năsăud</w:t>
      </w:r>
      <w:r w:rsidRPr="0001449A">
        <w:rPr>
          <w:rFonts w:ascii="Arial" w:hAnsi="Arial" w:cs="Arial"/>
          <w:lang w:val="ro-RO"/>
        </w:rPr>
        <w:t xml:space="preserve"> </w:t>
      </w:r>
      <w:r w:rsidR="0001449A" w:rsidRPr="0001449A">
        <w:rPr>
          <w:rFonts w:ascii="Arial" w:hAnsi="Arial" w:cs="Arial"/>
          <w:lang w:val="ro-RO"/>
        </w:rPr>
        <w:t xml:space="preserve">nu </w:t>
      </w:r>
      <w:r w:rsidRPr="0001449A">
        <w:rPr>
          <w:rFonts w:ascii="Arial" w:hAnsi="Arial" w:cs="Arial"/>
          <w:lang w:val="ro-RO"/>
        </w:rPr>
        <w:t xml:space="preserve">au rezultat </w:t>
      </w:r>
      <w:r w:rsidR="0001449A" w:rsidRPr="0001449A">
        <w:rPr>
          <w:rFonts w:ascii="Arial" w:hAnsi="Arial" w:cs="Arial"/>
          <w:lang w:val="ro-RO"/>
        </w:rPr>
        <w:t>produși organici persistenți</w:t>
      </w:r>
      <w:r w:rsidRPr="0001449A">
        <w:rPr>
          <w:rFonts w:ascii="Arial" w:hAnsi="Arial" w:cs="Arial"/>
          <w:lang w:val="ro-RO"/>
        </w:rPr>
        <w:t>.</w:t>
      </w:r>
    </w:p>
    <w:p w:rsidR="00743B28" w:rsidRPr="0001449A" w:rsidRDefault="00743B28" w:rsidP="00755618">
      <w:pPr>
        <w:pStyle w:val="Listparagraf"/>
        <w:tabs>
          <w:tab w:val="left" w:pos="851"/>
          <w:tab w:val="left" w:pos="1134"/>
          <w:tab w:val="left" w:leader="dot" w:pos="9356"/>
        </w:tabs>
        <w:ind w:left="0"/>
        <w:jc w:val="both"/>
        <w:rPr>
          <w:rFonts w:ascii="Arial" w:hAnsi="Arial" w:cs="Arial"/>
          <w:lang w:val="ro-RO"/>
        </w:rPr>
      </w:pPr>
    </w:p>
    <w:p w:rsidR="00743B28" w:rsidRPr="0001449A" w:rsidRDefault="00743B28" w:rsidP="00755618">
      <w:pPr>
        <w:pStyle w:val="Listparagraf"/>
        <w:numPr>
          <w:ilvl w:val="0"/>
          <w:numId w:val="8"/>
        </w:numPr>
        <w:tabs>
          <w:tab w:val="left" w:pos="851"/>
          <w:tab w:val="left" w:pos="1134"/>
          <w:tab w:val="left" w:leader="dot" w:pos="9356"/>
        </w:tabs>
        <w:ind w:left="0" w:firstLine="0"/>
        <w:jc w:val="both"/>
        <w:rPr>
          <w:rFonts w:ascii="Arial" w:hAnsi="Arial" w:cs="Arial"/>
          <w:lang w:val="ro-RO"/>
        </w:rPr>
      </w:pPr>
      <w:r w:rsidRPr="0001449A">
        <w:rPr>
          <w:rFonts w:ascii="Arial" w:hAnsi="Arial" w:cs="Arial"/>
          <w:lang w:val="ro-RO"/>
        </w:rPr>
        <w:t xml:space="preserve">Dintre </w:t>
      </w:r>
      <w:r w:rsidR="00C0178F" w:rsidRPr="0001449A">
        <w:rPr>
          <w:rFonts w:ascii="Arial" w:hAnsi="Arial" w:cs="Arial"/>
          <w:b/>
          <w:u w:val="single"/>
          <w:lang w:val="ro-RO"/>
        </w:rPr>
        <w:t>poluanț</w:t>
      </w:r>
      <w:r w:rsidRPr="0001449A">
        <w:rPr>
          <w:rFonts w:ascii="Arial" w:hAnsi="Arial" w:cs="Arial"/>
          <w:b/>
          <w:u w:val="single"/>
          <w:lang w:val="ro-RO"/>
        </w:rPr>
        <w:t>ii specifici</w:t>
      </w:r>
      <w:r w:rsidRPr="0001449A">
        <w:rPr>
          <w:rFonts w:ascii="Arial" w:hAnsi="Arial" w:cs="Arial"/>
          <w:lang w:val="ro-RO"/>
        </w:rPr>
        <w:t xml:space="preserve"> activităților din </w:t>
      </w:r>
      <w:r w:rsidR="005964E0" w:rsidRPr="0001449A">
        <w:rPr>
          <w:rFonts w:ascii="Arial" w:hAnsi="Arial" w:cs="Arial"/>
          <w:lang w:val="ro-RO"/>
        </w:rPr>
        <w:t>2021</w:t>
      </w:r>
      <w:r w:rsidR="00C0178F" w:rsidRPr="0001449A">
        <w:rPr>
          <w:rFonts w:ascii="Arial" w:hAnsi="Arial" w:cs="Arial"/>
          <w:lang w:val="ro-RO"/>
        </w:rPr>
        <w:t>,</w:t>
      </w:r>
      <w:r w:rsidRPr="0001449A">
        <w:rPr>
          <w:rFonts w:ascii="Arial" w:hAnsi="Arial" w:cs="Arial"/>
          <w:lang w:val="ro-RO"/>
        </w:rPr>
        <w:t xml:space="preserve"> în județul Bistrița-Năsăud menționăm aerosolii de acid clorhidric din băile de degresare/decapare ca parte a procesele de galvanizare, în cantitate de  </w:t>
      </w:r>
      <w:r w:rsidR="0001449A" w:rsidRPr="0001449A">
        <w:rPr>
          <w:rFonts w:ascii="Arial" w:hAnsi="Arial" w:cs="Arial"/>
          <w:lang w:val="ro-RO"/>
        </w:rPr>
        <w:t>83,3</w:t>
      </w:r>
      <w:r w:rsidRPr="0001449A">
        <w:rPr>
          <w:rFonts w:ascii="Arial" w:hAnsi="Arial" w:cs="Arial"/>
          <w:lang w:val="ro-RO"/>
        </w:rPr>
        <w:t xml:space="preserve"> kg.</w:t>
      </w:r>
    </w:p>
    <w:p w:rsidR="00743B28" w:rsidRPr="0001449A" w:rsidRDefault="00743B28" w:rsidP="00755618">
      <w:pPr>
        <w:pStyle w:val="Listparagraf"/>
        <w:ind w:left="0"/>
        <w:rPr>
          <w:rFonts w:ascii="Arial" w:hAnsi="Arial" w:cs="Arial"/>
          <w:lang w:val="ro-RO"/>
        </w:rPr>
      </w:pPr>
    </w:p>
    <w:p w:rsidR="00743B28" w:rsidRPr="006B01A5" w:rsidRDefault="00743B28" w:rsidP="00755618">
      <w:pPr>
        <w:tabs>
          <w:tab w:val="left" w:pos="851"/>
          <w:tab w:val="left" w:leader="dot" w:pos="9356"/>
        </w:tabs>
        <w:rPr>
          <w:rFonts w:ascii="Arial" w:hAnsi="Arial" w:cs="Arial"/>
          <w:b/>
          <w:color w:val="FF0000"/>
          <w:lang w:val="ro-RO"/>
        </w:rPr>
      </w:pPr>
    </w:p>
    <w:p w:rsidR="00743B28" w:rsidRPr="00786F0D" w:rsidRDefault="00743B28" w:rsidP="00755618">
      <w:pPr>
        <w:tabs>
          <w:tab w:val="left" w:pos="851"/>
          <w:tab w:val="left" w:leader="dot" w:pos="9356"/>
        </w:tabs>
        <w:jc w:val="center"/>
        <w:rPr>
          <w:rFonts w:ascii="Arial" w:hAnsi="Arial" w:cs="Arial"/>
          <w:b/>
          <w:sz w:val="28"/>
          <w:szCs w:val="28"/>
          <w:lang w:val="ro-RO"/>
        </w:rPr>
      </w:pPr>
      <w:r w:rsidRPr="00786F0D">
        <w:rPr>
          <w:rFonts w:ascii="Arial" w:hAnsi="Arial" w:cs="Arial"/>
          <w:b/>
          <w:sz w:val="28"/>
          <w:szCs w:val="28"/>
          <w:lang w:val="ro-RO"/>
        </w:rPr>
        <w:t>I.2.1.3. TRANSPORTUL</w:t>
      </w:r>
    </w:p>
    <w:p w:rsidR="00743B28" w:rsidRPr="006B01A5" w:rsidRDefault="00743B28" w:rsidP="00755618">
      <w:pPr>
        <w:tabs>
          <w:tab w:val="left" w:pos="851"/>
          <w:tab w:val="left" w:leader="dot" w:pos="9356"/>
        </w:tabs>
        <w:rPr>
          <w:rFonts w:ascii="Arial" w:hAnsi="Arial" w:cs="Arial"/>
          <w:b/>
          <w:color w:val="FF0000"/>
          <w:sz w:val="22"/>
          <w:szCs w:val="22"/>
          <w:lang w:val="ro-RO"/>
        </w:rPr>
      </w:pPr>
    </w:p>
    <w:p w:rsidR="00743B28" w:rsidRPr="0066507B" w:rsidRDefault="00743B28" w:rsidP="00755618">
      <w:pPr>
        <w:pStyle w:val="Default"/>
        <w:numPr>
          <w:ilvl w:val="0"/>
          <w:numId w:val="13"/>
        </w:numPr>
        <w:tabs>
          <w:tab w:val="left" w:pos="851"/>
        </w:tabs>
        <w:ind w:left="0" w:firstLine="0"/>
        <w:rPr>
          <w:b/>
          <w:bCs/>
          <w:color w:val="auto"/>
          <w:sz w:val="20"/>
          <w:szCs w:val="20"/>
        </w:rPr>
      </w:pPr>
      <w:r w:rsidRPr="0066507B">
        <w:rPr>
          <w:b/>
          <w:color w:val="auto"/>
          <w:u w:val="single"/>
        </w:rPr>
        <w:t>Emisiile de substanțele acidifiante</w:t>
      </w:r>
    </w:p>
    <w:p w:rsidR="00743B28" w:rsidRPr="006B01A5" w:rsidRDefault="00743B28" w:rsidP="00755618">
      <w:pPr>
        <w:pStyle w:val="Default"/>
        <w:tabs>
          <w:tab w:val="left" w:pos="851"/>
        </w:tabs>
        <w:rPr>
          <w:b/>
          <w:bCs/>
          <w:color w:val="FF0000"/>
          <w:sz w:val="20"/>
          <w:szCs w:val="20"/>
        </w:rPr>
      </w:pPr>
    </w:p>
    <w:p w:rsidR="00743B28" w:rsidRPr="00EA5BDC"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EA5BDC">
        <w:rPr>
          <w:rFonts w:ascii="Arial" w:hAnsi="Arial" w:cs="Arial"/>
          <w:b/>
          <w:sz w:val="22"/>
          <w:szCs w:val="22"/>
          <w:lang w:val="ro-RO"/>
        </w:rPr>
        <w:t>Tabel I.2.1.3.1.</w:t>
      </w:r>
    </w:p>
    <w:p w:rsidR="00743B28" w:rsidRPr="00EA5BDC" w:rsidRDefault="00743B28" w:rsidP="00755618">
      <w:pPr>
        <w:pStyle w:val="Listparagraf"/>
        <w:tabs>
          <w:tab w:val="left" w:pos="851"/>
          <w:tab w:val="left" w:pos="1134"/>
          <w:tab w:val="left" w:leader="dot" w:pos="9356"/>
        </w:tabs>
        <w:ind w:left="0"/>
        <w:jc w:val="center"/>
        <w:rPr>
          <w:rFonts w:ascii="Arial" w:hAnsi="Arial" w:cs="Arial"/>
          <w:b/>
          <w:lang w:val="ro-RO"/>
        </w:rPr>
      </w:pPr>
      <w:r w:rsidRPr="00EA5BDC">
        <w:rPr>
          <w:rFonts w:ascii="Arial" w:hAnsi="Arial" w:cs="Arial"/>
          <w:b/>
          <w:sz w:val="22"/>
          <w:szCs w:val="22"/>
          <w:lang w:val="ro-RO"/>
        </w:rPr>
        <w:t xml:space="preserve">Cantitățile </w:t>
      </w:r>
      <w:r w:rsidR="0001449A" w:rsidRPr="00EA5BDC">
        <w:rPr>
          <w:rFonts w:ascii="Arial" w:hAnsi="Arial" w:cs="Arial"/>
          <w:b/>
          <w:sz w:val="22"/>
          <w:szCs w:val="22"/>
          <w:lang w:val="ro-RO"/>
        </w:rPr>
        <w:t>și ponderea din emisiile totale a</w:t>
      </w:r>
      <w:r w:rsidRPr="00EA5BDC">
        <w:rPr>
          <w:rFonts w:ascii="Arial" w:hAnsi="Arial" w:cs="Arial"/>
          <w:b/>
          <w:sz w:val="22"/>
          <w:szCs w:val="22"/>
          <w:lang w:val="ro-RO"/>
        </w:rPr>
        <w:t xml:space="preserve"> </w:t>
      </w:r>
      <w:r w:rsidRPr="00EA5BDC">
        <w:rPr>
          <w:rFonts w:ascii="Arial" w:hAnsi="Arial" w:cs="Arial"/>
          <w:b/>
          <w:i/>
          <w:sz w:val="22"/>
          <w:szCs w:val="22"/>
          <w:lang w:val="ro-RO"/>
        </w:rPr>
        <w:t>substanțe</w:t>
      </w:r>
      <w:r w:rsidR="0001449A" w:rsidRPr="00EA5BDC">
        <w:rPr>
          <w:rFonts w:ascii="Arial" w:hAnsi="Arial" w:cs="Arial"/>
          <w:b/>
          <w:i/>
          <w:sz w:val="22"/>
          <w:szCs w:val="22"/>
          <w:lang w:val="ro-RO"/>
        </w:rPr>
        <w:t>lor</w:t>
      </w:r>
      <w:r w:rsidRPr="00EA5BDC">
        <w:rPr>
          <w:rFonts w:ascii="Arial" w:hAnsi="Arial" w:cs="Arial"/>
          <w:b/>
          <w:i/>
          <w:sz w:val="22"/>
          <w:szCs w:val="22"/>
          <w:lang w:val="ro-RO"/>
        </w:rPr>
        <w:t xml:space="preserve"> acidifiante provenite din transport</w:t>
      </w:r>
      <w:r w:rsidRPr="00EA5BDC">
        <w:rPr>
          <w:rFonts w:ascii="Arial" w:hAnsi="Arial" w:cs="Arial"/>
          <w:b/>
          <w:sz w:val="22"/>
          <w:szCs w:val="22"/>
          <w:lang w:val="ro-RO"/>
        </w:rPr>
        <w:t>,</w:t>
      </w:r>
      <w:r w:rsidR="0001449A" w:rsidRPr="00EA5BDC">
        <w:rPr>
          <w:rFonts w:ascii="Arial" w:hAnsi="Arial" w:cs="Arial"/>
          <w:b/>
          <w:sz w:val="22"/>
          <w:szCs w:val="22"/>
          <w:lang w:val="ro-RO"/>
        </w:rPr>
        <w:t xml:space="preserve"> </w:t>
      </w:r>
      <w:r w:rsidRPr="00EA5BDC">
        <w:rPr>
          <w:rFonts w:ascii="Arial" w:hAnsi="Arial" w:cs="Arial"/>
          <w:b/>
          <w:sz w:val="22"/>
          <w:szCs w:val="22"/>
          <w:lang w:val="ro-RO"/>
        </w:rPr>
        <w:t xml:space="preserve">județul Bistrița-Năsăud, anul </w:t>
      </w:r>
      <w:r w:rsidR="005964E0" w:rsidRPr="00EA5BDC">
        <w:rPr>
          <w:rFonts w:ascii="Arial" w:hAnsi="Arial" w:cs="Arial"/>
          <w:b/>
          <w:sz w:val="22"/>
          <w:szCs w:val="22"/>
          <w:lang w:val="ro-RO"/>
        </w:rPr>
        <w:t>2021</w:t>
      </w:r>
    </w:p>
    <w:tbl>
      <w:tblPr>
        <w:tblStyle w:val="Style1"/>
        <w:tblW w:w="9880" w:type="dxa"/>
        <w:tblLook w:val="04A0" w:firstRow="1" w:lastRow="0" w:firstColumn="1" w:lastColumn="0" w:noHBand="0" w:noVBand="1"/>
      </w:tblPr>
      <w:tblGrid>
        <w:gridCol w:w="4338"/>
        <w:gridCol w:w="2070"/>
        <w:gridCol w:w="2070"/>
        <w:gridCol w:w="1402"/>
      </w:tblGrid>
      <w:tr w:rsidR="00EA5BDC" w:rsidRPr="00EA5BDC" w:rsidTr="00EA5BD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38" w:type="dxa"/>
            <w:hideMark/>
          </w:tcPr>
          <w:p w:rsidR="0001449A" w:rsidRPr="00EA5BDC" w:rsidRDefault="0001449A">
            <w:pPr>
              <w:rPr>
                <w:rFonts w:ascii="Arial" w:eastAsia="Times New Roman" w:hAnsi="Arial" w:cs="Arial"/>
                <w:sz w:val="20"/>
                <w:szCs w:val="20"/>
                <w:lang w:val="en-US"/>
              </w:rPr>
            </w:pPr>
            <w:r w:rsidRPr="00EA5BDC">
              <w:rPr>
                <w:rFonts w:ascii="Arial" w:hAnsi="Arial" w:cs="Arial"/>
                <w:sz w:val="20"/>
                <w:szCs w:val="20"/>
              </w:rPr>
              <w:t> </w:t>
            </w:r>
          </w:p>
        </w:tc>
        <w:tc>
          <w:tcPr>
            <w:tcW w:w="2070" w:type="dxa"/>
            <w:hideMark/>
          </w:tcPr>
          <w:p w:rsidR="0001449A" w:rsidRPr="00EA5BDC" w:rsidRDefault="0001449A">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A5BDC">
              <w:rPr>
                <w:rFonts w:ascii="Arial" w:hAnsi="Arial" w:cs="Arial"/>
                <w:b/>
                <w:bCs/>
                <w:sz w:val="20"/>
                <w:szCs w:val="20"/>
              </w:rPr>
              <w:t>NH3 - Gg</w:t>
            </w:r>
          </w:p>
        </w:tc>
        <w:tc>
          <w:tcPr>
            <w:tcW w:w="2070" w:type="dxa"/>
            <w:hideMark/>
          </w:tcPr>
          <w:p w:rsidR="0001449A" w:rsidRPr="00EA5BDC" w:rsidRDefault="0001449A">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A5BDC">
              <w:rPr>
                <w:rFonts w:ascii="Arial" w:hAnsi="Arial" w:cs="Arial"/>
                <w:b/>
                <w:bCs/>
                <w:sz w:val="20"/>
                <w:szCs w:val="20"/>
              </w:rPr>
              <w:t>NOX - Gg</w:t>
            </w:r>
          </w:p>
        </w:tc>
        <w:tc>
          <w:tcPr>
            <w:tcW w:w="1402" w:type="dxa"/>
            <w:hideMark/>
          </w:tcPr>
          <w:p w:rsidR="0001449A" w:rsidRPr="00EA5BDC" w:rsidRDefault="0001449A">
            <w:pPr>
              <w:jc w:val="cente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rPr>
            </w:pPr>
            <w:r w:rsidRPr="00EA5BDC">
              <w:rPr>
                <w:rFonts w:ascii="Arial" w:hAnsi="Arial" w:cs="Arial"/>
                <w:b/>
                <w:bCs/>
                <w:sz w:val="20"/>
                <w:szCs w:val="20"/>
              </w:rPr>
              <w:t>SOX - Gg</w:t>
            </w:r>
          </w:p>
        </w:tc>
      </w:tr>
      <w:tr w:rsidR="00EA5BDC" w:rsidRPr="00EA5BDC" w:rsidTr="00EA5BD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38" w:type="dxa"/>
            <w:noWrap/>
            <w:hideMark/>
          </w:tcPr>
          <w:p w:rsidR="0001449A" w:rsidRPr="00EA5BDC" w:rsidRDefault="0001449A">
            <w:pPr>
              <w:rPr>
                <w:rFonts w:ascii="Arial" w:hAnsi="Arial" w:cs="Arial"/>
                <w:bCs/>
                <w:sz w:val="20"/>
                <w:szCs w:val="20"/>
              </w:rPr>
            </w:pPr>
            <w:r w:rsidRPr="00EA5BDC">
              <w:rPr>
                <w:rFonts w:ascii="Arial" w:hAnsi="Arial" w:cs="Arial"/>
                <w:bCs/>
                <w:sz w:val="20"/>
                <w:szCs w:val="20"/>
              </w:rPr>
              <w:t>emisii din transport</w:t>
            </w:r>
          </w:p>
        </w:tc>
        <w:tc>
          <w:tcPr>
            <w:tcW w:w="2070" w:type="dxa"/>
            <w:noWrap/>
            <w:hideMark/>
          </w:tcPr>
          <w:p w:rsidR="0001449A" w:rsidRPr="00EA5BDC" w:rsidRDefault="0001449A" w:rsidP="0001449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A5BDC">
              <w:rPr>
                <w:rFonts w:ascii="Arial" w:hAnsi="Arial" w:cs="Arial"/>
                <w:bCs/>
                <w:sz w:val="20"/>
                <w:szCs w:val="20"/>
              </w:rPr>
              <w:t>0.0169080</w:t>
            </w:r>
          </w:p>
        </w:tc>
        <w:tc>
          <w:tcPr>
            <w:tcW w:w="2070" w:type="dxa"/>
            <w:noWrap/>
            <w:hideMark/>
          </w:tcPr>
          <w:p w:rsidR="0001449A" w:rsidRPr="00EA5BDC" w:rsidRDefault="0001449A" w:rsidP="0001449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A5BDC">
              <w:rPr>
                <w:rFonts w:ascii="Arial" w:hAnsi="Arial" w:cs="Arial"/>
                <w:bCs/>
                <w:sz w:val="20"/>
                <w:szCs w:val="20"/>
              </w:rPr>
              <w:t>1.6213458</w:t>
            </w:r>
          </w:p>
        </w:tc>
        <w:tc>
          <w:tcPr>
            <w:tcW w:w="1402" w:type="dxa"/>
            <w:noWrap/>
            <w:hideMark/>
          </w:tcPr>
          <w:p w:rsidR="0001449A" w:rsidRPr="00EA5BDC" w:rsidRDefault="0001449A" w:rsidP="0001449A">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EA5BDC">
              <w:rPr>
                <w:rFonts w:ascii="Arial" w:hAnsi="Arial" w:cs="Arial"/>
                <w:bCs/>
                <w:sz w:val="20"/>
                <w:szCs w:val="20"/>
              </w:rPr>
              <w:t>0.0000074</w:t>
            </w:r>
          </w:p>
        </w:tc>
      </w:tr>
      <w:tr w:rsidR="00EA5BDC" w:rsidRPr="00EA5BDC" w:rsidTr="00EA5BD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38" w:type="dxa"/>
            <w:noWrap/>
            <w:hideMark/>
          </w:tcPr>
          <w:p w:rsidR="0001449A" w:rsidRPr="00EA5BDC" w:rsidRDefault="0001449A">
            <w:pPr>
              <w:rPr>
                <w:rFonts w:ascii="Arial" w:hAnsi="Arial" w:cs="Arial"/>
                <w:sz w:val="20"/>
                <w:szCs w:val="20"/>
              </w:rPr>
            </w:pPr>
            <w:r w:rsidRPr="00EA5BDC">
              <w:rPr>
                <w:rFonts w:ascii="Arial" w:hAnsi="Arial" w:cs="Arial"/>
                <w:sz w:val="20"/>
                <w:szCs w:val="20"/>
              </w:rPr>
              <w:t>Ponderea ca % din emisia totală, din care:</w:t>
            </w:r>
          </w:p>
        </w:tc>
        <w:tc>
          <w:tcPr>
            <w:tcW w:w="2070" w:type="dxa"/>
            <w:noWrap/>
            <w:hideMark/>
          </w:tcPr>
          <w:p w:rsidR="0001449A" w:rsidRPr="00EA5BDC" w:rsidRDefault="0001449A" w:rsidP="0001449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BDC">
              <w:rPr>
                <w:rFonts w:ascii="Arial" w:hAnsi="Arial" w:cs="Arial"/>
                <w:sz w:val="20"/>
                <w:szCs w:val="20"/>
              </w:rPr>
              <w:t>0.53</w:t>
            </w:r>
          </w:p>
        </w:tc>
        <w:tc>
          <w:tcPr>
            <w:tcW w:w="2070" w:type="dxa"/>
            <w:noWrap/>
            <w:hideMark/>
          </w:tcPr>
          <w:p w:rsidR="0001449A" w:rsidRPr="00EA5BDC" w:rsidRDefault="0001449A" w:rsidP="0001449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BDC">
              <w:rPr>
                <w:rFonts w:ascii="Arial" w:hAnsi="Arial" w:cs="Arial"/>
                <w:sz w:val="20"/>
                <w:szCs w:val="20"/>
              </w:rPr>
              <w:t>83.78</w:t>
            </w:r>
          </w:p>
        </w:tc>
        <w:tc>
          <w:tcPr>
            <w:tcW w:w="1402" w:type="dxa"/>
            <w:noWrap/>
            <w:hideMark/>
          </w:tcPr>
          <w:p w:rsidR="0001449A" w:rsidRPr="00EA5BDC" w:rsidRDefault="0001449A" w:rsidP="0001449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BDC">
              <w:rPr>
                <w:rFonts w:ascii="Arial" w:hAnsi="Arial" w:cs="Arial"/>
                <w:sz w:val="20"/>
                <w:szCs w:val="20"/>
              </w:rPr>
              <w:t>0.02</w:t>
            </w:r>
          </w:p>
        </w:tc>
      </w:tr>
      <w:tr w:rsidR="00EA5BDC" w:rsidRPr="00EA5BDC" w:rsidTr="00EA5BD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38" w:type="dxa"/>
            <w:noWrap/>
            <w:hideMark/>
          </w:tcPr>
          <w:p w:rsidR="0001449A" w:rsidRPr="00EA5BDC" w:rsidRDefault="0001449A">
            <w:pPr>
              <w:rPr>
                <w:rFonts w:ascii="Arial" w:hAnsi="Arial" w:cs="Arial"/>
                <w:sz w:val="20"/>
                <w:szCs w:val="20"/>
              </w:rPr>
            </w:pPr>
            <w:r w:rsidRPr="00EA5BDC">
              <w:rPr>
                <w:rFonts w:ascii="Arial" w:hAnsi="Arial" w:cs="Arial"/>
                <w:sz w:val="20"/>
                <w:szCs w:val="20"/>
              </w:rPr>
              <w:t>Transport rutier</w:t>
            </w:r>
          </w:p>
        </w:tc>
        <w:tc>
          <w:tcPr>
            <w:tcW w:w="2070" w:type="dxa"/>
            <w:noWrap/>
            <w:hideMark/>
          </w:tcPr>
          <w:p w:rsidR="0001449A" w:rsidRPr="00EA5BDC" w:rsidRDefault="0001449A" w:rsidP="000144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0.5322</w:t>
            </w:r>
          </w:p>
        </w:tc>
        <w:tc>
          <w:tcPr>
            <w:tcW w:w="2070" w:type="dxa"/>
            <w:noWrap/>
            <w:hideMark/>
          </w:tcPr>
          <w:p w:rsidR="0001449A" w:rsidRPr="00EA5BDC" w:rsidRDefault="0001449A" w:rsidP="000144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70.92</w:t>
            </w:r>
          </w:p>
        </w:tc>
        <w:tc>
          <w:tcPr>
            <w:tcW w:w="1402" w:type="dxa"/>
            <w:noWrap/>
            <w:hideMark/>
          </w:tcPr>
          <w:p w:rsidR="0001449A" w:rsidRPr="00EA5BDC" w:rsidRDefault="0001449A" w:rsidP="000144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0.0185</w:t>
            </w:r>
          </w:p>
        </w:tc>
      </w:tr>
      <w:tr w:rsidR="00EA5BDC" w:rsidRPr="00EA5BDC" w:rsidTr="00EA5BDC">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38" w:type="dxa"/>
            <w:noWrap/>
            <w:hideMark/>
          </w:tcPr>
          <w:p w:rsidR="0001449A" w:rsidRPr="00EA5BDC" w:rsidRDefault="0001449A">
            <w:pPr>
              <w:rPr>
                <w:rFonts w:ascii="Arial" w:hAnsi="Arial" w:cs="Arial"/>
                <w:sz w:val="20"/>
                <w:szCs w:val="20"/>
              </w:rPr>
            </w:pPr>
            <w:r w:rsidRPr="00EA5BDC">
              <w:rPr>
                <w:rFonts w:ascii="Arial" w:hAnsi="Arial" w:cs="Arial"/>
                <w:sz w:val="20"/>
                <w:szCs w:val="20"/>
              </w:rPr>
              <w:t>Transport nerutier</w:t>
            </w:r>
          </w:p>
        </w:tc>
        <w:tc>
          <w:tcPr>
            <w:tcW w:w="2070" w:type="dxa"/>
            <w:noWrap/>
            <w:hideMark/>
          </w:tcPr>
          <w:p w:rsidR="0001449A" w:rsidRPr="00EA5BDC" w:rsidRDefault="0001449A" w:rsidP="0001449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BDC">
              <w:rPr>
                <w:rFonts w:ascii="Arial" w:hAnsi="Arial" w:cs="Arial"/>
                <w:sz w:val="20"/>
                <w:szCs w:val="20"/>
              </w:rPr>
              <w:t>0.0006</w:t>
            </w:r>
          </w:p>
        </w:tc>
        <w:tc>
          <w:tcPr>
            <w:tcW w:w="2070" w:type="dxa"/>
            <w:noWrap/>
            <w:hideMark/>
          </w:tcPr>
          <w:p w:rsidR="0001449A" w:rsidRPr="00EA5BDC" w:rsidRDefault="0001449A" w:rsidP="0001449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BDC">
              <w:rPr>
                <w:rFonts w:ascii="Arial" w:hAnsi="Arial" w:cs="Arial"/>
                <w:sz w:val="20"/>
                <w:szCs w:val="20"/>
              </w:rPr>
              <w:t>4.01</w:t>
            </w:r>
          </w:p>
        </w:tc>
        <w:tc>
          <w:tcPr>
            <w:tcW w:w="1402" w:type="dxa"/>
            <w:noWrap/>
            <w:hideMark/>
          </w:tcPr>
          <w:p w:rsidR="0001449A" w:rsidRPr="00EA5BDC" w:rsidRDefault="0001449A" w:rsidP="0001449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A5BDC">
              <w:rPr>
                <w:rFonts w:ascii="Arial" w:hAnsi="Arial" w:cs="Arial"/>
                <w:sz w:val="20"/>
                <w:szCs w:val="20"/>
              </w:rPr>
              <w:t>0.0000</w:t>
            </w:r>
          </w:p>
        </w:tc>
      </w:tr>
      <w:tr w:rsidR="00EA5BDC" w:rsidRPr="00EA5BDC" w:rsidTr="00EA5BDC">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38" w:type="dxa"/>
            <w:noWrap/>
            <w:hideMark/>
          </w:tcPr>
          <w:p w:rsidR="0001449A" w:rsidRPr="00EA5BDC" w:rsidRDefault="0001449A">
            <w:pPr>
              <w:rPr>
                <w:rFonts w:ascii="Arial" w:hAnsi="Arial" w:cs="Arial"/>
                <w:sz w:val="20"/>
                <w:szCs w:val="20"/>
              </w:rPr>
            </w:pPr>
            <w:r w:rsidRPr="00EA5BDC">
              <w:rPr>
                <w:rFonts w:ascii="Arial" w:hAnsi="Arial" w:cs="Arial"/>
                <w:sz w:val="20"/>
                <w:szCs w:val="20"/>
              </w:rPr>
              <w:t>Transport feroviar</w:t>
            </w:r>
          </w:p>
        </w:tc>
        <w:tc>
          <w:tcPr>
            <w:tcW w:w="2070" w:type="dxa"/>
            <w:noWrap/>
            <w:hideMark/>
          </w:tcPr>
          <w:p w:rsidR="0001449A" w:rsidRPr="00EA5BDC" w:rsidRDefault="0001449A" w:rsidP="000144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0.0007</w:t>
            </w:r>
          </w:p>
        </w:tc>
        <w:tc>
          <w:tcPr>
            <w:tcW w:w="2070" w:type="dxa"/>
            <w:noWrap/>
            <w:hideMark/>
          </w:tcPr>
          <w:p w:rsidR="0001449A" w:rsidRPr="00EA5BDC" w:rsidRDefault="0001449A" w:rsidP="000144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8.84</w:t>
            </w:r>
          </w:p>
        </w:tc>
        <w:tc>
          <w:tcPr>
            <w:tcW w:w="1402" w:type="dxa"/>
            <w:noWrap/>
            <w:hideMark/>
          </w:tcPr>
          <w:p w:rsidR="0001449A" w:rsidRPr="00EA5BDC" w:rsidRDefault="0001449A" w:rsidP="0001449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0.0000</w:t>
            </w:r>
          </w:p>
        </w:tc>
      </w:tr>
    </w:tbl>
    <w:p w:rsidR="00743B28" w:rsidRPr="00EA5BDC" w:rsidRDefault="00743B28" w:rsidP="00755618">
      <w:pPr>
        <w:tabs>
          <w:tab w:val="left" w:pos="851"/>
        </w:tabs>
        <w:jc w:val="center"/>
        <w:rPr>
          <w:rFonts w:ascii="Arial" w:hAnsi="Arial" w:cs="Arial"/>
          <w:lang w:val="ro-RO"/>
        </w:rPr>
      </w:pPr>
      <w:r w:rsidRPr="00EA5BDC">
        <w:rPr>
          <w:rFonts w:ascii="Arial" w:hAnsi="Arial" w:cs="Arial"/>
          <w:sz w:val="20"/>
          <w:szCs w:val="20"/>
          <w:lang w:val="ro-RO"/>
        </w:rPr>
        <w:t>Sursa: Agenţia pentru Protecţia Mediului Bistriţa-Năsăud</w:t>
      </w:r>
    </w:p>
    <w:p w:rsidR="00743B28" w:rsidRPr="00EA5BDC"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EA5BDC" w:rsidRDefault="00743B28" w:rsidP="00755618">
      <w:pPr>
        <w:pStyle w:val="Default"/>
        <w:tabs>
          <w:tab w:val="left" w:pos="851"/>
        </w:tabs>
        <w:rPr>
          <w:b/>
          <w:bCs/>
          <w:color w:val="auto"/>
          <w:sz w:val="20"/>
          <w:szCs w:val="20"/>
        </w:rPr>
      </w:pPr>
    </w:p>
    <w:p w:rsidR="00743B28" w:rsidRPr="00EA5BDC" w:rsidRDefault="00743B28" w:rsidP="00755618">
      <w:pPr>
        <w:pStyle w:val="Default"/>
        <w:tabs>
          <w:tab w:val="left" w:pos="851"/>
        </w:tabs>
        <w:rPr>
          <w:b/>
          <w:bCs/>
          <w:color w:val="auto"/>
          <w:sz w:val="20"/>
          <w:szCs w:val="20"/>
        </w:rPr>
      </w:pPr>
    </w:p>
    <w:p w:rsidR="00743B28" w:rsidRPr="0066507B" w:rsidRDefault="00743B28" w:rsidP="00755618">
      <w:pPr>
        <w:pStyle w:val="Listparagraf"/>
        <w:numPr>
          <w:ilvl w:val="0"/>
          <w:numId w:val="13"/>
        </w:numPr>
        <w:tabs>
          <w:tab w:val="left" w:pos="851"/>
          <w:tab w:val="left" w:pos="1134"/>
          <w:tab w:val="left" w:leader="dot" w:pos="9356"/>
        </w:tabs>
        <w:ind w:left="0" w:firstLine="0"/>
        <w:rPr>
          <w:rFonts w:ascii="Arial" w:hAnsi="Arial" w:cs="Arial"/>
          <w:b/>
          <w:lang w:val="ro-RO"/>
        </w:rPr>
      </w:pPr>
      <w:r w:rsidRPr="0066507B">
        <w:rPr>
          <w:rFonts w:ascii="Arial" w:hAnsi="Arial" w:cs="Arial"/>
          <w:b/>
          <w:u w:val="single"/>
          <w:lang w:val="ro-RO"/>
        </w:rPr>
        <w:t>Emisiile de precursori ai ozonului</w:t>
      </w:r>
    </w:p>
    <w:p w:rsidR="00743B28" w:rsidRPr="006B01A5" w:rsidRDefault="00743B28" w:rsidP="00755618">
      <w:pPr>
        <w:pStyle w:val="Listparagraf"/>
        <w:tabs>
          <w:tab w:val="left" w:pos="851"/>
          <w:tab w:val="left" w:pos="1134"/>
          <w:tab w:val="left" w:leader="dot" w:pos="9356"/>
        </w:tabs>
        <w:ind w:left="0"/>
        <w:rPr>
          <w:rFonts w:ascii="Arial" w:hAnsi="Arial" w:cs="Arial"/>
          <w:color w:val="FF0000"/>
          <w:lang w:val="ro-RO"/>
        </w:rPr>
      </w:pPr>
    </w:p>
    <w:p w:rsidR="00743B28" w:rsidRPr="00EA5BDC"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EA5BDC">
        <w:rPr>
          <w:rFonts w:ascii="Arial" w:hAnsi="Arial" w:cs="Arial"/>
          <w:b/>
          <w:sz w:val="22"/>
          <w:szCs w:val="22"/>
          <w:lang w:val="ro-RO"/>
        </w:rPr>
        <w:t>Tabel I.2.1.3.3.</w:t>
      </w:r>
    </w:p>
    <w:p w:rsidR="00743B28" w:rsidRPr="00EA5BDC"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EA5BDC">
        <w:rPr>
          <w:rFonts w:ascii="Arial" w:hAnsi="Arial" w:cs="Arial"/>
          <w:b/>
          <w:sz w:val="22"/>
          <w:szCs w:val="22"/>
          <w:lang w:val="ro-RO"/>
        </w:rPr>
        <w:t xml:space="preserve">Cantitățile de </w:t>
      </w:r>
      <w:r w:rsidRPr="00EA5BDC">
        <w:rPr>
          <w:rFonts w:ascii="Arial" w:hAnsi="Arial" w:cs="Arial"/>
          <w:b/>
          <w:i/>
          <w:sz w:val="22"/>
          <w:szCs w:val="22"/>
          <w:lang w:val="ro-RO"/>
        </w:rPr>
        <w:t>precursori ai ozonului proveniți din transport</w:t>
      </w:r>
      <w:r w:rsidRPr="00EA5BDC">
        <w:rPr>
          <w:rFonts w:ascii="Arial" w:hAnsi="Arial" w:cs="Arial"/>
          <w:b/>
          <w:sz w:val="22"/>
          <w:szCs w:val="22"/>
          <w:lang w:val="ro-RO"/>
        </w:rPr>
        <w:t xml:space="preserve"> (în Gg),</w:t>
      </w:r>
    </w:p>
    <w:p w:rsidR="00743B28" w:rsidRPr="00EA5BDC" w:rsidRDefault="00743B28" w:rsidP="00755618">
      <w:pPr>
        <w:pStyle w:val="Listparagraf"/>
        <w:tabs>
          <w:tab w:val="left" w:pos="851"/>
          <w:tab w:val="left" w:pos="1134"/>
          <w:tab w:val="left" w:leader="dot" w:pos="9356"/>
        </w:tabs>
        <w:ind w:left="0"/>
        <w:jc w:val="center"/>
        <w:rPr>
          <w:rFonts w:ascii="Arial" w:hAnsi="Arial" w:cs="Arial"/>
          <w:b/>
          <w:lang w:val="ro-RO"/>
        </w:rPr>
      </w:pPr>
      <w:r w:rsidRPr="00EA5BDC">
        <w:rPr>
          <w:rFonts w:ascii="Arial" w:hAnsi="Arial" w:cs="Arial"/>
          <w:b/>
          <w:sz w:val="22"/>
          <w:szCs w:val="22"/>
          <w:lang w:val="ro-RO"/>
        </w:rPr>
        <w:t xml:space="preserve">județul Bistrița-Năsăud, anul </w:t>
      </w:r>
      <w:r w:rsidR="005964E0" w:rsidRPr="00EA5BDC">
        <w:rPr>
          <w:rFonts w:ascii="Arial" w:hAnsi="Arial" w:cs="Arial"/>
          <w:b/>
          <w:sz w:val="22"/>
          <w:szCs w:val="22"/>
          <w:lang w:val="ro-RO"/>
        </w:rPr>
        <w:t>2021</w:t>
      </w:r>
    </w:p>
    <w:tbl>
      <w:tblPr>
        <w:tblW w:w="5000" w:type="pct"/>
        <w:tblLook w:val="00A0" w:firstRow="1" w:lastRow="0" w:firstColumn="1" w:lastColumn="0" w:noHBand="0" w:noVBand="0"/>
      </w:tblPr>
      <w:tblGrid>
        <w:gridCol w:w="2308"/>
        <w:gridCol w:w="2428"/>
        <w:gridCol w:w="2309"/>
        <w:gridCol w:w="2309"/>
      </w:tblGrid>
      <w:tr w:rsidR="00EA5BDC" w:rsidRPr="00EA5BDC" w:rsidTr="00743B28">
        <w:trPr>
          <w:trHeight w:val="363"/>
        </w:trPr>
        <w:tc>
          <w:tcPr>
            <w:tcW w:w="1234" w:type="pct"/>
            <w:tcBorders>
              <w:bottom w:val="single" w:sz="12" w:space="0" w:color="FFFFFF"/>
            </w:tcBorders>
            <w:shd w:val="clear" w:color="auto" w:fill="7E9C40"/>
          </w:tcPr>
          <w:p w:rsidR="00743B28" w:rsidRPr="00EA5BDC" w:rsidRDefault="00743B28" w:rsidP="00755618">
            <w:pPr>
              <w:jc w:val="center"/>
              <w:rPr>
                <w:rFonts w:ascii="Arial" w:hAnsi="Arial" w:cs="Arial"/>
                <w:b/>
                <w:bCs/>
                <w:sz w:val="20"/>
                <w:szCs w:val="20"/>
              </w:rPr>
            </w:pPr>
            <w:r w:rsidRPr="00EA5BDC">
              <w:rPr>
                <w:rFonts w:ascii="Arial" w:hAnsi="Arial" w:cs="Arial"/>
                <w:b/>
                <w:bCs/>
                <w:sz w:val="20"/>
                <w:szCs w:val="20"/>
              </w:rPr>
              <w:t>CH4</w:t>
            </w:r>
          </w:p>
        </w:tc>
        <w:tc>
          <w:tcPr>
            <w:tcW w:w="1298" w:type="pct"/>
            <w:tcBorders>
              <w:bottom w:val="single" w:sz="12" w:space="0" w:color="FFFFFF"/>
            </w:tcBorders>
            <w:shd w:val="clear" w:color="auto" w:fill="7E9C40"/>
          </w:tcPr>
          <w:p w:rsidR="00743B28" w:rsidRPr="00EA5BDC" w:rsidRDefault="00743B28" w:rsidP="00755618">
            <w:pPr>
              <w:jc w:val="center"/>
              <w:rPr>
                <w:rFonts w:ascii="Arial" w:hAnsi="Arial" w:cs="Arial"/>
                <w:b/>
                <w:bCs/>
                <w:sz w:val="20"/>
                <w:szCs w:val="20"/>
              </w:rPr>
            </w:pPr>
            <w:r w:rsidRPr="00EA5BDC">
              <w:rPr>
                <w:rFonts w:ascii="Arial" w:hAnsi="Arial" w:cs="Arial"/>
                <w:b/>
                <w:bCs/>
                <w:sz w:val="20"/>
                <w:szCs w:val="20"/>
              </w:rPr>
              <w:t>CO</w:t>
            </w:r>
          </w:p>
        </w:tc>
        <w:tc>
          <w:tcPr>
            <w:tcW w:w="1234" w:type="pct"/>
            <w:tcBorders>
              <w:bottom w:val="single" w:sz="12" w:space="0" w:color="FFFFFF"/>
            </w:tcBorders>
            <w:shd w:val="clear" w:color="auto" w:fill="7E9C40"/>
          </w:tcPr>
          <w:p w:rsidR="00743B28" w:rsidRPr="00EA5BDC" w:rsidRDefault="00743B28" w:rsidP="00755618">
            <w:pPr>
              <w:jc w:val="center"/>
              <w:rPr>
                <w:rFonts w:ascii="Arial" w:hAnsi="Arial" w:cs="Arial"/>
                <w:b/>
                <w:bCs/>
                <w:sz w:val="20"/>
                <w:szCs w:val="20"/>
              </w:rPr>
            </w:pPr>
            <w:r w:rsidRPr="00EA5BDC">
              <w:rPr>
                <w:rFonts w:ascii="Arial" w:hAnsi="Arial" w:cs="Arial"/>
                <w:b/>
                <w:bCs/>
                <w:sz w:val="20"/>
                <w:szCs w:val="20"/>
              </w:rPr>
              <w:t>NMVOC</w:t>
            </w:r>
          </w:p>
        </w:tc>
        <w:tc>
          <w:tcPr>
            <w:tcW w:w="1234" w:type="pct"/>
            <w:tcBorders>
              <w:bottom w:val="single" w:sz="12" w:space="0" w:color="FFFFFF"/>
            </w:tcBorders>
            <w:shd w:val="clear" w:color="auto" w:fill="7E9C40"/>
          </w:tcPr>
          <w:p w:rsidR="00743B28" w:rsidRPr="00EA5BDC" w:rsidRDefault="00743B28" w:rsidP="00755618">
            <w:pPr>
              <w:jc w:val="center"/>
              <w:rPr>
                <w:rFonts w:ascii="Arial" w:hAnsi="Arial" w:cs="Arial"/>
                <w:b/>
                <w:bCs/>
                <w:sz w:val="20"/>
                <w:szCs w:val="20"/>
              </w:rPr>
            </w:pPr>
            <w:r w:rsidRPr="00EA5BDC">
              <w:rPr>
                <w:rFonts w:ascii="Arial" w:hAnsi="Arial" w:cs="Arial"/>
                <w:b/>
                <w:bCs/>
                <w:sz w:val="20"/>
                <w:szCs w:val="20"/>
              </w:rPr>
              <w:t>NOX</w:t>
            </w:r>
          </w:p>
        </w:tc>
      </w:tr>
      <w:tr w:rsidR="00EA5BDC" w:rsidRPr="00EA5BDC" w:rsidTr="00743B28">
        <w:trPr>
          <w:trHeight w:val="282"/>
        </w:trPr>
        <w:tc>
          <w:tcPr>
            <w:tcW w:w="1234" w:type="pct"/>
            <w:shd w:val="clear" w:color="auto" w:fill="E5DFEC"/>
            <w:noWrap/>
            <w:vAlign w:val="bottom"/>
          </w:tcPr>
          <w:p w:rsidR="00EA5BDC" w:rsidRPr="00EA5BDC" w:rsidRDefault="00EA5BDC" w:rsidP="00EA5BDC">
            <w:pPr>
              <w:jc w:val="center"/>
              <w:rPr>
                <w:rFonts w:ascii="Arial" w:eastAsia="Times New Roman" w:hAnsi="Arial" w:cs="Arial"/>
                <w:sz w:val="20"/>
                <w:szCs w:val="20"/>
                <w:lang w:val="en-US"/>
              </w:rPr>
            </w:pPr>
            <w:r w:rsidRPr="00EA5BDC">
              <w:rPr>
                <w:rFonts w:ascii="Arial" w:hAnsi="Arial" w:cs="Arial"/>
                <w:sz w:val="20"/>
                <w:szCs w:val="20"/>
              </w:rPr>
              <w:t>0.0185</w:t>
            </w:r>
          </w:p>
        </w:tc>
        <w:tc>
          <w:tcPr>
            <w:tcW w:w="1298" w:type="pct"/>
            <w:shd w:val="clear" w:color="auto" w:fill="E5DFEC"/>
            <w:noWrap/>
            <w:vAlign w:val="bottom"/>
          </w:tcPr>
          <w:p w:rsidR="00EA5BDC" w:rsidRPr="00EA5BDC" w:rsidRDefault="00EA5BDC" w:rsidP="00EA5BDC">
            <w:pPr>
              <w:jc w:val="center"/>
              <w:rPr>
                <w:rFonts w:ascii="Arial" w:hAnsi="Arial" w:cs="Arial"/>
                <w:sz w:val="20"/>
                <w:szCs w:val="20"/>
              </w:rPr>
            </w:pPr>
            <w:r w:rsidRPr="00EA5BDC">
              <w:rPr>
                <w:rFonts w:ascii="Arial" w:hAnsi="Arial" w:cs="Arial"/>
                <w:sz w:val="20"/>
                <w:szCs w:val="20"/>
              </w:rPr>
              <w:t>2.8440</w:t>
            </w:r>
          </w:p>
        </w:tc>
        <w:tc>
          <w:tcPr>
            <w:tcW w:w="1234" w:type="pct"/>
            <w:shd w:val="clear" w:color="auto" w:fill="E5DFEC"/>
            <w:noWrap/>
            <w:vAlign w:val="bottom"/>
          </w:tcPr>
          <w:p w:rsidR="00EA5BDC" w:rsidRPr="00EA5BDC" w:rsidRDefault="00EA5BDC" w:rsidP="00EA5BDC">
            <w:pPr>
              <w:jc w:val="center"/>
              <w:rPr>
                <w:rFonts w:ascii="Arial" w:hAnsi="Arial" w:cs="Arial"/>
                <w:sz w:val="20"/>
                <w:szCs w:val="20"/>
              </w:rPr>
            </w:pPr>
            <w:r w:rsidRPr="00EA5BDC">
              <w:rPr>
                <w:rFonts w:ascii="Arial" w:hAnsi="Arial" w:cs="Arial"/>
                <w:sz w:val="20"/>
                <w:szCs w:val="20"/>
              </w:rPr>
              <w:t>0.5748</w:t>
            </w:r>
          </w:p>
        </w:tc>
        <w:tc>
          <w:tcPr>
            <w:tcW w:w="1234" w:type="pct"/>
            <w:shd w:val="clear" w:color="auto" w:fill="E5DFEC"/>
            <w:noWrap/>
            <w:vAlign w:val="bottom"/>
          </w:tcPr>
          <w:p w:rsidR="00EA5BDC" w:rsidRPr="00EA5BDC" w:rsidRDefault="00EA5BDC" w:rsidP="00EA5BDC">
            <w:pPr>
              <w:jc w:val="center"/>
              <w:rPr>
                <w:rFonts w:ascii="Arial" w:hAnsi="Arial" w:cs="Arial"/>
                <w:sz w:val="20"/>
                <w:szCs w:val="20"/>
              </w:rPr>
            </w:pPr>
            <w:r w:rsidRPr="00EA5BDC">
              <w:rPr>
                <w:rFonts w:ascii="Arial" w:hAnsi="Arial" w:cs="Arial"/>
                <w:sz w:val="20"/>
                <w:szCs w:val="20"/>
              </w:rPr>
              <w:t>2.0110</w:t>
            </w:r>
          </w:p>
        </w:tc>
      </w:tr>
    </w:tbl>
    <w:p w:rsidR="00743B28" w:rsidRPr="00EA5BDC" w:rsidRDefault="00743B28" w:rsidP="00755618">
      <w:pPr>
        <w:tabs>
          <w:tab w:val="left" w:pos="851"/>
        </w:tabs>
        <w:jc w:val="center"/>
        <w:rPr>
          <w:rFonts w:ascii="Arial" w:hAnsi="Arial" w:cs="Arial"/>
          <w:lang w:val="ro-RO"/>
        </w:rPr>
      </w:pPr>
      <w:r w:rsidRPr="00EA5BDC">
        <w:rPr>
          <w:rFonts w:ascii="Arial" w:hAnsi="Arial" w:cs="Arial"/>
          <w:sz w:val="20"/>
          <w:szCs w:val="20"/>
          <w:lang w:val="ro-RO"/>
        </w:rPr>
        <w:t>Sursa: Agenţia pentru Protecţia Mediului Bistriţa-Năsăud</w:t>
      </w:r>
    </w:p>
    <w:p w:rsidR="00743B28" w:rsidRPr="00EA5BDC"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EA5BDC"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EA5BDC">
        <w:rPr>
          <w:rFonts w:ascii="Arial" w:hAnsi="Arial" w:cs="Arial"/>
          <w:b/>
          <w:sz w:val="22"/>
          <w:szCs w:val="22"/>
          <w:lang w:val="ro-RO"/>
        </w:rPr>
        <w:t>Tabel I.2.1.3.4.</w:t>
      </w:r>
    </w:p>
    <w:p w:rsidR="00743B28" w:rsidRPr="00EA5BDC"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EA5BDC">
        <w:rPr>
          <w:rFonts w:ascii="Arial" w:hAnsi="Arial" w:cs="Arial"/>
          <w:b/>
          <w:sz w:val="22"/>
          <w:szCs w:val="22"/>
          <w:lang w:val="ro-RO"/>
        </w:rPr>
        <w:t xml:space="preserve">Ponderea </w:t>
      </w:r>
      <w:r w:rsidR="008C7015" w:rsidRPr="00EA5BDC">
        <w:rPr>
          <w:rFonts w:ascii="Arial" w:hAnsi="Arial" w:cs="Arial"/>
          <w:b/>
          <w:sz w:val="22"/>
          <w:szCs w:val="22"/>
          <w:lang w:val="ro-RO"/>
        </w:rPr>
        <w:t xml:space="preserve">din emisiile totale a </w:t>
      </w:r>
      <w:r w:rsidRPr="00EA5BDC">
        <w:rPr>
          <w:rFonts w:ascii="Arial" w:hAnsi="Arial" w:cs="Arial"/>
          <w:b/>
          <w:sz w:val="22"/>
          <w:szCs w:val="22"/>
          <w:lang w:val="ro-RO"/>
        </w:rPr>
        <w:t xml:space="preserve">emisiilor de </w:t>
      </w:r>
      <w:r w:rsidRPr="00EA5BDC">
        <w:rPr>
          <w:rFonts w:ascii="Arial" w:hAnsi="Arial" w:cs="Arial"/>
          <w:b/>
          <w:i/>
          <w:sz w:val="22"/>
          <w:szCs w:val="22"/>
          <w:lang w:val="ro-RO"/>
        </w:rPr>
        <w:t>precursori ai ozonului proveniți din transport</w:t>
      </w:r>
      <w:r w:rsidRPr="00EA5BDC">
        <w:rPr>
          <w:rFonts w:ascii="Arial" w:hAnsi="Arial" w:cs="Arial"/>
          <w:b/>
          <w:sz w:val="22"/>
          <w:szCs w:val="22"/>
          <w:lang w:val="ro-RO"/>
        </w:rPr>
        <w:t xml:space="preserve"> (%), județul Bistrița-Năsăud, anul </w:t>
      </w:r>
      <w:r w:rsidR="005964E0" w:rsidRPr="00EA5BDC">
        <w:rPr>
          <w:rFonts w:ascii="Arial" w:hAnsi="Arial" w:cs="Arial"/>
          <w:b/>
          <w:sz w:val="22"/>
          <w:szCs w:val="22"/>
          <w:lang w:val="ro-RO"/>
        </w:rPr>
        <w:t>2021</w:t>
      </w:r>
    </w:p>
    <w:tbl>
      <w:tblPr>
        <w:tblStyle w:val="Listcolorat-Accentuare4"/>
        <w:tblW w:w="5000" w:type="pct"/>
        <w:tblLook w:val="04A0" w:firstRow="1" w:lastRow="0" w:firstColumn="1" w:lastColumn="0" w:noHBand="0" w:noVBand="1"/>
      </w:tblPr>
      <w:tblGrid>
        <w:gridCol w:w="2714"/>
        <w:gridCol w:w="1538"/>
        <w:gridCol w:w="1669"/>
        <w:gridCol w:w="1749"/>
        <w:gridCol w:w="1684"/>
      </w:tblGrid>
      <w:tr w:rsidR="000D6AF9" w:rsidRPr="000D6AF9" w:rsidTr="00743B2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1" w:type="pct"/>
            <w:shd w:val="clear" w:color="auto" w:fill="92D050"/>
            <w:hideMark/>
          </w:tcPr>
          <w:p w:rsidR="00743B28" w:rsidRPr="000D6AF9" w:rsidRDefault="00743B28" w:rsidP="00755618">
            <w:pPr>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 Sector de activitate</w:t>
            </w:r>
          </w:p>
        </w:tc>
        <w:tc>
          <w:tcPr>
            <w:tcW w:w="822" w:type="pct"/>
            <w:shd w:val="clear" w:color="auto" w:fill="92D050"/>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CH4</w:t>
            </w:r>
          </w:p>
        </w:tc>
        <w:tc>
          <w:tcPr>
            <w:tcW w:w="892" w:type="pct"/>
            <w:shd w:val="clear" w:color="auto" w:fill="92D050"/>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CO</w:t>
            </w:r>
          </w:p>
        </w:tc>
        <w:tc>
          <w:tcPr>
            <w:tcW w:w="935" w:type="pct"/>
            <w:shd w:val="clear" w:color="auto" w:fill="92D050"/>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NMVOC</w:t>
            </w:r>
          </w:p>
        </w:tc>
        <w:tc>
          <w:tcPr>
            <w:tcW w:w="900" w:type="pct"/>
            <w:shd w:val="clear" w:color="auto" w:fill="92D050"/>
            <w:hideMark/>
          </w:tcPr>
          <w:p w:rsidR="00743B28" w:rsidRPr="000D6AF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0D6AF9">
              <w:rPr>
                <w:rFonts w:ascii="Arial" w:eastAsia="Times New Roman" w:hAnsi="Arial" w:cs="Arial"/>
                <w:color w:val="auto"/>
                <w:sz w:val="20"/>
                <w:szCs w:val="20"/>
                <w:lang w:val="ro-RO" w:eastAsia="ro-RO"/>
              </w:rPr>
              <w:t>NOX</w:t>
            </w:r>
          </w:p>
        </w:tc>
      </w:tr>
      <w:tr w:rsidR="00EA5BDC" w:rsidRPr="00EA5BDC" w:rsidTr="00823AC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1" w:type="pct"/>
            <w:noWrap/>
            <w:hideMark/>
          </w:tcPr>
          <w:p w:rsidR="00EA5BDC" w:rsidRPr="00EA5BDC" w:rsidRDefault="00EA5BDC" w:rsidP="00EA5BDC">
            <w:pPr>
              <w:rPr>
                <w:rFonts w:ascii="Arial" w:eastAsia="Times New Roman" w:hAnsi="Arial" w:cs="Arial"/>
                <w:b w:val="0"/>
                <w:sz w:val="20"/>
                <w:szCs w:val="20"/>
                <w:lang w:val="ro-RO" w:eastAsia="ro-RO"/>
              </w:rPr>
            </w:pPr>
            <w:r w:rsidRPr="00EA5BDC">
              <w:rPr>
                <w:rFonts w:ascii="Arial" w:eastAsia="Times New Roman" w:hAnsi="Arial" w:cs="Arial"/>
                <w:b w:val="0"/>
                <w:sz w:val="20"/>
                <w:szCs w:val="20"/>
                <w:lang w:val="ro-RO" w:eastAsia="ro-RO"/>
              </w:rPr>
              <w:t>Transport rutier</w:t>
            </w:r>
          </w:p>
        </w:tc>
        <w:tc>
          <w:tcPr>
            <w:tcW w:w="822" w:type="pct"/>
            <w:noWrap/>
            <w:vAlign w:val="bottom"/>
            <w:hideMark/>
          </w:tcPr>
          <w:p w:rsidR="00EA5BDC" w:rsidRPr="00EA5BDC" w:rsidRDefault="00EA5BDC" w:rsidP="00EA5BD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EA5BDC">
              <w:rPr>
                <w:rFonts w:ascii="Arial" w:hAnsi="Arial" w:cs="Arial"/>
                <w:sz w:val="20"/>
                <w:szCs w:val="20"/>
              </w:rPr>
              <w:t>98.739</w:t>
            </w:r>
          </w:p>
        </w:tc>
        <w:tc>
          <w:tcPr>
            <w:tcW w:w="892" w:type="pct"/>
            <w:noWrap/>
            <w:vAlign w:val="bottom"/>
            <w:hideMark/>
          </w:tcPr>
          <w:p w:rsidR="00EA5BDC" w:rsidRPr="00EA5BDC" w:rsidRDefault="00EA5BDC" w:rsidP="00EA5B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10.451</w:t>
            </w:r>
          </w:p>
        </w:tc>
        <w:tc>
          <w:tcPr>
            <w:tcW w:w="935" w:type="pct"/>
            <w:noWrap/>
            <w:vAlign w:val="bottom"/>
            <w:hideMark/>
          </w:tcPr>
          <w:p w:rsidR="00EA5BDC" w:rsidRPr="00EA5BDC" w:rsidRDefault="00EA5BDC" w:rsidP="00EA5B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6.586</w:t>
            </w:r>
          </w:p>
        </w:tc>
        <w:tc>
          <w:tcPr>
            <w:tcW w:w="900" w:type="pct"/>
            <w:noWrap/>
            <w:vAlign w:val="bottom"/>
            <w:hideMark/>
          </w:tcPr>
          <w:p w:rsidR="00EA5BDC" w:rsidRPr="00EA5BDC" w:rsidRDefault="00EA5BDC" w:rsidP="00EA5B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70.921</w:t>
            </w:r>
          </w:p>
        </w:tc>
      </w:tr>
      <w:tr w:rsidR="00EA5BDC" w:rsidRPr="00EA5BDC" w:rsidTr="00823AC4">
        <w:trPr>
          <w:trHeight w:val="264"/>
        </w:trPr>
        <w:tc>
          <w:tcPr>
            <w:cnfStyle w:val="001000000000" w:firstRow="0" w:lastRow="0" w:firstColumn="1" w:lastColumn="0" w:oddVBand="0" w:evenVBand="0" w:oddHBand="0" w:evenHBand="0" w:firstRowFirstColumn="0" w:firstRowLastColumn="0" w:lastRowFirstColumn="0" w:lastRowLastColumn="0"/>
            <w:tcW w:w="1451" w:type="pct"/>
            <w:noWrap/>
            <w:hideMark/>
          </w:tcPr>
          <w:p w:rsidR="00EA5BDC" w:rsidRPr="00EA5BDC" w:rsidRDefault="00EA5BDC" w:rsidP="00EA5BDC">
            <w:pPr>
              <w:rPr>
                <w:rFonts w:ascii="Arial" w:eastAsia="Times New Roman" w:hAnsi="Arial" w:cs="Arial"/>
                <w:b w:val="0"/>
                <w:sz w:val="20"/>
                <w:szCs w:val="20"/>
                <w:lang w:val="ro-RO" w:eastAsia="ro-RO"/>
              </w:rPr>
            </w:pPr>
            <w:r w:rsidRPr="00EA5BDC">
              <w:rPr>
                <w:rFonts w:ascii="Arial" w:eastAsia="Times New Roman" w:hAnsi="Arial" w:cs="Arial"/>
                <w:b w:val="0"/>
                <w:sz w:val="20"/>
                <w:szCs w:val="20"/>
                <w:lang w:val="ro-RO" w:eastAsia="ro-RO"/>
              </w:rPr>
              <w:t>Transport nerutier</w:t>
            </w:r>
          </w:p>
        </w:tc>
        <w:tc>
          <w:tcPr>
            <w:tcW w:w="822" w:type="pct"/>
            <w:noWrap/>
            <w:vAlign w:val="bottom"/>
            <w:hideMark/>
          </w:tcPr>
          <w:p w:rsidR="00EA5BDC" w:rsidRPr="00EA5BDC" w:rsidRDefault="00EA5BDC" w:rsidP="00EA5B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A5BDC">
              <w:rPr>
                <w:rFonts w:ascii="Arial" w:hAnsi="Arial" w:cs="Arial"/>
                <w:sz w:val="20"/>
                <w:szCs w:val="20"/>
              </w:rPr>
              <w:t>1.229</w:t>
            </w:r>
          </w:p>
        </w:tc>
        <w:tc>
          <w:tcPr>
            <w:tcW w:w="892" w:type="pct"/>
            <w:noWrap/>
            <w:vAlign w:val="bottom"/>
            <w:hideMark/>
          </w:tcPr>
          <w:p w:rsidR="00EA5BDC" w:rsidRPr="00EA5BDC" w:rsidRDefault="00EA5BDC" w:rsidP="00EA5B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A5BDC">
              <w:rPr>
                <w:rFonts w:ascii="Arial" w:hAnsi="Arial" w:cs="Arial"/>
                <w:sz w:val="20"/>
                <w:szCs w:val="20"/>
              </w:rPr>
              <w:t>0.195</w:t>
            </w:r>
          </w:p>
        </w:tc>
        <w:tc>
          <w:tcPr>
            <w:tcW w:w="935" w:type="pct"/>
            <w:noWrap/>
            <w:vAlign w:val="bottom"/>
            <w:hideMark/>
          </w:tcPr>
          <w:p w:rsidR="00EA5BDC" w:rsidRPr="00EA5BDC" w:rsidRDefault="00EA5BDC" w:rsidP="00EA5B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A5BDC">
              <w:rPr>
                <w:rFonts w:ascii="Arial" w:hAnsi="Arial" w:cs="Arial"/>
                <w:sz w:val="20"/>
                <w:szCs w:val="20"/>
              </w:rPr>
              <w:t>0.225</w:t>
            </w:r>
          </w:p>
        </w:tc>
        <w:tc>
          <w:tcPr>
            <w:tcW w:w="900" w:type="pct"/>
            <w:noWrap/>
            <w:vAlign w:val="bottom"/>
            <w:hideMark/>
          </w:tcPr>
          <w:p w:rsidR="00EA5BDC" w:rsidRPr="00EA5BDC" w:rsidRDefault="00EA5BDC" w:rsidP="00EA5B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A5BDC">
              <w:rPr>
                <w:rFonts w:ascii="Arial" w:hAnsi="Arial" w:cs="Arial"/>
                <w:sz w:val="20"/>
                <w:szCs w:val="20"/>
              </w:rPr>
              <w:t>4.014</w:t>
            </w:r>
          </w:p>
        </w:tc>
      </w:tr>
      <w:tr w:rsidR="00EA5BDC" w:rsidRPr="00EA5BDC" w:rsidTr="00823AC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51" w:type="pct"/>
            <w:noWrap/>
            <w:hideMark/>
          </w:tcPr>
          <w:p w:rsidR="00EA5BDC" w:rsidRPr="00EA5BDC" w:rsidRDefault="00EA5BDC" w:rsidP="00EA5BDC">
            <w:pPr>
              <w:rPr>
                <w:rFonts w:ascii="Arial" w:eastAsia="Times New Roman" w:hAnsi="Arial" w:cs="Arial"/>
                <w:b w:val="0"/>
                <w:sz w:val="20"/>
                <w:szCs w:val="20"/>
                <w:lang w:val="ro-RO" w:eastAsia="ro-RO"/>
              </w:rPr>
            </w:pPr>
            <w:r w:rsidRPr="00EA5BDC">
              <w:rPr>
                <w:rFonts w:ascii="Arial" w:eastAsia="Times New Roman" w:hAnsi="Arial" w:cs="Arial"/>
                <w:b w:val="0"/>
                <w:sz w:val="20"/>
                <w:szCs w:val="20"/>
                <w:lang w:val="ro-RO" w:eastAsia="ro-RO"/>
              </w:rPr>
              <w:t>Transport feroviar</w:t>
            </w:r>
          </w:p>
        </w:tc>
        <w:tc>
          <w:tcPr>
            <w:tcW w:w="822" w:type="pct"/>
            <w:noWrap/>
            <w:vAlign w:val="bottom"/>
            <w:hideMark/>
          </w:tcPr>
          <w:p w:rsidR="00EA5BDC" w:rsidRPr="00EA5BDC" w:rsidRDefault="00EA5BDC" w:rsidP="00EA5B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0</w:t>
            </w:r>
          </w:p>
        </w:tc>
        <w:tc>
          <w:tcPr>
            <w:tcW w:w="892" w:type="pct"/>
            <w:noWrap/>
            <w:vAlign w:val="bottom"/>
            <w:hideMark/>
          </w:tcPr>
          <w:p w:rsidR="00EA5BDC" w:rsidRPr="00EA5BDC" w:rsidRDefault="00EA5BDC" w:rsidP="00EA5B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0.256</w:t>
            </w:r>
          </w:p>
        </w:tc>
        <w:tc>
          <w:tcPr>
            <w:tcW w:w="935" w:type="pct"/>
            <w:noWrap/>
            <w:vAlign w:val="bottom"/>
            <w:hideMark/>
          </w:tcPr>
          <w:p w:rsidR="00EA5BDC" w:rsidRPr="00EA5BDC" w:rsidRDefault="00EA5BDC" w:rsidP="00EA5B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0.381</w:t>
            </w:r>
          </w:p>
        </w:tc>
        <w:tc>
          <w:tcPr>
            <w:tcW w:w="900" w:type="pct"/>
            <w:noWrap/>
            <w:vAlign w:val="bottom"/>
            <w:hideMark/>
          </w:tcPr>
          <w:p w:rsidR="00EA5BDC" w:rsidRPr="00EA5BDC" w:rsidRDefault="00EA5BDC" w:rsidP="00EA5B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A5BDC">
              <w:rPr>
                <w:rFonts w:ascii="Arial" w:hAnsi="Arial" w:cs="Arial"/>
                <w:sz w:val="20"/>
                <w:szCs w:val="20"/>
              </w:rPr>
              <w:t>8.841</w:t>
            </w:r>
          </w:p>
        </w:tc>
      </w:tr>
      <w:tr w:rsidR="00EA5BDC" w:rsidRPr="00EA5BDC" w:rsidTr="00823AC4">
        <w:trPr>
          <w:trHeight w:val="264"/>
        </w:trPr>
        <w:tc>
          <w:tcPr>
            <w:cnfStyle w:val="001000000000" w:firstRow="0" w:lastRow="0" w:firstColumn="1" w:lastColumn="0" w:oddVBand="0" w:evenVBand="0" w:oddHBand="0" w:evenHBand="0" w:firstRowFirstColumn="0" w:firstRowLastColumn="0" w:lastRowFirstColumn="0" w:lastRowLastColumn="0"/>
            <w:tcW w:w="1451" w:type="pct"/>
            <w:noWrap/>
            <w:hideMark/>
          </w:tcPr>
          <w:p w:rsidR="00EA5BDC" w:rsidRPr="00EA5BDC" w:rsidRDefault="00EA5BDC" w:rsidP="00EA5BDC">
            <w:pPr>
              <w:rPr>
                <w:rFonts w:ascii="Arial" w:eastAsia="Times New Roman" w:hAnsi="Arial" w:cs="Arial"/>
                <w:b w:val="0"/>
                <w:sz w:val="20"/>
                <w:szCs w:val="20"/>
                <w:lang w:val="ro-RO" w:eastAsia="ro-RO"/>
              </w:rPr>
            </w:pPr>
            <w:r w:rsidRPr="00EA5BDC">
              <w:rPr>
                <w:rFonts w:ascii="Arial" w:eastAsia="Times New Roman" w:hAnsi="Arial" w:cs="Arial"/>
                <w:b w:val="0"/>
                <w:sz w:val="20"/>
                <w:szCs w:val="20"/>
                <w:lang w:val="ro-RO" w:eastAsia="ro-RO"/>
              </w:rPr>
              <w:t>total</w:t>
            </w:r>
          </w:p>
        </w:tc>
        <w:tc>
          <w:tcPr>
            <w:tcW w:w="822" w:type="pct"/>
            <w:noWrap/>
            <w:vAlign w:val="bottom"/>
            <w:hideMark/>
          </w:tcPr>
          <w:p w:rsidR="00EA5BDC" w:rsidRPr="00EA5BDC" w:rsidRDefault="00EA5BDC" w:rsidP="00EA5B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5BDC">
              <w:rPr>
                <w:rFonts w:ascii="Arial" w:hAnsi="Arial" w:cs="Arial"/>
                <w:sz w:val="22"/>
                <w:szCs w:val="22"/>
              </w:rPr>
              <w:t>99.968</w:t>
            </w:r>
          </w:p>
        </w:tc>
        <w:tc>
          <w:tcPr>
            <w:tcW w:w="892" w:type="pct"/>
            <w:noWrap/>
            <w:vAlign w:val="bottom"/>
            <w:hideMark/>
          </w:tcPr>
          <w:p w:rsidR="00EA5BDC" w:rsidRPr="00EA5BDC" w:rsidRDefault="00EA5BDC" w:rsidP="00EA5B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5BDC">
              <w:rPr>
                <w:rFonts w:ascii="Arial" w:hAnsi="Arial" w:cs="Arial"/>
                <w:sz w:val="22"/>
                <w:szCs w:val="22"/>
              </w:rPr>
              <w:t>10.901</w:t>
            </w:r>
          </w:p>
        </w:tc>
        <w:tc>
          <w:tcPr>
            <w:tcW w:w="935" w:type="pct"/>
            <w:noWrap/>
            <w:vAlign w:val="bottom"/>
            <w:hideMark/>
          </w:tcPr>
          <w:p w:rsidR="00EA5BDC" w:rsidRPr="00EA5BDC" w:rsidRDefault="00EA5BDC" w:rsidP="00EA5B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5BDC">
              <w:rPr>
                <w:rFonts w:ascii="Arial" w:hAnsi="Arial" w:cs="Arial"/>
                <w:sz w:val="22"/>
                <w:szCs w:val="22"/>
              </w:rPr>
              <w:t>6.812</w:t>
            </w:r>
          </w:p>
        </w:tc>
        <w:tc>
          <w:tcPr>
            <w:tcW w:w="900" w:type="pct"/>
            <w:noWrap/>
            <w:vAlign w:val="bottom"/>
            <w:hideMark/>
          </w:tcPr>
          <w:p w:rsidR="00EA5BDC" w:rsidRPr="00EA5BDC" w:rsidRDefault="00EA5BDC" w:rsidP="00EA5B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5BDC">
              <w:rPr>
                <w:rFonts w:ascii="Arial" w:hAnsi="Arial" w:cs="Arial"/>
                <w:sz w:val="22"/>
                <w:szCs w:val="22"/>
              </w:rPr>
              <w:t>83.776</w:t>
            </w:r>
          </w:p>
        </w:tc>
      </w:tr>
    </w:tbl>
    <w:p w:rsidR="00743B28" w:rsidRPr="00EA5BDC" w:rsidRDefault="00743B28" w:rsidP="00755618">
      <w:pPr>
        <w:tabs>
          <w:tab w:val="left" w:pos="851"/>
        </w:tabs>
        <w:jc w:val="center"/>
        <w:rPr>
          <w:rFonts w:ascii="Arial" w:hAnsi="Arial" w:cs="Arial"/>
          <w:lang w:val="ro-RO"/>
        </w:rPr>
      </w:pPr>
      <w:r w:rsidRPr="00EA5BDC">
        <w:rPr>
          <w:rFonts w:ascii="Arial" w:hAnsi="Arial" w:cs="Arial"/>
          <w:sz w:val="20"/>
          <w:szCs w:val="20"/>
          <w:lang w:val="ro-RO"/>
        </w:rPr>
        <w:t>Sursa: Agenţia pentru Protecţia Mediului Bistriţa-Năsăud</w:t>
      </w:r>
    </w:p>
    <w:p w:rsidR="00743B28" w:rsidRPr="006B01A5" w:rsidRDefault="00743B28" w:rsidP="00755618">
      <w:pPr>
        <w:pStyle w:val="Default"/>
        <w:tabs>
          <w:tab w:val="left" w:pos="851"/>
        </w:tabs>
        <w:rPr>
          <w:b/>
          <w:bCs/>
          <w:color w:val="FF0000"/>
          <w:sz w:val="20"/>
          <w:szCs w:val="20"/>
        </w:rPr>
      </w:pPr>
    </w:p>
    <w:p w:rsidR="00743B28" w:rsidRPr="007C25B8" w:rsidRDefault="00743B28" w:rsidP="00755618">
      <w:pPr>
        <w:pStyle w:val="Listparagraf"/>
        <w:numPr>
          <w:ilvl w:val="0"/>
          <w:numId w:val="13"/>
        </w:numPr>
        <w:tabs>
          <w:tab w:val="left" w:pos="851"/>
          <w:tab w:val="left" w:pos="1134"/>
          <w:tab w:val="left" w:leader="dot" w:pos="9356"/>
        </w:tabs>
        <w:ind w:left="0" w:firstLine="0"/>
        <w:rPr>
          <w:rFonts w:ascii="Arial" w:hAnsi="Arial" w:cs="Arial"/>
          <w:b/>
          <w:u w:val="single"/>
          <w:lang w:val="ro-RO"/>
        </w:rPr>
      </w:pPr>
      <w:r w:rsidRPr="007C25B8">
        <w:rPr>
          <w:rFonts w:ascii="Arial" w:hAnsi="Arial" w:cs="Arial"/>
          <w:b/>
          <w:u w:val="single"/>
          <w:lang w:val="ro-RO"/>
        </w:rPr>
        <w:t>Emisiile de particule primare și precursori secundari de particule</w:t>
      </w:r>
    </w:p>
    <w:p w:rsidR="007C25B8" w:rsidRPr="007C25B8" w:rsidRDefault="007C25B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7C25B8"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7C25B8">
        <w:rPr>
          <w:rFonts w:ascii="Arial" w:hAnsi="Arial" w:cs="Arial"/>
          <w:b/>
          <w:sz w:val="22"/>
          <w:szCs w:val="22"/>
          <w:lang w:val="ro-RO"/>
        </w:rPr>
        <w:t>Tabel I.2.1.3.5.</w:t>
      </w:r>
    </w:p>
    <w:p w:rsidR="00743B28" w:rsidRPr="007C25B8" w:rsidRDefault="00743B28" w:rsidP="00755618">
      <w:pPr>
        <w:pStyle w:val="Listparagraf"/>
        <w:tabs>
          <w:tab w:val="left" w:pos="851"/>
          <w:tab w:val="left" w:pos="1134"/>
          <w:tab w:val="left" w:leader="dot" w:pos="9356"/>
        </w:tabs>
        <w:ind w:left="0"/>
        <w:jc w:val="center"/>
        <w:rPr>
          <w:rFonts w:ascii="Arial" w:hAnsi="Arial" w:cs="Arial"/>
          <w:b/>
          <w:lang w:val="ro-RO"/>
        </w:rPr>
      </w:pPr>
      <w:r w:rsidRPr="007C25B8">
        <w:rPr>
          <w:rFonts w:ascii="Arial" w:hAnsi="Arial" w:cs="Arial"/>
          <w:b/>
          <w:sz w:val="22"/>
          <w:szCs w:val="22"/>
          <w:lang w:val="ro-RO"/>
        </w:rPr>
        <w:t xml:space="preserve">Cantitățile </w:t>
      </w:r>
      <w:r w:rsidR="005D2B9A">
        <w:rPr>
          <w:rFonts w:ascii="Arial" w:hAnsi="Arial" w:cs="Arial"/>
          <w:b/>
          <w:sz w:val="22"/>
          <w:szCs w:val="22"/>
          <w:lang w:val="ro-RO"/>
        </w:rPr>
        <w:t>și pondrea din emisiile totale a</w:t>
      </w:r>
      <w:r w:rsidR="007C25B8">
        <w:rPr>
          <w:rFonts w:ascii="Arial" w:hAnsi="Arial" w:cs="Arial"/>
          <w:b/>
          <w:sz w:val="22"/>
          <w:szCs w:val="22"/>
          <w:lang w:val="ro-RO"/>
        </w:rPr>
        <w:t xml:space="preserve"> </w:t>
      </w:r>
      <w:r w:rsidRPr="007C25B8">
        <w:rPr>
          <w:rFonts w:ascii="Arial" w:hAnsi="Arial" w:cs="Arial"/>
          <w:b/>
          <w:i/>
          <w:sz w:val="22"/>
          <w:szCs w:val="22"/>
          <w:lang w:val="ro-RO"/>
        </w:rPr>
        <w:t>particule</w:t>
      </w:r>
      <w:r w:rsidR="00680ACE" w:rsidRPr="007C25B8">
        <w:rPr>
          <w:rFonts w:ascii="Arial" w:hAnsi="Arial" w:cs="Arial"/>
          <w:b/>
          <w:i/>
          <w:sz w:val="22"/>
          <w:szCs w:val="22"/>
          <w:lang w:val="ro-RO"/>
        </w:rPr>
        <w:t>lor</w:t>
      </w:r>
      <w:r w:rsidRPr="007C25B8">
        <w:rPr>
          <w:rFonts w:ascii="Arial" w:hAnsi="Arial" w:cs="Arial"/>
          <w:b/>
          <w:i/>
          <w:sz w:val="22"/>
          <w:szCs w:val="22"/>
          <w:lang w:val="ro-RO"/>
        </w:rPr>
        <w:t xml:space="preserve"> primare și precursori</w:t>
      </w:r>
      <w:r w:rsidR="00680ACE" w:rsidRPr="007C25B8">
        <w:rPr>
          <w:rFonts w:ascii="Arial" w:hAnsi="Arial" w:cs="Arial"/>
          <w:b/>
          <w:i/>
          <w:sz w:val="22"/>
          <w:szCs w:val="22"/>
          <w:lang w:val="ro-RO"/>
        </w:rPr>
        <w:t>lor</w:t>
      </w:r>
      <w:r w:rsidRPr="007C25B8">
        <w:rPr>
          <w:rFonts w:ascii="Arial" w:hAnsi="Arial" w:cs="Arial"/>
          <w:b/>
          <w:i/>
          <w:sz w:val="22"/>
          <w:szCs w:val="22"/>
          <w:lang w:val="ro-RO"/>
        </w:rPr>
        <w:t xml:space="preserve"> secundari de particule provenite din transport</w:t>
      </w:r>
      <w:r w:rsidR="007C25B8" w:rsidRPr="007C25B8">
        <w:rPr>
          <w:rFonts w:ascii="Arial" w:hAnsi="Arial" w:cs="Arial"/>
          <w:b/>
          <w:i/>
          <w:sz w:val="22"/>
          <w:szCs w:val="22"/>
          <w:lang w:val="ro-RO"/>
        </w:rPr>
        <w:t>ul rutier și feroviar</w:t>
      </w:r>
      <w:r w:rsidRPr="007C25B8">
        <w:rPr>
          <w:rFonts w:ascii="Arial" w:hAnsi="Arial" w:cs="Arial"/>
          <w:b/>
          <w:sz w:val="22"/>
          <w:szCs w:val="22"/>
          <w:lang w:val="ro-RO"/>
        </w:rPr>
        <w:t xml:space="preserve">, județul Bistrița-Năsăud, anul </w:t>
      </w:r>
      <w:r w:rsidR="00CA572B">
        <w:rPr>
          <w:rFonts w:ascii="Arial" w:hAnsi="Arial" w:cs="Arial"/>
          <w:b/>
          <w:sz w:val="22"/>
          <w:szCs w:val="22"/>
          <w:lang w:val="ro-RO"/>
        </w:rPr>
        <w:t>2021</w:t>
      </w:r>
    </w:p>
    <w:tbl>
      <w:tblPr>
        <w:tblStyle w:val="Style1"/>
        <w:tblW w:w="5000" w:type="pct"/>
        <w:tblLook w:val="04A0" w:firstRow="1" w:lastRow="0" w:firstColumn="1" w:lastColumn="0" w:noHBand="0" w:noVBand="1"/>
      </w:tblPr>
      <w:tblGrid>
        <w:gridCol w:w="3541"/>
        <w:gridCol w:w="1061"/>
        <w:gridCol w:w="1129"/>
        <w:gridCol w:w="1251"/>
        <w:gridCol w:w="1210"/>
        <w:gridCol w:w="1162"/>
      </w:tblGrid>
      <w:tr w:rsidR="005D2B9A" w:rsidRPr="005D2B9A" w:rsidTr="005D2B9A">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850" w:type="pct"/>
            <w:hideMark/>
          </w:tcPr>
          <w:p w:rsidR="005D2B9A" w:rsidRPr="005D2B9A" w:rsidRDefault="005D2B9A" w:rsidP="005D2B9A">
            <w:pPr>
              <w:rPr>
                <w:rFonts w:ascii="Arial" w:eastAsia="Times New Roman" w:hAnsi="Arial" w:cs="Arial"/>
                <w:b/>
                <w:bCs/>
                <w:sz w:val="22"/>
                <w:szCs w:val="22"/>
                <w:lang w:val="en-US"/>
              </w:rPr>
            </w:pPr>
            <w:r w:rsidRPr="005D2B9A">
              <w:rPr>
                <w:rFonts w:ascii="Arial" w:eastAsia="Times New Roman" w:hAnsi="Arial" w:cs="Arial"/>
                <w:b/>
                <w:bCs/>
                <w:sz w:val="22"/>
                <w:szCs w:val="22"/>
                <w:lang w:val="en-US"/>
              </w:rPr>
              <w:t>Name</w:t>
            </w:r>
          </w:p>
        </w:tc>
        <w:tc>
          <w:tcPr>
            <w:tcW w:w="579" w:type="pct"/>
            <w:vAlign w:val="center"/>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Pr>
                <w:rFonts w:ascii="Arial" w:eastAsia="Times New Roman" w:hAnsi="Arial" w:cs="Arial"/>
                <w:b/>
                <w:bCs/>
                <w:sz w:val="22"/>
                <w:szCs w:val="22"/>
                <w:lang w:val="en-US"/>
              </w:rPr>
              <w:t xml:space="preserve">NH3 </w:t>
            </w:r>
          </w:p>
        </w:tc>
        <w:tc>
          <w:tcPr>
            <w:tcW w:w="615" w:type="pct"/>
            <w:vAlign w:val="center"/>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Pr>
                <w:rFonts w:ascii="Arial" w:eastAsia="Times New Roman" w:hAnsi="Arial" w:cs="Arial"/>
                <w:b/>
                <w:bCs/>
                <w:sz w:val="22"/>
                <w:szCs w:val="22"/>
                <w:lang w:val="en-US"/>
              </w:rPr>
              <w:t xml:space="preserve">NOX </w:t>
            </w:r>
          </w:p>
        </w:tc>
        <w:tc>
          <w:tcPr>
            <w:tcW w:w="680" w:type="pct"/>
            <w:vAlign w:val="center"/>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Pr>
                <w:rFonts w:ascii="Arial" w:eastAsia="Times New Roman" w:hAnsi="Arial" w:cs="Arial"/>
                <w:b/>
                <w:bCs/>
                <w:sz w:val="22"/>
                <w:szCs w:val="22"/>
                <w:lang w:val="en-US"/>
              </w:rPr>
              <w:t xml:space="preserve">PM 2,5 </w:t>
            </w:r>
          </w:p>
        </w:tc>
        <w:tc>
          <w:tcPr>
            <w:tcW w:w="658" w:type="pct"/>
            <w:vAlign w:val="center"/>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Pr>
                <w:rFonts w:ascii="Arial" w:eastAsia="Times New Roman" w:hAnsi="Arial" w:cs="Arial"/>
                <w:b/>
                <w:bCs/>
                <w:sz w:val="22"/>
                <w:szCs w:val="22"/>
                <w:lang w:val="en-US"/>
              </w:rPr>
              <w:t xml:space="preserve">PM10 </w:t>
            </w:r>
          </w:p>
        </w:tc>
        <w:tc>
          <w:tcPr>
            <w:tcW w:w="618" w:type="pct"/>
            <w:vAlign w:val="center"/>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SOX </w:t>
            </w:r>
          </w:p>
        </w:tc>
      </w:tr>
      <w:tr w:rsidR="005D2B9A" w:rsidRPr="005D2B9A" w:rsidTr="005D2B9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50" w:type="pct"/>
            <w:noWrap/>
            <w:hideMark/>
          </w:tcPr>
          <w:p w:rsidR="005D2B9A" w:rsidRPr="005D2B9A" w:rsidRDefault="005D2B9A" w:rsidP="005D2B9A">
            <w:pPr>
              <w:rPr>
                <w:rFonts w:ascii="Arial" w:eastAsia="Times New Roman" w:hAnsi="Arial" w:cs="Arial"/>
                <w:sz w:val="22"/>
                <w:szCs w:val="22"/>
                <w:lang w:val="en-US"/>
              </w:rPr>
            </w:pPr>
            <w:r w:rsidRPr="005D2B9A">
              <w:rPr>
                <w:rFonts w:ascii="Arial" w:eastAsia="Times New Roman" w:hAnsi="Arial" w:cs="Arial"/>
                <w:sz w:val="22"/>
                <w:szCs w:val="22"/>
                <w:lang w:val="en-US"/>
              </w:rPr>
              <w:t>Transport rutier</w:t>
            </w:r>
            <w:r>
              <w:rPr>
                <w:rFonts w:ascii="Arial" w:eastAsia="Times New Roman" w:hAnsi="Arial" w:cs="Arial"/>
                <w:sz w:val="22"/>
                <w:szCs w:val="22"/>
                <w:lang w:val="en-US"/>
              </w:rPr>
              <w:t xml:space="preserve"> (Gg)</w:t>
            </w:r>
          </w:p>
        </w:tc>
        <w:tc>
          <w:tcPr>
            <w:tcW w:w="579"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0.01687</w:t>
            </w:r>
          </w:p>
        </w:tc>
        <w:tc>
          <w:tcPr>
            <w:tcW w:w="615"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1.37256</w:t>
            </w:r>
          </w:p>
        </w:tc>
        <w:tc>
          <w:tcPr>
            <w:tcW w:w="680"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0.05918</w:t>
            </w:r>
          </w:p>
        </w:tc>
        <w:tc>
          <w:tcPr>
            <w:tcW w:w="658"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0.07421</w:t>
            </w:r>
          </w:p>
        </w:tc>
        <w:tc>
          <w:tcPr>
            <w:tcW w:w="618"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0.0000074</w:t>
            </w:r>
          </w:p>
        </w:tc>
      </w:tr>
      <w:tr w:rsidR="005D2B9A" w:rsidRPr="005D2B9A" w:rsidTr="005D2B9A">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50" w:type="pct"/>
            <w:noWrap/>
            <w:hideMark/>
          </w:tcPr>
          <w:p w:rsidR="005D2B9A" w:rsidRPr="005D2B9A" w:rsidRDefault="005D2B9A" w:rsidP="005D2B9A">
            <w:pPr>
              <w:rPr>
                <w:rFonts w:ascii="Arial" w:eastAsia="Times New Roman" w:hAnsi="Arial" w:cs="Arial"/>
                <w:sz w:val="22"/>
                <w:szCs w:val="22"/>
                <w:lang w:val="en-US"/>
              </w:rPr>
            </w:pPr>
            <w:r w:rsidRPr="005D2B9A">
              <w:rPr>
                <w:rFonts w:ascii="Arial" w:eastAsia="Times New Roman" w:hAnsi="Arial" w:cs="Arial"/>
                <w:sz w:val="22"/>
                <w:szCs w:val="22"/>
                <w:lang w:val="en-US"/>
              </w:rPr>
              <w:t>Transport nerutier</w:t>
            </w:r>
            <w:r>
              <w:rPr>
                <w:rFonts w:ascii="Arial" w:eastAsia="Times New Roman" w:hAnsi="Arial" w:cs="Arial"/>
                <w:sz w:val="22"/>
                <w:szCs w:val="22"/>
                <w:lang w:val="en-US"/>
              </w:rPr>
              <w:t xml:space="preserve"> (Gg)</w:t>
            </w:r>
          </w:p>
        </w:tc>
        <w:tc>
          <w:tcPr>
            <w:tcW w:w="579"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0.00002</w:t>
            </w:r>
          </w:p>
        </w:tc>
        <w:tc>
          <w:tcPr>
            <w:tcW w:w="615"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0.07768</w:t>
            </w:r>
          </w:p>
        </w:tc>
        <w:tc>
          <w:tcPr>
            <w:tcW w:w="680"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0.00500</w:t>
            </w:r>
          </w:p>
        </w:tc>
        <w:tc>
          <w:tcPr>
            <w:tcW w:w="658"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0.00500</w:t>
            </w:r>
          </w:p>
        </w:tc>
        <w:tc>
          <w:tcPr>
            <w:tcW w:w="618"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w:t>
            </w:r>
          </w:p>
        </w:tc>
      </w:tr>
      <w:tr w:rsidR="005D2B9A" w:rsidRPr="005D2B9A" w:rsidTr="005D2B9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50" w:type="pct"/>
            <w:noWrap/>
            <w:hideMark/>
          </w:tcPr>
          <w:p w:rsidR="005D2B9A" w:rsidRPr="005D2B9A" w:rsidRDefault="005D2B9A" w:rsidP="005D2B9A">
            <w:pPr>
              <w:rPr>
                <w:rFonts w:ascii="Arial" w:eastAsia="Times New Roman" w:hAnsi="Arial" w:cs="Arial"/>
                <w:sz w:val="22"/>
                <w:szCs w:val="22"/>
                <w:lang w:val="en-US"/>
              </w:rPr>
            </w:pPr>
            <w:r w:rsidRPr="005D2B9A">
              <w:rPr>
                <w:rFonts w:ascii="Arial" w:eastAsia="Times New Roman" w:hAnsi="Arial" w:cs="Arial"/>
                <w:sz w:val="22"/>
                <w:szCs w:val="22"/>
                <w:lang w:val="en-US"/>
              </w:rPr>
              <w:t>Transport feroviar</w:t>
            </w:r>
            <w:r>
              <w:rPr>
                <w:rFonts w:ascii="Arial" w:eastAsia="Times New Roman" w:hAnsi="Arial" w:cs="Arial"/>
                <w:sz w:val="22"/>
                <w:szCs w:val="22"/>
                <w:lang w:val="en-US"/>
              </w:rPr>
              <w:t xml:space="preserve"> (Gg)</w:t>
            </w:r>
          </w:p>
        </w:tc>
        <w:tc>
          <w:tcPr>
            <w:tcW w:w="579"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0.00002</w:t>
            </w:r>
          </w:p>
        </w:tc>
        <w:tc>
          <w:tcPr>
            <w:tcW w:w="615"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0.17110</w:t>
            </w:r>
          </w:p>
        </w:tc>
        <w:tc>
          <w:tcPr>
            <w:tcW w:w="680"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0.00447</w:t>
            </w:r>
          </w:p>
        </w:tc>
        <w:tc>
          <w:tcPr>
            <w:tcW w:w="658"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0.00470</w:t>
            </w:r>
          </w:p>
        </w:tc>
        <w:tc>
          <w:tcPr>
            <w:tcW w:w="618"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w:t>
            </w:r>
          </w:p>
        </w:tc>
      </w:tr>
      <w:tr w:rsidR="005D2B9A" w:rsidRPr="005D2B9A" w:rsidTr="005D2B9A">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50" w:type="pct"/>
            <w:noWrap/>
            <w:hideMark/>
          </w:tcPr>
          <w:p w:rsidR="005D2B9A" w:rsidRPr="005D2B9A" w:rsidRDefault="005D2B9A" w:rsidP="005D2B9A">
            <w:pPr>
              <w:rPr>
                <w:rFonts w:ascii="Arial" w:eastAsia="Times New Roman" w:hAnsi="Arial" w:cs="Arial"/>
                <w:sz w:val="20"/>
                <w:szCs w:val="20"/>
                <w:lang w:val="en-US"/>
              </w:rPr>
            </w:pPr>
            <w:r w:rsidRPr="005D2B9A">
              <w:rPr>
                <w:rFonts w:ascii="Arial" w:eastAsia="Times New Roman" w:hAnsi="Arial" w:cs="Arial"/>
                <w:sz w:val="20"/>
                <w:szCs w:val="20"/>
                <w:lang w:val="en-US"/>
              </w:rPr>
              <w:t>total transport</w:t>
            </w:r>
            <w:r>
              <w:rPr>
                <w:rFonts w:ascii="Arial" w:eastAsia="Times New Roman" w:hAnsi="Arial" w:cs="Arial"/>
                <w:sz w:val="20"/>
                <w:szCs w:val="20"/>
                <w:lang w:val="en-US"/>
              </w:rPr>
              <w:t xml:space="preserve"> </w:t>
            </w:r>
            <w:r>
              <w:rPr>
                <w:rFonts w:ascii="Arial" w:eastAsia="Times New Roman" w:hAnsi="Arial" w:cs="Arial"/>
                <w:sz w:val="22"/>
                <w:szCs w:val="22"/>
                <w:lang w:val="en-US"/>
              </w:rPr>
              <w:t>(Gg)</w:t>
            </w:r>
          </w:p>
        </w:tc>
        <w:tc>
          <w:tcPr>
            <w:tcW w:w="579"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0.01691</w:t>
            </w:r>
          </w:p>
        </w:tc>
        <w:tc>
          <w:tcPr>
            <w:tcW w:w="615"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1.62135</w:t>
            </w:r>
          </w:p>
        </w:tc>
        <w:tc>
          <w:tcPr>
            <w:tcW w:w="680"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0.06864</w:t>
            </w:r>
          </w:p>
        </w:tc>
        <w:tc>
          <w:tcPr>
            <w:tcW w:w="658"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0.08391</w:t>
            </w:r>
          </w:p>
        </w:tc>
        <w:tc>
          <w:tcPr>
            <w:tcW w:w="618"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0.0000074</w:t>
            </w:r>
          </w:p>
        </w:tc>
      </w:tr>
      <w:tr w:rsidR="005D2B9A" w:rsidRPr="005D2B9A" w:rsidTr="005D2B9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50" w:type="pct"/>
            <w:noWrap/>
            <w:hideMark/>
          </w:tcPr>
          <w:p w:rsidR="005D2B9A" w:rsidRPr="005D2B9A" w:rsidRDefault="005D2B9A" w:rsidP="005D2B9A">
            <w:pPr>
              <w:rPr>
                <w:rFonts w:ascii="Arial" w:eastAsia="Times New Roman" w:hAnsi="Arial" w:cs="Arial"/>
                <w:sz w:val="20"/>
                <w:szCs w:val="20"/>
                <w:lang w:val="en-US"/>
              </w:rPr>
            </w:pPr>
            <w:r w:rsidRPr="005D2B9A">
              <w:rPr>
                <w:rFonts w:ascii="Arial" w:eastAsia="Times New Roman" w:hAnsi="Arial" w:cs="Arial"/>
                <w:sz w:val="20"/>
                <w:szCs w:val="20"/>
                <w:lang w:val="en-US"/>
              </w:rPr>
              <w:t>% din emisia total</w:t>
            </w:r>
            <w:r>
              <w:rPr>
                <w:rFonts w:ascii="Arial" w:eastAsia="Times New Roman" w:hAnsi="Arial" w:cs="Arial"/>
                <w:sz w:val="20"/>
                <w:szCs w:val="20"/>
                <w:lang w:val="en-US"/>
              </w:rPr>
              <w:t>ă</w:t>
            </w:r>
            <w:r w:rsidRPr="005D2B9A">
              <w:rPr>
                <w:rFonts w:ascii="Arial" w:eastAsia="Times New Roman" w:hAnsi="Arial" w:cs="Arial"/>
                <w:sz w:val="20"/>
                <w:szCs w:val="20"/>
                <w:lang w:val="en-US"/>
              </w:rPr>
              <w:t xml:space="preserve"> pe jude</w:t>
            </w:r>
            <w:r>
              <w:rPr>
                <w:rFonts w:ascii="Arial" w:eastAsia="Times New Roman" w:hAnsi="Arial" w:cs="Arial"/>
                <w:sz w:val="20"/>
                <w:szCs w:val="20"/>
                <w:lang w:val="en-US"/>
              </w:rPr>
              <w:t>ț, din care:</w:t>
            </w:r>
          </w:p>
        </w:tc>
        <w:tc>
          <w:tcPr>
            <w:tcW w:w="579"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0.53</w:t>
            </w:r>
          </w:p>
        </w:tc>
        <w:tc>
          <w:tcPr>
            <w:tcW w:w="615"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83.78</w:t>
            </w:r>
          </w:p>
        </w:tc>
        <w:tc>
          <w:tcPr>
            <w:tcW w:w="680"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2.93</w:t>
            </w:r>
          </w:p>
        </w:tc>
        <w:tc>
          <w:tcPr>
            <w:tcW w:w="658"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1.86</w:t>
            </w:r>
          </w:p>
        </w:tc>
        <w:tc>
          <w:tcPr>
            <w:tcW w:w="618"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0.02</w:t>
            </w:r>
          </w:p>
        </w:tc>
      </w:tr>
      <w:tr w:rsidR="005D2B9A" w:rsidRPr="005D2B9A" w:rsidTr="005D2B9A">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50" w:type="pct"/>
            <w:noWrap/>
            <w:hideMark/>
          </w:tcPr>
          <w:p w:rsidR="005D2B9A" w:rsidRPr="005D2B9A" w:rsidRDefault="005D2B9A" w:rsidP="005D2B9A">
            <w:pPr>
              <w:rPr>
                <w:rFonts w:ascii="Arial" w:eastAsia="Times New Roman" w:hAnsi="Arial" w:cs="Arial"/>
                <w:sz w:val="22"/>
                <w:szCs w:val="22"/>
                <w:lang w:val="en-US"/>
              </w:rPr>
            </w:pPr>
            <w:r w:rsidRPr="005D2B9A">
              <w:rPr>
                <w:rFonts w:ascii="Arial" w:eastAsia="Times New Roman" w:hAnsi="Arial" w:cs="Arial"/>
                <w:sz w:val="22"/>
                <w:szCs w:val="22"/>
                <w:lang w:val="en-US"/>
              </w:rPr>
              <w:t>Transport rutier</w:t>
            </w:r>
          </w:p>
        </w:tc>
        <w:tc>
          <w:tcPr>
            <w:tcW w:w="579"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0.5322</w:t>
            </w:r>
          </w:p>
        </w:tc>
        <w:tc>
          <w:tcPr>
            <w:tcW w:w="615"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70.9207</w:t>
            </w:r>
          </w:p>
        </w:tc>
        <w:tc>
          <w:tcPr>
            <w:tcW w:w="680"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2.5215</w:t>
            </w:r>
          </w:p>
        </w:tc>
        <w:tc>
          <w:tcPr>
            <w:tcW w:w="658"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1.6429</w:t>
            </w:r>
          </w:p>
        </w:tc>
        <w:tc>
          <w:tcPr>
            <w:tcW w:w="618"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0.0185</w:t>
            </w:r>
          </w:p>
        </w:tc>
      </w:tr>
      <w:tr w:rsidR="005D2B9A" w:rsidRPr="005D2B9A" w:rsidTr="005D2B9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50" w:type="pct"/>
            <w:noWrap/>
            <w:hideMark/>
          </w:tcPr>
          <w:p w:rsidR="005D2B9A" w:rsidRPr="005D2B9A" w:rsidRDefault="005D2B9A" w:rsidP="005D2B9A">
            <w:pPr>
              <w:rPr>
                <w:rFonts w:ascii="Arial" w:eastAsia="Times New Roman" w:hAnsi="Arial" w:cs="Arial"/>
                <w:sz w:val="22"/>
                <w:szCs w:val="22"/>
                <w:lang w:val="en-US"/>
              </w:rPr>
            </w:pPr>
            <w:r w:rsidRPr="005D2B9A">
              <w:rPr>
                <w:rFonts w:ascii="Arial" w:eastAsia="Times New Roman" w:hAnsi="Arial" w:cs="Arial"/>
                <w:sz w:val="22"/>
                <w:szCs w:val="22"/>
                <w:lang w:val="en-US"/>
              </w:rPr>
              <w:t>Transport nerutier</w:t>
            </w:r>
          </w:p>
        </w:tc>
        <w:tc>
          <w:tcPr>
            <w:tcW w:w="579"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0.0006</w:t>
            </w:r>
          </w:p>
        </w:tc>
        <w:tc>
          <w:tcPr>
            <w:tcW w:w="615"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4.0140</w:t>
            </w:r>
          </w:p>
        </w:tc>
        <w:tc>
          <w:tcPr>
            <w:tcW w:w="680"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0.2129</w:t>
            </w:r>
          </w:p>
        </w:tc>
        <w:tc>
          <w:tcPr>
            <w:tcW w:w="658"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0.1106</w:t>
            </w:r>
          </w:p>
        </w:tc>
        <w:tc>
          <w:tcPr>
            <w:tcW w:w="618"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0.0000</w:t>
            </w:r>
          </w:p>
        </w:tc>
      </w:tr>
      <w:tr w:rsidR="005D2B9A" w:rsidRPr="005D2B9A" w:rsidTr="005D2B9A">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50" w:type="pct"/>
            <w:noWrap/>
            <w:hideMark/>
          </w:tcPr>
          <w:p w:rsidR="005D2B9A" w:rsidRPr="005D2B9A" w:rsidRDefault="005D2B9A" w:rsidP="005D2B9A">
            <w:pPr>
              <w:rPr>
                <w:rFonts w:ascii="Arial" w:eastAsia="Times New Roman" w:hAnsi="Arial" w:cs="Arial"/>
                <w:sz w:val="22"/>
                <w:szCs w:val="22"/>
                <w:lang w:val="en-US"/>
              </w:rPr>
            </w:pPr>
            <w:r w:rsidRPr="005D2B9A">
              <w:rPr>
                <w:rFonts w:ascii="Arial" w:eastAsia="Times New Roman" w:hAnsi="Arial" w:cs="Arial"/>
                <w:sz w:val="22"/>
                <w:szCs w:val="22"/>
                <w:lang w:val="en-US"/>
              </w:rPr>
              <w:t>Transport feroviar</w:t>
            </w:r>
          </w:p>
        </w:tc>
        <w:tc>
          <w:tcPr>
            <w:tcW w:w="579"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0.0007</w:t>
            </w:r>
          </w:p>
        </w:tc>
        <w:tc>
          <w:tcPr>
            <w:tcW w:w="615"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8.8410</w:t>
            </w:r>
          </w:p>
        </w:tc>
        <w:tc>
          <w:tcPr>
            <w:tcW w:w="680"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0.1906</w:t>
            </w:r>
          </w:p>
        </w:tc>
        <w:tc>
          <w:tcPr>
            <w:tcW w:w="658"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0.1041</w:t>
            </w:r>
          </w:p>
        </w:tc>
        <w:tc>
          <w:tcPr>
            <w:tcW w:w="618"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0.0000</w:t>
            </w:r>
          </w:p>
        </w:tc>
      </w:tr>
    </w:tbl>
    <w:p w:rsidR="006873B8" w:rsidRPr="006873B8" w:rsidRDefault="006873B8" w:rsidP="006873B8">
      <w:pPr>
        <w:tabs>
          <w:tab w:val="left" w:pos="851"/>
        </w:tabs>
        <w:jc w:val="center"/>
        <w:rPr>
          <w:rFonts w:ascii="Arial" w:hAnsi="Arial" w:cs="Arial"/>
          <w:lang w:val="ro-RO"/>
        </w:rPr>
      </w:pPr>
      <w:r w:rsidRPr="006873B8">
        <w:rPr>
          <w:rFonts w:ascii="Arial" w:hAnsi="Arial" w:cs="Arial"/>
          <w:sz w:val="20"/>
          <w:szCs w:val="20"/>
          <w:lang w:val="ro-RO"/>
        </w:rPr>
        <w:t xml:space="preserve">Sursa: Agenţia </w:t>
      </w:r>
      <w:r>
        <w:rPr>
          <w:rFonts w:ascii="Arial" w:hAnsi="Arial" w:cs="Arial"/>
          <w:sz w:val="20"/>
          <w:szCs w:val="20"/>
          <w:lang w:val="ro-RO"/>
        </w:rPr>
        <w:t xml:space="preserve">Națională </w:t>
      </w:r>
      <w:r w:rsidRPr="006873B8">
        <w:rPr>
          <w:rFonts w:ascii="Arial" w:hAnsi="Arial" w:cs="Arial"/>
          <w:sz w:val="20"/>
          <w:szCs w:val="20"/>
          <w:lang w:val="ro-RO"/>
        </w:rPr>
        <w:t xml:space="preserve">pentru Protecţia Mediului </w:t>
      </w:r>
    </w:p>
    <w:p w:rsidR="00743B28" w:rsidRPr="006B01A5" w:rsidRDefault="00743B28" w:rsidP="00755618">
      <w:pPr>
        <w:pStyle w:val="Default"/>
        <w:tabs>
          <w:tab w:val="left" w:pos="851"/>
        </w:tabs>
        <w:rPr>
          <w:b/>
          <w:bCs/>
          <w:color w:val="FF0000"/>
          <w:sz w:val="20"/>
          <w:szCs w:val="20"/>
        </w:rPr>
      </w:pPr>
    </w:p>
    <w:p w:rsidR="00743B28" w:rsidRPr="007F5D18" w:rsidRDefault="00743B28" w:rsidP="00755618">
      <w:pPr>
        <w:pStyle w:val="Listparagraf"/>
        <w:numPr>
          <w:ilvl w:val="0"/>
          <w:numId w:val="13"/>
        </w:numPr>
        <w:tabs>
          <w:tab w:val="left" w:pos="851"/>
          <w:tab w:val="left" w:pos="1134"/>
          <w:tab w:val="left" w:leader="dot" w:pos="9356"/>
        </w:tabs>
        <w:ind w:left="0" w:firstLine="0"/>
        <w:rPr>
          <w:rFonts w:ascii="Arial" w:hAnsi="Arial" w:cs="Arial"/>
          <w:b/>
          <w:sz w:val="22"/>
          <w:szCs w:val="22"/>
          <w:lang w:val="ro-RO"/>
        </w:rPr>
      </w:pPr>
      <w:r w:rsidRPr="007F5D18">
        <w:rPr>
          <w:rFonts w:ascii="Arial" w:hAnsi="Arial" w:cs="Arial"/>
          <w:b/>
          <w:u w:val="single"/>
          <w:lang w:val="ro-RO"/>
        </w:rPr>
        <w:t>Emisiile de metale grele</w:t>
      </w:r>
    </w:p>
    <w:p w:rsidR="00743B28" w:rsidRPr="007F5D18"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7F5D18" w:rsidRDefault="00743B28" w:rsidP="00755618">
      <w:pPr>
        <w:pStyle w:val="Listparagraf"/>
        <w:tabs>
          <w:tab w:val="left" w:pos="851"/>
          <w:tab w:val="left" w:pos="1134"/>
          <w:tab w:val="left" w:leader="dot" w:pos="9356"/>
        </w:tabs>
        <w:ind w:left="0"/>
        <w:jc w:val="center"/>
        <w:rPr>
          <w:rFonts w:ascii="Arial" w:hAnsi="Arial" w:cs="Arial"/>
          <w:sz w:val="22"/>
          <w:szCs w:val="22"/>
          <w:lang w:val="ro-RO"/>
        </w:rPr>
      </w:pPr>
      <w:r w:rsidRPr="007F5D18">
        <w:rPr>
          <w:rFonts w:ascii="Arial" w:hAnsi="Arial" w:cs="Arial"/>
          <w:b/>
          <w:sz w:val="22"/>
          <w:szCs w:val="22"/>
          <w:lang w:val="ro-RO"/>
        </w:rPr>
        <w:t>Tabel I.2.1.3.</w:t>
      </w:r>
      <w:r w:rsidR="00A27379" w:rsidRPr="007F5D18">
        <w:rPr>
          <w:rFonts w:ascii="Arial" w:hAnsi="Arial" w:cs="Arial"/>
          <w:b/>
          <w:sz w:val="22"/>
          <w:szCs w:val="22"/>
          <w:lang w:val="ro-RO"/>
        </w:rPr>
        <w:t>6</w:t>
      </w:r>
      <w:r w:rsidRPr="007F5D18">
        <w:rPr>
          <w:rFonts w:ascii="Arial" w:hAnsi="Arial" w:cs="Arial"/>
          <w:b/>
          <w:sz w:val="22"/>
          <w:szCs w:val="22"/>
          <w:lang w:val="ro-RO"/>
        </w:rPr>
        <w:t>.</w:t>
      </w:r>
    </w:p>
    <w:p w:rsidR="00743B28" w:rsidRPr="007F5D18" w:rsidRDefault="005D2B9A" w:rsidP="00755618">
      <w:pPr>
        <w:pStyle w:val="Listparagraf"/>
        <w:tabs>
          <w:tab w:val="left" w:pos="851"/>
          <w:tab w:val="left" w:pos="1134"/>
          <w:tab w:val="left" w:leader="dot" w:pos="9356"/>
        </w:tabs>
        <w:ind w:left="0"/>
        <w:jc w:val="center"/>
        <w:rPr>
          <w:rFonts w:ascii="Arial" w:hAnsi="Arial" w:cs="Arial"/>
          <w:b/>
          <w:sz w:val="22"/>
          <w:szCs w:val="22"/>
          <w:lang w:val="ro-RO"/>
        </w:rPr>
      </w:pPr>
      <w:r>
        <w:rPr>
          <w:rFonts w:ascii="Arial" w:hAnsi="Arial" w:cs="Arial"/>
          <w:b/>
          <w:sz w:val="22"/>
          <w:szCs w:val="22"/>
          <w:lang w:val="ro-RO"/>
        </w:rPr>
        <w:t>E</w:t>
      </w:r>
      <w:r w:rsidR="00743B28" w:rsidRPr="007F5D18">
        <w:rPr>
          <w:rFonts w:ascii="Arial" w:hAnsi="Arial" w:cs="Arial"/>
          <w:b/>
          <w:sz w:val="22"/>
          <w:szCs w:val="22"/>
          <w:lang w:val="ro-RO"/>
        </w:rPr>
        <w:t xml:space="preserve">misiilor de </w:t>
      </w:r>
      <w:r w:rsidR="00743B28" w:rsidRPr="007F5D18">
        <w:rPr>
          <w:rFonts w:ascii="Arial" w:hAnsi="Arial" w:cs="Arial"/>
          <w:b/>
          <w:i/>
          <w:sz w:val="22"/>
          <w:szCs w:val="22"/>
          <w:lang w:val="ro-RO"/>
        </w:rPr>
        <w:t>metale grele  provenite din transport</w:t>
      </w:r>
      <w:r w:rsidR="00743B28" w:rsidRPr="007F5D18">
        <w:rPr>
          <w:rFonts w:ascii="Arial" w:hAnsi="Arial" w:cs="Arial"/>
          <w:b/>
          <w:sz w:val="22"/>
          <w:szCs w:val="22"/>
          <w:lang w:val="ro-RO"/>
        </w:rPr>
        <w:t xml:space="preserve">, județul Bistrița-Năsăud, anul </w:t>
      </w:r>
      <w:r w:rsidR="00CA572B">
        <w:rPr>
          <w:rFonts w:ascii="Arial" w:hAnsi="Arial" w:cs="Arial"/>
          <w:b/>
          <w:sz w:val="22"/>
          <w:szCs w:val="22"/>
          <w:lang w:val="ro-RO"/>
        </w:rPr>
        <w:t>2021</w:t>
      </w:r>
    </w:p>
    <w:tbl>
      <w:tblPr>
        <w:tblStyle w:val="Style1"/>
        <w:tblW w:w="5000" w:type="pct"/>
        <w:tblLook w:val="04A0" w:firstRow="1" w:lastRow="0" w:firstColumn="1" w:lastColumn="0" w:noHBand="0" w:noVBand="1"/>
      </w:tblPr>
      <w:tblGrid>
        <w:gridCol w:w="2845"/>
        <w:gridCol w:w="889"/>
        <w:gridCol w:w="913"/>
        <w:gridCol w:w="967"/>
        <w:gridCol w:w="975"/>
        <w:gridCol w:w="889"/>
        <w:gridCol w:w="987"/>
        <w:gridCol w:w="889"/>
      </w:tblGrid>
      <w:tr w:rsidR="005D2B9A" w:rsidRPr="005D2B9A" w:rsidTr="005D2B9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pct"/>
            <w:noWrap/>
            <w:hideMark/>
          </w:tcPr>
          <w:p w:rsidR="005D2B9A" w:rsidRPr="005D2B9A" w:rsidRDefault="005D2B9A" w:rsidP="005D2B9A">
            <w:pPr>
              <w:rPr>
                <w:rFonts w:eastAsia="Times New Roman"/>
                <w:sz w:val="20"/>
                <w:szCs w:val="20"/>
                <w:lang w:val="en-US"/>
              </w:rPr>
            </w:pPr>
          </w:p>
        </w:tc>
        <w:tc>
          <w:tcPr>
            <w:tcW w:w="543"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D2B9A">
              <w:rPr>
                <w:rFonts w:ascii="Arial" w:eastAsia="Times New Roman" w:hAnsi="Arial" w:cs="Arial"/>
                <w:b/>
                <w:bCs/>
                <w:sz w:val="22"/>
                <w:szCs w:val="22"/>
                <w:lang w:val="en-US"/>
              </w:rPr>
              <w:t>cupru</w:t>
            </w:r>
          </w:p>
        </w:tc>
        <w:tc>
          <w:tcPr>
            <w:tcW w:w="632"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D2B9A">
              <w:rPr>
                <w:rFonts w:ascii="Arial" w:eastAsia="Times New Roman" w:hAnsi="Arial" w:cs="Arial"/>
                <w:b/>
                <w:bCs/>
                <w:sz w:val="22"/>
                <w:szCs w:val="22"/>
                <w:lang w:val="en-US"/>
              </w:rPr>
              <w:t>nichel</w:t>
            </w:r>
          </w:p>
        </w:tc>
        <w:tc>
          <w:tcPr>
            <w:tcW w:w="632"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D2B9A">
              <w:rPr>
                <w:rFonts w:ascii="Arial" w:eastAsia="Times New Roman" w:hAnsi="Arial" w:cs="Arial"/>
                <w:b/>
                <w:bCs/>
                <w:sz w:val="22"/>
                <w:szCs w:val="22"/>
                <w:lang w:val="en-US"/>
              </w:rPr>
              <w:t>crom</w:t>
            </w:r>
          </w:p>
        </w:tc>
        <w:tc>
          <w:tcPr>
            <w:tcW w:w="601"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D2B9A">
              <w:rPr>
                <w:rFonts w:ascii="Arial" w:eastAsia="Times New Roman" w:hAnsi="Arial" w:cs="Arial"/>
                <w:b/>
                <w:bCs/>
                <w:sz w:val="22"/>
                <w:szCs w:val="22"/>
                <w:lang w:val="en-US"/>
              </w:rPr>
              <w:t>seleniu</w:t>
            </w:r>
          </w:p>
        </w:tc>
        <w:tc>
          <w:tcPr>
            <w:tcW w:w="554"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D2B9A">
              <w:rPr>
                <w:rFonts w:ascii="Arial" w:eastAsia="Times New Roman" w:hAnsi="Arial" w:cs="Arial"/>
                <w:b/>
                <w:bCs/>
                <w:sz w:val="22"/>
                <w:szCs w:val="22"/>
                <w:lang w:val="en-US"/>
              </w:rPr>
              <w:t>zinc</w:t>
            </w:r>
          </w:p>
        </w:tc>
        <w:tc>
          <w:tcPr>
            <w:tcW w:w="585"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D2B9A">
              <w:rPr>
                <w:rFonts w:ascii="Arial" w:eastAsia="Times New Roman" w:hAnsi="Arial" w:cs="Arial"/>
                <w:b/>
                <w:bCs/>
                <w:sz w:val="22"/>
                <w:szCs w:val="22"/>
                <w:lang w:val="en-US"/>
              </w:rPr>
              <w:t>cadmiu</w:t>
            </w:r>
          </w:p>
        </w:tc>
        <w:tc>
          <w:tcPr>
            <w:tcW w:w="606"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D2B9A">
              <w:rPr>
                <w:rFonts w:ascii="Arial" w:eastAsia="Times New Roman" w:hAnsi="Arial" w:cs="Arial"/>
                <w:b/>
                <w:bCs/>
                <w:sz w:val="22"/>
                <w:szCs w:val="22"/>
                <w:lang w:val="en-US"/>
              </w:rPr>
              <w:t>plumb</w:t>
            </w:r>
          </w:p>
        </w:tc>
      </w:tr>
      <w:tr w:rsidR="005D2B9A" w:rsidRPr="005D2B9A" w:rsidTr="005D2B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46" w:type="pct"/>
            <w:noWrap/>
            <w:hideMark/>
          </w:tcPr>
          <w:p w:rsidR="005D2B9A" w:rsidRPr="005D2B9A" w:rsidRDefault="005D2B9A" w:rsidP="005D2B9A">
            <w:pPr>
              <w:rPr>
                <w:rFonts w:ascii="Arial" w:eastAsia="Times New Roman" w:hAnsi="Arial" w:cs="Arial"/>
                <w:sz w:val="22"/>
                <w:szCs w:val="22"/>
                <w:lang w:val="en-US"/>
              </w:rPr>
            </w:pPr>
            <w:r w:rsidRPr="005D2B9A">
              <w:rPr>
                <w:rFonts w:ascii="Arial" w:eastAsia="Times New Roman" w:hAnsi="Arial" w:cs="Arial"/>
                <w:sz w:val="22"/>
                <w:szCs w:val="22"/>
                <w:lang w:val="en-US"/>
              </w:rPr>
              <w:t>cantitate (Mg) din transport</w:t>
            </w:r>
          </w:p>
        </w:tc>
        <w:tc>
          <w:tcPr>
            <w:tcW w:w="543"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0.3759</w:t>
            </w:r>
          </w:p>
        </w:tc>
        <w:tc>
          <w:tcPr>
            <w:tcW w:w="632"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0.0041</w:t>
            </w:r>
          </w:p>
        </w:tc>
        <w:tc>
          <w:tcPr>
            <w:tcW w:w="632"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0.0198</w:t>
            </w:r>
          </w:p>
        </w:tc>
        <w:tc>
          <w:tcPr>
            <w:tcW w:w="601"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0.0004</w:t>
            </w:r>
          </w:p>
        </w:tc>
        <w:tc>
          <w:tcPr>
            <w:tcW w:w="554"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0.3398</w:t>
            </w:r>
          </w:p>
        </w:tc>
        <w:tc>
          <w:tcPr>
            <w:tcW w:w="585"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0.0013</w:t>
            </w:r>
          </w:p>
        </w:tc>
        <w:tc>
          <w:tcPr>
            <w:tcW w:w="606" w:type="pct"/>
            <w:noWrap/>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0.0500</w:t>
            </w:r>
          </w:p>
        </w:tc>
      </w:tr>
      <w:tr w:rsidR="005D2B9A" w:rsidRPr="005D2B9A" w:rsidTr="005D2B9A">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46" w:type="pct"/>
            <w:noWrap/>
            <w:hideMark/>
          </w:tcPr>
          <w:p w:rsidR="005D2B9A" w:rsidRPr="005D2B9A" w:rsidRDefault="005D2B9A" w:rsidP="005D2B9A">
            <w:pPr>
              <w:rPr>
                <w:rFonts w:ascii="Arial" w:eastAsia="Times New Roman" w:hAnsi="Arial" w:cs="Arial"/>
                <w:sz w:val="22"/>
                <w:szCs w:val="22"/>
                <w:lang w:val="en-US"/>
              </w:rPr>
            </w:pPr>
            <w:r w:rsidRPr="005D2B9A">
              <w:rPr>
                <w:rFonts w:ascii="Arial" w:eastAsia="Times New Roman" w:hAnsi="Arial" w:cs="Arial"/>
                <w:sz w:val="22"/>
                <w:szCs w:val="22"/>
                <w:lang w:val="en-US"/>
              </w:rPr>
              <w:t>% din emisii totale</w:t>
            </w:r>
          </w:p>
        </w:tc>
        <w:tc>
          <w:tcPr>
            <w:tcW w:w="543"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95.296</w:t>
            </w:r>
          </w:p>
        </w:tc>
        <w:tc>
          <w:tcPr>
            <w:tcW w:w="632"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39.582</w:t>
            </w:r>
          </w:p>
        </w:tc>
        <w:tc>
          <w:tcPr>
            <w:tcW w:w="632"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21.765</w:t>
            </w:r>
          </w:p>
        </w:tc>
        <w:tc>
          <w:tcPr>
            <w:tcW w:w="601"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20.545</w:t>
            </w:r>
          </w:p>
        </w:tc>
        <w:tc>
          <w:tcPr>
            <w:tcW w:w="554"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17.663</w:t>
            </w:r>
          </w:p>
        </w:tc>
        <w:tc>
          <w:tcPr>
            <w:tcW w:w="585"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3.019</w:t>
            </w:r>
          </w:p>
        </w:tc>
        <w:tc>
          <w:tcPr>
            <w:tcW w:w="606" w:type="pct"/>
            <w:noWrap/>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D2B9A">
              <w:rPr>
                <w:rFonts w:ascii="Arial" w:eastAsia="Times New Roman" w:hAnsi="Arial" w:cs="Arial"/>
                <w:sz w:val="22"/>
                <w:szCs w:val="22"/>
                <w:lang w:val="en-US"/>
              </w:rPr>
              <w:t>35.108</w:t>
            </w:r>
          </w:p>
        </w:tc>
      </w:tr>
    </w:tbl>
    <w:p w:rsidR="005D2B9A" w:rsidRDefault="005D2B9A" w:rsidP="006873B8">
      <w:pPr>
        <w:tabs>
          <w:tab w:val="left" w:pos="851"/>
        </w:tabs>
        <w:jc w:val="center"/>
        <w:rPr>
          <w:rFonts w:ascii="Arial" w:hAnsi="Arial" w:cs="Arial"/>
          <w:sz w:val="20"/>
          <w:szCs w:val="20"/>
          <w:lang w:val="ro-RO"/>
        </w:rPr>
      </w:pPr>
    </w:p>
    <w:p w:rsidR="006873B8" w:rsidRPr="006873B8" w:rsidRDefault="006873B8" w:rsidP="006873B8">
      <w:pPr>
        <w:tabs>
          <w:tab w:val="left" w:pos="851"/>
        </w:tabs>
        <w:jc w:val="center"/>
        <w:rPr>
          <w:rFonts w:ascii="Arial" w:hAnsi="Arial" w:cs="Arial"/>
          <w:lang w:val="ro-RO"/>
        </w:rPr>
      </w:pPr>
      <w:r w:rsidRPr="006873B8">
        <w:rPr>
          <w:rFonts w:ascii="Arial" w:hAnsi="Arial" w:cs="Arial"/>
          <w:sz w:val="20"/>
          <w:szCs w:val="20"/>
          <w:lang w:val="ro-RO"/>
        </w:rPr>
        <w:t xml:space="preserve">Sursa: Agenţia </w:t>
      </w:r>
      <w:r>
        <w:rPr>
          <w:rFonts w:ascii="Arial" w:hAnsi="Arial" w:cs="Arial"/>
          <w:sz w:val="20"/>
          <w:szCs w:val="20"/>
          <w:lang w:val="ro-RO"/>
        </w:rPr>
        <w:t xml:space="preserve">Națională </w:t>
      </w:r>
      <w:r w:rsidRPr="006873B8">
        <w:rPr>
          <w:rFonts w:ascii="Arial" w:hAnsi="Arial" w:cs="Arial"/>
          <w:sz w:val="20"/>
          <w:szCs w:val="20"/>
          <w:lang w:val="ro-RO"/>
        </w:rPr>
        <w:t xml:space="preserve">pentru Protecţia Mediului </w:t>
      </w:r>
    </w:p>
    <w:p w:rsidR="00743B28" w:rsidRPr="006B01A5" w:rsidRDefault="00743B28" w:rsidP="00755618">
      <w:pPr>
        <w:pStyle w:val="Default"/>
        <w:tabs>
          <w:tab w:val="left" w:pos="851"/>
        </w:tabs>
        <w:rPr>
          <w:b/>
          <w:bCs/>
          <w:color w:val="FF0000"/>
          <w:sz w:val="20"/>
          <w:szCs w:val="20"/>
        </w:rPr>
      </w:pPr>
    </w:p>
    <w:p w:rsidR="00743B28" w:rsidRPr="006B01A5" w:rsidRDefault="00743B28" w:rsidP="00755618">
      <w:pPr>
        <w:pStyle w:val="Default"/>
        <w:tabs>
          <w:tab w:val="left" w:pos="851"/>
        </w:tabs>
        <w:rPr>
          <w:b/>
          <w:bCs/>
          <w:color w:val="FF0000"/>
          <w:sz w:val="20"/>
          <w:szCs w:val="20"/>
        </w:rPr>
      </w:pPr>
    </w:p>
    <w:p w:rsidR="00743B28" w:rsidRPr="006873B8" w:rsidRDefault="00743B28" w:rsidP="00755618">
      <w:pPr>
        <w:pStyle w:val="Listparagraf"/>
        <w:numPr>
          <w:ilvl w:val="0"/>
          <w:numId w:val="13"/>
        </w:numPr>
        <w:tabs>
          <w:tab w:val="left" w:pos="851"/>
          <w:tab w:val="left" w:pos="1134"/>
          <w:tab w:val="left" w:leader="dot" w:pos="9356"/>
        </w:tabs>
        <w:ind w:left="0" w:firstLine="0"/>
        <w:rPr>
          <w:rFonts w:ascii="Arial" w:hAnsi="Arial" w:cs="Arial"/>
          <w:b/>
          <w:u w:val="single"/>
          <w:lang w:val="ro-RO"/>
        </w:rPr>
      </w:pPr>
      <w:r w:rsidRPr="006873B8">
        <w:rPr>
          <w:rFonts w:ascii="Arial" w:hAnsi="Arial" w:cs="Arial"/>
          <w:b/>
          <w:u w:val="single"/>
          <w:lang w:val="ro-RO"/>
        </w:rPr>
        <w:t>Emisiile de POPs</w:t>
      </w:r>
    </w:p>
    <w:p w:rsidR="00743B28" w:rsidRPr="006873B8" w:rsidRDefault="00743B28" w:rsidP="00755618">
      <w:pPr>
        <w:pStyle w:val="Listparagraf"/>
        <w:tabs>
          <w:tab w:val="left" w:pos="851"/>
          <w:tab w:val="left" w:pos="1134"/>
          <w:tab w:val="left" w:leader="dot" w:pos="9356"/>
        </w:tabs>
        <w:ind w:left="0"/>
        <w:jc w:val="center"/>
        <w:rPr>
          <w:rFonts w:ascii="Arial" w:hAnsi="Arial" w:cs="Arial"/>
          <w:lang w:val="ro-RO"/>
        </w:rPr>
      </w:pPr>
      <w:r w:rsidRPr="006873B8">
        <w:rPr>
          <w:rFonts w:ascii="Arial" w:hAnsi="Arial" w:cs="Arial"/>
          <w:b/>
          <w:sz w:val="22"/>
          <w:szCs w:val="22"/>
          <w:lang w:val="ro-RO"/>
        </w:rPr>
        <w:t>Tabel I.2.1.3.</w:t>
      </w:r>
      <w:r w:rsidR="00A27379" w:rsidRPr="006873B8">
        <w:rPr>
          <w:rFonts w:ascii="Arial" w:hAnsi="Arial" w:cs="Arial"/>
          <w:b/>
          <w:sz w:val="22"/>
          <w:szCs w:val="22"/>
          <w:lang w:val="ro-RO"/>
        </w:rPr>
        <w:t>7</w:t>
      </w:r>
      <w:r w:rsidRPr="006873B8">
        <w:rPr>
          <w:rFonts w:ascii="Arial" w:hAnsi="Arial" w:cs="Arial"/>
          <w:b/>
          <w:sz w:val="22"/>
          <w:szCs w:val="22"/>
          <w:lang w:val="ro-RO"/>
        </w:rPr>
        <w:t>.</w:t>
      </w:r>
    </w:p>
    <w:p w:rsidR="006873B8" w:rsidRPr="006873B8"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6873B8">
        <w:rPr>
          <w:rFonts w:ascii="Arial" w:hAnsi="Arial" w:cs="Arial"/>
          <w:b/>
          <w:sz w:val="22"/>
          <w:szCs w:val="22"/>
          <w:lang w:val="ro-RO"/>
        </w:rPr>
        <w:t xml:space="preserve">Emisiile de </w:t>
      </w:r>
      <w:r w:rsidRPr="006873B8">
        <w:rPr>
          <w:rFonts w:ascii="Arial" w:hAnsi="Arial" w:cs="Arial"/>
          <w:b/>
          <w:i/>
          <w:sz w:val="22"/>
          <w:szCs w:val="22"/>
          <w:lang w:val="ro-RO"/>
        </w:rPr>
        <w:t>POPs proveniți din transport</w:t>
      </w:r>
      <w:r w:rsidR="006873B8" w:rsidRPr="006873B8">
        <w:rPr>
          <w:rFonts w:ascii="Arial" w:hAnsi="Arial" w:cs="Arial"/>
          <w:b/>
          <w:sz w:val="22"/>
          <w:szCs w:val="22"/>
          <w:lang w:val="ro-RO"/>
        </w:rPr>
        <w:t>ul rutier și feroviat</w:t>
      </w:r>
      <w:r w:rsidRPr="006873B8">
        <w:rPr>
          <w:rFonts w:ascii="Arial" w:hAnsi="Arial" w:cs="Arial"/>
          <w:b/>
          <w:sz w:val="22"/>
          <w:szCs w:val="22"/>
          <w:lang w:val="ro-RO"/>
        </w:rPr>
        <w:t>,</w:t>
      </w:r>
    </w:p>
    <w:p w:rsidR="00743B28" w:rsidRPr="006873B8"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6873B8">
        <w:rPr>
          <w:rFonts w:ascii="Arial" w:hAnsi="Arial" w:cs="Arial"/>
          <w:b/>
          <w:sz w:val="22"/>
          <w:szCs w:val="22"/>
          <w:lang w:val="ro-RO"/>
        </w:rPr>
        <w:t xml:space="preserve">  județul Bistrița-Năsăud, anul </w:t>
      </w:r>
      <w:r w:rsidR="00CA572B">
        <w:rPr>
          <w:rFonts w:ascii="Arial" w:hAnsi="Arial" w:cs="Arial"/>
          <w:b/>
          <w:sz w:val="22"/>
          <w:szCs w:val="22"/>
          <w:lang w:val="ro-RO"/>
        </w:rPr>
        <w:t>2021</w:t>
      </w:r>
    </w:p>
    <w:tbl>
      <w:tblPr>
        <w:tblStyle w:val="Style1"/>
        <w:tblW w:w="5000" w:type="pct"/>
        <w:tblLook w:val="04A0" w:firstRow="1" w:lastRow="0" w:firstColumn="1" w:lastColumn="0" w:noHBand="0" w:noVBand="1"/>
      </w:tblPr>
      <w:tblGrid>
        <w:gridCol w:w="2829"/>
        <w:gridCol w:w="1356"/>
        <w:gridCol w:w="1281"/>
        <w:gridCol w:w="1194"/>
        <w:gridCol w:w="1416"/>
        <w:gridCol w:w="1278"/>
      </w:tblGrid>
      <w:tr w:rsidR="00906ED8" w:rsidRPr="005D2B9A" w:rsidTr="00906ED8">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478" w:type="pct"/>
            <w:hideMark/>
          </w:tcPr>
          <w:p w:rsidR="005D2B9A" w:rsidRPr="005D2B9A" w:rsidRDefault="005D2B9A" w:rsidP="005D2B9A">
            <w:pPr>
              <w:rPr>
                <w:rFonts w:ascii="Arial" w:eastAsia="Times New Roman" w:hAnsi="Arial" w:cs="Arial"/>
                <w:b/>
                <w:bCs/>
                <w:color w:val="000000"/>
                <w:sz w:val="20"/>
                <w:szCs w:val="20"/>
                <w:lang w:val="en-US"/>
              </w:rPr>
            </w:pPr>
            <w:r w:rsidRPr="005D2B9A">
              <w:rPr>
                <w:rFonts w:ascii="Arial" w:eastAsia="Times New Roman" w:hAnsi="Arial" w:cs="Arial"/>
                <w:b/>
                <w:bCs/>
                <w:color w:val="000000"/>
                <w:sz w:val="20"/>
                <w:szCs w:val="20"/>
                <w:lang w:val="en-US"/>
              </w:rPr>
              <w:t> </w:t>
            </w:r>
          </w:p>
        </w:tc>
        <w:tc>
          <w:tcPr>
            <w:tcW w:w="801"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n-US"/>
              </w:rPr>
            </w:pPr>
            <w:r w:rsidRPr="005D2B9A">
              <w:rPr>
                <w:rFonts w:ascii="Arial" w:eastAsia="Times New Roman" w:hAnsi="Arial" w:cs="Arial"/>
                <w:b/>
                <w:bCs/>
                <w:sz w:val="20"/>
                <w:szCs w:val="20"/>
                <w:lang w:val="en-US"/>
              </w:rPr>
              <w:t xml:space="preserve">Benz-b-fluoranten </w:t>
            </w:r>
          </w:p>
        </w:tc>
        <w:tc>
          <w:tcPr>
            <w:tcW w:w="761"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n-US"/>
              </w:rPr>
            </w:pPr>
            <w:r w:rsidRPr="005D2B9A">
              <w:rPr>
                <w:rFonts w:ascii="Arial" w:eastAsia="Times New Roman" w:hAnsi="Arial" w:cs="Arial"/>
                <w:b/>
                <w:bCs/>
                <w:sz w:val="20"/>
                <w:szCs w:val="20"/>
                <w:lang w:val="en-US"/>
              </w:rPr>
              <w:t xml:space="preserve">Benzo-a-piren </w:t>
            </w:r>
          </w:p>
        </w:tc>
        <w:tc>
          <w:tcPr>
            <w:tcW w:w="624"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n-US"/>
              </w:rPr>
            </w:pPr>
            <w:r w:rsidRPr="005D2B9A">
              <w:rPr>
                <w:rFonts w:ascii="Arial" w:eastAsia="Times New Roman" w:hAnsi="Arial" w:cs="Arial"/>
                <w:b/>
                <w:bCs/>
                <w:sz w:val="20"/>
                <w:szCs w:val="20"/>
                <w:lang w:val="en-US"/>
              </w:rPr>
              <w:t xml:space="preserve">Benzo-k-fluoranten </w:t>
            </w:r>
          </w:p>
        </w:tc>
        <w:tc>
          <w:tcPr>
            <w:tcW w:w="577"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n-US"/>
              </w:rPr>
            </w:pPr>
            <w:r w:rsidRPr="005D2B9A">
              <w:rPr>
                <w:rFonts w:ascii="Arial" w:eastAsia="Times New Roman" w:hAnsi="Arial" w:cs="Arial"/>
                <w:b/>
                <w:bCs/>
                <w:sz w:val="20"/>
                <w:szCs w:val="20"/>
                <w:lang w:val="en-US"/>
              </w:rPr>
              <w:t>Dibenzo(a,h) antracene</w:t>
            </w:r>
          </w:p>
        </w:tc>
        <w:tc>
          <w:tcPr>
            <w:tcW w:w="759" w:type="pct"/>
            <w:hideMark/>
          </w:tcPr>
          <w:p w:rsidR="005D2B9A" w:rsidRPr="005D2B9A" w:rsidRDefault="005D2B9A" w:rsidP="005D2B9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0"/>
                <w:szCs w:val="20"/>
                <w:lang w:val="en-US"/>
              </w:rPr>
            </w:pPr>
            <w:r w:rsidRPr="005D2B9A">
              <w:rPr>
                <w:rFonts w:ascii="Arial" w:eastAsia="Times New Roman" w:hAnsi="Arial" w:cs="Arial"/>
                <w:b/>
                <w:bCs/>
                <w:sz w:val="20"/>
                <w:szCs w:val="20"/>
                <w:lang w:val="en-US"/>
              </w:rPr>
              <w:t xml:space="preserve">Indeno (1,2,3) piren </w:t>
            </w:r>
          </w:p>
        </w:tc>
      </w:tr>
      <w:tr w:rsidR="00906ED8" w:rsidRPr="005D2B9A" w:rsidTr="00906ED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78" w:type="pct"/>
            <w:noWrap/>
            <w:hideMark/>
          </w:tcPr>
          <w:p w:rsidR="005D2B9A" w:rsidRPr="005D2B9A" w:rsidRDefault="005D2B9A" w:rsidP="005D2B9A">
            <w:pPr>
              <w:rPr>
                <w:rFonts w:ascii="Arial" w:eastAsia="Times New Roman" w:hAnsi="Arial" w:cs="Arial"/>
                <w:sz w:val="20"/>
                <w:szCs w:val="20"/>
                <w:lang w:val="en-US"/>
              </w:rPr>
            </w:pPr>
            <w:r w:rsidRPr="005D2B9A">
              <w:rPr>
                <w:rFonts w:ascii="Arial" w:eastAsia="Times New Roman" w:hAnsi="Arial" w:cs="Arial"/>
                <w:sz w:val="20"/>
                <w:szCs w:val="20"/>
                <w:lang w:val="en-US"/>
              </w:rPr>
              <w:t>emisii din transport (kg)</w:t>
            </w:r>
          </w:p>
        </w:tc>
        <w:tc>
          <w:tcPr>
            <w:tcW w:w="801" w:type="pct"/>
            <w:noWrap/>
            <w:vAlign w:val="center"/>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0.2910</w:t>
            </w:r>
          </w:p>
        </w:tc>
        <w:tc>
          <w:tcPr>
            <w:tcW w:w="761" w:type="pct"/>
            <w:noWrap/>
            <w:vAlign w:val="center"/>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0.1733</w:t>
            </w:r>
          </w:p>
        </w:tc>
        <w:tc>
          <w:tcPr>
            <w:tcW w:w="624" w:type="pct"/>
            <w:noWrap/>
            <w:vAlign w:val="center"/>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0.0084</w:t>
            </w:r>
          </w:p>
        </w:tc>
        <w:tc>
          <w:tcPr>
            <w:tcW w:w="577" w:type="pct"/>
            <w:noWrap/>
            <w:vAlign w:val="center"/>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0.0327</w:t>
            </w:r>
          </w:p>
        </w:tc>
        <w:tc>
          <w:tcPr>
            <w:tcW w:w="759" w:type="pct"/>
            <w:noWrap/>
            <w:vAlign w:val="center"/>
            <w:hideMark/>
          </w:tcPr>
          <w:p w:rsidR="005D2B9A" w:rsidRPr="005D2B9A" w:rsidRDefault="005D2B9A" w:rsidP="005D2B9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0.0047</w:t>
            </w:r>
          </w:p>
        </w:tc>
      </w:tr>
      <w:tr w:rsidR="00906ED8" w:rsidRPr="005D2B9A" w:rsidTr="00906ED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78" w:type="pct"/>
            <w:noWrap/>
            <w:hideMark/>
          </w:tcPr>
          <w:p w:rsidR="005D2B9A" w:rsidRPr="005D2B9A" w:rsidRDefault="005D2B9A" w:rsidP="005D2B9A">
            <w:pPr>
              <w:rPr>
                <w:rFonts w:ascii="Arial" w:eastAsia="Times New Roman" w:hAnsi="Arial" w:cs="Arial"/>
                <w:sz w:val="20"/>
                <w:szCs w:val="20"/>
                <w:lang w:val="en-US"/>
              </w:rPr>
            </w:pPr>
            <w:r w:rsidRPr="005D2B9A">
              <w:rPr>
                <w:rFonts w:ascii="Arial" w:eastAsia="Times New Roman" w:hAnsi="Arial" w:cs="Arial"/>
                <w:sz w:val="20"/>
                <w:szCs w:val="20"/>
                <w:lang w:val="en-US"/>
              </w:rPr>
              <w:t>% transport din emisiile totale</w:t>
            </w:r>
          </w:p>
        </w:tc>
        <w:tc>
          <w:tcPr>
            <w:tcW w:w="801" w:type="pct"/>
            <w:noWrap/>
            <w:vAlign w:val="center"/>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0.087</w:t>
            </w:r>
          </w:p>
        </w:tc>
        <w:tc>
          <w:tcPr>
            <w:tcW w:w="761" w:type="pct"/>
            <w:noWrap/>
            <w:vAlign w:val="center"/>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0.048</w:t>
            </w:r>
          </w:p>
        </w:tc>
        <w:tc>
          <w:tcPr>
            <w:tcW w:w="624" w:type="pct"/>
            <w:noWrap/>
            <w:vAlign w:val="center"/>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0.007</w:t>
            </w:r>
          </w:p>
        </w:tc>
        <w:tc>
          <w:tcPr>
            <w:tcW w:w="577" w:type="pct"/>
            <w:noWrap/>
            <w:vAlign w:val="center"/>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100</w:t>
            </w:r>
          </w:p>
        </w:tc>
        <w:tc>
          <w:tcPr>
            <w:tcW w:w="759" w:type="pct"/>
            <w:noWrap/>
            <w:vAlign w:val="center"/>
            <w:hideMark/>
          </w:tcPr>
          <w:p w:rsidR="005D2B9A" w:rsidRPr="005D2B9A" w:rsidRDefault="005D2B9A" w:rsidP="005D2B9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val="en-US"/>
              </w:rPr>
            </w:pPr>
            <w:r w:rsidRPr="005D2B9A">
              <w:rPr>
                <w:rFonts w:ascii="Arial" w:eastAsia="Times New Roman" w:hAnsi="Arial" w:cs="Arial"/>
                <w:sz w:val="20"/>
                <w:szCs w:val="20"/>
                <w:lang w:val="en-US"/>
              </w:rPr>
              <w:t>0.002</w:t>
            </w:r>
          </w:p>
        </w:tc>
      </w:tr>
    </w:tbl>
    <w:p w:rsidR="00743B28" w:rsidRPr="006873B8" w:rsidRDefault="00743B28" w:rsidP="00755618">
      <w:pPr>
        <w:tabs>
          <w:tab w:val="left" w:pos="851"/>
        </w:tabs>
        <w:jc w:val="center"/>
        <w:rPr>
          <w:rFonts w:ascii="Arial" w:hAnsi="Arial" w:cs="Arial"/>
          <w:lang w:val="ro-RO"/>
        </w:rPr>
      </w:pPr>
      <w:r w:rsidRPr="006873B8">
        <w:rPr>
          <w:rFonts w:ascii="Arial" w:hAnsi="Arial" w:cs="Arial"/>
          <w:sz w:val="20"/>
          <w:szCs w:val="20"/>
          <w:lang w:val="ro-RO"/>
        </w:rPr>
        <w:t xml:space="preserve">Sursa: Agenţia </w:t>
      </w:r>
      <w:r w:rsidR="006873B8">
        <w:rPr>
          <w:rFonts w:ascii="Arial" w:hAnsi="Arial" w:cs="Arial"/>
          <w:sz w:val="20"/>
          <w:szCs w:val="20"/>
          <w:lang w:val="ro-RO"/>
        </w:rPr>
        <w:t xml:space="preserve">Națională </w:t>
      </w:r>
      <w:r w:rsidRPr="006873B8">
        <w:rPr>
          <w:rFonts w:ascii="Arial" w:hAnsi="Arial" w:cs="Arial"/>
          <w:sz w:val="20"/>
          <w:szCs w:val="20"/>
          <w:lang w:val="ro-RO"/>
        </w:rPr>
        <w:t xml:space="preserve">pentru Protecţia Mediului </w:t>
      </w:r>
    </w:p>
    <w:p w:rsidR="00743B28" w:rsidRDefault="00743B28" w:rsidP="00755618">
      <w:pPr>
        <w:tabs>
          <w:tab w:val="left" w:pos="851"/>
          <w:tab w:val="left" w:leader="dot" w:pos="9356"/>
        </w:tabs>
        <w:rPr>
          <w:rFonts w:ascii="Arial" w:hAnsi="Arial" w:cs="Arial"/>
          <w:b/>
          <w:color w:val="FF0000"/>
          <w:lang w:val="ro-RO"/>
        </w:rPr>
      </w:pPr>
    </w:p>
    <w:p w:rsidR="00906ED8" w:rsidRPr="006B01A5" w:rsidRDefault="00906ED8" w:rsidP="00755618">
      <w:pPr>
        <w:tabs>
          <w:tab w:val="left" w:pos="851"/>
          <w:tab w:val="left" w:leader="dot" w:pos="9356"/>
        </w:tabs>
        <w:rPr>
          <w:rFonts w:ascii="Arial" w:hAnsi="Arial" w:cs="Arial"/>
          <w:b/>
          <w:color w:val="FF0000"/>
          <w:lang w:val="ro-RO"/>
        </w:rPr>
      </w:pPr>
    </w:p>
    <w:p w:rsidR="00743B28" w:rsidRPr="00ED74C8" w:rsidRDefault="00743B28" w:rsidP="00755618">
      <w:pPr>
        <w:tabs>
          <w:tab w:val="left" w:pos="851"/>
          <w:tab w:val="left" w:leader="dot" w:pos="9356"/>
        </w:tabs>
        <w:jc w:val="center"/>
        <w:rPr>
          <w:rFonts w:ascii="Arial" w:hAnsi="Arial" w:cs="Arial"/>
          <w:b/>
          <w:sz w:val="28"/>
          <w:szCs w:val="28"/>
          <w:lang w:val="ro-RO"/>
        </w:rPr>
      </w:pPr>
      <w:r w:rsidRPr="00ED74C8">
        <w:rPr>
          <w:rFonts w:ascii="Arial" w:hAnsi="Arial" w:cs="Arial"/>
          <w:b/>
          <w:sz w:val="28"/>
          <w:szCs w:val="28"/>
          <w:lang w:val="ro-RO"/>
        </w:rPr>
        <w:t>I.2.1.4. AGRICULTURA</w:t>
      </w:r>
    </w:p>
    <w:p w:rsidR="00743B28" w:rsidRPr="00ED74C8" w:rsidRDefault="00743B28" w:rsidP="00755618">
      <w:pPr>
        <w:tabs>
          <w:tab w:val="left" w:pos="851"/>
          <w:tab w:val="left" w:leader="dot" w:pos="9356"/>
        </w:tabs>
        <w:rPr>
          <w:rFonts w:ascii="Arial" w:hAnsi="Arial" w:cs="Arial"/>
          <w:b/>
          <w:lang w:val="ro-RO"/>
        </w:rPr>
      </w:pPr>
    </w:p>
    <w:p w:rsidR="00743B28" w:rsidRPr="00ED74C8" w:rsidRDefault="00743B28" w:rsidP="00755618">
      <w:pPr>
        <w:pStyle w:val="Default"/>
        <w:numPr>
          <w:ilvl w:val="0"/>
          <w:numId w:val="14"/>
        </w:numPr>
        <w:tabs>
          <w:tab w:val="left" w:pos="851"/>
        </w:tabs>
        <w:ind w:left="0" w:firstLine="0"/>
        <w:rPr>
          <w:b/>
          <w:bCs/>
          <w:color w:val="auto"/>
          <w:sz w:val="20"/>
          <w:szCs w:val="20"/>
        </w:rPr>
      </w:pPr>
      <w:r w:rsidRPr="00ED74C8">
        <w:rPr>
          <w:b/>
          <w:color w:val="auto"/>
          <w:u w:val="single"/>
        </w:rPr>
        <w:t xml:space="preserve">Emisiile de substanțele acidifiante </w:t>
      </w:r>
    </w:p>
    <w:p w:rsidR="00743B28" w:rsidRPr="00ED74C8" w:rsidRDefault="00743B28" w:rsidP="00755618">
      <w:pPr>
        <w:pStyle w:val="Default"/>
        <w:tabs>
          <w:tab w:val="left" w:pos="851"/>
        </w:tabs>
        <w:rPr>
          <w:b/>
          <w:bCs/>
          <w:color w:val="auto"/>
          <w:sz w:val="20"/>
          <w:szCs w:val="20"/>
        </w:rPr>
      </w:pPr>
    </w:p>
    <w:p w:rsidR="00743B28" w:rsidRPr="00ED74C8" w:rsidRDefault="00743B28" w:rsidP="00755618">
      <w:pPr>
        <w:pStyle w:val="Default"/>
        <w:tabs>
          <w:tab w:val="left" w:pos="851"/>
        </w:tabs>
        <w:jc w:val="both"/>
        <w:rPr>
          <w:bCs/>
          <w:color w:val="auto"/>
        </w:rPr>
      </w:pPr>
      <w:r w:rsidRPr="00ED74C8">
        <w:rPr>
          <w:bCs/>
          <w:color w:val="auto"/>
        </w:rPr>
        <w:tab/>
        <w:t xml:space="preserve">În anul </w:t>
      </w:r>
      <w:r w:rsidR="005964E0" w:rsidRPr="00ED74C8">
        <w:rPr>
          <w:bCs/>
          <w:color w:val="auto"/>
        </w:rPr>
        <w:t>2021</w:t>
      </w:r>
      <w:r w:rsidRPr="00ED74C8">
        <w:rPr>
          <w:bCs/>
          <w:color w:val="auto"/>
        </w:rPr>
        <w:t xml:space="preserve"> </w:t>
      </w:r>
      <w:r w:rsidR="00ED74C8" w:rsidRPr="00ED74C8">
        <w:rPr>
          <w:bCs/>
          <w:color w:val="auto"/>
        </w:rPr>
        <w:t>din activitățile agricole</w:t>
      </w:r>
      <w:r w:rsidR="00ED74C8">
        <w:rPr>
          <w:bCs/>
          <w:color w:val="auto"/>
        </w:rPr>
        <w:t xml:space="preserve">, respectiv din creșterea animalelor, </w:t>
      </w:r>
      <w:r w:rsidR="00ED74C8" w:rsidRPr="00ED74C8">
        <w:rPr>
          <w:bCs/>
          <w:color w:val="auto"/>
        </w:rPr>
        <w:t xml:space="preserve">s-au </w:t>
      </w:r>
      <w:r w:rsidRPr="00ED74C8">
        <w:rPr>
          <w:bCs/>
          <w:color w:val="auto"/>
        </w:rPr>
        <w:t>emis</w:t>
      </w:r>
      <w:r w:rsidR="00ED74C8" w:rsidRPr="00ED74C8">
        <w:rPr>
          <w:bCs/>
          <w:color w:val="auto"/>
        </w:rPr>
        <w:t xml:space="preserve"> în atmosferă </w:t>
      </w:r>
      <w:r w:rsidRPr="00ED74C8">
        <w:rPr>
          <w:bCs/>
          <w:color w:val="auto"/>
        </w:rPr>
        <w:t xml:space="preserve"> </w:t>
      </w:r>
      <w:r w:rsidR="00ED74C8" w:rsidRPr="00ED74C8">
        <w:rPr>
          <w:bCs/>
          <w:color w:val="auto"/>
        </w:rPr>
        <w:t xml:space="preserve">de 2939,77 tone </w:t>
      </w:r>
      <w:r w:rsidRPr="00ED74C8">
        <w:rPr>
          <w:bCs/>
          <w:color w:val="auto"/>
        </w:rPr>
        <w:t xml:space="preserve">de amoniac </w:t>
      </w:r>
      <w:r w:rsidR="00ED74C8" w:rsidRPr="00ED74C8">
        <w:rPr>
          <w:bCs/>
          <w:color w:val="auto"/>
        </w:rPr>
        <w:t>(</w:t>
      </w:r>
      <w:r w:rsidRPr="00ED74C8">
        <w:rPr>
          <w:bCs/>
          <w:color w:val="auto"/>
        </w:rPr>
        <w:t xml:space="preserve"> 9</w:t>
      </w:r>
      <w:r w:rsidR="00D01D9A" w:rsidRPr="00ED74C8">
        <w:rPr>
          <w:bCs/>
          <w:color w:val="auto"/>
        </w:rPr>
        <w:t>2</w:t>
      </w:r>
      <w:r w:rsidRPr="00ED74C8">
        <w:rPr>
          <w:bCs/>
          <w:color w:val="auto"/>
        </w:rPr>
        <w:t>,</w:t>
      </w:r>
      <w:r w:rsidR="00ED74C8" w:rsidRPr="00ED74C8">
        <w:rPr>
          <w:bCs/>
          <w:color w:val="auto"/>
        </w:rPr>
        <w:t>76</w:t>
      </w:r>
      <w:r w:rsidRPr="00ED74C8">
        <w:rPr>
          <w:bCs/>
          <w:color w:val="auto"/>
        </w:rPr>
        <w:t>% din emisia totală</w:t>
      </w:r>
      <w:r w:rsidR="00ED74C8" w:rsidRPr="00ED74C8">
        <w:rPr>
          <w:bCs/>
          <w:color w:val="auto"/>
        </w:rPr>
        <w:t xml:space="preserve">) și 0,55 tone de oxizi de azot (0,0286% din emisia totală) </w:t>
      </w:r>
      <w:r w:rsidRPr="00ED74C8">
        <w:rPr>
          <w:bCs/>
          <w:color w:val="auto"/>
        </w:rPr>
        <w:t xml:space="preserve">. </w:t>
      </w:r>
    </w:p>
    <w:p w:rsidR="00743B28" w:rsidRPr="006B01A5" w:rsidRDefault="00743B28" w:rsidP="00755618">
      <w:pPr>
        <w:tabs>
          <w:tab w:val="left" w:pos="851"/>
          <w:tab w:val="left" w:pos="1134"/>
          <w:tab w:val="left" w:leader="dot" w:pos="9356"/>
        </w:tabs>
        <w:jc w:val="center"/>
        <w:rPr>
          <w:rFonts w:ascii="Arial" w:hAnsi="Arial" w:cs="Arial"/>
          <w:b/>
          <w:color w:val="FF0000"/>
          <w:sz w:val="22"/>
          <w:szCs w:val="22"/>
          <w:lang w:val="ro-RO"/>
        </w:rPr>
      </w:pPr>
    </w:p>
    <w:p w:rsidR="00743B28" w:rsidRPr="00ED74C8" w:rsidRDefault="00743B28" w:rsidP="00755618">
      <w:pPr>
        <w:tabs>
          <w:tab w:val="left" w:pos="851"/>
          <w:tab w:val="left" w:pos="1134"/>
          <w:tab w:val="left" w:leader="dot" w:pos="9356"/>
        </w:tabs>
        <w:jc w:val="center"/>
        <w:rPr>
          <w:rFonts w:ascii="Arial" w:hAnsi="Arial" w:cs="Arial"/>
          <w:b/>
          <w:sz w:val="22"/>
          <w:szCs w:val="22"/>
          <w:lang w:val="ro-RO"/>
        </w:rPr>
      </w:pPr>
      <w:r w:rsidRPr="00ED74C8">
        <w:rPr>
          <w:rFonts w:ascii="Arial" w:hAnsi="Arial" w:cs="Arial"/>
          <w:b/>
          <w:sz w:val="22"/>
          <w:szCs w:val="22"/>
          <w:lang w:val="ro-RO"/>
        </w:rPr>
        <w:t>Figura I.2.1.4.1</w:t>
      </w:r>
    </w:p>
    <w:p w:rsidR="00743B28" w:rsidRPr="00ED74C8" w:rsidRDefault="00743B28" w:rsidP="00755618">
      <w:pPr>
        <w:tabs>
          <w:tab w:val="left" w:pos="851"/>
          <w:tab w:val="left" w:pos="1134"/>
          <w:tab w:val="left" w:leader="dot" w:pos="9356"/>
        </w:tabs>
        <w:jc w:val="center"/>
        <w:rPr>
          <w:rFonts w:ascii="Arial" w:hAnsi="Arial" w:cs="Arial"/>
          <w:b/>
          <w:bCs/>
          <w:sz w:val="22"/>
          <w:szCs w:val="22"/>
          <w:lang w:val="ro-RO"/>
        </w:rPr>
      </w:pPr>
      <w:r w:rsidRPr="00ED74C8">
        <w:rPr>
          <w:rFonts w:ascii="Arial" w:hAnsi="Arial" w:cs="Arial"/>
          <w:b/>
          <w:bCs/>
          <w:sz w:val="22"/>
          <w:szCs w:val="22"/>
          <w:lang w:val="ro-RO"/>
        </w:rPr>
        <w:t xml:space="preserve">Contribuția </w:t>
      </w:r>
      <w:r w:rsidRPr="00ED74C8">
        <w:rPr>
          <w:rFonts w:ascii="Arial" w:hAnsi="Arial" w:cs="Arial"/>
          <w:b/>
          <w:bCs/>
          <w:i/>
          <w:sz w:val="22"/>
          <w:szCs w:val="22"/>
          <w:lang w:val="ro-RO"/>
        </w:rPr>
        <w:t>sectoarelor agricole la emisiile de NH3 (sunstanţă acidifiantă)</w:t>
      </w:r>
      <w:r w:rsidRPr="00ED74C8">
        <w:rPr>
          <w:rFonts w:ascii="Arial" w:hAnsi="Arial" w:cs="Arial"/>
          <w:b/>
          <w:bCs/>
          <w:sz w:val="22"/>
          <w:szCs w:val="22"/>
          <w:lang w:val="ro-RO"/>
        </w:rPr>
        <w:t>,</w:t>
      </w:r>
    </w:p>
    <w:p w:rsidR="00743B28" w:rsidRPr="00ED74C8" w:rsidRDefault="00743B28" w:rsidP="00755618">
      <w:pPr>
        <w:tabs>
          <w:tab w:val="left" w:pos="851"/>
          <w:tab w:val="left" w:pos="1134"/>
          <w:tab w:val="left" w:leader="dot" w:pos="9356"/>
        </w:tabs>
        <w:jc w:val="center"/>
        <w:rPr>
          <w:rFonts w:ascii="Arial" w:hAnsi="Arial" w:cs="Arial"/>
          <w:b/>
          <w:bCs/>
          <w:sz w:val="22"/>
          <w:szCs w:val="22"/>
          <w:lang w:val="ro-RO"/>
        </w:rPr>
      </w:pPr>
      <w:r w:rsidRPr="00ED74C8">
        <w:rPr>
          <w:rFonts w:ascii="Arial" w:hAnsi="Arial" w:cs="Arial"/>
          <w:b/>
          <w:bCs/>
          <w:sz w:val="22"/>
          <w:szCs w:val="22"/>
          <w:lang w:val="ro-RO"/>
        </w:rPr>
        <w:t xml:space="preserve"> ca% din emisia totală, județul Bistrița-Năsăud, anul </w:t>
      </w:r>
      <w:r w:rsidR="005964E0" w:rsidRPr="00ED74C8">
        <w:rPr>
          <w:rFonts w:ascii="Arial" w:hAnsi="Arial" w:cs="Arial"/>
          <w:b/>
          <w:bCs/>
          <w:sz w:val="22"/>
          <w:szCs w:val="22"/>
          <w:lang w:val="ro-RO"/>
        </w:rPr>
        <w:t>2021</w:t>
      </w:r>
    </w:p>
    <w:p w:rsidR="00743B28" w:rsidRPr="006B01A5" w:rsidRDefault="00ED74C8" w:rsidP="00755618">
      <w:pPr>
        <w:tabs>
          <w:tab w:val="left" w:pos="851"/>
          <w:tab w:val="left" w:pos="1134"/>
          <w:tab w:val="left" w:leader="dot" w:pos="9356"/>
        </w:tabs>
        <w:jc w:val="center"/>
        <w:rPr>
          <w:rFonts w:ascii="Arial" w:hAnsi="Arial" w:cs="Arial"/>
          <w:b/>
          <w:bCs/>
          <w:color w:val="FF0000"/>
          <w:sz w:val="22"/>
          <w:szCs w:val="22"/>
          <w:lang w:val="ro-RO"/>
        </w:rPr>
      </w:pPr>
      <w:r>
        <w:rPr>
          <w:noProof/>
          <w:lang w:val="en-US"/>
        </w:rPr>
        <w:drawing>
          <wp:inline distT="0" distB="0" distL="0" distR="0" wp14:anchorId="537DFCBF" wp14:editId="671E9E10">
            <wp:extent cx="4671695" cy="3093720"/>
            <wp:effectExtent l="0" t="0" r="0" b="0"/>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43B28" w:rsidRPr="00ED74C8" w:rsidRDefault="00743B28" w:rsidP="00755618">
      <w:pPr>
        <w:tabs>
          <w:tab w:val="left" w:pos="851"/>
        </w:tabs>
        <w:jc w:val="center"/>
        <w:rPr>
          <w:rFonts w:ascii="Arial" w:hAnsi="Arial" w:cs="Arial"/>
          <w:sz w:val="20"/>
          <w:szCs w:val="20"/>
          <w:lang w:val="ro-RO"/>
        </w:rPr>
      </w:pPr>
      <w:r w:rsidRPr="00ED74C8">
        <w:rPr>
          <w:rFonts w:ascii="Arial" w:hAnsi="Arial" w:cs="Arial"/>
          <w:sz w:val="20"/>
          <w:szCs w:val="20"/>
          <w:lang w:val="ro-RO"/>
        </w:rPr>
        <w:t>Sursa: Agenţia pentru Protecţia Mediului Bistriţa-Năsăud</w:t>
      </w:r>
    </w:p>
    <w:p w:rsidR="00743B28" w:rsidRPr="006B01A5" w:rsidRDefault="00743B28" w:rsidP="00755618">
      <w:pPr>
        <w:tabs>
          <w:tab w:val="left" w:pos="851"/>
        </w:tabs>
        <w:jc w:val="center"/>
        <w:rPr>
          <w:rFonts w:ascii="Arial" w:hAnsi="Arial" w:cs="Arial"/>
          <w:color w:val="FF0000"/>
          <w:sz w:val="20"/>
          <w:szCs w:val="20"/>
          <w:lang w:val="ro-RO"/>
        </w:rPr>
      </w:pPr>
    </w:p>
    <w:p w:rsidR="00743B28" w:rsidRPr="00ED74C8" w:rsidRDefault="00743B28" w:rsidP="00755618">
      <w:pPr>
        <w:pStyle w:val="Listparagraf"/>
        <w:numPr>
          <w:ilvl w:val="0"/>
          <w:numId w:val="14"/>
        </w:numPr>
        <w:tabs>
          <w:tab w:val="left" w:pos="851"/>
          <w:tab w:val="left" w:pos="1134"/>
          <w:tab w:val="left" w:leader="dot" w:pos="9356"/>
        </w:tabs>
        <w:ind w:left="0" w:firstLine="0"/>
        <w:rPr>
          <w:rFonts w:ascii="Arial" w:hAnsi="Arial" w:cs="Arial"/>
          <w:b/>
          <w:lang w:val="ro-RO"/>
        </w:rPr>
      </w:pPr>
      <w:r w:rsidRPr="00ED74C8">
        <w:rPr>
          <w:rFonts w:ascii="Arial" w:hAnsi="Arial" w:cs="Arial"/>
          <w:b/>
          <w:u w:val="single"/>
          <w:lang w:val="ro-RO"/>
        </w:rPr>
        <w:t>Emisiile de precursori ai ozonului</w:t>
      </w:r>
    </w:p>
    <w:p w:rsidR="00743B28" w:rsidRPr="00ED74C8" w:rsidRDefault="00743B28" w:rsidP="00755618">
      <w:pPr>
        <w:pStyle w:val="Listparagraf"/>
        <w:tabs>
          <w:tab w:val="left" w:pos="851"/>
          <w:tab w:val="left" w:pos="1134"/>
          <w:tab w:val="left" w:leader="dot" w:pos="9356"/>
        </w:tabs>
        <w:ind w:left="0"/>
        <w:rPr>
          <w:rFonts w:ascii="Arial" w:hAnsi="Arial" w:cs="Arial"/>
          <w:lang w:val="ro-RO"/>
        </w:rPr>
      </w:pPr>
    </w:p>
    <w:p w:rsidR="00743B28" w:rsidRPr="00ED74C8" w:rsidRDefault="00ED74C8" w:rsidP="00755618">
      <w:pPr>
        <w:tabs>
          <w:tab w:val="left" w:pos="851"/>
        </w:tabs>
        <w:jc w:val="both"/>
        <w:rPr>
          <w:rFonts w:ascii="Arial" w:hAnsi="Arial" w:cs="Arial"/>
          <w:lang w:val="ro-RO"/>
        </w:rPr>
      </w:pPr>
      <w:r w:rsidRPr="00ED74C8">
        <w:rPr>
          <w:rFonts w:ascii="Arial" w:hAnsi="Arial" w:cs="Arial"/>
          <w:lang w:val="ro-RO"/>
        </w:rPr>
        <w:tab/>
      </w:r>
      <w:r w:rsidR="001A7688" w:rsidRPr="00ED74C8">
        <w:rPr>
          <w:rFonts w:ascii="Arial" w:hAnsi="Arial" w:cs="Arial"/>
          <w:lang w:val="ro-RO"/>
        </w:rPr>
        <w:t>D</w:t>
      </w:r>
      <w:r w:rsidR="00743B28" w:rsidRPr="00ED74C8">
        <w:rPr>
          <w:rFonts w:ascii="Arial" w:hAnsi="Arial" w:cs="Arial"/>
          <w:lang w:val="ro-RO"/>
        </w:rPr>
        <w:t xml:space="preserve">in activitățile agricole în </w:t>
      </w:r>
      <w:r w:rsidR="005964E0" w:rsidRPr="00ED74C8">
        <w:rPr>
          <w:rFonts w:ascii="Arial" w:hAnsi="Arial" w:cs="Arial"/>
          <w:lang w:val="ro-RO"/>
        </w:rPr>
        <w:t>2021</w:t>
      </w:r>
      <w:r w:rsidR="00743B28" w:rsidRPr="00ED74C8">
        <w:rPr>
          <w:rFonts w:ascii="Arial" w:hAnsi="Arial" w:cs="Arial"/>
          <w:lang w:val="ro-RO"/>
        </w:rPr>
        <w:t xml:space="preserve"> a</w:t>
      </w:r>
      <w:r w:rsidRPr="00ED74C8">
        <w:rPr>
          <w:rFonts w:ascii="Arial" w:hAnsi="Arial" w:cs="Arial"/>
          <w:lang w:val="ro-RO"/>
        </w:rPr>
        <w:t>u</w:t>
      </w:r>
      <w:r w:rsidR="00743B28" w:rsidRPr="00ED74C8">
        <w:rPr>
          <w:rFonts w:ascii="Arial" w:hAnsi="Arial" w:cs="Arial"/>
          <w:lang w:val="ro-RO"/>
        </w:rPr>
        <w:t xml:space="preserve"> rezultat NMCOV în cantitate de </w:t>
      </w:r>
      <w:r w:rsidRPr="00ED74C8">
        <w:rPr>
          <w:rFonts w:ascii="Arial" w:hAnsi="Arial" w:cs="Arial"/>
          <w:lang w:val="ro-RO"/>
        </w:rPr>
        <w:t>755</w:t>
      </w:r>
      <w:r w:rsidR="00743B28" w:rsidRPr="00ED74C8">
        <w:rPr>
          <w:rFonts w:ascii="Arial" w:hAnsi="Arial" w:cs="Arial"/>
          <w:lang w:val="ro-RO"/>
        </w:rPr>
        <w:t>,</w:t>
      </w:r>
      <w:r w:rsidRPr="00ED74C8">
        <w:rPr>
          <w:rFonts w:ascii="Arial" w:hAnsi="Arial" w:cs="Arial"/>
          <w:lang w:val="ro-RO"/>
        </w:rPr>
        <w:t>96</w:t>
      </w:r>
      <w:r w:rsidR="00743B28" w:rsidRPr="00ED74C8">
        <w:rPr>
          <w:rFonts w:ascii="Arial" w:hAnsi="Arial" w:cs="Arial"/>
          <w:lang w:val="ro-RO"/>
        </w:rPr>
        <w:t xml:space="preserve">  tone, ceea ce reprezentă cca. 1</w:t>
      </w:r>
      <w:r w:rsidRPr="00ED74C8">
        <w:rPr>
          <w:rFonts w:ascii="Arial" w:hAnsi="Arial" w:cs="Arial"/>
          <w:lang w:val="ro-RO"/>
        </w:rPr>
        <w:t>8</w:t>
      </w:r>
      <w:r w:rsidR="001A7688" w:rsidRPr="00ED74C8">
        <w:rPr>
          <w:rFonts w:ascii="Arial" w:hAnsi="Arial" w:cs="Arial"/>
          <w:lang w:val="ro-RO"/>
        </w:rPr>
        <w:t>,</w:t>
      </w:r>
      <w:r w:rsidRPr="00ED74C8">
        <w:rPr>
          <w:rFonts w:ascii="Arial" w:hAnsi="Arial" w:cs="Arial"/>
          <w:lang w:val="ro-RO"/>
        </w:rPr>
        <w:t>95</w:t>
      </w:r>
      <w:r w:rsidR="00743B28" w:rsidRPr="00ED74C8">
        <w:rPr>
          <w:rFonts w:ascii="Arial" w:hAnsi="Arial" w:cs="Arial"/>
          <w:lang w:val="ro-RO"/>
        </w:rPr>
        <w:t>% din emisia totală de poluant</w:t>
      </w:r>
      <w:r w:rsidRPr="00ED74C8">
        <w:rPr>
          <w:rFonts w:ascii="Arial" w:hAnsi="Arial" w:cs="Arial"/>
          <w:lang w:val="ro-RO"/>
        </w:rPr>
        <w:t xml:space="preserve"> și 0,554 tone NOx (0,0286% din emisia totală)</w:t>
      </w:r>
      <w:r w:rsidR="00743B28" w:rsidRPr="00ED74C8">
        <w:rPr>
          <w:rFonts w:ascii="Arial" w:hAnsi="Arial" w:cs="Arial"/>
          <w:lang w:val="ro-RO"/>
        </w:rPr>
        <w:t>.</w:t>
      </w:r>
    </w:p>
    <w:p w:rsidR="00CD2FE2" w:rsidRDefault="00CD2FE2" w:rsidP="00755618">
      <w:pPr>
        <w:tabs>
          <w:tab w:val="left" w:pos="851"/>
          <w:tab w:val="left" w:pos="1134"/>
          <w:tab w:val="left" w:leader="dot" w:pos="9356"/>
        </w:tabs>
        <w:jc w:val="center"/>
        <w:rPr>
          <w:rFonts w:ascii="Arial" w:hAnsi="Arial" w:cs="Arial"/>
          <w:b/>
          <w:color w:val="FF0000"/>
          <w:sz w:val="22"/>
          <w:szCs w:val="22"/>
          <w:lang w:val="ro-RO"/>
        </w:rPr>
      </w:pPr>
    </w:p>
    <w:p w:rsidR="00743B28" w:rsidRPr="00ED74C8" w:rsidRDefault="00743B28" w:rsidP="00755618">
      <w:pPr>
        <w:tabs>
          <w:tab w:val="left" w:pos="851"/>
          <w:tab w:val="left" w:pos="1134"/>
          <w:tab w:val="left" w:leader="dot" w:pos="9356"/>
        </w:tabs>
        <w:jc w:val="center"/>
        <w:rPr>
          <w:rFonts w:ascii="Arial" w:hAnsi="Arial" w:cs="Arial"/>
          <w:b/>
          <w:sz w:val="22"/>
          <w:szCs w:val="22"/>
          <w:lang w:val="ro-RO"/>
        </w:rPr>
      </w:pPr>
      <w:r w:rsidRPr="00ED74C8">
        <w:rPr>
          <w:rFonts w:ascii="Arial" w:hAnsi="Arial" w:cs="Arial"/>
          <w:b/>
          <w:sz w:val="22"/>
          <w:szCs w:val="22"/>
          <w:lang w:val="ro-RO"/>
        </w:rPr>
        <w:t>Figura I.2.1.4.2</w:t>
      </w:r>
    </w:p>
    <w:p w:rsidR="00743B28" w:rsidRPr="00ED74C8" w:rsidRDefault="00743B28" w:rsidP="00755618">
      <w:pPr>
        <w:tabs>
          <w:tab w:val="left" w:pos="851"/>
          <w:tab w:val="left" w:pos="1134"/>
          <w:tab w:val="left" w:leader="dot" w:pos="9356"/>
        </w:tabs>
        <w:jc w:val="center"/>
        <w:rPr>
          <w:rFonts w:ascii="Arial" w:hAnsi="Arial" w:cs="Arial"/>
          <w:b/>
          <w:bCs/>
          <w:sz w:val="22"/>
          <w:szCs w:val="22"/>
          <w:lang w:val="ro-RO"/>
        </w:rPr>
      </w:pPr>
      <w:r w:rsidRPr="00ED74C8">
        <w:rPr>
          <w:rFonts w:ascii="Arial" w:hAnsi="Arial" w:cs="Arial"/>
          <w:b/>
          <w:bCs/>
          <w:sz w:val="22"/>
          <w:szCs w:val="22"/>
          <w:lang w:val="ro-RO"/>
        </w:rPr>
        <w:t xml:space="preserve">Contribuția </w:t>
      </w:r>
      <w:r w:rsidRPr="00ED74C8">
        <w:rPr>
          <w:rFonts w:ascii="Arial" w:hAnsi="Arial" w:cs="Arial"/>
          <w:b/>
          <w:bCs/>
          <w:i/>
          <w:sz w:val="22"/>
          <w:szCs w:val="22"/>
          <w:lang w:val="ro-RO"/>
        </w:rPr>
        <w:t>activităţilor agricole la emisiile de NMVOC (precursor al ozonulu)</w:t>
      </w:r>
      <w:r w:rsidRPr="00ED74C8">
        <w:rPr>
          <w:rFonts w:ascii="Arial" w:hAnsi="Arial" w:cs="Arial"/>
          <w:b/>
          <w:bCs/>
          <w:sz w:val="22"/>
          <w:szCs w:val="22"/>
          <w:lang w:val="ro-RO"/>
        </w:rPr>
        <w:t>,</w:t>
      </w:r>
    </w:p>
    <w:p w:rsidR="00743B28" w:rsidRPr="00ED74C8" w:rsidRDefault="00743B28" w:rsidP="00755618">
      <w:pPr>
        <w:tabs>
          <w:tab w:val="left" w:pos="851"/>
          <w:tab w:val="left" w:pos="1134"/>
          <w:tab w:val="left" w:leader="dot" w:pos="9356"/>
        </w:tabs>
        <w:jc w:val="center"/>
        <w:rPr>
          <w:rFonts w:ascii="Arial" w:hAnsi="Arial" w:cs="Arial"/>
          <w:b/>
          <w:bCs/>
          <w:sz w:val="22"/>
          <w:szCs w:val="22"/>
          <w:lang w:val="ro-RO"/>
        </w:rPr>
      </w:pPr>
      <w:r w:rsidRPr="00ED74C8">
        <w:rPr>
          <w:rFonts w:ascii="Arial" w:hAnsi="Arial" w:cs="Arial"/>
          <w:b/>
          <w:bCs/>
          <w:sz w:val="22"/>
          <w:szCs w:val="22"/>
          <w:lang w:val="ro-RO"/>
        </w:rPr>
        <w:t xml:space="preserve"> ca % din emisiile totale, județul Bistrița-Năsăud, anul </w:t>
      </w:r>
      <w:r w:rsidR="005964E0" w:rsidRPr="00ED74C8">
        <w:rPr>
          <w:rFonts w:ascii="Arial" w:hAnsi="Arial" w:cs="Arial"/>
          <w:b/>
          <w:bCs/>
          <w:sz w:val="22"/>
          <w:szCs w:val="22"/>
          <w:lang w:val="ro-RO"/>
        </w:rPr>
        <w:t>2021</w:t>
      </w:r>
    </w:p>
    <w:p w:rsidR="00743B28" w:rsidRPr="00ED74C8" w:rsidRDefault="00ED74C8" w:rsidP="00755618">
      <w:pPr>
        <w:tabs>
          <w:tab w:val="left" w:pos="851"/>
          <w:tab w:val="left" w:pos="1134"/>
          <w:tab w:val="left" w:leader="dot" w:pos="9356"/>
        </w:tabs>
        <w:jc w:val="center"/>
        <w:rPr>
          <w:rFonts w:ascii="Arial" w:hAnsi="Arial" w:cs="Arial"/>
          <w:b/>
          <w:bCs/>
          <w:sz w:val="22"/>
          <w:szCs w:val="22"/>
          <w:lang w:val="ro-RO"/>
        </w:rPr>
      </w:pPr>
      <w:r w:rsidRPr="00ED74C8">
        <w:rPr>
          <w:noProof/>
          <w:lang w:val="en-US"/>
        </w:rPr>
        <w:drawing>
          <wp:inline distT="0" distB="0" distL="0" distR="0" wp14:anchorId="40B20115" wp14:editId="44D81E4F">
            <wp:extent cx="4633595" cy="3131820"/>
            <wp:effectExtent l="0" t="0" r="0" b="0"/>
            <wp:docPr id="15" name="Diagramă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43B28" w:rsidRPr="00ED74C8" w:rsidRDefault="00743B28" w:rsidP="00755618">
      <w:pPr>
        <w:pStyle w:val="Default"/>
        <w:tabs>
          <w:tab w:val="left" w:pos="851"/>
        </w:tabs>
        <w:jc w:val="center"/>
        <w:rPr>
          <w:b/>
          <w:bCs/>
          <w:color w:val="auto"/>
          <w:sz w:val="20"/>
          <w:szCs w:val="20"/>
        </w:rPr>
      </w:pPr>
    </w:p>
    <w:p w:rsidR="00743B28" w:rsidRPr="00ED74C8" w:rsidRDefault="00743B28" w:rsidP="00755618">
      <w:pPr>
        <w:tabs>
          <w:tab w:val="left" w:pos="851"/>
        </w:tabs>
        <w:jc w:val="center"/>
        <w:rPr>
          <w:rFonts w:ascii="Arial" w:hAnsi="Arial" w:cs="Arial"/>
          <w:sz w:val="20"/>
          <w:szCs w:val="20"/>
          <w:lang w:val="ro-RO"/>
        </w:rPr>
      </w:pPr>
      <w:r w:rsidRPr="00ED74C8">
        <w:rPr>
          <w:rFonts w:ascii="Arial" w:hAnsi="Arial" w:cs="Arial"/>
          <w:sz w:val="20"/>
          <w:szCs w:val="20"/>
          <w:lang w:val="ro-RO"/>
        </w:rPr>
        <w:t>Sursa: Agenţia pentru Protecţia Mediului Bistriţa-Năsăud</w:t>
      </w:r>
    </w:p>
    <w:p w:rsidR="00ED74C8" w:rsidRDefault="00ED74C8" w:rsidP="00755618">
      <w:pPr>
        <w:tabs>
          <w:tab w:val="left" w:pos="851"/>
        </w:tabs>
        <w:jc w:val="center"/>
        <w:rPr>
          <w:rFonts w:ascii="Arial" w:hAnsi="Arial" w:cs="Arial"/>
          <w:color w:val="FF0000"/>
          <w:lang w:val="ro-RO"/>
        </w:rPr>
      </w:pPr>
    </w:p>
    <w:p w:rsidR="00ED74C8" w:rsidRDefault="00ED74C8" w:rsidP="00755618">
      <w:pPr>
        <w:tabs>
          <w:tab w:val="left" w:pos="851"/>
        </w:tabs>
        <w:jc w:val="center"/>
        <w:rPr>
          <w:rFonts w:ascii="Arial" w:hAnsi="Arial" w:cs="Arial"/>
          <w:color w:val="FF0000"/>
          <w:lang w:val="ro-RO"/>
        </w:rPr>
      </w:pPr>
    </w:p>
    <w:p w:rsidR="00ED74C8" w:rsidRPr="006B01A5" w:rsidRDefault="00ED74C8" w:rsidP="00755618">
      <w:pPr>
        <w:tabs>
          <w:tab w:val="left" w:pos="851"/>
        </w:tabs>
        <w:jc w:val="center"/>
        <w:rPr>
          <w:rFonts w:ascii="Arial" w:hAnsi="Arial" w:cs="Arial"/>
          <w:color w:val="FF0000"/>
          <w:lang w:val="ro-RO"/>
        </w:rPr>
      </w:pPr>
    </w:p>
    <w:p w:rsidR="00743B28" w:rsidRPr="00823AC4" w:rsidRDefault="00743B28" w:rsidP="00755618">
      <w:pPr>
        <w:pStyle w:val="Listparagraf"/>
        <w:numPr>
          <w:ilvl w:val="0"/>
          <w:numId w:val="14"/>
        </w:numPr>
        <w:tabs>
          <w:tab w:val="left" w:pos="851"/>
          <w:tab w:val="left" w:pos="1134"/>
          <w:tab w:val="left" w:leader="dot" w:pos="9356"/>
        </w:tabs>
        <w:ind w:left="0" w:firstLine="0"/>
        <w:rPr>
          <w:rFonts w:ascii="Arial" w:hAnsi="Arial" w:cs="Arial"/>
          <w:b/>
          <w:u w:val="single"/>
          <w:lang w:val="ro-RO"/>
        </w:rPr>
      </w:pPr>
      <w:r w:rsidRPr="00823AC4">
        <w:rPr>
          <w:rFonts w:ascii="Arial" w:hAnsi="Arial" w:cs="Arial"/>
          <w:b/>
          <w:u w:val="single"/>
          <w:lang w:val="ro-RO"/>
        </w:rPr>
        <w:t>Emisiile de particule primare și precursori secundari de particule</w:t>
      </w:r>
    </w:p>
    <w:p w:rsidR="00743B28" w:rsidRPr="00823AC4" w:rsidRDefault="00743B28" w:rsidP="00755618">
      <w:pPr>
        <w:pStyle w:val="Listparagraf"/>
        <w:tabs>
          <w:tab w:val="left" w:pos="851"/>
          <w:tab w:val="left" w:pos="1134"/>
          <w:tab w:val="left" w:leader="dot" w:pos="9356"/>
        </w:tabs>
        <w:ind w:left="0"/>
        <w:rPr>
          <w:rFonts w:ascii="Arial" w:hAnsi="Arial" w:cs="Arial"/>
          <w:u w:val="single"/>
          <w:lang w:val="ro-RO"/>
        </w:rPr>
      </w:pPr>
    </w:p>
    <w:p w:rsidR="00743B28" w:rsidRPr="00823AC4" w:rsidRDefault="00743B28" w:rsidP="00755618">
      <w:pPr>
        <w:pStyle w:val="Listparagraf"/>
        <w:tabs>
          <w:tab w:val="left" w:pos="851"/>
          <w:tab w:val="left" w:pos="1134"/>
          <w:tab w:val="left" w:leader="dot" w:pos="9356"/>
        </w:tabs>
        <w:ind w:left="0"/>
        <w:jc w:val="center"/>
        <w:rPr>
          <w:rFonts w:ascii="Arial" w:hAnsi="Arial" w:cs="Arial"/>
          <w:lang w:val="ro-RO"/>
        </w:rPr>
      </w:pPr>
      <w:r w:rsidRPr="00823AC4">
        <w:rPr>
          <w:rFonts w:ascii="Arial" w:hAnsi="Arial" w:cs="Arial"/>
          <w:b/>
          <w:sz w:val="22"/>
          <w:szCs w:val="22"/>
          <w:lang w:val="ro-RO"/>
        </w:rPr>
        <w:t>Tabel I.2.1.4.1.</w:t>
      </w:r>
    </w:p>
    <w:p w:rsidR="00743B28" w:rsidRPr="00823AC4" w:rsidRDefault="00743B28" w:rsidP="00755618">
      <w:pPr>
        <w:pStyle w:val="Listparagraf"/>
        <w:tabs>
          <w:tab w:val="left" w:pos="851"/>
          <w:tab w:val="left" w:pos="1134"/>
          <w:tab w:val="left" w:leader="dot" w:pos="9356"/>
        </w:tabs>
        <w:ind w:left="0"/>
        <w:jc w:val="center"/>
        <w:rPr>
          <w:rFonts w:ascii="Arial" w:hAnsi="Arial" w:cs="Arial"/>
          <w:b/>
          <w:i/>
          <w:sz w:val="22"/>
          <w:szCs w:val="22"/>
          <w:lang w:val="ro-RO"/>
        </w:rPr>
      </w:pPr>
      <w:r w:rsidRPr="00823AC4">
        <w:rPr>
          <w:rFonts w:ascii="Arial" w:hAnsi="Arial" w:cs="Arial"/>
          <w:b/>
          <w:sz w:val="22"/>
          <w:szCs w:val="22"/>
          <w:lang w:val="ro-RO"/>
        </w:rPr>
        <w:t xml:space="preserve">Situația emisiilor de </w:t>
      </w:r>
      <w:r w:rsidRPr="00823AC4">
        <w:rPr>
          <w:rFonts w:ascii="Arial" w:hAnsi="Arial" w:cs="Arial"/>
          <w:b/>
          <w:i/>
          <w:sz w:val="22"/>
          <w:szCs w:val="22"/>
          <w:lang w:val="ro-RO"/>
        </w:rPr>
        <w:t>particule primare și precursori secundari de particule</w:t>
      </w:r>
    </w:p>
    <w:p w:rsidR="00743B28" w:rsidRPr="00823AC4" w:rsidRDefault="00743B28" w:rsidP="00755618">
      <w:pPr>
        <w:pStyle w:val="Listparagraf"/>
        <w:tabs>
          <w:tab w:val="left" w:pos="851"/>
          <w:tab w:val="left" w:pos="1134"/>
          <w:tab w:val="left" w:leader="dot" w:pos="9356"/>
        </w:tabs>
        <w:ind w:left="0"/>
        <w:jc w:val="center"/>
        <w:rPr>
          <w:rFonts w:ascii="Arial" w:hAnsi="Arial" w:cs="Arial"/>
          <w:u w:val="single"/>
          <w:lang w:val="ro-RO"/>
        </w:rPr>
      </w:pPr>
      <w:r w:rsidRPr="00823AC4">
        <w:rPr>
          <w:rFonts w:ascii="Arial" w:hAnsi="Arial" w:cs="Arial"/>
          <w:b/>
          <w:i/>
          <w:sz w:val="22"/>
          <w:szCs w:val="22"/>
          <w:lang w:val="ro-RO"/>
        </w:rPr>
        <w:t>provenite din agricultură</w:t>
      </w:r>
      <w:r w:rsidRPr="00823AC4">
        <w:rPr>
          <w:rFonts w:ascii="Arial" w:hAnsi="Arial" w:cs="Arial"/>
          <w:b/>
          <w:sz w:val="22"/>
          <w:szCs w:val="22"/>
          <w:lang w:val="ro-RO"/>
        </w:rPr>
        <w:t xml:space="preserve">, județul Bistrița-Năsăud, anul </w:t>
      </w:r>
      <w:r w:rsidR="005964E0" w:rsidRPr="00823AC4">
        <w:rPr>
          <w:rFonts w:ascii="Arial" w:hAnsi="Arial" w:cs="Arial"/>
          <w:b/>
          <w:sz w:val="22"/>
          <w:szCs w:val="22"/>
          <w:lang w:val="ro-RO"/>
        </w:rPr>
        <w:t>2021</w:t>
      </w:r>
    </w:p>
    <w:tbl>
      <w:tblPr>
        <w:tblStyle w:val="Style1"/>
        <w:tblW w:w="5000" w:type="pct"/>
        <w:tblLook w:val="04A0" w:firstRow="1" w:lastRow="0" w:firstColumn="1" w:lastColumn="0" w:noHBand="0" w:noVBand="1"/>
      </w:tblPr>
      <w:tblGrid>
        <w:gridCol w:w="2685"/>
        <w:gridCol w:w="1566"/>
        <w:gridCol w:w="1647"/>
        <w:gridCol w:w="1696"/>
        <w:gridCol w:w="1760"/>
      </w:tblGrid>
      <w:tr w:rsidR="00823AC4" w:rsidRPr="00823AC4" w:rsidTr="00823AC4">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9" w:type="pct"/>
            <w:noWrap/>
            <w:hideMark/>
          </w:tcPr>
          <w:p w:rsidR="00823AC4" w:rsidRPr="00823AC4" w:rsidRDefault="00823AC4" w:rsidP="00823AC4">
            <w:pPr>
              <w:rPr>
                <w:rFonts w:ascii="Arial" w:eastAsia="Times New Roman" w:hAnsi="Arial" w:cs="Arial"/>
                <w:sz w:val="20"/>
                <w:szCs w:val="20"/>
                <w:lang w:val="en-US"/>
              </w:rPr>
            </w:pPr>
            <w:r w:rsidRPr="00823AC4">
              <w:rPr>
                <w:rFonts w:ascii="Arial" w:eastAsia="Times New Roman" w:hAnsi="Arial" w:cs="Arial"/>
                <w:sz w:val="20"/>
                <w:szCs w:val="20"/>
                <w:lang w:val="en-US"/>
              </w:rPr>
              <w:t> </w:t>
            </w:r>
          </w:p>
        </w:tc>
        <w:tc>
          <w:tcPr>
            <w:tcW w:w="919" w:type="pct"/>
            <w:hideMark/>
          </w:tcPr>
          <w:p w:rsidR="00823AC4" w:rsidRPr="00823AC4" w:rsidRDefault="00823AC4" w:rsidP="00823AC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823AC4">
              <w:rPr>
                <w:rFonts w:ascii="Arial" w:eastAsia="Times New Roman" w:hAnsi="Arial" w:cs="Arial"/>
                <w:b/>
                <w:bCs/>
                <w:sz w:val="22"/>
                <w:szCs w:val="22"/>
                <w:lang w:val="en-US"/>
              </w:rPr>
              <w:t>NH3</w:t>
            </w:r>
          </w:p>
        </w:tc>
        <w:tc>
          <w:tcPr>
            <w:tcW w:w="962" w:type="pct"/>
            <w:hideMark/>
          </w:tcPr>
          <w:p w:rsidR="00823AC4" w:rsidRPr="00823AC4" w:rsidRDefault="00823AC4" w:rsidP="00823AC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823AC4">
              <w:rPr>
                <w:rFonts w:ascii="Arial" w:eastAsia="Times New Roman" w:hAnsi="Arial" w:cs="Arial"/>
                <w:b/>
                <w:bCs/>
                <w:sz w:val="22"/>
                <w:szCs w:val="22"/>
                <w:lang w:val="en-US"/>
              </w:rPr>
              <w:t xml:space="preserve">NOX </w:t>
            </w:r>
          </w:p>
        </w:tc>
        <w:tc>
          <w:tcPr>
            <w:tcW w:w="988" w:type="pct"/>
            <w:hideMark/>
          </w:tcPr>
          <w:p w:rsidR="00823AC4" w:rsidRPr="00823AC4" w:rsidRDefault="00823AC4" w:rsidP="00823AC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823AC4">
              <w:rPr>
                <w:rFonts w:ascii="Arial" w:eastAsia="Times New Roman" w:hAnsi="Arial" w:cs="Arial"/>
                <w:b/>
                <w:bCs/>
                <w:sz w:val="22"/>
                <w:szCs w:val="22"/>
                <w:lang w:val="en-US"/>
              </w:rPr>
              <w:t xml:space="preserve">PM 2,5 </w:t>
            </w:r>
          </w:p>
        </w:tc>
        <w:tc>
          <w:tcPr>
            <w:tcW w:w="1023" w:type="pct"/>
            <w:hideMark/>
          </w:tcPr>
          <w:p w:rsidR="00823AC4" w:rsidRPr="00823AC4" w:rsidRDefault="00823AC4" w:rsidP="00823AC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823AC4">
              <w:rPr>
                <w:rFonts w:ascii="Arial" w:eastAsia="Times New Roman" w:hAnsi="Arial" w:cs="Arial"/>
                <w:b/>
                <w:bCs/>
                <w:sz w:val="22"/>
                <w:szCs w:val="22"/>
                <w:lang w:val="en-US"/>
              </w:rPr>
              <w:t xml:space="preserve">PM10 </w:t>
            </w:r>
          </w:p>
        </w:tc>
      </w:tr>
      <w:tr w:rsidR="00823AC4" w:rsidRPr="00823AC4" w:rsidTr="00823AC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9" w:type="pct"/>
            <w:noWrap/>
            <w:hideMark/>
          </w:tcPr>
          <w:p w:rsidR="00823AC4" w:rsidRPr="00823AC4" w:rsidRDefault="00823AC4" w:rsidP="00823AC4">
            <w:pPr>
              <w:rPr>
                <w:rFonts w:ascii="Arial" w:eastAsia="Times New Roman" w:hAnsi="Arial" w:cs="Arial"/>
                <w:sz w:val="20"/>
                <w:szCs w:val="20"/>
                <w:lang w:val="en-US"/>
              </w:rPr>
            </w:pPr>
            <w:r w:rsidRPr="00823AC4">
              <w:rPr>
                <w:rFonts w:ascii="Arial" w:eastAsia="Times New Roman" w:hAnsi="Arial" w:cs="Arial"/>
                <w:sz w:val="20"/>
                <w:szCs w:val="20"/>
                <w:lang w:val="en-US"/>
              </w:rPr>
              <w:t>cantitate emisii (tone)</w:t>
            </w:r>
          </w:p>
        </w:tc>
        <w:tc>
          <w:tcPr>
            <w:tcW w:w="919" w:type="pct"/>
            <w:noWrap/>
            <w:hideMark/>
          </w:tcPr>
          <w:p w:rsidR="00823AC4" w:rsidRPr="00823AC4" w:rsidRDefault="00823AC4" w:rsidP="00823A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823AC4">
              <w:rPr>
                <w:rFonts w:ascii="Arial" w:eastAsia="Times New Roman" w:hAnsi="Arial" w:cs="Arial"/>
                <w:sz w:val="22"/>
                <w:szCs w:val="22"/>
                <w:lang w:val="en-US"/>
              </w:rPr>
              <w:t>2939.77</w:t>
            </w:r>
          </w:p>
        </w:tc>
        <w:tc>
          <w:tcPr>
            <w:tcW w:w="962" w:type="pct"/>
            <w:noWrap/>
            <w:hideMark/>
          </w:tcPr>
          <w:p w:rsidR="00823AC4" w:rsidRPr="00823AC4" w:rsidRDefault="00823AC4" w:rsidP="00823A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823AC4">
              <w:rPr>
                <w:rFonts w:ascii="Arial" w:eastAsia="Times New Roman" w:hAnsi="Arial" w:cs="Arial"/>
                <w:sz w:val="22"/>
                <w:szCs w:val="22"/>
                <w:lang w:val="en-US"/>
              </w:rPr>
              <w:t>0.55</w:t>
            </w:r>
          </w:p>
        </w:tc>
        <w:tc>
          <w:tcPr>
            <w:tcW w:w="988" w:type="pct"/>
            <w:noWrap/>
            <w:hideMark/>
          </w:tcPr>
          <w:p w:rsidR="00823AC4" w:rsidRPr="00823AC4" w:rsidRDefault="00823AC4" w:rsidP="00823A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823AC4">
              <w:rPr>
                <w:rFonts w:ascii="Arial" w:eastAsia="Times New Roman" w:hAnsi="Arial" w:cs="Arial"/>
                <w:sz w:val="22"/>
                <w:szCs w:val="22"/>
                <w:lang w:val="en-US"/>
              </w:rPr>
              <w:t>38.87</w:t>
            </w:r>
          </w:p>
        </w:tc>
        <w:tc>
          <w:tcPr>
            <w:tcW w:w="1023" w:type="pct"/>
            <w:noWrap/>
            <w:hideMark/>
          </w:tcPr>
          <w:p w:rsidR="00823AC4" w:rsidRPr="00823AC4" w:rsidRDefault="00823AC4" w:rsidP="00823AC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823AC4">
              <w:rPr>
                <w:rFonts w:ascii="Arial" w:eastAsia="Times New Roman" w:hAnsi="Arial" w:cs="Arial"/>
                <w:sz w:val="22"/>
                <w:szCs w:val="22"/>
                <w:lang w:val="en-US"/>
              </w:rPr>
              <w:t>107.19</w:t>
            </w:r>
          </w:p>
        </w:tc>
      </w:tr>
      <w:tr w:rsidR="00823AC4" w:rsidRPr="00823AC4" w:rsidTr="00823AC4">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9" w:type="pct"/>
            <w:noWrap/>
            <w:hideMark/>
          </w:tcPr>
          <w:p w:rsidR="00823AC4" w:rsidRPr="00823AC4" w:rsidRDefault="00823AC4" w:rsidP="00823AC4">
            <w:pPr>
              <w:rPr>
                <w:rFonts w:ascii="Arial" w:eastAsia="Times New Roman" w:hAnsi="Arial" w:cs="Arial"/>
                <w:sz w:val="20"/>
                <w:szCs w:val="20"/>
                <w:lang w:val="en-US"/>
              </w:rPr>
            </w:pPr>
            <w:r w:rsidRPr="00823AC4">
              <w:rPr>
                <w:rFonts w:ascii="Arial" w:eastAsia="Times New Roman" w:hAnsi="Arial" w:cs="Arial"/>
                <w:sz w:val="20"/>
                <w:szCs w:val="20"/>
                <w:lang w:val="en-US"/>
              </w:rPr>
              <w:t>pondere % din emisia totală</w:t>
            </w:r>
          </w:p>
        </w:tc>
        <w:tc>
          <w:tcPr>
            <w:tcW w:w="919" w:type="pct"/>
            <w:noWrap/>
            <w:hideMark/>
          </w:tcPr>
          <w:p w:rsidR="00823AC4" w:rsidRPr="00823AC4" w:rsidRDefault="00823AC4" w:rsidP="00823AC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823AC4">
              <w:rPr>
                <w:rFonts w:ascii="Arial" w:eastAsia="Times New Roman" w:hAnsi="Arial" w:cs="Arial"/>
                <w:sz w:val="22"/>
                <w:szCs w:val="22"/>
                <w:lang w:val="en-US"/>
              </w:rPr>
              <w:t>92.76</w:t>
            </w:r>
          </w:p>
        </w:tc>
        <w:tc>
          <w:tcPr>
            <w:tcW w:w="962" w:type="pct"/>
            <w:noWrap/>
            <w:hideMark/>
          </w:tcPr>
          <w:p w:rsidR="00823AC4" w:rsidRPr="00823AC4" w:rsidRDefault="00823AC4" w:rsidP="00823AC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823AC4">
              <w:rPr>
                <w:rFonts w:ascii="Arial" w:eastAsia="Times New Roman" w:hAnsi="Arial" w:cs="Arial"/>
                <w:sz w:val="22"/>
                <w:szCs w:val="22"/>
                <w:lang w:val="en-US"/>
              </w:rPr>
              <w:t>0.03</w:t>
            </w:r>
          </w:p>
        </w:tc>
        <w:tc>
          <w:tcPr>
            <w:tcW w:w="988" w:type="pct"/>
            <w:noWrap/>
            <w:hideMark/>
          </w:tcPr>
          <w:p w:rsidR="00823AC4" w:rsidRPr="00823AC4" w:rsidRDefault="00823AC4" w:rsidP="00823AC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823AC4">
              <w:rPr>
                <w:rFonts w:ascii="Arial" w:eastAsia="Times New Roman" w:hAnsi="Arial" w:cs="Arial"/>
                <w:sz w:val="22"/>
                <w:szCs w:val="22"/>
                <w:lang w:val="en-US"/>
              </w:rPr>
              <w:t>1.66</w:t>
            </w:r>
          </w:p>
        </w:tc>
        <w:tc>
          <w:tcPr>
            <w:tcW w:w="1023" w:type="pct"/>
            <w:noWrap/>
            <w:hideMark/>
          </w:tcPr>
          <w:p w:rsidR="00823AC4" w:rsidRPr="00823AC4" w:rsidRDefault="00823AC4" w:rsidP="00823AC4">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823AC4">
              <w:rPr>
                <w:rFonts w:ascii="Arial" w:eastAsia="Times New Roman" w:hAnsi="Arial" w:cs="Arial"/>
                <w:sz w:val="22"/>
                <w:szCs w:val="22"/>
                <w:lang w:val="en-US"/>
              </w:rPr>
              <w:t>2.37</w:t>
            </w:r>
          </w:p>
        </w:tc>
      </w:tr>
    </w:tbl>
    <w:p w:rsidR="00743B28" w:rsidRPr="00823AC4" w:rsidRDefault="00743B28" w:rsidP="00755618">
      <w:pPr>
        <w:tabs>
          <w:tab w:val="left" w:pos="851"/>
        </w:tabs>
        <w:jc w:val="center"/>
        <w:rPr>
          <w:rFonts w:ascii="Arial" w:hAnsi="Arial" w:cs="Arial"/>
          <w:lang w:val="ro-RO"/>
        </w:rPr>
      </w:pPr>
      <w:r w:rsidRPr="00823AC4">
        <w:rPr>
          <w:rFonts w:ascii="Arial" w:hAnsi="Arial" w:cs="Arial"/>
          <w:sz w:val="20"/>
          <w:szCs w:val="20"/>
          <w:lang w:val="ro-RO"/>
        </w:rPr>
        <w:t>Sursa: Agenţia pentru Protecţia Mediului Bistriţa-Năsăud</w:t>
      </w:r>
    </w:p>
    <w:p w:rsidR="00743B28" w:rsidRPr="007540AF" w:rsidRDefault="00743B28" w:rsidP="00755618">
      <w:pPr>
        <w:tabs>
          <w:tab w:val="left" w:pos="851"/>
          <w:tab w:val="left" w:pos="1134"/>
          <w:tab w:val="left" w:leader="dot" w:pos="9356"/>
        </w:tabs>
        <w:jc w:val="center"/>
        <w:rPr>
          <w:rFonts w:ascii="Arial" w:hAnsi="Arial" w:cs="Arial"/>
          <w:b/>
          <w:sz w:val="22"/>
          <w:szCs w:val="22"/>
          <w:lang w:val="ro-RO"/>
        </w:rPr>
      </w:pPr>
    </w:p>
    <w:p w:rsidR="00743B28" w:rsidRPr="007540AF" w:rsidRDefault="00743B28" w:rsidP="00755618">
      <w:pPr>
        <w:tabs>
          <w:tab w:val="left" w:pos="851"/>
          <w:tab w:val="left" w:pos="1134"/>
          <w:tab w:val="left" w:leader="dot" w:pos="9356"/>
        </w:tabs>
        <w:jc w:val="center"/>
        <w:rPr>
          <w:rFonts w:ascii="Arial" w:hAnsi="Arial" w:cs="Arial"/>
          <w:b/>
          <w:sz w:val="22"/>
          <w:szCs w:val="22"/>
          <w:lang w:val="ro-RO"/>
        </w:rPr>
      </w:pPr>
      <w:r w:rsidRPr="007540AF">
        <w:rPr>
          <w:rFonts w:ascii="Arial" w:hAnsi="Arial" w:cs="Arial"/>
          <w:b/>
          <w:sz w:val="22"/>
          <w:szCs w:val="22"/>
          <w:lang w:val="ro-RO"/>
        </w:rPr>
        <w:t>Figura I.2.1.4.3</w:t>
      </w:r>
    </w:p>
    <w:p w:rsidR="00743B28" w:rsidRPr="007540AF" w:rsidRDefault="00743B28" w:rsidP="00755618">
      <w:pPr>
        <w:tabs>
          <w:tab w:val="left" w:pos="851"/>
          <w:tab w:val="left" w:pos="1134"/>
          <w:tab w:val="left" w:leader="dot" w:pos="9356"/>
        </w:tabs>
        <w:jc w:val="center"/>
        <w:rPr>
          <w:rFonts w:ascii="Arial" w:hAnsi="Arial" w:cs="Arial"/>
          <w:b/>
          <w:bCs/>
          <w:i/>
          <w:sz w:val="22"/>
          <w:szCs w:val="22"/>
          <w:lang w:val="ro-RO"/>
        </w:rPr>
      </w:pPr>
      <w:r w:rsidRPr="007540AF">
        <w:rPr>
          <w:rFonts w:ascii="Arial" w:hAnsi="Arial" w:cs="Arial"/>
          <w:b/>
          <w:bCs/>
          <w:sz w:val="22"/>
          <w:szCs w:val="22"/>
          <w:lang w:val="ro-RO"/>
        </w:rPr>
        <w:t xml:space="preserve">Contribuția </w:t>
      </w:r>
      <w:r w:rsidRPr="007540AF">
        <w:rPr>
          <w:rFonts w:ascii="Arial" w:hAnsi="Arial" w:cs="Arial"/>
          <w:b/>
          <w:bCs/>
          <w:i/>
          <w:sz w:val="22"/>
          <w:szCs w:val="22"/>
          <w:lang w:val="ro-RO"/>
        </w:rPr>
        <w:t xml:space="preserve">activităţilor agricole la emisiile de particule primare </w:t>
      </w:r>
    </w:p>
    <w:p w:rsidR="00743B28" w:rsidRPr="007540AF" w:rsidRDefault="00743B28" w:rsidP="00755618">
      <w:pPr>
        <w:tabs>
          <w:tab w:val="left" w:pos="851"/>
          <w:tab w:val="left" w:pos="1134"/>
          <w:tab w:val="left" w:leader="dot" w:pos="9356"/>
        </w:tabs>
        <w:jc w:val="center"/>
        <w:rPr>
          <w:rFonts w:ascii="Arial" w:hAnsi="Arial" w:cs="Arial"/>
          <w:b/>
          <w:sz w:val="22"/>
          <w:szCs w:val="22"/>
          <w:lang w:val="ro-RO"/>
        </w:rPr>
      </w:pPr>
      <w:r w:rsidRPr="007540AF">
        <w:rPr>
          <w:rFonts w:ascii="Arial" w:hAnsi="Arial" w:cs="Arial"/>
          <w:b/>
          <w:bCs/>
          <w:i/>
          <w:sz w:val="22"/>
          <w:szCs w:val="22"/>
          <w:lang w:val="ro-RO"/>
        </w:rPr>
        <w:t>(</w:t>
      </w:r>
      <w:r w:rsidRPr="007540AF">
        <w:rPr>
          <w:rFonts w:ascii="Arial" w:hAnsi="Arial" w:cs="Arial"/>
          <w:b/>
          <w:bCs/>
          <w:sz w:val="22"/>
          <w:szCs w:val="22"/>
          <w:lang w:val="ro-RO"/>
        </w:rPr>
        <w:t xml:space="preserve">ca % dun emisiile totale), județul Bistrița-Năsăud, anul </w:t>
      </w:r>
      <w:r w:rsidR="005964E0" w:rsidRPr="007540AF">
        <w:rPr>
          <w:rFonts w:ascii="Arial" w:hAnsi="Arial" w:cs="Arial"/>
          <w:b/>
          <w:bCs/>
          <w:sz w:val="22"/>
          <w:szCs w:val="22"/>
          <w:lang w:val="ro-RO"/>
        </w:rPr>
        <w:t>2021</w:t>
      </w:r>
    </w:p>
    <w:p w:rsidR="00743B28" w:rsidRPr="007540AF" w:rsidRDefault="00823AC4" w:rsidP="00755618">
      <w:pPr>
        <w:pStyle w:val="Default"/>
        <w:tabs>
          <w:tab w:val="left" w:pos="851"/>
        </w:tabs>
        <w:jc w:val="center"/>
        <w:rPr>
          <w:b/>
          <w:bCs/>
          <w:color w:val="auto"/>
          <w:sz w:val="20"/>
          <w:szCs w:val="20"/>
        </w:rPr>
      </w:pPr>
      <w:r w:rsidRPr="007540AF">
        <w:rPr>
          <w:noProof/>
          <w:color w:val="auto"/>
          <w:lang w:val="en-US"/>
        </w:rPr>
        <w:drawing>
          <wp:inline distT="0" distB="0" distL="0" distR="0" wp14:anchorId="01A6BBF3" wp14:editId="2373953D">
            <wp:extent cx="2948940" cy="2811780"/>
            <wp:effectExtent l="0" t="0" r="3810" b="7620"/>
            <wp:docPr id="27" name="Diagramă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7540AF">
        <w:rPr>
          <w:noProof/>
          <w:color w:val="auto"/>
          <w:lang w:val="en-US"/>
        </w:rPr>
        <w:drawing>
          <wp:inline distT="0" distB="0" distL="0" distR="0" wp14:anchorId="3B59198E" wp14:editId="24311423">
            <wp:extent cx="2689860" cy="2796540"/>
            <wp:effectExtent l="0" t="0" r="15240" b="3810"/>
            <wp:docPr id="34" name="Diagramă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3B28" w:rsidRPr="007540AF" w:rsidRDefault="00743B28" w:rsidP="00755618">
      <w:pPr>
        <w:tabs>
          <w:tab w:val="left" w:pos="851"/>
        </w:tabs>
        <w:jc w:val="center"/>
        <w:rPr>
          <w:rFonts w:ascii="Arial" w:hAnsi="Arial" w:cs="Arial"/>
          <w:sz w:val="20"/>
          <w:szCs w:val="20"/>
          <w:lang w:val="ro-RO"/>
        </w:rPr>
      </w:pPr>
      <w:r w:rsidRPr="007540AF">
        <w:rPr>
          <w:rFonts w:ascii="Arial" w:hAnsi="Arial" w:cs="Arial"/>
          <w:sz w:val="20"/>
          <w:szCs w:val="20"/>
          <w:lang w:val="ro-RO"/>
        </w:rPr>
        <w:t>Sursa: Agenţia pentru Protecţia Mediului Bistriţa-Năsăud</w:t>
      </w:r>
    </w:p>
    <w:p w:rsidR="00743B28" w:rsidRPr="007540AF" w:rsidRDefault="00743B28" w:rsidP="00755618">
      <w:pPr>
        <w:tabs>
          <w:tab w:val="left" w:pos="851"/>
        </w:tabs>
        <w:jc w:val="center"/>
        <w:rPr>
          <w:rFonts w:ascii="Arial" w:hAnsi="Arial" w:cs="Arial"/>
          <w:lang w:val="ro-RO"/>
        </w:rPr>
      </w:pPr>
    </w:p>
    <w:p w:rsidR="00743B28" w:rsidRPr="007540AF" w:rsidRDefault="00743B28" w:rsidP="00755618">
      <w:pPr>
        <w:pStyle w:val="Listparagraf"/>
        <w:numPr>
          <w:ilvl w:val="0"/>
          <w:numId w:val="14"/>
        </w:numPr>
        <w:tabs>
          <w:tab w:val="left" w:pos="851"/>
          <w:tab w:val="left" w:pos="1134"/>
          <w:tab w:val="left" w:leader="dot" w:pos="9356"/>
        </w:tabs>
        <w:ind w:left="0" w:firstLine="0"/>
        <w:rPr>
          <w:rFonts w:ascii="Arial" w:hAnsi="Arial" w:cs="Arial"/>
          <w:u w:val="single"/>
          <w:lang w:val="ro-RO"/>
        </w:rPr>
      </w:pPr>
      <w:r w:rsidRPr="007540AF">
        <w:rPr>
          <w:rFonts w:ascii="Arial" w:hAnsi="Arial" w:cs="Arial"/>
          <w:b/>
          <w:u w:val="single"/>
          <w:lang w:val="ro-RO"/>
        </w:rPr>
        <w:t xml:space="preserve">Emisiile de metale grele </w:t>
      </w:r>
      <w:r w:rsidRPr="007540AF">
        <w:rPr>
          <w:rFonts w:ascii="Arial" w:hAnsi="Arial" w:cs="Arial"/>
          <w:lang w:val="ro-RO"/>
        </w:rPr>
        <w:t>din agricultură</w:t>
      </w:r>
      <w:r w:rsidRPr="007540AF">
        <w:rPr>
          <w:rFonts w:ascii="Arial" w:hAnsi="Arial" w:cs="Arial"/>
          <w:b/>
          <w:lang w:val="ro-RO"/>
        </w:rPr>
        <w:t xml:space="preserve"> - </w:t>
      </w:r>
      <w:r w:rsidRPr="007540AF">
        <w:rPr>
          <w:rFonts w:ascii="Arial" w:hAnsi="Arial" w:cs="Arial"/>
          <w:lang w:val="ro-RO"/>
        </w:rPr>
        <w:t>nu sunt .</w:t>
      </w:r>
    </w:p>
    <w:p w:rsidR="00743B28" w:rsidRPr="007540AF" w:rsidRDefault="00743B28" w:rsidP="00755618">
      <w:pPr>
        <w:pStyle w:val="Listparagraf"/>
        <w:numPr>
          <w:ilvl w:val="0"/>
          <w:numId w:val="14"/>
        </w:numPr>
        <w:tabs>
          <w:tab w:val="left" w:pos="851"/>
          <w:tab w:val="left" w:pos="1134"/>
          <w:tab w:val="left" w:leader="dot" w:pos="9356"/>
        </w:tabs>
        <w:ind w:left="0" w:firstLine="0"/>
        <w:rPr>
          <w:rFonts w:ascii="Arial" w:hAnsi="Arial" w:cs="Arial"/>
          <w:b/>
          <w:lang w:val="ro-RO"/>
        </w:rPr>
      </w:pPr>
      <w:r w:rsidRPr="007540AF">
        <w:rPr>
          <w:rFonts w:ascii="Arial" w:hAnsi="Arial" w:cs="Arial"/>
          <w:b/>
          <w:u w:val="single"/>
          <w:lang w:val="ro-RO"/>
        </w:rPr>
        <w:t xml:space="preserve">Emisiile de POPs </w:t>
      </w:r>
      <w:r w:rsidRPr="007540AF">
        <w:rPr>
          <w:rFonts w:ascii="Arial" w:hAnsi="Arial" w:cs="Arial"/>
          <w:b/>
          <w:lang w:val="ro-RO"/>
        </w:rPr>
        <w:t xml:space="preserve">– </w:t>
      </w:r>
      <w:r w:rsidRPr="007540AF">
        <w:rPr>
          <w:rFonts w:ascii="Arial" w:hAnsi="Arial" w:cs="Arial"/>
          <w:lang w:val="ro-RO"/>
        </w:rPr>
        <w:t>nu sunt</w:t>
      </w:r>
      <w:r w:rsidRPr="007540AF">
        <w:rPr>
          <w:rFonts w:ascii="Arial" w:hAnsi="Arial" w:cs="Arial"/>
          <w:b/>
          <w:lang w:val="ro-RO"/>
        </w:rPr>
        <w:t>.</w:t>
      </w:r>
    </w:p>
    <w:p w:rsidR="00743B28" w:rsidRPr="006B01A5" w:rsidRDefault="00743B28" w:rsidP="00755618">
      <w:pPr>
        <w:tabs>
          <w:tab w:val="left" w:pos="851"/>
          <w:tab w:val="left" w:leader="dot" w:pos="9356"/>
        </w:tabs>
        <w:rPr>
          <w:rFonts w:ascii="Arial" w:hAnsi="Arial" w:cs="Arial"/>
          <w:b/>
          <w:color w:val="FF0000"/>
          <w:sz w:val="32"/>
          <w:szCs w:val="32"/>
          <w:lang w:val="ro-RO"/>
        </w:rPr>
      </w:pPr>
    </w:p>
    <w:p w:rsidR="00743B28" w:rsidRPr="0047694F" w:rsidRDefault="00743B28" w:rsidP="00755618">
      <w:pPr>
        <w:tabs>
          <w:tab w:val="left" w:pos="851"/>
          <w:tab w:val="left" w:leader="dot" w:pos="9356"/>
        </w:tabs>
        <w:jc w:val="center"/>
        <w:rPr>
          <w:rFonts w:ascii="Arial" w:hAnsi="Arial" w:cs="Arial"/>
          <w:b/>
          <w:sz w:val="28"/>
          <w:szCs w:val="28"/>
          <w:lang w:val="ro-RO"/>
        </w:rPr>
      </w:pPr>
      <w:r w:rsidRPr="0047694F">
        <w:rPr>
          <w:rFonts w:ascii="Arial" w:hAnsi="Arial" w:cs="Arial"/>
          <w:sz w:val="28"/>
          <w:szCs w:val="28"/>
          <w:lang w:val="ro-RO"/>
        </w:rPr>
        <w:tab/>
      </w:r>
      <w:r w:rsidRPr="0047694F">
        <w:rPr>
          <w:rFonts w:ascii="Arial" w:hAnsi="Arial" w:cs="Arial"/>
          <w:b/>
          <w:sz w:val="28"/>
          <w:szCs w:val="28"/>
          <w:lang w:val="ro-RO"/>
        </w:rPr>
        <w:t>I.2.1.5. DEȘEURI</w:t>
      </w:r>
    </w:p>
    <w:p w:rsidR="00743B28" w:rsidRPr="0047694F" w:rsidRDefault="00743B28" w:rsidP="00755618">
      <w:pPr>
        <w:tabs>
          <w:tab w:val="left" w:pos="851"/>
          <w:tab w:val="left" w:leader="dot" w:pos="9356"/>
        </w:tabs>
        <w:jc w:val="center"/>
        <w:rPr>
          <w:rFonts w:ascii="Arial" w:hAnsi="Arial" w:cs="Arial"/>
          <w:b/>
          <w:lang w:val="ro-RO"/>
        </w:rPr>
      </w:pPr>
    </w:p>
    <w:p w:rsidR="00743B28" w:rsidRPr="0047694F" w:rsidRDefault="00743B28" w:rsidP="00755618">
      <w:pPr>
        <w:pStyle w:val="Default"/>
        <w:numPr>
          <w:ilvl w:val="0"/>
          <w:numId w:val="26"/>
        </w:numPr>
        <w:tabs>
          <w:tab w:val="left" w:pos="0"/>
        </w:tabs>
        <w:ind w:left="0" w:firstLine="0"/>
        <w:rPr>
          <w:b/>
          <w:bCs/>
          <w:color w:val="auto"/>
          <w:sz w:val="20"/>
          <w:szCs w:val="20"/>
        </w:rPr>
      </w:pPr>
      <w:r w:rsidRPr="0047694F">
        <w:rPr>
          <w:b/>
          <w:color w:val="auto"/>
          <w:u w:val="single"/>
        </w:rPr>
        <w:t xml:space="preserve">Emisiile de substanțele acidifiante  </w:t>
      </w:r>
    </w:p>
    <w:p w:rsidR="00743B28" w:rsidRPr="0047694F" w:rsidRDefault="00743B28" w:rsidP="00755618">
      <w:pPr>
        <w:pStyle w:val="Default"/>
        <w:tabs>
          <w:tab w:val="left" w:pos="0"/>
        </w:tabs>
        <w:rPr>
          <w:b/>
          <w:bCs/>
          <w:color w:val="auto"/>
          <w:sz w:val="20"/>
          <w:szCs w:val="20"/>
        </w:rPr>
      </w:pPr>
    </w:p>
    <w:p w:rsidR="00743B28" w:rsidRPr="0047694F" w:rsidRDefault="00743B28" w:rsidP="00755618">
      <w:pPr>
        <w:pStyle w:val="Listparagraf"/>
        <w:tabs>
          <w:tab w:val="left" w:pos="851"/>
          <w:tab w:val="left" w:pos="1134"/>
          <w:tab w:val="left" w:leader="dot" w:pos="9356"/>
        </w:tabs>
        <w:ind w:left="0"/>
        <w:jc w:val="center"/>
        <w:rPr>
          <w:rFonts w:ascii="Arial" w:hAnsi="Arial" w:cs="Arial"/>
          <w:lang w:val="ro-RO"/>
        </w:rPr>
      </w:pPr>
      <w:r w:rsidRPr="0047694F">
        <w:rPr>
          <w:rFonts w:ascii="Arial" w:hAnsi="Arial" w:cs="Arial"/>
          <w:b/>
          <w:sz w:val="22"/>
          <w:szCs w:val="22"/>
          <w:lang w:val="ro-RO"/>
        </w:rPr>
        <w:t>Tabel I.2.1.5.1.</w:t>
      </w:r>
    </w:p>
    <w:p w:rsidR="00743B28" w:rsidRPr="0047694F"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47694F">
        <w:rPr>
          <w:rFonts w:ascii="Arial" w:hAnsi="Arial" w:cs="Arial"/>
          <w:b/>
          <w:sz w:val="22"/>
          <w:szCs w:val="22"/>
          <w:lang w:val="ro-RO"/>
        </w:rPr>
        <w:t xml:space="preserve">Emisiile de </w:t>
      </w:r>
      <w:r w:rsidRPr="0047694F">
        <w:rPr>
          <w:rFonts w:ascii="Arial" w:hAnsi="Arial" w:cs="Arial"/>
          <w:b/>
          <w:i/>
          <w:sz w:val="22"/>
          <w:szCs w:val="22"/>
          <w:lang w:val="ro-RO"/>
        </w:rPr>
        <w:t xml:space="preserve">substanţe acidifiante </w:t>
      </w:r>
      <w:r w:rsidRPr="0047694F">
        <w:rPr>
          <w:rFonts w:ascii="Arial" w:hAnsi="Arial" w:cs="Arial"/>
          <w:b/>
          <w:sz w:val="22"/>
          <w:szCs w:val="22"/>
          <w:lang w:val="ro-RO"/>
        </w:rPr>
        <w:t>provenite</w:t>
      </w:r>
      <w:r w:rsidRPr="0047694F">
        <w:rPr>
          <w:rFonts w:ascii="Arial" w:hAnsi="Arial" w:cs="Arial"/>
          <w:b/>
          <w:i/>
          <w:sz w:val="22"/>
          <w:szCs w:val="22"/>
          <w:lang w:val="ro-RO"/>
        </w:rPr>
        <w:t xml:space="preserve"> din sectorul deşeuri</w:t>
      </w:r>
      <w:r w:rsidRPr="0047694F">
        <w:rPr>
          <w:rFonts w:ascii="Arial" w:hAnsi="Arial" w:cs="Arial"/>
          <w:b/>
          <w:sz w:val="22"/>
          <w:szCs w:val="22"/>
          <w:lang w:val="ro-RO"/>
        </w:rPr>
        <w:t>,</w:t>
      </w:r>
    </w:p>
    <w:p w:rsidR="00743B28" w:rsidRPr="0047694F" w:rsidRDefault="00743B28" w:rsidP="00755618">
      <w:pPr>
        <w:pStyle w:val="Listparagraf"/>
        <w:tabs>
          <w:tab w:val="left" w:pos="851"/>
          <w:tab w:val="left" w:pos="1134"/>
          <w:tab w:val="left" w:leader="dot" w:pos="9356"/>
        </w:tabs>
        <w:ind w:left="0"/>
        <w:jc w:val="center"/>
        <w:rPr>
          <w:b/>
          <w:bCs/>
          <w:sz w:val="20"/>
          <w:szCs w:val="20"/>
        </w:rPr>
      </w:pPr>
      <w:r w:rsidRPr="0047694F">
        <w:rPr>
          <w:rFonts w:ascii="Arial" w:hAnsi="Arial" w:cs="Arial"/>
          <w:b/>
          <w:sz w:val="22"/>
          <w:szCs w:val="22"/>
          <w:lang w:val="ro-RO"/>
        </w:rPr>
        <w:t xml:space="preserve"> județul Bistrița-Năsăud, anul </w:t>
      </w:r>
      <w:r w:rsidR="005964E0" w:rsidRPr="0047694F">
        <w:rPr>
          <w:rFonts w:ascii="Arial" w:hAnsi="Arial" w:cs="Arial"/>
          <w:b/>
          <w:sz w:val="22"/>
          <w:szCs w:val="22"/>
          <w:lang w:val="ro-RO"/>
        </w:rPr>
        <w:t>2021</w:t>
      </w:r>
    </w:p>
    <w:tbl>
      <w:tblPr>
        <w:tblStyle w:val="Listcolorat-Accentuare4"/>
        <w:tblW w:w="5000" w:type="pct"/>
        <w:jc w:val="center"/>
        <w:tblLook w:val="04A0" w:firstRow="1" w:lastRow="0" w:firstColumn="1" w:lastColumn="0" w:noHBand="0" w:noVBand="1"/>
      </w:tblPr>
      <w:tblGrid>
        <w:gridCol w:w="4301"/>
        <w:gridCol w:w="2561"/>
        <w:gridCol w:w="2492"/>
      </w:tblGrid>
      <w:tr w:rsidR="008D2A19" w:rsidRPr="008D2A19" w:rsidTr="0047694F">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299" w:type="pct"/>
            <w:hideMark/>
          </w:tcPr>
          <w:p w:rsidR="00743B28" w:rsidRPr="008D2A19" w:rsidRDefault="00743B28" w:rsidP="00755618">
            <w:pPr>
              <w:jc w:val="center"/>
              <w:rPr>
                <w:rFonts w:ascii="Arial" w:eastAsia="Times New Roman" w:hAnsi="Arial" w:cs="Arial"/>
                <w:color w:val="auto"/>
                <w:sz w:val="20"/>
                <w:szCs w:val="20"/>
                <w:lang w:val="ro-RO" w:eastAsia="ro-RO"/>
              </w:rPr>
            </w:pPr>
            <w:r w:rsidRPr="008D2A19">
              <w:rPr>
                <w:rFonts w:ascii="Arial" w:eastAsia="Times New Roman" w:hAnsi="Arial" w:cs="Arial"/>
                <w:color w:val="auto"/>
                <w:sz w:val="20"/>
                <w:szCs w:val="20"/>
                <w:lang w:val="ro-RO" w:eastAsia="ro-RO"/>
              </w:rPr>
              <w:t> </w:t>
            </w:r>
          </w:p>
        </w:tc>
        <w:tc>
          <w:tcPr>
            <w:tcW w:w="1369" w:type="pct"/>
            <w:hideMark/>
          </w:tcPr>
          <w:p w:rsidR="00743B28" w:rsidRPr="008D2A19" w:rsidRDefault="00743B28"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8D2A19">
              <w:rPr>
                <w:rFonts w:ascii="Arial" w:eastAsia="Times New Roman" w:hAnsi="Arial" w:cs="Arial"/>
                <w:color w:val="auto"/>
                <w:sz w:val="20"/>
                <w:szCs w:val="20"/>
                <w:lang w:val="ro-RO" w:eastAsia="ro-RO"/>
              </w:rPr>
              <w:t xml:space="preserve">NOX </w:t>
            </w:r>
          </w:p>
        </w:tc>
        <w:tc>
          <w:tcPr>
            <w:tcW w:w="1332" w:type="pct"/>
            <w:hideMark/>
          </w:tcPr>
          <w:p w:rsidR="00743B28" w:rsidRPr="008D2A19" w:rsidRDefault="00743B28" w:rsidP="0047694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8D2A19">
              <w:rPr>
                <w:rFonts w:ascii="Arial" w:eastAsia="Times New Roman" w:hAnsi="Arial" w:cs="Arial"/>
                <w:color w:val="auto"/>
                <w:sz w:val="20"/>
                <w:szCs w:val="20"/>
                <w:lang w:val="ro-RO" w:eastAsia="ro-RO"/>
              </w:rPr>
              <w:t>SO</w:t>
            </w:r>
            <w:r w:rsidR="0047694F" w:rsidRPr="008D2A19">
              <w:rPr>
                <w:rFonts w:ascii="Arial" w:eastAsia="Times New Roman" w:hAnsi="Arial" w:cs="Arial"/>
                <w:color w:val="auto"/>
                <w:sz w:val="20"/>
                <w:szCs w:val="20"/>
                <w:lang w:val="ro-RO" w:eastAsia="ro-RO"/>
              </w:rPr>
              <w:t>x</w:t>
            </w:r>
          </w:p>
        </w:tc>
      </w:tr>
      <w:tr w:rsidR="0047694F" w:rsidRPr="0047694F" w:rsidTr="0047694F">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299" w:type="pct"/>
            <w:noWrap/>
            <w:hideMark/>
          </w:tcPr>
          <w:p w:rsidR="0047694F" w:rsidRPr="0047694F" w:rsidRDefault="0047694F" w:rsidP="0047694F">
            <w:pPr>
              <w:rPr>
                <w:rFonts w:ascii="Arial" w:eastAsia="Times New Roman" w:hAnsi="Arial" w:cs="Arial"/>
                <w:b w:val="0"/>
                <w:sz w:val="20"/>
                <w:szCs w:val="20"/>
                <w:lang w:val="ro-RO" w:eastAsia="ro-RO"/>
              </w:rPr>
            </w:pPr>
            <w:r w:rsidRPr="0047694F">
              <w:rPr>
                <w:rFonts w:ascii="Arial" w:eastAsia="Times New Roman" w:hAnsi="Arial" w:cs="Arial"/>
                <w:sz w:val="20"/>
                <w:szCs w:val="20"/>
                <w:lang w:val="ro-RO" w:eastAsia="ro-RO"/>
              </w:rPr>
              <w:t>cantitatea (Mg)</w:t>
            </w:r>
          </w:p>
        </w:tc>
        <w:tc>
          <w:tcPr>
            <w:tcW w:w="1369" w:type="pct"/>
            <w:noWrap/>
            <w:vAlign w:val="bottom"/>
            <w:hideMark/>
          </w:tcPr>
          <w:p w:rsidR="0047694F" w:rsidRPr="0047694F" w:rsidRDefault="0047694F" w:rsidP="004769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47694F">
              <w:rPr>
                <w:rFonts w:ascii="Arial" w:hAnsi="Arial" w:cs="Arial"/>
                <w:sz w:val="20"/>
                <w:szCs w:val="20"/>
              </w:rPr>
              <w:t>0.0170259</w:t>
            </w:r>
          </w:p>
        </w:tc>
        <w:tc>
          <w:tcPr>
            <w:tcW w:w="1332" w:type="pct"/>
            <w:noWrap/>
            <w:vAlign w:val="bottom"/>
            <w:hideMark/>
          </w:tcPr>
          <w:p w:rsidR="0047694F" w:rsidRPr="0047694F" w:rsidRDefault="0047694F" w:rsidP="004769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7694F">
              <w:rPr>
                <w:rFonts w:ascii="Arial" w:hAnsi="Arial" w:cs="Arial"/>
                <w:sz w:val="20"/>
                <w:szCs w:val="20"/>
              </w:rPr>
              <w:t>0.00091979</w:t>
            </w:r>
          </w:p>
        </w:tc>
      </w:tr>
      <w:tr w:rsidR="0047694F" w:rsidRPr="0047694F" w:rsidTr="0047694F">
        <w:trPr>
          <w:trHeight w:val="264"/>
          <w:jc w:val="center"/>
        </w:trPr>
        <w:tc>
          <w:tcPr>
            <w:cnfStyle w:val="001000000000" w:firstRow="0" w:lastRow="0" w:firstColumn="1" w:lastColumn="0" w:oddVBand="0" w:evenVBand="0" w:oddHBand="0" w:evenHBand="0" w:firstRowFirstColumn="0" w:firstRowLastColumn="0" w:lastRowFirstColumn="0" w:lastRowLastColumn="0"/>
            <w:tcW w:w="2299" w:type="pct"/>
            <w:noWrap/>
            <w:hideMark/>
          </w:tcPr>
          <w:p w:rsidR="00743B28" w:rsidRPr="0047694F" w:rsidRDefault="00743B28" w:rsidP="00755618">
            <w:pPr>
              <w:rPr>
                <w:rFonts w:ascii="Arial" w:eastAsia="Times New Roman" w:hAnsi="Arial" w:cs="Arial"/>
                <w:b w:val="0"/>
                <w:sz w:val="20"/>
                <w:szCs w:val="20"/>
                <w:lang w:val="ro-RO" w:eastAsia="ro-RO"/>
              </w:rPr>
            </w:pPr>
            <w:r w:rsidRPr="0047694F">
              <w:rPr>
                <w:rFonts w:ascii="Arial" w:eastAsia="Times New Roman" w:hAnsi="Arial" w:cs="Arial"/>
                <w:sz w:val="20"/>
                <w:szCs w:val="20"/>
                <w:lang w:val="ro-RO" w:eastAsia="ro-RO"/>
              </w:rPr>
              <w:t>ponderea din emisia totală (%)</w:t>
            </w:r>
          </w:p>
        </w:tc>
        <w:tc>
          <w:tcPr>
            <w:tcW w:w="1369" w:type="pct"/>
            <w:noWrap/>
            <w:hideMark/>
          </w:tcPr>
          <w:p w:rsidR="00743B28" w:rsidRPr="0047694F" w:rsidRDefault="0047694F" w:rsidP="004769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ro-RO" w:eastAsia="ro-RO"/>
              </w:rPr>
            </w:pPr>
            <w:r w:rsidRPr="0047694F">
              <w:rPr>
                <w:rFonts w:ascii="Arial" w:eastAsia="Times New Roman" w:hAnsi="Arial" w:cs="Arial"/>
                <w:sz w:val="20"/>
                <w:szCs w:val="20"/>
                <w:lang w:val="ro-RO" w:eastAsia="ro-RO"/>
              </w:rPr>
              <w:t>0,000876</w:t>
            </w:r>
          </w:p>
        </w:tc>
        <w:tc>
          <w:tcPr>
            <w:tcW w:w="1332" w:type="pct"/>
            <w:noWrap/>
            <w:hideMark/>
          </w:tcPr>
          <w:p w:rsidR="00743B28" w:rsidRPr="0047694F" w:rsidRDefault="00743B28" w:rsidP="004769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ro-RO" w:eastAsia="ro-RO"/>
              </w:rPr>
            </w:pPr>
            <w:r w:rsidRPr="0047694F">
              <w:rPr>
                <w:rFonts w:ascii="Arial" w:eastAsia="Times New Roman" w:hAnsi="Arial" w:cs="Arial"/>
                <w:sz w:val="20"/>
                <w:szCs w:val="20"/>
                <w:lang w:val="ro-RO" w:eastAsia="ro-RO"/>
              </w:rPr>
              <w:t>0,</w:t>
            </w:r>
            <w:r w:rsidR="0047694F" w:rsidRPr="0047694F">
              <w:rPr>
                <w:rFonts w:ascii="Arial" w:eastAsia="Times New Roman" w:hAnsi="Arial" w:cs="Arial"/>
                <w:sz w:val="20"/>
                <w:szCs w:val="20"/>
                <w:lang w:val="ro-RO" w:eastAsia="ro-RO"/>
              </w:rPr>
              <w:t>0022855</w:t>
            </w:r>
          </w:p>
        </w:tc>
      </w:tr>
    </w:tbl>
    <w:p w:rsidR="00743B28" w:rsidRPr="0047694F" w:rsidRDefault="00743B28" w:rsidP="00755618">
      <w:pPr>
        <w:tabs>
          <w:tab w:val="left" w:pos="851"/>
        </w:tabs>
        <w:jc w:val="center"/>
        <w:rPr>
          <w:rFonts w:ascii="Arial" w:hAnsi="Arial" w:cs="Arial"/>
          <w:lang w:val="ro-RO"/>
        </w:rPr>
      </w:pPr>
      <w:r w:rsidRPr="0047694F">
        <w:rPr>
          <w:rFonts w:ascii="Arial" w:hAnsi="Arial" w:cs="Arial"/>
          <w:sz w:val="20"/>
          <w:szCs w:val="20"/>
          <w:lang w:val="ro-RO"/>
        </w:rPr>
        <w:t>Sursa: Agenţia pentru Protecţia Mediului Bistriţa-Năsăud</w:t>
      </w:r>
    </w:p>
    <w:p w:rsidR="00743B28" w:rsidRDefault="00743B28" w:rsidP="00755618">
      <w:pPr>
        <w:pStyle w:val="Default"/>
        <w:tabs>
          <w:tab w:val="left" w:pos="851"/>
        </w:tabs>
        <w:rPr>
          <w:b/>
          <w:bCs/>
          <w:color w:val="auto"/>
          <w:sz w:val="20"/>
          <w:szCs w:val="20"/>
        </w:rPr>
      </w:pPr>
    </w:p>
    <w:p w:rsidR="0047694F" w:rsidRDefault="0047694F" w:rsidP="00755618">
      <w:pPr>
        <w:pStyle w:val="Default"/>
        <w:tabs>
          <w:tab w:val="left" w:pos="851"/>
        </w:tabs>
        <w:rPr>
          <w:b/>
          <w:bCs/>
          <w:color w:val="auto"/>
          <w:sz w:val="20"/>
          <w:szCs w:val="20"/>
        </w:rPr>
      </w:pPr>
    </w:p>
    <w:p w:rsidR="0047694F" w:rsidRDefault="0047694F" w:rsidP="00755618">
      <w:pPr>
        <w:pStyle w:val="Default"/>
        <w:tabs>
          <w:tab w:val="left" w:pos="851"/>
        </w:tabs>
        <w:rPr>
          <w:b/>
          <w:bCs/>
          <w:color w:val="auto"/>
          <w:sz w:val="20"/>
          <w:szCs w:val="20"/>
        </w:rPr>
      </w:pPr>
    </w:p>
    <w:p w:rsidR="0047694F" w:rsidRDefault="0047694F" w:rsidP="00755618">
      <w:pPr>
        <w:pStyle w:val="Default"/>
        <w:tabs>
          <w:tab w:val="left" w:pos="851"/>
        </w:tabs>
        <w:rPr>
          <w:b/>
          <w:bCs/>
          <w:color w:val="auto"/>
          <w:sz w:val="20"/>
          <w:szCs w:val="20"/>
        </w:rPr>
      </w:pPr>
    </w:p>
    <w:p w:rsidR="0047694F" w:rsidRDefault="0047694F" w:rsidP="00755618">
      <w:pPr>
        <w:pStyle w:val="Default"/>
        <w:tabs>
          <w:tab w:val="left" w:pos="851"/>
        </w:tabs>
        <w:rPr>
          <w:b/>
          <w:bCs/>
          <w:color w:val="auto"/>
          <w:sz w:val="20"/>
          <w:szCs w:val="20"/>
        </w:rPr>
      </w:pPr>
    </w:p>
    <w:p w:rsidR="0047694F" w:rsidRDefault="0047694F" w:rsidP="00755618">
      <w:pPr>
        <w:pStyle w:val="Default"/>
        <w:tabs>
          <w:tab w:val="left" w:pos="851"/>
        </w:tabs>
        <w:rPr>
          <w:b/>
          <w:bCs/>
          <w:color w:val="auto"/>
          <w:sz w:val="20"/>
          <w:szCs w:val="20"/>
        </w:rPr>
      </w:pPr>
    </w:p>
    <w:p w:rsidR="0047694F" w:rsidRDefault="0047694F" w:rsidP="00755618">
      <w:pPr>
        <w:pStyle w:val="Default"/>
        <w:tabs>
          <w:tab w:val="left" w:pos="851"/>
        </w:tabs>
        <w:rPr>
          <w:b/>
          <w:bCs/>
          <w:color w:val="auto"/>
          <w:sz w:val="20"/>
          <w:szCs w:val="20"/>
        </w:rPr>
      </w:pPr>
    </w:p>
    <w:p w:rsidR="0047694F" w:rsidRPr="0047694F" w:rsidRDefault="0047694F" w:rsidP="00755618">
      <w:pPr>
        <w:pStyle w:val="Default"/>
        <w:tabs>
          <w:tab w:val="left" w:pos="851"/>
        </w:tabs>
        <w:rPr>
          <w:b/>
          <w:bCs/>
          <w:color w:val="auto"/>
          <w:sz w:val="20"/>
          <w:szCs w:val="20"/>
        </w:rPr>
      </w:pPr>
    </w:p>
    <w:p w:rsidR="00743B28" w:rsidRPr="006E492C" w:rsidRDefault="00743B28" w:rsidP="00755618">
      <w:pPr>
        <w:pStyle w:val="Listparagraf"/>
        <w:numPr>
          <w:ilvl w:val="0"/>
          <w:numId w:val="26"/>
        </w:numPr>
        <w:tabs>
          <w:tab w:val="left" w:pos="851"/>
          <w:tab w:val="left" w:pos="1134"/>
          <w:tab w:val="left" w:leader="dot" w:pos="9356"/>
        </w:tabs>
        <w:ind w:left="0" w:firstLine="0"/>
        <w:rPr>
          <w:rFonts w:ascii="Arial" w:hAnsi="Arial" w:cs="Arial"/>
          <w:b/>
          <w:lang w:val="ro-RO"/>
        </w:rPr>
      </w:pPr>
      <w:r w:rsidRPr="006E492C">
        <w:rPr>
          <w:rFonts w:ascii="Arial" w:hAnsi="Arial" w:cs="Arial"/>
          <w:b/>
          <w:u w:val="single"/>
          <w:lang w:val="ro-RO"/>
        </w:rPr>
        <w:t xml:space="preserve">Emisiile de precursori ai ozonului </w:t>
      </w:r>
    </w:p>
    <w:p w:rsidR="00743B28" w:rsidRPr="006E492C"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p>
    <w:p w:rsidR="00743B28" w:rsidRPr="006E492C" w:rsidRDefault="00743B28" w:rsidP="00755618">
      <w:pPr>
        <w:pStyle w:val="Listparagraf"/>
        <w:tabs>
          <w:tab w:val="left" w:pos="851"/>
          <w:tab w:val="left" w:pos="1134"/>
          <w:tab w:val="left" w:leader="dot" w:pos="9356"/>
        </w:tabs>
        <w:ind w:left="0"/>
        <w:jc w:val="center"/>
        <w:rPr>
          <w:rFonts w:ascii="Arial" w:hAnsi="Arial" w:cs="Arial"/>
          <w:lang w:val="ro-RO"/>
        </w:rPr>
      </w:pPr>
      <w:r w:rsidRPr="006E492C">
        <w:rPr>
          <w:rFonts w:ascii="Arial" w:hAnsi="Arial" w:cs="Arial"/>
          <w:b/>
          <w:sz w:val="22"/>
          <w:szCs w:val="22"/>
          <w:lang w:val="ro-RO"/>
        </w:rPr>
        <w:t>Tabel I.2.1.5.2.</w:t>
      </w:r>
    </w:p>
    <w:p w:rsidR="00743B28" w:rsidRPr="006E492C"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6E492C">
        <w:rPr>
          <w:rFonts w:ascii="Arial" w:hAnsi="Arial" w:cs="Arial"/>
          <w:b/>
          <w:sz w:val="22"/>
          <w:szCs w:val="22"/>
          <w:lang w:val="ro-RO"/>
        </w:rPr>
        <w:t xml:space="preserve">Emisiile de </w:t>
      </w:r>
      <w:r w:rsidRPr="006E492C">
        <w:rPr>
          <w:rFonts w:ascii="Arial" w:hAnsi="Arial" w:cs="Arial"/>
          <w:b/>
          <w:i/>
          <w:sz w:val="22"/>
          <w:szCs w:val="22"/>
          <w:lang w:val="ro-RO"/>
        </w:rPr>
        <w:t xml:space="preserve">substanţe acidifiante </w:t>
      </w:r>
      <w:r w:rsidRPr="006E492C">
        <w:rPr>
          <w:rFonts w:ascii="Arial" w:hAnsi="Arial" w:cs="Arial"/>
          <w:b/>
          <w:sz w:val="22"/>
          <w:szCs w:val="22"/>
          <w:lang w:val="ro-RO"/>
        </w:rPr>
        <w:t>din</w:t>
      </w:r>
      <w:r w:rsidRPr="006E492C">
        <w:rPr>
          <w:rFonts w:ascii="Arial" w:hAnsi="Arial" w:cs="Arial"/>
          <w:b/>
          <w:i/>
          <w:sz w:val="22"/>
          <w:szCs w:val="22"/>
          <w:lang w:val="ro-RO"/>
        </w:rPr>
        <w:t xml:space="preserve"> sectorul deşeuri </w:t>
      </w:r>
      <w:r w:rsidRPr="006E492C">
        <w:rPr>
          <w:rFonts w:ascii="Arial" w:hAnsi="Arial" w:cs="Arial"/>
          <w:b/>
          <w:sz w:val="22"/>
          <w:szCs w:val="22"/>
          <w:lang w:val="ro-RO"/>
        </w:rPr>
        <w:t xml:space="preserve">(Mg), </w:t>
      </w:r>
    </w:p>
    <w:p w:rsidR="00743B28" w:rsidRPr="006E492C" w:rsidRDefault="00743B28" w:rsidP="00755618">
      <w:pPr>
        <w:pStyle w:val="Listparagraf"/>
        <w:tabs>
          <w:tab w:val="left" w:pos="851"/>
          <w:tab w:val="left" w:pos="1134"/>
          <w:tab w:val="left" w:leader="dot" w:pos="9356"/>
        </w:tabs>
        <w:ind w:left="0"/>
        <w:jc w:val="center"/>
        <w:rPr>
          <w:b/>
          <w:bCs/>
          <w:sz w:val="20"/>
          <w:szCs w:val="20"/>
        </w:rPr>
      </w:pPr>
      <w:r w:rsidRPr="006E492C">
        <w:rPr>
          <w:rFonts w:ascii="Arial" w:hAnsi="Arial" w:cs="Arial"/>
          <w:b/>
          <w:sz w:val="22"/>
          <w:szCs w:val="22"/>
          <w:lang w:val="ro-RO"/>
        </w:rPr>
        <w:t xml:space="preserve">județul Bistrița-Năsăud, anul </w:t>
      </w:r>
      <w:r w:rsidR="005964E0" w:rsidRPr="006E492C">
        <w:rPr>
          <w:rFonts w:ascii="Arial" w:hAnsi="Arial" w:cs="Arial"/>
          <w:b/>
          <w:sz w:val="22"/>
          <w:szCs w:val="22"/>
          <w:lang w:val="ro-RO"/>
        </w:rPr>
        <w:t>2021</w:t>
      </w:r>
    </w:p>
    <w:tbl>
      <w:tblPr>
        <w:tblStyle w:val="Listcolorat-Accentuare4"/>
        <w:tblW w:w="5000" w:type="pct"/>
        <w:tblLook w:val="04A0" w:firstRow="1" w:lastRow="0" w:firstColumn="1" w:lastColumn="0" w:noHBand="0" w:noVBand="1"/>
      </w:tblPr>
      <w:tblGrid>
        <w:gridCol w:w="3395"/>
        <w:gridCol w:w="1459"/>
        <w:gridCol w:w="1476"/>
        <w:gridCol w:w="1523"/>
        <w:gridCol w:w="1501"/>
      </w:tblGrid>
      <w:tr w:rsidR="008D2A19" w:rsidRPr="008D2A19" w:rsidTr="006E492C">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74" w:type="pct"/>
            <w:shd w:val="clear" w:color="auto" w:fill="92D050"/>
            <w:noWrap/>
            <w:hideMark/>
          </w:tcPr>
          <w:p w:rsidR="00CD7F43" w:rsidRPr="008D2A19" w:rsidRDefault="00CD7F43" w:rsidP="00755618">
            <w:pPr>
              <w:jc w:val="center"/>
              <w:rPr>
                <w:rFonts w:ascii="Arial" w:eastAsia="Times New Roman" w:hAnsi="Arial" w:cs="Arial"/>
                <w:color w:val="auto"/>
                <w:sz w:val="22"/>
                <w:szCs w:val="22"/>
                <w:lang w:val="ro-RO" w:eastAsia="ro-RO"/>
              </w:rPr>
            </w:pPr>
          </w:p>
        </w:tc>
        <w:tc>
          <w:tcPr>
            <w:tcW w:w="794" w:type="pct"/>
            <w:shd w:val="clear" w:color="auto" w:fill="92D050"/>
          </w:tcPr>
          <w:p w:rsidR="00CD7F43" w:rsidRPr="008D2A19" w:rsidRDefault="00CD7F43"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p>
        </w:tc>
        <w:tc>
          <w:tcPr>
            <w:tcW w:w="794" w:type="pct"/>
            <w:shd w:val="clear" w:color="auto" w:fill="92D050"/>
            <w:noWrap/>
            <w:hideMark/>
          </w:tcPr>
          <w:p w:rsidR="00CD7F43" w:rsidRPr="008D2A19" w:rsidRDefault="00CD7F43"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8D2A19">
              <w:rPr>
                <w:rFonts w:ascii="Arial" w:eastAsia="Times New Roman" w:hAnsi="Arial" w:cs="Arial"/>
                <w:color w:val="auto"/>
                <w:sz w:val="22"/>
                <w:szCs w:val="22"/>
                <w:lang w:val="ro-RO" w:eastAsia="ro-RO"/>
              </w:rPr>
              <w:t xml:space="preserve">CO </w:t>
            </w:r>
          </w:p>
        </w:tc>
        <w:tc>
          <w:tcPr>
            <w:tcW w:w="836" w:type="pct"/>
            <w:shd w:val="clear" w:color="auto" w:fill="92D050"/>
            <w:noWrap/>
            <w:hideMark/>
          </w:tcPr>
          <w:p w:rsidR="00CD7F43" w:rsidRPr="008D2A19" w:rsidRDefault="00CD7F43"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8D2A19">
              <w:rPr>
                <w:rFonts w:ascii="Arial" w:eastAsia="Times New Roman" w:hAnsi="Arial" w:cs="Arial"/>
                <w:color w:val="auto"/>
                <w:sz w:val="22"/>
                <w:szCs w:val="22"/>
                <w:lang w:val="ro-RO" w:eastAsia="ro-RO"/>
              </w:rPr>
              <w:t xml:space="preserve">NMVOC </w:t>
            </w:r>
          </w:p>
        </w:tc>
        <w:tc>
          <w:tcPr>
            <w:tcW w:w="803" w:type="pct"/>
            <w:shd w:val="clear" w:color="auto" w:fill="92D050"/>
            <w:noWrap/>
            <w:hideMark/>
          </w:tcPr>
          <w:p w:rsidR="00CD7F43" w:rsidRPr="008D2A19" w:rsidRDefault="00CD7F43" w:rsidP="0075561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8D2A19">
              <w:rPr>
                <w:rFonts w:ascii="Arial" w:eastAsia="Times New Roman" w:hAnsi="Arial" w:cs="Arial"/>
                <w:color w:val="auto"/>
                <w:sz w:val="22"/>
                <w:szCs w:val="22"/>
                <w:lang w:val="ro-RO" w:eastAsia="ro-RO"/>
              </w:rPr>
              <w:t xml:space="preserve">NOX </w:t>
            </w:r>
          </w:p>
        </w:tc>
      </w:tr>
      <w:tr w:rsidR="006E492C" w:rsidRPr="006E492C" w:rsidTr="006E492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74" w:type="pct"/>
            <w:noWrap/>
            <w:hideMark/>
          </w:tcPr>
          <w:p w:rsidR="006E492C" w:rsidRPr="006E492C" w:rsidRDefault="006E492C" w:rsidP="006E492C">
            <w:pPr>
              <w:rPr>
                <w:rFonts w:ascii="Arial" w:eastAsia="Times New Roman" w:hAnsi="Arial" w:cs="Arial"/>
                <w:b w:val="0"/>
                <w:sz w:val="22"/>
                <w:szCs w:val="22"/>
                <w:lang w:val="ro-RO" w:eastAsia="ro-RO"/>
              </w:rPr>
            </w:pPr>
            <w:r w:rsidRPr="006E492C">
              <w:rPr>
                <w:rFonts w:ascii="Arial" w:eastAsia="Times New Roman" w:hAnsi="Arial" w:cs="Arial"/>
                <w:sz w:val="22"/>
                <w:szCs w:val="22"/>
                <w:lang w:val="ro-RO" w:eastAsia="ro-RO"/>
              </w:rPr>
              <w:t>Cantitatea (to)</w:t>
            </w:r>
          </w:p>
        </w:tc>
        <w:tc>
          <w:tcPr>
            <w:tcW w:w="794" w:type="pct"/>
          </w:tcPr>
          <w:p w:rsidR="006E492C" w:rsidRPr="005C701B" w:rsidRDefault="006E492C" w:rsidP="006E492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794" w:type="pct"/>
            <w:noWrap/>
            <w:vAlign w:val="bottom"/>
            <w:hideMark/>
          </w:tcPr>
          <w:p w:rsidR="006E492C" w:rsidRPr="005C701B" w:rsidRDefault="006E492C" w:rsidP="005C70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C701B">
              <w:rPr>
                <w:rFonts w:ascii="Arial" w:hAnsi="Arial" w:cs="Arial"/>
                <w:sz w:val="22"/>
                <w:szCs w:val="22"/>
              </w:rPr>
              <w:t>0</w:t>
            </w:r>
            <w:r w:rsidR="005C701B">
              <w:rPr>
                <w:rFonts w:ascii="Arial" w:hAnsi="Arial" w:cs="Arial"/>
                <w:sz w:val="22"/>
                <w:szCs w:val="22"/>
              </w:rPr>
              <w:t>,</w:t>
            </w:r>
            <w:r w:rsidRPr="005C701B">
              <w:rPr>
                <w:rFonts w:ascii="Arial" w:hAnsi="Arial" w:cs="Arial"/>
                <w:sz w:val="22"/>
                <w:szCs w:val="22"/>
              </w:rPr>
              <w:t>0013699</w:t>
            </w:r>
          </w:p>
        </w:tc>
        <w:tc>
          <w:tcPr>
            <w:tcW w:w="836" w:type="pct"/>
            <w:noWrap/>
            <w:vAlign w:val="bottom"/>
            <w:hideMark/>
          </w:tcPr>
          <w:p w:rsidR="006E492C" w:rsidRPr="005C701B" w:rsidRDefault="006E492C" w:rsidP="005C70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C701B">
              <w:rPr>
                <w:rFonts w:ascii="Arial" w:hAnsi="Arial" w:cs="Arial"/>
                <w:sz w:val="22"/>
                <w:szCs w:val="22"/>
              </w:rPr>
              <w:t>918</w:t>
            </w:r>
            <w:r w:rsidR="005C701B">
              <w:rPr>
                <w:rFonts w:ascii="Arial" w:hAnsi="Arial" w:cs="Arial"/>
                <w:sz w:val="22"/>
                <w:szCs w:val="22"/>
              </w:rPr>
              <w:t>,</w:t>
            </w:r>
            <w:r w:rsidRPr="005C701B">
              <w:rPr>
                <w:rFonts w:ascii="Arial" w:hAnsi="Arial" w:cs="Arial"/>
                <w:sz w:val="22"/>
                <w:szCs w:val="22"/>
              </w:rPr>
              <w:t>9138717</w:t>
            </w:r>
          </w:p>
        </w:tc>
        <w:tc>
          <w:tcPr>
            <w:tcW w:w="803" w:type="pct"/>
            <w:noWrap/>
            <w:vAlign w:val="bottom"/>
            <w:hideMark/>
          </w:tcPr>
          <w:p w:rsidR="006E492C" w:rsidRPr="005C701B" w:rsidRDefault="006E492C" w:rsidP="005C70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C701B">
              <w:rPr>
                <w:rFonts w:ascii="Arial" w:hAnsi="Arial" w:cs="Arial"/>
                <w:sz w:val="22"/>
                <w:szCs w:val="22"/>
              </w:rPr>
              <w:t>0</w:t>
            </w:r>
            <w:r w:rsidR="005C701B">
              <w:rPr>
                <w:rFonts w:ascii="Arial" w:hAnsi="Arial" w:cs="Arial"/>
                <w:sz w:val="22"/>
                <w:szCs w:val="22"/>
              </w:rPr>
              <w:t>,</w:t>
            </w:r>
            <w:r w:rsidRPr="005C701B">
              <w:rPr>
                <w:rFonts w:ascii="Arial" w:hAnsi="Arial" w:cs="Arial"/>
                <w:sz w:val="22"/>
                <w:szCs w:val="22"/>
              </w:rPr>
              <w:t>0170259</w:t>
            </w:r>
          </w:p>
        </w:tc>
      </w:tr>
      <w:tr w:rsidR="006E492C" w:rsidRPr="006E492C" w:rsidTr="006E492C">
        <w:trPr>
          <w:trHeight w:val="264"/>
        </w:trPr>
        <w:tc>
          <w:tcPr>
            <w:cnfStyle w:val="001000000000" w:firstRow="0" w:lastRow="0" w:firstColumn="1" w:lastColumn="0" w:oddVBand="0" w:evenVBand="0" w:oddHBand="0" w:evenHBand="0" w:firstRowFirstColumn="0" w:firstRowLastColumn="0" w:lastRowFirstColumn="0" w:lastRowLastColumn="0"/>
            <w:tcW w:w="1774" w:type="pct"/>
            <w:noWrap/>
            <w:hideMark/>
          </w:tcPr>
          <w:p w:rsidR="006E492C" w:rsidRPr="006E492C" w:rsidRDefault="006E492C" w:rsidP="006E492C">
            <w:pPr>
              <w:rPr>
                <w:rFonts w:ascii="Arial" w:eastAsia="Times New Roman" w:hAnsi="Arial" w:cs="Arial"/>
                <w:b w:val="0"/>
                <w:sz w:val="22"/>
                <w:szCs w:val="22"/>
                <w:lang w:val="ro-RO" w:eastAsia="ro-RO"/>
              </w:rPr>
            </w:pPr>
            <w:r w:rsidRPr="006E492C">
              <w:rPr>
                <w:rFonts w:ascii="Arial" w:eastAsia="Times New Roman" w:hAnsi="Arial" w:cs="Arial"/>
                <w:sz w:val="22"/>
                <w:szCs w:val="22"/>
                <w:lang w:val="ro-RO" w:eastAsia="ro-RO"/>
              </w:rPr>
              <w:t>ponderea din emisia totală (%)</w:t>
            </w:r>
          </w:p>
        </w:tc>
        <w:tc>
          <w:tcPr>
            <w:tcW w:w="794" w:type="pct"/>
          </w:tcPr>
          <w:p w:rsidR="006E492C" w:rsidRPr="005C701B" w:rsidRDefault="006E492C" w:rsidP="006E492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794" w:type="pct"/>
            <w:noWrap/>
            <w:vAlign w:val="bottom"/>
            <w:hideMark/>
          </w:tcPr>
          <w:p w:rsidR="006E492C" w:rsidRPr="005C701B" w:rsidRDefault="006E492C"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C701B">
              <w:rPr>
                <w:rFonts w:ascii="Arial" w:hAnsi="Arial" w:cs="Arial"/>
                <w:sz w:val="22"/>
                <w:szCs w:val="22"/>
              </w:rPr>
              <w:t>1</w:t>
            </w:r>
            <w:r w:rsidR="005C701B">
              <w:rPr>
                <w:rFonts w:ascii="Arial" w:hAnsi="Arial" w:cs="Arial"/>
                <w:sz w:val="22"/>
                <w:szCs w:val="22"/>
              </w:rPr>
              <w:t>,</w:t>
            </w:r>
            <w:r w:rsidRPr="005C701B">
              <w:rPr>
                <w:rFonts w:ascii="Arial" w:hAnsi="Arial" w:cs="Arial"/>
                <w:sz w:val="22"/>
                <w:szCs w:val="22"/>
              </w:rPr>
              <w:t>00255E-05</w:t>
            </w:r>
          </w:p>
        </w:tc>
        <w:tc>
          <w:tcPr>
            <w:tcW w:w="836" w:type="pct"/>
            <w:noWrap/>
            <w:vAlign w:val="bottom"/>
            <w:hideMark/>
          </w:tcPr>
          <w:p w:rsidR="006E492C" w:rsidRPr="005C701B" w:rsidRDefault="006E492C"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C701B">
              <w:rPr>
                <w:rFonts w:ascii="Arial" w:hAnsi="Arial" w:cs="Arial"/>
                <w:sz w:val="22"/>
                <w:szCs w:val="22"/>
              </w:rPr>
              <w:t>23</w:t>
            </w:r>
            <w:r w:rsidR="005C701B">
              <w:rPr>
                <w:rFonts w:ascii="Arial" w:hAnsi="Arial" w:cs="Arial"/>
                <w:sz w:val="22"/>
                <w:szCs w:val="22"/>
              </w:rPr>
              <w:t>,</w:t>
            </w:r>
            <w:r w:rsidRPr="005C701B">
              <w:rPr>
                <w:rFonts w:ascii="Arial" w:hAnsi="Arial" w:cs="Arial"/>
                <w:sz w:val="22"/>
                <w:szCs w:val="22"/>
              </w:rPr>
              <w:t>04001951</w:t>
            </w:r>
          </w:p>
        </w:tc>
        <w:tc>
          <w:tcPr>
            <w:tcW w:w="803" w:type="pct"/>
            <w:noWrap/>
            <w:vAlign w:val="bottom"/>
            <w:hideMark/>
          </w:tcPr>
          <w:p w:rsidR="006E492C" w:rsidRPr="005C701B" w:rsidRDefault="006E492C"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C701B">
              <w:rPr>
                <w:rFonts w:ascii="Arial" w:hAnsi="Arial" w:cs="Arial"/>
                <w:sz w:val="22"/>
                <w:szCs w:val="22"/>
              </w:rPr>
              <w:t>0</w:t>
            </w:r>
            <w:r w:rsidR="005C701B">
              <w:rPr>
                <w:rFonts w:ascii="Arial" w:hAnsi="Arial" w:cs="Arial"/>
                <w:sz w:val="22"/>
                <w:szCs w:val="22"/>
              </w:rPr>
              <w:t>,</w:t>
            </w:r>
            <w:r w:rsidRPr="005C701B">
              <w:rPr>
                <w:rFonts w:ascii="Arial" w:hAnsi="Arial" w:cs="Arial"/>
                <w:sz w:val="22"/>
                <w:szCs w:val="22"/>
              </w:rPr>
              <w:t>000876572</w:t>
            </w:r>
          </w:p>
        </w:tc>
      </w:tr>
    </w:tbl>
    <w:p w:rsidR="00743B28" w:rsidRPr="006E492C" w:rsidRDefault="00743B28" w:rsidP="00755618">
      <w:pPr>
        <w:tabs>
          <w:tab w:val="left" w:pos="851"/>
        </w:tabs>
        <w:jc w:val="center"/>
        <w:rPr>
          <w:rFonts w:ascii="Arial" w:hAnsi="Arial" w:cs="Arial"/>
          <w:lang w:val="ro-RO"/>
        </w:rPr>
      </w:pPr>
      <w:r w:rsidRPr="006E492C">
        <w:rPr>
          <w:rFonts w:ascii="Arial" w:hAnsi="Arial" w:cs="Arial"/>
          <w:sz w:val="20"/>
          <w:szCs w:val="20"/>
          <w:lang w:val="ro-RO"/>
        </w:rPr>
        <w:t>Sursa: Agenţia pentru Protecţia Mediului Bistriţa-Năsăud</w:t>
      </w:r>
    </w:p>
    <w:p w:rsidR="00743B28" w:rsidRPr="006E492C" w:rsidRDefault="00743B28" w:rsidP="00755618">
      <w:pPr>
        <w:pStyle w:val="Listparagraf"/>
        <w:tabs>
          <w:tab w:val="left" w:pos="851"/>
          <w:tab w:val="left" w:pos="1134"/>
          <w:tab w:val="left" w:leader="dot" w:pos="9356"/>
        </w:tabs>
        <w:ind w:left="0"/>
        <w:rPr>
          <w:rFonts w:ascii="Arial" w:hAnsi="Arial" w:cs="Arial"/>
          <w:lang w:val="ro-RO"/>
        </w:rPr>
      </w:pPr>
    </w:p>
    <w:p w:rsidR="00743B28" w:rsidRPr="005C701B" w:rsidRDefault="00743B28" w:rsidP="000131CC">
      <w:pPr>
        <w:pStyle w:val="Listparagraf"/>
        <w:numPr>
          <w:ilvl w:val="0"/>
          <w:numId w:val="26"/>
        </w:numPr>
        <w:tabs>
          <w:tab w:val="left" w:pos="851"/>
          <w:tab w:val="left" w:pos="1134"/>
          <w:tab w:val="left" w:leader="dot" w:pos="9356"/>
        </w:tabs>
        <w:ind w:left="0" w:firstLine="0"/>
        <w:jc w:val="center"/>
        <w:rPr>
          <w:rFonts w:ascii="Arial" w:hAnsi="Arial" w:cs="Arial"/>
          <w:b/>
          <w:sz w:val="22"/>
          <w:szCs w:val="22"/>
          <w:lang w:val="ro-RO"/>
        </w:rPr>
      </w:pPr>
      <w:r w:rsidRPr="005C701B">
        <w:rPr>
          <w:rFonts w:ascii="Arial" w:hAnsi="Arial" w:cs="Arial"/>
          <w:b/>
          <w:u w:val="single"/>
          <w:lang w:val="ro-RO"/>
        </w:rPr>
        <w:t xml:space="preserve">Emisiile de particule primare și precursori secundari de particule </w:t>
      </w:r>
    </w:p>
    <w:p w:rsidR="005C701B" w:rsidRPr="005C701B" w:rsidRDefault="005C701B" w:rsidP="005C701B">
      <w:pPr>
        <w:pStyle w:val="Listparagraf"/>
        <w:tabs>
          <w:tab w:val="left" w:pos="851"/>
          <w:tab w:val="left" w:pos="1134"/>
          <w:tab w:val="left" w:leader="dot" w:pos="9356"/>
        </w:tabs>
        <w:ind w:left="0"/>
        <w:rPr>
          <w:rFonts w:ascii="Arial" w:hAnsi="Arial" w:cs="Arial"/>
          <w:b/>
          <w:sz w:val="22"/>
          <w:szCs w:val="22"/>
          <w:lang w:val="ro-RO"/>
        </w:rPr>
      </w:pPr>
    </w:p>
    <w:p w:rsidR="00743B28" w:rsidRPr="005C701B" w:rsidRDefault="00743B28" w:rsidP="00755618">
      <w:pPr>
        <w:pStyle w:val="Listparagraf"/>
        <w:tabs>
          <w:tab w:val="left" w:pos="851"/>
          <w:tab w:val="left" w:pos="1134"/>
          <w:tab w:val="left" w:leader="dot" w:pos="9356"/>
        </w:tabs>
        <w:ind w:left="0"/>
        <w:jc w:val="center"/>
        <w:rPr>
          <w:rFonts w:ascii="Arial" w:hAnsi="Arial" w:cs="Arial"/>
          <w:lang w:val="ro-RO"/>
        </w:rPr>
      </w:pPr>
      <w:r w:rsidRPr="005C701B">
        <w:rPr>
          <w:rFonts w:ascii="Arial" w:hAnsi="Arial" w:cs="Arial"/>
          <w:b/>
          <w:sz w:val="22"/>
          <w:szCs w:val="22"/>
          <w:lang w:val="ro-RO"/>
        </w:rPr>
        <w:t>Tabel I.2.1.5.3.</w:t>
      </w:r>
    </w:p>
    <w:p w:rsidR="00743B28" w:rsidRPr="005C701B" w:rsidRDefault="00743B28" w:rsidP="00755618">
      <w:pPr>
        <w:pStyle w:val="Listparagraf"/>
        <w:tabs>
          <w:tab w:val="left" w:pos="851"/>
          <w:tab w:val="left" w:pos="1134"/>
          <w:tab w:val="left" w:leader="dot" w:pos="9356"/>
        </w:tabs>
        <w:ind w:left="0"/>
        <w:jc w:val="center"/>
        <w:rPr>
          <w:b/>
          <w:bCs/>
          <w:sz w:val="20"/>
          <w:szCs w:val="20"/>
        </w:rPr>
      </w:pPr>
      <w:r w:rsidRPr="005C701B">
        <w:rPr>
          <w:rFonts w:ascii="Arial" w:hAnsi="Arial" w:cs="Arial"/>
          <w:b/>
          <w:sz w:val="22"/>
          <w:szCs w:val="22"/>
          <w:lang w:val="ro-RO"/>
        </w:rPr>
        <w:t xml:space="preserve">Emisiile de </w:t>
      </w:r>
      <w:r w:rsidRPr="005C701B">
        <w:rPr>
          <w:rFonts w:ascii="Arial" w:hAnsi="Arial" w:cs="Arial"/>
          <w:b/>
          <w:i/>
          <w:sz w:val="22"/>
          <w:szCs w:val="22"/>
          <w:lang w:val="ro-RO"/>
        </w:rPr>
        <w:t>particule primare şi precursori secundari de particule provenite din sectorul deşeuri</w:t>
      </w:r>
      <w:r w:rsidRPr="005C701B">
        <w:rPr>
          <w:rFonts w:ascii="Arial" w:hAnsi="Arial" w:cs="Arial"/>
          <w:b/>
          <w:sz w:val="22"/>
          <w:szCs w:val="22"/>
          <w:lang w:val="ro-RO"/>
        </w:rPr>
        <w:t xml:space="preserve">, județul Bistrița-Năsăud, anul </w:t>
      </w:r>
      <w:r w:rsidR="005964E0" w:rsidRPr="005C701B">
        <w:rPr>
          <w:rFonts w:ascii="Arial" w:hAnsi="Arial" w:cs="Arial"/>
          <w:b/>
          <w:sz w:val="22"/>
          <w:szCs w:val="22"/>
          <w:lang w:val="ro-RO"/>
        </w:rPr>
        <w:t>2021</w:t>
      </w:r>
    </w:p>
    <w:tbl>
      <w:tblPr>
        <w:tblStyle w:val="Listcolorat-Accentuare4"/>
        <w:tblW w:w="5000" w:type="pct"/>
        <w:tblLook w:val="04A0" w:firstRow="1" w:lastRow="0" w:firstColumn="1" w:lastColumn="0" w:noHBand="0" w:noVBand="1"/>
      </w:tblPr>
      <w:tblGrid>
        <w:gridCol w:w="3407"/>
        <w:gridCol w:w="1461"/>
        <w:gridCol w:w="1343"/>
        <w:gridCol w:w="1500"/>
        <w:gridCol w:w="1643"/>
      </w:tblGrid>
      <w:tr w:rsidR="008D2A19" w:rsidRPr="008D2A19" w:rsidTr="00743B2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21" w:type="pct"/>
            <w:shd w:val="clear" w:color="auto" w:fill="92D050"/>
            <w:noWrap/>
            <w:hideMark/>
          </w:tcPr>
          <w:p w:rsidR="00743B28" w:rsidRPr="008D2A19" w:rsidRDefault="00743B28" w:rsidP="00755618">
            <w:pPr>
              <w:jc w:val="center"/>
              <w:rPr>
                <w:rFonts w:ascii="Arial" w:eastAsia="Times New Roman" w:hAnsi="Arial" w:cs="Arial"/>
                <w:color w:val="auto"/>
                <w:sz w:val="22"/>
                <w:szCs w:val="22"/>
                <w:lang w:val="ro-RO" w:eastAsia="ro-RO"/>
              </w:rPr>
            </w:pPr>
            <w:r w:rsidRPr="008D2A19">
              <w:rPr>
                <w:rFonts w:ascii="Arial" w:eastAsia="Times New Roman" w:hAnsi="Arial" w:cs="Arial"/>
                <w:color w:val="auto"/>
                <w:sz w:val="22"/>
                <w:szCs w:val="22"/>
                <w:lang w:val="ro-RO" w:eastAsia="ro-RO"/>
              </w:rPr>
              <w:t> </w:t>
            </w:r>
          </w:p>
        </w:tc>
        <w:tc>
          <w:tcPr>
            <w:tcW w:w="781" w:type="pct"/>
            <w:shd w:val="clear" w:color="auto" w:fill="92D050"/>
            <w:noWrap/>
            <w:hideMark/>
          </w:tcPr>
          <w:p w:rsidR="00743B28" w:rsidRPr="008D2A19" w:rsidRDefault="00743B28" w:rsidP="00CD7F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8D2A19">
              <w:rPr>
                <w:rFonts w:ascii="Arial" w:eastAsia="Times New Roman" w:hAnsi="Arial" w:cs="Arial"/>
                <w:color w:val="auto"/>
                <w:sz w:val="22"/>
                <w:szCs w:val="22"/>
                <w:lang w:val="ro-RO" w:eastAsia="ro-RO"/>
              </w:rPr>
              <w:t xml:space="preserve">NOX </w:t>
            </w:r>
          </w:p>
        </w:tc>
        <w:tc>
          <w:tcPr>
            <w:tcW w:w="718" w:type="pct"/>
            <w:shd w:val="clear" w:color="auto" w:fill="92D050"/>
            <w:noWrap/>
            <w:hideMark/>
          </w:tcPr>
          <w:p w:rsidR="00743B28" w:rsidRPr="008D2A19" w:rsidRDefault="00743B28" w:rsidP="006E492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8D2A19">
              <w:rPr>
                <w:rFonts w:ascii="Arial" w:eastAsia="Times New Roman" w:hAnsi="Arial" w:cs="Arial"/>
                <w:color w:val="auto"/>
                <w:sz w:val="22"/>
                <w:szCs w:val="22"/>
                <w:lang w:val="ro-RO" w:eastAsia="ro-RO"/>
              </w:rPr>
              <w:t>SO</w:t>
            </w:r>
            <w:r w:rsidR="006E492C" w:rsidRPr="008D2A19">
              <w:rPr>
                <w:rFonts w:ascii="Arial" w:eastAsia="Times New Roman" w:hAnsi="Arial" w:cs="Arial"/>
                <w:color w:val="auto"/>
                <w:sz w:val="22"/>
                <w:szCs w:val="22"/>
                <w:lang w:val="ro-RO" w:eastAsia="ro-RO"/>
              </w:rPr>
              <w:t>x</w:t>
            </w:r>
            <w:r w:rsidRPr="008D2A19">
              <w:rPr>
                <w:rFonts w:ascii="Arial" w:eastAsia="Times New Roman" w:hAnsi="Arial" w:cs="Arial"/>
                <w:color w:val="auto"/>
                <w:sz w:val="22"/>
                <w:szCs w:val="22"/>
                <w:lang w:val="ro-RO" w:eastAsia="ro-RO"/>
              </w:rPr>
              <w:t xml:space="preserve"> </w:t>
            </w:r>
          </w:p>
        </w:tc>
        <w:tc>
          <w:tcPr>
            <w:tcW w:w="802" w:type="pct"/>
            <w:shd w:val="clear" w:color="auto" w:fill="92D050"/>
            <w:noWrap/>
            <w:hideMark/>
          </w:tcPr>
          <w:p w:rsidR="00743B28" w:rsidRPr="008D2A19" w:rsidRDefault="00743B28" w:rsidP="00CD7F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8D2A19">
              <w:rPr>
                <w:rFonts w:ascii="Arial" w:eastAsia="Times New Roman" w:hAnsi="Arial" w:cs="Arial"/>
                <w:color w:val="auto"/>
                <w:sz w:val="22"/>
                <w:szCs w:val="22"/>
                <w:lang w:val="ro-RO" w:eastAsia="ro-RO"/>
              </w:rPr>
              <w:t xml:space="preserve">PM10 </w:t>
            </w:r>
          </w:p>
        </w:tc>
        <w:tc>
          <w:tcPr>
            <w:tcW w:w="878" w:type="pct"/>
            <w:shd w:val="clear" w:color="auto" w:fill="92D050"/>
            <w:noWrap/>
            <w:hideMark/>
          </w:tcPr>
          <w:p w:rsidR="00743B28" w:rsidRPr="008D2A19" w:rsidRDefault="00743B28" w:rsidP="00CD7F4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lang w:val="ro-RO" w:eastAsia="ro-RO"/>
              </w:rPr>
            </w:pPr>
            <w:r w:rsidRPr="008D2A19">
              <w:rPr>
                <w:rFonts w:ascii="Arial" w:eastAsia="Times New Roman" w:hAnsi="Arial" w:cs="Arial"/>
                <w:color w:val="auto"/>
                <w:sz w:val="22"/>
                <w:szCs w:val="22"/>
                <w:lang w:val="ro-RO" w:eastAsia="ro-RO"/>
              </w:rPr>
              <w:t xml:space="preserve">PM 2,5 </w:t>
            </w:r>
          </w:p>
        </w:tc>
      </w:tr>
      <w:tr w:rsidR="005C701B" w:rsidRPr="005C701B" w:rsidTr="00743B2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21" w:type="pct"/>
            <w:noWrap/>
            <w:hideMark/>
          </w:tcPr>
          <w:p w:rsidR="005C701B" w:rsidRPr="005C701B" w:rsidRDefault="005C701B" w:rsidP="005C701B">
            <w:pPr>
              <w:rPr>
                <w:rFonts w:ascii="Arial" w:eastAsia="Times New Roman" w:hAnsi="Arial" w:cs="Arial"/>
                <w:b w:val="0"/>
                <w:sz w:val="22"/>
                <w:szCs w:val="22"/>
                <w:lang w:val="ro-RO" w:eastAsia="ro-RO"/>
              </w:rPr>
            </w:pPr>
            <w:r w:rsidRPr="005C701B">
              <w:rPr>
                <w:rFonts w:ascii="Arial" w:eastAsia="Times New Roman" w:hAnsi="Arial" w:cs="Arial"/>
                <w:sz w:val="22"/>
                <w:szCs w:val="22"/>
                <w:lang w:val="ro-RO" w:eastAsia="ro-RO"/>
              </w:rPr>
              <w:t>cantitatea (Kg)</w:t>
            </w:r>
          </w:p>
        </w:tc>
        <w:tc>
          <w:tcPr>
            <w:tcW w:w="781" w:type="pct"/>
            <w:noWrap/>
            <w:vAlign w:val="bottom"/>
            <w:hideMark/>
          </w:tcPr>
          <w:p w:rsidR="005C701B" w:rsidRPr="005C701B"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C701B">
              <w:rPr>
                <w:rFonts w:ascii="Arial" w:hAnsi="Arial" w:cs="Arial"/>
                <w:sz w:val="22"/>
                <w:szCs w:val="22"/>
              </w:rPr>
              <w:t>17</w:t>
            </w:r>
            <w:r>
              <w:rPr>
                <w:rFonts w:ascii="Arial" w:hAnsi="Arial" w:cs="Arial"/>
                <w:sz w:val="22"/>
                <w:szCs w:val="22"/>
              </w:rPr>
              <w:t>,</w:t>
            </w:r>
            <w:r w:rsidRPr="005C701B">
              <w:rPr>
                <w:rFonts w:ascii="Arial" w:hAnsi="Arial" w:cs="Arial"/>
                <w:sz w:val="22"/>
                <w:szCs w:val="22"/>
              </w:rPr>
              <w:t>0259</w:t>
            </w:r>
          </w:p>
        </w:tc>
        <w:tc>
          <w:tcPr>
            <w:tcW w:w="718" w:type="pct"/>
            <w:noWrap/>
            <w:vAlign w:val="bottom"/>
            <w:hideMark/>
          </w:tcPr>
          <w:p w:rsidR="005C701B" w:rsidRPr="005C701B"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19,5079</w:t>
            </w:r>
          </w:p>
        </w:tc>
        <w:tc>
          <w:tcPr>
            <w:tcW w:w="802" w:type="pct"/>
            <w:noWrap/>
            <w:vAlign w:val="bottom"/>
            <w:hideMark/>
          </w:tcPr>
          <w:p w:rsidR="005C701B" w:rsidRPr="005C701B"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5C701B">
              <w:rPr>
                <w:rFonts w:ascii="Arial" w:hAnsi="Arial" w:cs="Arial"/>
                <w:bCs/>
                <w:sz w:val="22"/>
                <w:szCs w:val="22"/>
              </w:rPr>
              <w:t>129,0793</w:t>
            </w:r>
          </w:p>
        </w:tc>
        <w:tc>
          <w:tcPr>
            <w:tcW w:w="878" w:type="pct"/>
            <w:noWrap/>
            <w:vAlign w:val="bottom"/>
            <w:hideMark/>
          </w:tcPr>
          <w:p w:rsidR="005C701B" w:rsidRPr="005C701B"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5C701B">
              <w:rPr>
                <w:rFonts w:ascii="Arial" w:hAnsi="Arial" w:cs="Arial"/>
                <w:bCs/>
                <w:sz w:val="22"/>
                <w:szCs w:val="22"/>
              </w:rPr>
              <w:t>19,5079</w:t>
            </w:r>
          </w:p>
        </w:tc>
      </w:tr>
      <w:tr w:rsidR="005C701B" w:rsidRPr="005C701B" w:rsidTr="00743B28">
        <w:trPr>
          <w:trHeight w:val="276"/>
        </w:trPr>
        <w:tc>
          <w:tcPr>
            <w:cnfStyle w:val="001000000000" w:firstRow="0" w:lastRow="0" w:firstColumn="1" w:lastColumn="0" w:oddVBand="0" w:evenVBand="0" w:oddHBand="0" w:evenHBand="0" w:firstRowFirstColumn="0" w:firstRowLastColumn="0" w:lastRowFirstColumn="0" w:lastRowLastColumn="0"/>
            <w:tcW w:w="1821" w:type="pct"/>
            <w:noWrap/>
            <w:hideMark/>
          </w:tcPr>
          <w:p w:rsidR="00743B28" w:rsidRPr="005C701B" w:rsidRDefault="00743B28" w:rsidP="00755618">
            <w:pPr>
              <w:rPr>
                <w:rFonts w:ascii="Arial" w:eastAsia="Times New Roman" w:hAnsi="Arial" w:cs="Arial"/>
                <w:b w:val="0"/>
                <w:sz w:val="22"/>
                <w:szCs w:val="22"/>
                <w:lang w:val="ro-RO" w:eastAsia="ro-RO"/>
              </w:rPr>
            </w:pPr>
            <w:r w:rsidRPr="005C701B">
              <w:rPr>
                <w:rFonts w:ascii="Arial" w:eastAsia="Times New Roman" w:hAnsi="Arial" w:cs="Arial"/>
                <w:sz w:val="22"/>
                <w:szCs w:val="22"/>
                <w:lang w:val="ro-RO" w:eastAsia="ro-RO"/>
              </w:rPr>
              <w:t>pondere din emisia totală %</w:t>
            </w:r>
          </w:p>
        </w:tc>
        <w:tc>
          <w:tcPr>
            <w:tcW w:w="781" w:type="pct"/>
            <w:noWrap/>
            <w:vAlign w:val="bottom"/>
            <w:hideMark/>
          </w:tcPr>
          <w:p w:rsidR="00743B28" w:rsidRPr="005C701B" w:rsidRDefault="00743B28"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C701B">
              <w:rPr>
                <w:rFonts w:ascii="Arial" w:hAnsi="Arial" w:cs="Arial"/>
                <w:sz w:val="22"/>
                <w:szCs w:val="22"/>
              </w:rPr>
              <w:t>0,00</w:t>
            </w:r>
            <w:r w:rsidR="005C701B" w:rsidRPr="005C701B">
              <w:rPr>
                <w:rFonts w:ascii="Arial" w:hAnsi="Arial" w:cs="Arial"/>
                <w:sz w:val="22"/>
                <w:szCs w:val="22"/>
              </w:rPr>
              <w:t>09</w:t>
            </w:r>
          </w:p>
        </w:tc>
        <w:tc>
          <w:tcPr>
            <w:tcW w:w="718" w:type="pct"/>
            <w:noWrap/>
            <w:vAlign w:val="bottom"/>
            <w:hideMark/>
          </w:tcPr>
          <w:p w:rsidR="00743B28" w:rsidRPr="005C701B" w:rsidRDefault="00743B28"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C701B">
              <w:rPr>
                <w:rFonts w:ascii="Arial" w:hAnsi="Arial" w:cs="Arial"/>
                <w:sz w:val="22"/>
                <w:szCs w:val="22"/>
              </w:rPr>
              <w:t>0,</w:t>
            </w:r>
            <w:r w:rsidR="005C701B" w:rsidRPr="005C701B">
              <w:rPr>
                <w:rFonts w:ascii="Arial" w:hAnsi="Arial" w:cs="Arial"/>
                <w:sz w:val="22"/>
                <w:szCs w:val="22"/>
              </w:rPr>
              <w:t>0023</w:t>
            </w:r>
          </w:p>
        </w:tc>
        <w:tc>
          <w:tcPr>
            <w:tcW w:w="802" w:type="pct"/>
            <w:noWrap/>
            <w:vAlign w:val="bottom"/>
            <w:hideMark/>
          </w:tcPr>
          <w:p w:rsidR="00743B28" w:rsidRPr="005C701B" w:rsidRDefault="00743B28"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C701B">
              <w:rPr>
                <w:rFonts w:ascii="Arial" w:hAnsi="Arial" w:cs="Arial"/>
                <w:sz w:val="22"/>
                <w:szCs w:val="22"/>
              </w:rPr>
              <w:t>0,0</w:t>
            </w:r>
            <w:r w:rsidR="005C701B" w:rsidRPr="005C701B">
              <w:rPr>
                <w:rFonts w:ascii="Arial" w:hAnsi="Arial" w:cs="Arial"/>
                <w:sz w:val="22"/>
                <w:szCs w:val="22"/>
              </w:rPr>
              <w:t>029</w:t>
            </w:r>
          </w:p>
        </w:tc>
        <w:tc>
          <w:tcPr>
            <w:tcW w:w="878" w:type="pct"/>
            <w:noWrap/>
            <w:vAlign w:val="bottom"/>
            <w:hideMark/>
          </w:tcPr>
          <w:p w:rsidR="00743B28" w:rsidRPr="005C701B" w:rsidRDefault="00743B28"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C701B">
              <w:rPr>
                <w:rFonts w:ascii="Arial" w:hAnsi="Arial" w:cs="Arial"/>
                <w:sz w:val="22"/>
                <w:szCs w:val="22"/>
              </w:rPr>
              <w:t>0,00</w:t>
            </w:r>
            <w:r w:rsidR="005C701B" w:rsidRPr="005C701B">
              <w:rPr>
                <w:rFonts w:ascii="Arial" w:hAnsi="Arial" w:cs="Arial"/>
                <w:sz w:val="22"/>
                <w:szCs w:val="22"/>
              </w:rPr>
              <w:t>08</w:t>
            </w:r>
          </w:p>
        </w:tc>
      </w:tr>
    </w:tbl>
    <w:p w:rsidR="00743B28" w:rsidRPr="005C701B" w:rsidRDefault="00743B28" w:rsidP="00755618">
      <w:pPr>
        <w:tabs>
          <w:tab w:val="left" w:pos="851"/>
        </w:tabs>
        <w:jc w:val="center"/>
        <w:rPr>
          <w:rFonts w:ascii="Arial" w:hAnsi="Arial" w:cs="Arial"/>
          <w:lang w:val="ro-RO"/>
        </w:rPr>
      </w:pPr>
      <w:r w:rsidRPr="005C701B">
        <w:rPr>
          <w:rFonts w:ascii="Arial" w:hAnsi="Arial" w:cs="Arial"/>
          <w:sz w:val="20"/>
          <w:szCs w:val="20"/>
          <w:lang w:val="ro-RO"/>
        </w:rPr>
        <w:t>Sursa: Agenţia pentru Protecţia Mediului Bistriţa-Năsăud</w:t>
      </w:r>
    </w:p>
    <w:p w:rsidR="00743B28" w:rsidRPr="006B01A5" w:rsidRDefault="00743B28" w:rsidP="00755618">
      <w:pPr>
        <w:pStyle w:val="Listparagraf"/>
        <w:tabs>
          <w:tab w:val="left" w:pos="851"/>
          <w:tab w:val="left" w:pos="1134"/>
          <w:tab w:val="left" w:leader="dot" w:pos="9356"/>
        </w:tabs>
        <w:ind w:left="0"/>
        <w:rPr>
          <w:rFonts w:ascii="Arial" w:hAnsi="Arial" w:cs="Arial"/>
          <w:color w:val="FF0000"/>
          <w:u w:val="single"/>
          <w:lang w:val="ro-RO"/>
        </w:rPr>
      </w:pPr>
    </w:p>
    <w:p w:rsidR="00743B28" w:rsidRPr="005C701B" w:rsidRDefault="00743B28" w:rsidP="00755618">
      <w:pPr>
        <w:pStyle w:val="Listparagraf"/>
        <w:numPr>
          <w:ilvl w:val="0"/>
          <w:numId w:val="26"/>
        </w:numPr>
        <w:tabs>
          <w:tab w:val="left" w:pos="851"/>
          <w:tab w:val="left" w:pos="1134"/>
          <w:tab w:val="left" w:leader="dot" w:pos="9356"/>
        </w:tabs>
        <w:ind w:left="0" w:firstLine="0"/>
        <w:rPr>
          <w:rFonts w:ascii="Arial" w:hAnsi="Arial" w:cs="Arial"/>
          <w:b/>
          <w:u w:val="single"/>
          <w:lang w:val="ro-RO"/>
        </w:rPr>
      </w:pPr>
      <w:r w:rsidRPr="005C701B">
        <w:rPr>
          <w:rFonts w:ascii="Arial" w:hAnsi="Arial" w:cs="Arial"/>
          <w:b/>
          <w:u w:val="single"/>
          <w:lang w:val="ro-RO"/>
        </w:rPr>
        <w:t xml:space="preserve">Emisiile de metale grele </w:t>
      </w:r>
    </w:p>
    <w:p w:rsidR="00743B28" w:rsidRPr="005C701B" w:rsidRDefault="00743B28" w:rsidP="00755618">
      <w:pPr>
        <w:ind w:firstLine="851"/>
        <w:jc w:val="both"/>
        <w:rPr>
          <w:rFonts w:ascii="Arial" w:hAnsi="Arial" w:cs="Arial"/>
          <w:lang w:val="ro-RO"/>
        </w:rPr>
      </w:pPr>
    </w:p>
    <w:p w:rsidR="00743B28" w:rsidRPr="005C701B" w:rsidRDefault="00743B28" w:rsidP="00755618">
      <w:pPr>
        <w:pStyle w:val="Listparagraf"/>
        <w:tabs>
          <w:tab w:val="left" w:pos="851"/>
          <w:tab w:val="left" w:pos="1134"/>
          <w:tab w:val="left" w:leader="dot" w:pos="9356"/>
        </w:tabs>
        <w:ind w:left="0"/>
        <w:jc w:val="center"/>
        <w:rPr>
          <w:rFonts w:ascii="Arial" w:hAnsi="Arial" w:cs="Arial"/>
          <w:lang w:val="ro-RO"/>
        </w:rPr>
      </w:pPr>
      <w:r w:rsidRPr="005C701B">
        <w:rPr>
          <w:rFonts w:ascii="Arial" w:hAnsi="Arial" w:cs="Arial"/>
          <w:b/>
          <w:sz w:val="22"/>
          <w:szCs w:val="22"/>
          <w:lang w:val="ro-RO"/>
        </w:rPr>
        <w:t>Tabel I.2.1.5.4</w:t>
      </w:r>
    </w:p>
    <w:p w:rsidR="00743B28" w:rsidRPr="005C701B"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5C701B">
        <w:rPr>
          <w:rFonts w:ascii="Arial" w:hAnsi="Arial" w:cs="Arial"/>
          <w:b/>
          <w:sz w:val="22"/>
          <w:szCs w:val="22"/>
          <w:lang w:val="ro-RO"/>
        </w:rPr>
        <w:t xml:space="preserve">Emisiile de </w:t>
      </w:r>
      <w:r w:rsidRPr="005C701B">
        <w:rPr>
          <w:rFonts w:ascii="Arial" w:hAnsi="Arial" w:cs="Arial"/>
          <w:b/>
          <w:i/>
          <w:sz w:val="22"/>
          <w:szCs w:val="22"/>
          <w:lang w:val="ro-RO"/>
        </w:rPr>
        <w:t>metale grele provenite din sectorul deşeuri</w:t>
      </w:r>
      <w:r w:rsidRPr="005C701B">
        <w:rPr>
          <w:rFonts w:ascii="Arial" w:hAnsi="Arial" w:cs="Arial"/>
          <w:b/>
          <w:sz w:val="22"/>
          <w:szCs w:val="22"/>
          <w:lang w:val="ro-RO"/>
        </w:rPr>
        <w:t xml:space="preserve">, </w:t>
      </w:r>
    </w:p>
    <w:p w:rsidR="00743B28" w:rsidRPr="005C701B" w:rsidRDefault="00743B28" w:rsidP="00755618">
      <w:pPr>
        <w:pStyle w:val="Listparagraf"/>
        <w:tabs>
          <w:tab w:val="left" w:pos="851"/>
          <w:tab w:val="left" w:pos="1134"/>
          <w:tab w:val="left" w:leader="dot" w:pos="9356"/>
        </w:tabs>
        <w:ind w:left="0"/>
        <w:jc w:val="center"/>
        <w:rPr>
          <w:b/>
          <w:bCs/>
          <w:sz w:val="20"/>
          <w:szCs w:val="20"/>
        </w:rPr>
      </w:pPr>
      <w:r w:rsidRPr="005C701B">
        <w:rPr>
          <w:rFonts w:ascii="Arial" w:hAnsi="Arial" w:cs="Arial"/>
          <w:b/>
          <w:sz w:val="22"/>
          <w:szCs w:val="22"/>
          <w:lang w:val="ro-RO"/>
        </w:rPr>
        <w:t xml:space="preserve">județul Bistrița-Năsăud, anul </w:t>
      </w:r>
      <w:r w:rsidR="005964E0" w:rsidRPr="005C701B">
        <w:rPr>
          <w:rFonts w:ascii="Arial" w:hAnsi="Arial" w:cs="Arial"/>
          <w:b/>
          <w:sz w:val="22"/>
          <w:szCs w:val="22"/>
          <w:lang w:val="ro-RO"/>
        </w:rPr>
        <w:t>2021</w:t>
      </w:r>
    </w:p>
    <w:tbl>
      <w:tblPr>
        <w:tblStyle w:val="Listcolorat-Accentuare4"/>
        <w:tblW w:w="5000" w:type="pct"/>
        <w:tblLook w:val="04A0" w:firstRow="1" w:lastRow="0" w:firstColumn="1" w:lastColumn="0" w:noHBand="0" w:noVBand="1"/>
      </w:tblPr>
      <w:tblGrid>
        <w:gridCol w:w="3542"/>
        <w:gridCol w:w="1300"/>
        <w:gridCol w:w="1403"/>
        <w:gridCol w:w="1706"/>
        <w:gridCol w:w="1403"/>
      </w:tblGrid>
      <w:tr w:rsidR="008D2A19" w:rsidRPr="008D2A19" w:rsidTr="005C701B">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93" w:type="pct"/>
            <w:hideMark/>
          </w:tcPr>
          <w:p w:rsidR="005C701B" w:rsidRPr="008D2A19" w:rsidRDefault="005C701B" w:rsidP="005C701B">
            <w:pPr>
              <w:rPr>
                <w:rFonts w:ascii="Arial" w:eastAsia="Times New Roman" w:hAnsi="Arial" w:cs="Arial"/>
                <w:color w:val="auto"/>
                <w:sz w:val="20"/>
                <w:szCs w:val="20"/>
                <w:lang w:val="ro-RO" w:eastAsia="ro-RO"/>
              </w:rPr>
            </w:pPr>
            <w:r w:rsidRPr="008D2A19">
              <w:rPr>
                <w:rFonts w:ascii="Arial" w:eastAsia="Times New Roman" w:hAnsi="Arial" w:cs="Arial"/>
                <w:color w:val="auto"/>
                <w:sz w:val="20"/>
                <w:szCs w:val="20"/>
                <w:lang w:val="ro-RO" w:eastAsia="ro-RO"/>
              </w:rPr>
              <w:t> </w:t>
            </w:r>
          </w:p>
        </w:tc>
        <w:tc>
          <w:tcPr>
            <w:tcW w:w="695" w:type="pct"/>
            <w:hideMark/>
          </w:tcPr>
          <w:p w:rsidR="005C701B" w:rsidRPr="008D2A19" w:rsidRDefault="005C701B" w:rsidP="005C701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8D2A19">
              <w:rPr>
                <w:rFonts w:ascii="Arial" w:hAnsi="Arial" w:cs="Arial"/>
                <w:color w:val="auto"/>
                <w:sz w:val="20"/>
                <w:szCs w:val="20"/>
              </w:rPr>
              <w:t>arsen</w:t>
            </w:r>
          </w:p>
        </w:tc>
        <w:tc>
          <w:tcPr>
            <w:tcW w:w="750" w:type="pct"/>
          </w:tcPr>
          <w:p w:rsidR="005C701B" w:rsidRPr="008D2A19" w:rsidRDefault="005C701B" w:rsidP="005C701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8D2A19">
              <w:rPr>
                <w:rFonts w:ascii="Arial" w:eastAsia="Times New Roman" w:hAnsi="Arial" w:cs="Arial"/>
                <w:color w:val="auto"/>
                <w:sz w:val="20"/>
                <w:szCs w:val="20"/>
                <w:lang w:val="ro-RO" w:eastAsia="ro-RO"/>
              </w:rPr>
              <w:t>cadmiu</w:t>
            </w:r>
          </w:p>
        </w:tc>
        <w:tc>
          <w:tcPr>
            <w:tcW w:w="912" w:type="pct"/>
          </w:tcPr>
          <w:p w:rsidR="005C701B" w:rsidRPr="008D2A19" w:rsidRDefault="005C701B" w:rsidP="005C701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8D2A19">
              <w:rPr>
                <w:rFonts w:ascii="Arial" w:eastAsia="Times New Roman" w:hAnsi="Arial" w:cs="Arial"/>
                <w:color w:val="auto"/>
                <w:sz w:val="20"/>
                <w:szCs w:val="20"/>
                <w:lang w:val="ro-RO" w:eastAsia="ro-RO"/>
              </w:rPr>
              <w:t>mercur</w:t>
            </w:r>
          </w:p>
        </w:tc>
        <w:tc>
          <w:tcPr>
            <w:tcW w:w="750" w:type="pct"/>
          </w:tcPr>
          <w:p w:rsidR="005C701B" w:rsidRPr="008D2A19" w:rsidRDefault="005C701B" w:rsidP="005C701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ro-RO" w:eastAsia="ro-RO"/>
              </w:rPr>
            </w:pPr>
            <w:r w:rsidRPr="008D2A19">
              <w:rPr>
                <w:rFonts w:ascii="Arial" w:eastAsia="Times New Roman" w:hAnsi="Arial" w:cs="Arial"/>
                <w:color w:val="auto"/>
                <w:sz w:val="20"/>
                <w:szCs w:val="20"/>
                <w:lang w:val="ro-RO" w:eastAsia="ro-RO"/>
              </w:rPr>
              <w:t>plumb</w:t>
            </w:r>
          </w:p>
        </w:tc>
      </w:tr>
      <w:tr w:rsidR="005C701B" w:rsidRPr="005C701B" w:rsidTr="005C701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93" w:type="pct"/>
            <w:noWrap/>
            <w:hideMark/>
          </w:tcPr>
          <w:p w:rsidR="005C701B" w:rsidRPr="005C701B" w:rsidRDefault="005C701B" w:rsidP="005C701B">
            <w:pPr>
              <w:rPr>
                <w:rFonts w:ascii="Arial" w:eastAsia="Times New Roman" w:hAnsi="Arial" w:cs="Arial"/>
                <w:b w:val="0"/>
                <w:sz w:val="20"/>
                <w:szCs w:val="20"/>
                <w:lang w:val="ro-RO" w:eastAsia="ro-RO"/>
              </w:rPr>
            </w:pPr>
            <w:r w:rsidRPr="005C701B">
              <w:rPr>
                <w:rFonts w:ascii="Arial" w:eastAsia="Times New Roman" w:hAnsi="Arial" w:cs="Arial"/>
                <w:sz w:val="20"/>
                <w:szCs w:val="20"/>
                <w:lang w:val="ro-RO" w:eastAsia="ro-RO"/>
              </w:rPr>
              <w:t>cantitatea (Kg)</w:t>
            </w:r>
          </w:p>
        </w:tc>
        <w:tc>
          <w:tcPr>
            <w:tcW w:w="695" w:type="pct"/>
            <w:noWrap/>
            <w:vAlign w:val="center"/>
            <w:hideMark/>
          </w:tcPr>
          <w:p w:rsidR="005C701B" w:rsidRPr="005C701B"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ro-RO" w:eastAsia="ro-RO"/>
              </w:rPr>
            </w:pPr>
            <w:r w:rsidRPr="005C701B">
              <w:rPr>
                <w:rFonts w:ascii="Arial" w:hAnsi="Arial" w:cs="Arial"/>
                <w:sz w:val="20"/>
                <w:szCs w:val="20"/>
              </w:rPr>
              <w:t>0,000313</w:t>
            </w:r>
          </w:p>
        </w:tc>
        <w:tc>
          <w:tcPr>
            <w:tcW w:w="750" w:type="pct"/>
            <w:noWrap/>
            <w:vAlign w:val="bottom"/>
          </w:tcPr>
          <w:p w:rsidR="005C701B" w:rsidRPr="005C701B"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C701B">
              <w:rPr>
                <w:rFonts w:ascii="Arial" w:hAnsi="Arial" w:cs="Arial"/>
                <w:sz w:val="22"/>
                <w:szCs w:val="22"/>
              </w:rPr>
              <w:t>0</w:t>
            </w:r>
            <w:r>
              <w:rPr>
                <w:rFonts w:ascii="Arial" w:hAnsi="Arial" w:cs="Arial"/>
                <w:sz w:val="22"/>
                <w:szCs w:val="22"/>
              </w:rPr>
              <w:t>,</w:t>
            </w:r>
            <w:r w:rsidRPr="005C701B">
              <w:rPr>
                <w:rFonts w:ascii="Arial" w:hAnsi="Arial" w:cs="Arial"/>
                <w:sz w:val="22"/>
                <w:szCs w:val="22"/>
              </w:rPr>
              <w:t>001957</w:t>
            </w:r>
          </w:p>
        </w:tc>
        <w:tc>
          <w:tcPr>
            <w:tcW w:w="912" w:type="pct"/>
            <w:noWrap/>
            <w:vAlign w:val="bottom"/>
          </w:tcPr>
          <w:p w:rsidR="005C701B" w:rsidRPr="005C701B"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C701B">
              <w:rPr>
                <w:rFonts w:ascii="Arial" w:hAnsi="Arial" w:cs="Arial"/>
                <w:sz w:val="22"/>
                <w:szCs w:val="22"/>
              </w:rPr>
              <w:t>0</w:t>
            </w:r>
            <w:r>
              <w:rPr>
                <w:rFonts w:ascii="Arial" w:hAnsi="Arial" w:cs="Arial"/>
                <w:sz w:val="22"/>
                <w:szCs w:val="22"/>
              </w:rPr>
              <w:t>,</w:t>
            </w:r>
            <w:r w:rsidRPr="005C701B">
              <w:rPr>
                <w:rFonts w:ascii="Arial" w:hAnsi="Arial" w:cs="Arial"/>
                <w:sz w:val="22"/>
                <w:szCs w:val="22"/>
              </w:rPr>
              <w:t>00109592</w:t>
            </w:r>
          </w:p>
        </w:tc>
        <w:tc>
          <w:tcPr>
            <w:tcW w:w="750" w:type="pct"/>
            <w:noWrap/>
            <w:vAlign w:val="bottom"/>
          </w:tcPr>
          <w:p w:rsidR="005C701B" w:rsidRPr="005C701B"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5C701B">
              <w:rPr>
                <w:rFonts w:ascii="Arial" w:hAnsi="Arial" w:cs="Arial"/>
                <w:sz w:val="22"/>
                <w:szCs w:val="22"/>
              </w:rPr>
              <w:t>0</w:t>
            </w:r>
            <w:r>
              <w:rPr>
                <w:rFonts w:ascii="Arial" w:hAnsi="Arial" w:cs="Arial"/>
                <w:sz w:val="22"/>
                <w:szCs w:val="22"/>
              </w:rPr>
              <w:t>,</w:t>
            </w:r>
            <w:r w:rsidRPr="005C701B">
              <w:rPr>
                <w:rFonts w:ascii="Arial" w:hAnsi="Arial" w:cs="Arial"/>
                <w:sz w:val="22"/>
                <w:szCs w:val="22"/>
              </w:rPr>
              <w:t>025441</w:t>
            </w:r>
          </w:p>
        </w:tc>
      </w:tr>
      <w:tr w:rsidR="005C701B" w:rsidRPr="005C701B" w:rsidTr="005C701B">
        <w:trPr>
          <w:trHeight w:val="276"/>
        </w:trPr>
        <w:tc>
          <w:tcPr>
            <w:cnfStyle w:val="001000000000" w:firstRow="0" w:lastRow="0" w:firstColumn="1" w:lastColumn="0" w:oddVBand="0" w:evenVBand="0" w:oddHBand="0" w:evenHBand="0" w:firstRowFirstColumn="0" w:firstRowLastColumn="0" w:lastRowFirstColumn="0" w:lastRowLastColumn="0"/>
            <w:tcW w:w="1893" w:type="pct"/>
            <w:noWrap/>
            <w:hideMark/>
          </w:tcPr>
          <w:p w:rsidR="005C701B" w:rsidRPr="005C701B" w:rsidRDefault="005C701B" w:rsidP="005C701B">
            <w:pPr>
              <w:rPr>
                <w:rFonts w:ascii="Arial" w:eastAsia="Times New Roman" w:hAnsi="Arial" w:cs="Arial"/>
                <w:b w:val="0"/>
                <w:sz w:val="20"/>
                <w:szCs w:val="20"/>
                <w:lang w:val="ro-RO" w:eastAsia="ro-RO"/>
              </w:rPr>
            </w:pPr>
            <w:r w:rsidRPr="005C701B">
              <w:rPr>
                <w:rFonts w:ascii="Arial" w:eastAsia="Times New Roman" w:hAnsi="Arial" w:cs="Arial"/>
                <w:sz w:val="20"/>
                <w:szCs w:val="20"/>
                <w:lang w:val="ro-RO" w:eastAsia="ro-RO"/>
              </w:rPr>
              <w:t>pondere din emisia totală %</w:t>
            </w:r>
          </w:p>
        </w:tc>
        <w:tc>
          <w:tcPr>
            <w:tcW w:w="695" w:type="pct"/>
            <w:noWrap/>
            <w:vAlign w:val="center"/>
            <w:hideMark/>
          </w:tcPr>
          <w:p w:rsidR="005C701B" w:rsidRPr="005C701B" w:rsidRDefault="005C701B"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701B">
              <w:rPr>
                <w:rFonts w:ascii="Arial" w:hAnsi="Arial" w:cs="Arial"/>
                <w:sz w:val="20"/>
                <w:szCs w:val="20"/>
              </w:rPr>
              <w:t>0,036</w:t>
            </w:r>
          </w:p>
        </w:tc>
        <w:tc>
          <w:tcPr>
            <w:tcW w:w="750" w:type="pct"/>
            <w:noWrap/>
            <w:vAlign w:val="bottom"/>
          </w:tcPr>
          <w:p w:rsidR="005C701B" w:rsidRPr="005C701B" w:rsidRDefault="005C701B" w:rsidP="005C701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en-US"/>
              </w:rPr>
            </w:pPr>
            <w:r w:rsidRPr="005C701B">
              <w:rPr>
                <w:rFonts w:ascii="Arial" w:hAnsi="Arial" w:cs="Arial"/>
                <w:sz w:val="22"/>
                <w:szCs w:val="22"/>
              </w:rPr>
              <w:t>0</w:t>
            </w:r>
            <w:r>
              <w:rPr>
                <w:rFonts w:ascii="Arial" w:hAnsi="Arial" w:cs="Arial"/>
                <w:sz w:val="22"/>
                <w:szCs w:val="22"/>
              </w:rPr>
              <w:t>,</w:t>
            </w:r>
            <w:r w:rsidRPr="005C701B">
              <w:rPr>
                <w:rFonts w:ascii="Arial" w:hAnsi="Arial" w:cs="Arial"/>
                <w:sz w:val="22"/>
                <w:szCs w:val="22"/>
              </w:rPr>
              <w:t>005</w:t>
            </w:r>
          </w:p>
        </w:tc>
        <w:tc>
          <w:tcPr>
            <w:tcW w:w="912" w:type="pct"/>
            <w:noWrap/>
            <w:vAlign w:val="bottom"/>
          </w:tcPr>
          <w:p w:rsidR="005C701B" w:rsidRPr="005C701B" w:rsidRDefault="005C701B"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C701B">
              <w:rPr>
                <w:rFonts w:ascii="Arial" w:hAnsi="Arial" w:cs="Arial"/>
                <w:sz w:val="22"/>
                <w:szCs w:val="22"/>
              </w:rPr>
              <w:t>0</w:t>
            </w:r>
            <w:r>
              <w:rPr>
                <w:rFonts w:ascii="Arial" w:hAnsi="Arial" w:cs="Arial"/>
                <w:sz w:val="22"/>
                <w:szCs w:val="22"/>
              </w:rPr>
              <w:t>,</w:t>
            </w:r>
            <w:r w:rsidRPr="005C701B">
              <w:rPr>
                <w:rFonts w:ascii="Arial" w:hAnsi="Arial" w:cs="Arial"/>
                <w:sz w:val="22"/>
                <w:szCs w:val="22"/>
              </w:rPr>
              <w:t>050</w:t>
            </w:r>
          </w:p>
        </w:tc>
        <w:tc>
          <w:tcPr>
            <w:tcW w:w="750" w:type="pct"/>
            <w:noWrap/>
            <w:vAlign w:val="bottom"/>
          </w:tcPr>
          <w:p w:rsidR="005C701B" w:rsidRPr="005C701B" w:rsidRDefault="005C701B"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C701B">
              <w:rPr>
                <w:rFonts w:ascii="Arial" w:hAnsi="Arial" w:cs="Arial"/>
                <w:sz w:val="22"/>
                <w:szCs w:val="22"/>
              </w:rPr>
              <w:t>0</w:t>
            </w:r>
            <w:r>
              <w:rPr>
                <w:rFonts w:ascii="Arial" w:hAnsi="Arial" w:cs="Arial"/>
                <w:sz w:val="22"/>
                <w:szCs w:val="22"/>
              </w:rPr>
              <w:t>,</w:t>
            </w:r>
            <w:r w:rsidRPr="005C701B">
              <w:rPr>
                <w:rFonts w:ascii="Arial" w:hAnsi="Arial" w:cs="Arial"/>
                <w:sz w:val="22"/>
                <w:szCs w:val="22"/>
              </w:rPr>
              <w:t>018</w:t>
            </w:r>
          </w:p>
        </w:tc>
      </w:tr>
    </w:tbl>
    <w:p w:rsidR="00743B28" w:rsidRPr="005C701B" w:rsidRDefault="00743B28" w:rsidP="00755618">
      <w:pPr>
        <w:pStyle w:val="Listparagraf"/>
        <w:tabs>
          <w:tab w:val="left" w:pos="851"/>
        </w:tabs>
        <w:ind w:left="0"/>
        <w:jc w:val="center"/>
        <w:rPr>
          <w:rFonts w:ascii="Arial" w:hAnsi="Arial" w:cs="Arial"/>
          <w:lang w:val="ro-RO"/>
        </w:rPr>
      </w:pPr>
      <w:r w:rsidRPr="005C701B">
        <w:rPr>
          <w:rFonts w:ascii="Arial" w:hAnsi="Arial" w:cs="Arial"/>
          <w:sz w:val="20"/>
          <w:szCs w:val="20"/>
          <w:lang w:val="ro-RO"/>
        </w:rPr>
        <w:t>Sursa: Agenţia pentru Protecţia Mediului Bistriţa-Năsăud</w:t>
      </w:r>
    </w:p>
    <w:p w:rsidR="00743B28" w:rsidRDefault="00743B28" w:rsidP="00755618">
      <w:pPr>
        <w:tabs>
          <w:tab w:val="left" w:pos="851"/>
        </w:tabs>
        <w:jc w:val="center"/>
        <w:rPr>
          <w:rFonts w:ascii="Arial" w:hAnsi="Arial" w:cs="Arial"/>
          <w:color w:val="FF0000"/>
          <w:lang w:val="ro-RO"/>
        </w:rPr>
      </w:pPr>
    </w:p>
    <w:p w:rsidR="00743B28" w:rsidRPr="00004957" w:rsidRDefault="00743B28" w:rsidP="00755618">
      <w:pPr>
        <w:pStyle w:val="Listparagraf"/>
        <w:numPr>
          <w:ilvl w:val="0"/>
          <w:numId w:val="26"/>
        </w:numPr>
        <w:tabs>
          <w:tab w:val="left" w:pos="851"/>
          <w:tab w:val="left" w:pos="1134"/>
          <w:tab w:val="left" w:leader="dot" w:pos="9356"/>
        </w:tabs>
        <w:ind w:left="0" w:firstLine="0"/>
        <w:rPr>
          <w:rFonts w:ascii="Arial" w:hAnsi="Arial" w:cs="Arial"/>
          <w:b/>
          <w:lang w:val="ro-RO"/>
        </w:rPr>
      </w:pPr>
      <w:r w:rsidRPr="00004957">
        <w:rPr>
          <w:rFonts w:ascii="Arial" w:hAnsi="Arial" w:cs="Arial"/>
          <w:b/>
          <w:u w:val="single"/>
          <w:lang w:val="ro-RO"/>
        </w:rPr>
        <w:t xml:space="preserve">Emisiile de POPs </w:t>
      </w:r>
      <w:r w:rsidRPr="00004957">
        <w:rPr>
          <w:rFonts w:ascii="Arial" w:hAnsi="Arial" w:cs="Arial"/>
          <w:b/>
          <w:lang w:val="ro-RO"/>
        </w:rPr>
        <w:t>.</w:t>
      </w:r>
    </w:p>
    <w:p w:rsidR="00743B28" w:rsidRPr="00004957" w:rsidRDefault="00743B28" w:rsidP="00755618">
      <w:pPr>
        <w:pStyle w:val="Listparagraf"/>
        <w:tabs>
          <w:tab w:val="left" w:pos="851"/>
          <w:tab w:val="left" w:pos="1134"/>
          <w:tab w:val="left" w:leader="dot" w:pos="9356"/>
        </w:tabs>
        <w:ind w:left="0"/>
        <w:rPr>
          <w:rFonts w:ascii="Arial" w:hAnsi="Arial" w:cs="Arial"/>
          <w:b/>
          <w:lang w:val="ro-RO"/>
        </w:rPr>
      </w:pPr>
    </w:p>
    <w:p w:rsidR="00743B28" w:rsidRPr="00004957" w:rsidRDefault="00743B28" w:rsidP="00755618">
      <w:pPr>
        <w:pStyle w:val="Listparagraf"/>
        <w:tabs>
          <w:tab w:val="left" w:pos="851"/>
          <w:tab w:val="left" w:pos="1134"/>
          <w:tab w:val="left" w:leader="dot" w:pos="9356"/>
        </w:tabs>
        <w:ind w:left="0"/>
        <w:jc w:val="center"/>
        <w:rPr>
          <w:rFonts w:ascii="Arial" w:hAnsi="Arial" w:cs="Arial"/>
          <w:lang w:val="ro-RO"/>
        </w:rPr>
      </w:pPr>
      <w:r w:rsidRPr="00004957">
        <w:rPr>
          <w:rFonts w:ascii="Arial" w:hAnsi="Arial" w:cs="Arial"/>
          <w:b/>
          <w:sz w:val="22"/>
          <w:szCs w:val="22"/>
          <w:lang w:val="ro-RO"/>
        </w:rPr>
        <w:t>Tabel I.2.1.5.5.</w:t>
      </w:r>
    </w:p>
    <w:p w:rsidR="00743B28" w:rsidRPr="00004957" w:rsidRDefault="00743B28" w:rsidP="00755618">
      <w:pPr>
        <w:pStyle w:val="Listparagraf"/>
        <w:tabs>
          <w:tab w:val="left" w:pos="851"/>
          <w:tab w:val="left" w:pos="1134"/>
          <w:tab w:val="left" w:leader="dot" w:pos="9356"/>
        </w:tabs>
        <w:ind w:left="0"/>
        <w:jc w:val="center"/>
        <w:rPr>
          <w:rFonts w:ascii="Arial" w:hAnsi="Arial" w:cs="Arial"/>
          <w:b/>
          <w:sz w:val="22"/>
          <w:szCs w:val="22"/>
          <w:lang w:val="ro-RO"/>
        </w:rPr>
      </w:pPr>
      <w:r w:rsidRPr="00004957">
        <w:rPr>
          <w:rFonts w:ascii="Arial" w:hAnsi="Arial" w:cs="Arial"/>
          <w:b/>
          <w:sz w:val="22"/>
          <w:szCs w:val="22"/>
          <w:lang w:val="ro-RO"/>
        </w:rPr>
        <w:t xml:space="preserve">Emisiile de </w:t>
      </w:r>
      <w:r w:rsidRPr="00004957">
        <w:rPr>
          <w:rFonts w:ascii="Arial" w:hAnsi="Arial" w:cs="Arial"/>
          <w:b/>
          <w:i/>
          <w:sz w:val="22"/>
          <w:szCs w:val="22"/>
          <w:lang w:val="ro-RO"/>
        </w:rPr>
        <w:t>POPs provenitţi din sectorul deşeuri</w:t>
      </w:r>
      <w:r w:rsidRPr="00004957">
        <w:rPr>
          <w:rFonts w:ascii="Arial" w:hAnsi="Arial" w:cs="Arial"/>
          <w:b/>
          <w:sz w:val="22"/>
          <w:szCs w:val="22"/>
          <w:lang w:val="ro-RO"/>
        </w:rPr>
        <w:t xml:space="preserve">, </w:t>
      </w:r>
    </w:p>
    <w:p w:rsidR="00743B28" w:rsidRPr="00004957" w:rsidRDefault="00743B28" w:rsidP="00755618">
      <w:pPr>
        <w:pStyle w:val="Listparagraf"/>
        <w:tabs>
          <w:tab w:val="left" w:pos="851"/>
          <w:tab w:val="left" w:pos="1134"/>
          <w:tab w:val="left" w:leader="dot" w:pos="9356"/>
        </w:tabs>
        <w:ind w:left="0"/>
        <w:jc w:val="center"/>
        <w:rPr>
          <w:b/>
          <w:bCs/>
          <w:sz w:val="20"/>
          <w:szCs w:val="20"/>
        </w:rPr>
      </w:pPr>
      <w:r w:rsidRPr="00004957">
        <w:rPr>
          <w:rFonts w:ascii="Arial" w:hAnsi="Arial" w:cs="Arial"/>
          <w:b/>
          <w:sz w:val="22"/>
          <w:szCs w:val="22"/>
          <w:lang w:val="ro-RO"/>
        </w:rPr>
        <w:t xml:space="preserve">județul Bistrița-Năsăud, anul </w:t>
      </w:r>
      <w:r w:rsidR="005964E0" w:rsidRPr="00004957">
        <w:rPr>
          <w:rFonts w:ascii="Arial" w:hAnsi="Arial" w:cs="Arial"/>
          <w:b/>
          <w:sz w:val="22"/>
          <w:szCs w:val="22"/>
          <w:lang w:val="ro-RO"/>
        </w:rPr>
        <w:t>2021</w:t>
      </w:r>
    </w:p>
    <w:tbl>
      <w:tblPr>
        <w:tblStyle w:val="Listcolorat-Accentuare4"/>
        <w:tblW w:w="5000" w:type="pct"/>
        <w:tblLook w:val="04A0" w:firstRow="1" w:lastRow="0" w:firstColumn="1" w:lastColumn="0" w:noHBand="0" w:noVBand="1"/>
      </w:tblPr>
      <w:tblGrid>
        <w:gridCol w:w="3439"/>
        <w:gridCol w:w="2106"/>
        <w:gridCol w:w="2118"/>
        <w:gridCol w:w="1691"/>
      </w:tblGrid>
      <w:tr w:rsidR="008D2A19" w:rsidRPr="008D2A19" w:rsidTr="005C701B">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832" w:type="pct"/>
            <w:shd w:val="clear" w:color="auto" w:fill="92D050"/>
            <w:noWrap/>
            <w:vAlign w:val="bottom"/>
            <w:hideMark/>
          </w:tcPr>
          <w:p w:rsidR="005C701B" w:rsidRPr="008D2A19" w:rsidRDefault="005C701B" w:rsidP="005C701B">
            <w:pPr>
              <w:rPr>
                <w:rFonts w:eastAsia="Times New Roman"/>
                <w:color w:val="auto"/>
                <w:sz w:val="20"/>
                <w:szCs w:val="20"/>
                <w:lang w:val="ro-RO" w:eastAsia="ro-RO"/>
              </w:rPr>
            </w:pPr>
          </w:p>
        </w:tc>
        <w:tc>
          <w:tcPr>
            <w:tcW w:w="1100" w:type="pct"/>
            <w:shd w:val="clear" w:color="auto" w:fill="92D050"/>
            <w:vAlign w:val="center"/>
            <w:hideMark/>
          </w:tcPr>
          <w:p w:rsidR="005C701B" w:rsidRPr="008D2A19" w:rsidRDefault="005C701B" w:rsidP="005C701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8D2A19">
              <w:rPr>
                <w:rFonts w:ascii="Arial" w:hAnsi="Arial" w:cs="Arial"/>
                <w:color w:val="auto"/>
                <w:sz w:val="20"/>
                <w:szCs w:val="20"/>
              </w:rPr>
              <w:t xml:space="preserve">Hexachlorobenzene (HCB) </w:t>
            </w:r>
          </w:p>
        </w:tc>
        <w:tc>
          <w:tcPr>
            <w:tcW w:w="1148" w:type="pct"/>
            <w:shd w:val="clear" w:color="auto" w:fill="92D050"/>
            <w:vAlign w:val="center"/>
            <w:hideMark/>
          </w:tcPr>
          <w:p w:rsidR="005C701B" w:rsidRPr="008D2A19" w:rsidRDefault="005C701B" w:rsidP="005C701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8D2A19">
              <w:rPr>
                <w:rFonts w:ascii="Arial" w:hAnsi="Arial" w:cs="Arial"/>
                <w:color w:val="auto"/>
                <w:sz w:val="20"/>
                <w:szCs w:val="20"/>
              </w:rPr>
              <w:t xml:space="preserve">PCDD+PCDF (dioxine+furani)  </w:t>
            </w:r>
          </w:p>
        </w:tc>
        <w:tc>
          <w:tcPr>
            <w:tcW w:w="920" w:type="pct"/>
            <w:shd w:val="clear" w:color="auto" w:fill="92D050"/>
            <w:vAlign w:val="center"/>
            <w:hideMark/>
          </w:tcPr>
          <w:p w:rsidR="005C701B" w:rsidRPr="008D2A19" w:rsidRDefault="005C701B" w:rsidP="005C701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8D2A19">
              <w:rPr>
                <w:rFonts w:ascii="Arial" w:hAnsi="Arial" w:cs="Arial"/>
                <w:color w:val="auto"/>
                <w:sz w:val="20"/>
                <w:szCs w:val="20"/>
              </w:rPr>
              <w:t>total 4PAHs</w:t>
            </w:r>
          </w:p>
        </w:tc>
      </w:tr>
      <w:tr w:rsidR="00004957" w:rsidRPr="00004957" w:rsidTr="005C701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2" w:type="pct"/>
            <w:noWrap/>
            <w:vAlign w:val="bottom"/>
            <w:hideMark/>
          </w:tcPr>
          <w:p w:rsidR="005C701B" w:rsidRPr="00004957" w:rsidRDefault="005C701B" w:rsidP="005C701B">
            <w:pPr>
              <w:rPr>
                <w:rFonts w:ascii="Arial" w:hAnsi="Arial" w:cs="Arial"/>
                <w:b w:val="0"/>
                <w:bCs w:val="0"/>
                <w:sz w:val="20"/>
                <w:szCs w:val="20"/>
              </w:rPr>
            </w:pPr>
            <w:r w:rsidRPr="00004957">
              <w:rPr>
                <w:rFonts w:ascii="Arial" w:hAnsi="Arial" w:cs="Arial"/>
                <w:sz w:val="20"/>
                <w:szCs w:val="20"/>
              </w:rPr>
              <w:t>cantitate poluanți  din deșeuri Kg)</w:t>
            </w:r>
          </w:p>
        </w:tc>
        <w:tc>
          <w:tcPr>
            <w:tcW w:w="1100" w:type="pct"/>
            <w:noWrap/>
            <w:vAlign w:val="bottom"/>
            <w:hideMark/>
          </w:tcPr>
          <w:p w:rsidR="005C701B" w:rsidRPr="00004957"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004957">
              <w:rPr>
                <w:rFonts w:ascii="Arial" w:hAnsi="Arial" w:cs="Arial"/>
                <w:sz w:val="20"/>
                <w:szCs w:val="20"/>
              </w:rPr>
              <w:t>0.0391</w:t>
            </w:r>
          </w:p>
        </w:tc>
        <w:tc>
          <w:tcPr>
            <w:tcW w:w="1148" w:type="pct"/>
            <w:noWrap/>
            <w:vAlign w:val="bottom"/>
            <w:hideMark/>
          </w:tcPr>
          <w:p w:rsidR="005C701B" w:rsidRPr="00004957"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4957">
              <w:rPr>
                <w:rFonts w:ascii="Arial" w:hAnsi="Arial" w:cs="Arial"/>
                <w:sz w:val="20"/>
                <w:szCs w:val="20"/>
              </w:rPr>
              <w:t>0.0069</w:t>
            </w:r>
          </w:p>
        </w:tc>
        <w:tc>
          <w:tcPr>
            <w:tcW w:w="920" w:type="pct"/>
            <w:noWrap/>
            <w:vAlign w:val="bottom"/>
            <w:hideMark/>
          </w:tcPr>
          <w:p w:rsidR="005C701B" w:rsidRPr="00004957" w:rsidRDefault="005C701B" w:rsidP="005C70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04957">
              <w:rPr>
                <w:rFonts w:ascii="Arial" w:hAnsi="Arial" w:cs="Arial"/>
                <w:sz w:val="20"/>
                <w:szCs w:val="20"/>
              </w:rPr>
              <w:t>0.3914</w:t>
            </w:r>
          </w:p>
        </w:tc>
      </w:tr>
      <w:tr w:rsidR="00004957" w:rsidRPr="00004957" w:rsidTr="005C701B">
        <w:trPr>
          <w:trHeight w:val="264"/>
        </w:trPr>
        <w:tc>
          <w:tcPr>
            <w:cnfStyle w:val="001000000000" w:firstRow="0" w:lastRow="0" w:firstColumn="1" w:lastColumn="0" w:oddVBand="0" w:evenVBand="0" w:oddHBand="0" w:evenHBand="0" w:firstRowFirstColumn="0" w:firstRowLastColumn="0" w:lastRowFirstColumn="0" w:lastRowLastColumn="0"/>
            <w:tcW w:w="1832" w:type="pct"/>
            <w:noWrap/>
            <w:vAlign w:val="bottom"/>
            <w:hideMark/>
          </w:tcPr>
          <w:p w:rsidR="005C701B" w:rsidRPr="00004957" w:rsidRDefault="005C701B" w:rsidP="005C701B">
            <w:pPr>
              <w:rPr>
                <w:rFonts w:ascii="Arial" w:hAnsi="Arial" w:cs="Arial"/>
                <w:b w:val="0"/>
                <w:sz w:val="20"/>
                <w:szCs w:val="20"/>
              </w:rPr>
            </w:pPr>
            <w:r w:rsidRPr="00004957">
              <w:rPr>
                <w:rFonts w:ascii="Arial" w:hAnsi="Arial" w:cs="Arial"/>
                <w:sz w:val="20"/>
                <w:szCs w:val="20"/>
              </w:rPr>
              <w:t>% din total judet</w:t>
            </w:r>
          </w:p>
        </w:tc>
        <w:tc>
          <w:tcPr>
            <w:tcW w:w="1100" w:type="pct"/>
            <w:noWrap/>
            <w:vAlign w:val="bottom"/>
            <w:hideMark/>
          </w:tcPr>
          <w:p w:rsidR="005C701B" w:rsidRPr="00004957" w:rsidRDefault="005C701B"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4957">
              <w:rPr>
                <w:rFonts w:ascii="Arial" w:hAnsi="Arial" w:cs="Arial"/>
                <w:sz w:val="20"/>
                <w:szCs w:val="20"/>
              </w:rPr>
              <w:t>0.2526</w:t>
            </w:r>
          </w:p>
        </w:tc>
        <w:tc>
          <w:tcPr>
            <w:tcW w:w="1148" w:type="pct"/>
            <w:noWrap/>
            <w:vAlign w:val="bottom"/>
            <w:hideMark/>
          </w:tcPr>
          <w:p w:rsidR="005C701B" w:rsidRPr="00004957" w:rsidRDefault="005C701B"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4957">
              <w:rPr>
                <w:rFonts w:ascii="Arial" w:hAnsi="Arial" w:cs="Arial"/>
                <w:sz w:val="20"/>
                <w:szCs w:val="20"/>
              </w:rPr>
              <w:t>0.2930</w:t>
            </w:r>
          </w:p>
        </w:tc>
        <w:tc>
          <w:tcPr>
            <w:tcW w:w="920" w:type="pct"/>
            <w:noWrap/>
            <w:vAlign w:val="bottom"/>
            <w:hideMark/>
          </w:tcPr>
          <w:p w:rsidR="005C701B" w:rsidRPr="00004957" w:rsidRDefault="005C701B" w:rsidP="005C701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04957">
              <w:rPr>
                <w:rFonts w:ascii="Arial" w:hAnsi="Arial" w:cs="Arial"/>
                <w:sz w:val="20"/>
                <w:szCs w:val="20"/>
              </w:rPr>
              <w:t>100</w:t>
            </w:r>
          </w:p>
        </w:tc>
      </w:tr>
    </w:tbl>
    <w:p w:rsidR="00743B28" w:rsidRPr="00004957" w:rsidRDefault="00743B28" w:rsidP="00755618">
      <w:pPr>
        <w:tabs>
          <w:tab w:val="left" w:pos="851"/>
        </w:tabs>
        <w:jc w:val="center"/>
        <w:rPr>
          <w:rFonts w:ascii="Arial" w:hAnsi="Arial" w:cs="Arial"/>
          <w:sz w:val="20"/>
          <w:szCs w:val="20"/>
          <w:lang w:val="ro-RO"/>
        </w:rPr>
      </w:pPr>
      <w:r w:rsidRPr="00004957">
        <w:rPr>
          <w:rFonts w:ascii="Arial" w:hAnsi="Arial" w:cs="Arial"/>
          <w:sz w:val="20"/>
          <w:szCs w:val="20"/>
          <w:lang w:val="ro-RO"/>
        </w:rPr>
        <w:t>Sursa: Agenţia pentru Protecţia Mediului Bistriţa-Năsăud</w:t>
      </w:r>
    </w:p>
    <w:p w:rsidR="00743B28" w:rsidRPr="006B01A5" w:rsidRDefault="00743B28" w:rsidP="00755618">
      <w:pPr>
        <w:tabs>
          <w:tab w:val="left" w:pos="851"/>
        </w:tabs>
        <w:jc w:val="center"/>
        <w:rPr>
          <w:rFonts w:ascii="Arial" w:hAnsi="Arial" w:cs="Arial"/>
          <w:color w:val="FF0000"/>
          <w:sz w:val="20"/>
          <w:szCs w:val="20"/>
          <w:lang w:val="ro-RO"/>
        </w:rPr>
      </w:pPr>
    </w:p>
    <w:p w:rsidR="00743B28" w:rsidRPr="006B01A5" w:rsidRDefault="00743B28" w:rsidP="00755618">
      <w:pPr>
        <w:tabs>
          <w:tab w:val="left" w:pos="851"/>
          <w:tab w:val="left" w:leader="dot" w:pos="9356"/>
        </w:tabs>
        <w:rPr>
          <w:rFonts w:ascii="Arial" w:hAnsi="Arial" w:cs="Arial"/>
          <w:b/>
          <w:color w:val="FF0000"/>
          <w:lang w:val="ro-RO"/>
        </w:rPr>
      </w:pPr>
    </w:p>
    <w:p w:rsidR="00A27379" w:rsidRDefault="00A27379" w:rsidP="00755618">
      <w:pPr>
        <w:tabs>
          <w:tab w:val="left" w:pos="851"/>
          <w:tab w:val="left" w:leader="dot" w:pos="9356"/>
        </w:tabs>
        <w:rPr>
          <w:rFonts w:ascii="Arial" w:hAnsi="Arial" w:cs="Arial"/>
          <w:b/>
          <w:color w:val="FF0000"/>
          <w:lang w:val="ro-RO"/>
        </w:rPr>
      </w:pPr>
    </w:p>
    <w:p w:rsidR="008D2600" w:rsidRDefault="008D2600" w:rsidP="00755618">
      <w:pPr>
        <w:tabs>
          <w:tab w:val="left" w:pos="851"/>
          <w:tab w:val="left" w:leader="dot" w:pos="9356"/>
        </w:tabs>
        <w:rPr>
          <w:rFonts w:ascii="Arial" w:hAnsi="Arial" w:cs="Arial"/>
          <w:b/>
          <w:color w:val="FF0000"/>
          <w:lang w:val="ro-RO"/>
        </w:rPr>
      </w:pPr>
    </w:p>
    <w:p w:rsidR="008D2600" w:rsidRDefault="008D2600" w:rsidP="00755618">
      <w:pPr>
        <w:tabs>
          <w:tab w:val="left" w:pos="851"/>
          <w:tab w:val="left" w:leader="dot" w:pos="9356"/>
        </w:tabs>
        <w:rPr>
          <w:rFonts w:ascii="Arial" w:hAnsi="Arial" w:cs="Arial"/>
          <w:b/>
          <w:color w:val="FF0000"/>
          <w:lang w:val="ro-RO"/>
        </w:rPr>
      </w:pPr>
    </w:p>
    <w:p w:rsidR="008D2600" w:rsidRDefault="008D2600" w:rsidP="00755618">
      <w:pPr>
        <w:tabs>
          <w:tab w:val="left" w:pos="851"/>
          <w:tab w:val="left" w:leader="dot" w:pos="9356"/>
        </w:tabs>
        <w:rPr>
          <w:rFonts w:ascii="Arial" w:hAnsi="Arial" w:cs="Arial"/>
          <w:b/>
          <w:color w:val="FF0000"/>
          <w:lang w:val="ro-RO"/>
        </w:rPr>
      </w:pPr>
    </w:p>
    <w:p w:rsidR="008D2600" w:rsidRDefault="008D2600" w:rsidP="00755618">
      <w:pPr>
        <w:tabs>
          <w:tab w:val="left" w:pos="851"/>
          <w:tab w:val="left" w:leader="dot" w:pos="9356"/>
        </w:tabs>
        <w:rPr>
          <w:rFonts w:ascii="Arial" w:hAnsi="Arial" w:cs="Arial"/>
          <w:b/>
          <w:color w:val="FF0000"/>
          <w:lang w:val="ro-RO"/>
        </w:rPr>
      </w:pPr>
    </w:p>
    <w:p w:rsidR="008D2600" w:rsidRDefault="008D2600" w:rsidP="00755618">
      <w:pPr>
        <w:tabs>
          <w:tab w:val="left" w:pos="851"/>
          <w:tab w:val="left" w:leader="dot" w:pos="9356"/>
        </w:tabs>
        <w:rPr>
          <w:rFonts w:ascii="Arial" w:hAnsi="Arial" w:cs="Arial"/>
          <w:b/>
          <w:color w:val="FF0000"/>
          <w:lang w:val="ro-RO"/>
        </w:rPr>
      </w:pPr>
    </w:p>
    <w:p w:rsidR="008D2600" w:rsidRDefault="008D2600" w:rsidP="00755618">
      <w:pPr>
        <w:tabs>
          <w:tab w:val="left" w:pos="851"/>
          <w:tab w:val="left" w:leader="dot" w:pos="9356"/>
        </w:tabs>
        <w:rPr>
          <w:rFonts w:ascii="Arial" w:hAnsi="Arial" w:cs="Arial"/>
          <w:b/>
          <w:color w:val="FF0000"/>
          <w:lang w:val="ro-RO"/>
        </w:rPr>
      </w:pPr>
    </w:p>
    <w:p w:rsidR="008D2600" w:rsidRDefault="008D2600" w:rsidP="00755618">
      <w:pPr>
        <w:tabs>
          <w:tab w:val="left" w:pos="851"/>
          <w:tab w:val="left" w:leader="dot" w:pos="9356"/>
        </w:tabs>
        <w:rPr>
          <w:rFonts w:ascii="Arial" w:hAnsi="Arial" w:cs="Arial"/>
          <w:b/>
          <w:color w:val="FF0000"/>
          <w:lang w:val="ro-RO"/>
        </w:rPr>
      </w:pPr>
    </w:p>
    <w:p w:rsidR="008D2600" w:rsidRDefault="008D2600" w:rsidP="00755618">
      <w:pPr>
        <w:tabs>
          <w:tab w:val="left" w:pos="851"/>
          <w:tab w:val="left" w:leader="dot" w:pos="9356"/>
        </w:tabs>
        <w:rPr>
          <w:rFonts w:ascii="Arial" w:hAnsi="Arial" w:cs="Arial"/>
          <w:b/>
          <w:color w:val="FF0000"/>
          <w:lang w:val="ro-RO"/>
        </w:rPr>
      </w:pPr>
    </w:p>
    <w:p w:rsidR="00995884" w:rsidRPr="006B01A5" w:rsidRDefault="00995884" w:rsidP="00755618">
      <w:pPr>
        <w:tabs>
          <w:tab w:val="left" w:pos="851"/>
          <w:tab w:val="left" w:leader="dot" w:pos="9356"/>
        </w:tabs>
        <w:rPr>
          <w:rFonts w:ascii="Arial" w:hAnsi="Arial" w:cs="Arial"/>
          <w:b/>
          <w:color w:val="FF0000"/>
          <w:lang w:val="ro-RO"/>
        </w:rPr>
      </w:pPr>
    </w:p>
    <w:p w:rsidR="00743B28" w:rsidRPr="00004957" w:rsidRDefault="00743B28" w:rsidP="00755618">
      <w:pPr>
        <w:tabs>
          <w:tab w:val="left" w:pos="851"/>
          <w:tab w:val="left" w:leader="dot" w:pos="9356"/>
        </w:tabs>
        <w:jc w:val="center"/>
        <w:rPr>
          <w:rFonts w:ascii="Arial" w:hAnsi="Arial" w:cs="Arial"/>
          <w:b/>
          <w:sz w:val="32"/>
          <w:szCs w:val="32"/>
          <w:lang w:val="ro-RO"/>
        </w:rPr>
      </w:pPr>
      <w:r w:rsidRPr="00F4688D">
        <w:rPr>
          <w:rFonts w:ascii="Arial" w:hAnsi="Arial" w:cs="Arial"/>
          <w:b/>
          <w:sz w:val="32"/>
          <w:szCs w:val="32"/>
          <w:lang w:val="ro-RO"/>
        </w:rPr>
        <w:t>I</w:t>
      </w:r>
      <w:r w:rsidRPr="00004957">
        <w:rPr>
          <w:rFonts w:ascii="Arial" w:hAnsi="Arial" w:cs="Arial"/>
          <w:b/>
          <w:sz w:val="32"/>
          <w:szCs w:val="32"/>
          <w:lang w:val="ro-RO"/>
        </w:rPr>
        <w:t>.3. Tendinţe şi prognoze privind poluarea aerului înconjurător</w:t>
      </w:r>
    </w:p>
    <w:p w:rsidR="00743B28" w:rsidRPr="00004957" w:rsidRDefault="00743B28" w:rsidP="00755618">
      <w:pPr>
        <w:tabs>
          <w:tab w:val="left" w:pos="851"/>
          <w:tab w:val="left" w:leader="dot" w:pos="9356"/>
        </w:tabs>
        <w:rPr>
          <w:rFonts w:ascii="Arial" w:hAnsi="Arial" w:cs="Arial"/>
          <w:b/>
          <w:sz w:val="32"/>
          <w:szCs w:val="32"/>
          <w:lang w:val="ro-RO"/>
        </w:rPr>
      </w:pPr>
    </w:p>
    <w:p w:rsidR="00743B28" w:rsidRPr="00004957" w:rsidRDefault="00743B28" w:rsidP="00755618">
      <w:pPr>
        <w:tabs>
          <w:tab w:val="left" w:pos="851"/>
          <w:tab w:val="left" w:leader="dot" w:pos="9356"/>
        </w:tabs>
        <w:jc w:val="center"/>
        <w:rPr>
          <w:rFonts w:ascii="Arial" w:hAnsi="Arial" w:cs="Arial"/>
          <w:b/>
          <w:sz w:val="28"/>
          <w:szCs w:val="28"/>
          <w:lang w:val="ro-RO"/>
        </w:rPr>
      </w:pPr>
      <w:r w:rsidRPr="00004957">
        <w:rPr>
          <w:rFonts w:ascii="Arial" w:hAnsi="Arial" w:cs="Arial"/>
          <w:b/>
          <w:sz w:val="28"/>
          <w:szCs w:val="28"/>
          <w:lang w:val="ro-RO"/>
        </w:rPr>
        <w:t>I.3.1. Tendinţe privind emisiile principalilor poluanţi atmosferici</w:t>
      </w:r>
    </w:p>
    <w:p w:rsidR="00743B28" w:rsidRPr="00004957" w:rsidRDefault="00743B28" w:rsidP="00755618">
      <w:pPr>
        <w:tabs>
          <w:tab w:val="left" w:pos="851"/>
          <w:tab w:val="left" w:leader="dot" w:pos="9356"/>
        </w:tabs>
        <w:rPr>
          <w:rFonts w:ascii="Arial" w:hAnsi="Arial" w:cs="Arial"/>
          <w:b/>
          <w:i/>
          <w:lang w:val="ro-RO"/>
        </w:rPr>
      </w:pPr>
    </w:p>
    <w:p w:rsidR="00743B28" w:rsidRPr="006B01A5" w:rsidRDefault="00743B28" w:rsidP="00755618">
      <w:pPr>
        <w:tabs>
          <w:tab w:val="left" w:pos="851"/>
          <w:tab w:val="left" w:leader="dot" w:pos="9356"/>
        </w:tabs>
        <w:jc w:val="both"/>
        <w:rPr>
          <w:rFonts w:ascii="Arial" w:hAnsi="Arial" w:cs="Arial"/>
          <w:color w:val="FF0000"/>
          <w:lang w:val="ro-RO"/>
        </w:rPr>
      </w:pPr>
    </w:p>
    <w:p w:rsidR="00743B28" w:rsidRPr="00F4688D" w:rsidRDefault="00743B28" w:rsidP="00755618">
      <w:pPr>
        <w:pStyle w:val="Default"/>
        <w:numPr>
          <w:ilvl w:val="0"/>
          <w:numId w:val="23"/>
        </w:numPr>
        <w:tabs>
          <w:tab w:val="left" w:pos="851"/>
        </w:tabs>
        <w:ind w:left="0" w:firstLine="0"/>
        <w:rPr>
          <w:b/>
          <w:bCs/>
          <w:color w:val="auto"/>
          <w:sz w:val="20"/>
          <w:szCs w:val="20"/>
        </w:rPr>
      </w:pPr>
      <w:r w:rsidRPr="00F4688D">
        <w:rPr>
          <w:b/>
          <w:color w:val="auto"/>
          <w:u w:val="single"/>
        </w:rPr>
        <w:t xml:space="preserve">Emisiile de substanțele acidifiante </w:t>
      </w:r>
    </w:p>
    <w:p w:rsidR="00743B28" w:rsidRPr="00F4688D" w:rsidRDefault="00743B28" w:rsidP="00CD2FE2">
      <w:pPr>
        <w:pStyle w:val="Default"/>
        <w:tabs>
          <w:tab w:val="left" w:pos="851"/>
        </w:tabs>
        <w:jc w:val="both"/>
        <w:rPr>
          <w:b/>
          <w:color w:val="auto"/>
          <w:sz w:val="22"/>
          <w:szCs w:val="22"/>
        </w:rPr>
      </w:pPr>
      <w:r w:rsidRPr="00F4688D">
        <w:rPr>
          <w:color w:val="auto"/>
        </w:rPr>
        <w:tab/>
      </w:r>
    </w:p>
    <w:p w:rsidR="00743B28" w:rsidRPr="00F4688D" w:rsidRDefault="00743B28" w:rsidP="00755618">
      <w:pPr>
        <w:pStyle w:val="Default"/>
        <w:tabs>
          <w:tab w:val="left" w:pos="851"/>
        </w:tabs>
        <w:jc w:val="center"/>
        <w:rPr>
          <w:b/>
          <w:color w:val="auto"/>
          <w:sz w:val="22"/>
          <w:szCs w:val="22"/>
        </w:rPr>
      </w:pPr>
      <w:r w:rsidRPr="00F4688D">
        <w:rPr>
          <w:b/>
          <w:color w:val="auto"/>
          <w:sz w:val="22"/>
          <w:szCs w:val="22"/>
        </w:rPr>
        <w:t>Figura I.3.1.1.</w:t>
      </w:r>
    </w:p>
    <w:p w:rsidR="00743B28" w:rsidRPr="00F4688D" w:rsidRDefault="00743B28" w:rsidP="00755618">
      <w:pPr>
        <w:pStyle w:val="Default"/>
        <w:tabs>
          <w:tab w:val="left" w:pos="851"/>
        </w:tabs>
        <w:jc w:val="center"/>
        <w:rPr>
          <w:b/>
          <w:color w:val="auto"/>
          <w:sz w:val="22"/>
          <w:szCs w:val="22"/>
        </w:rPr>
      </w:pPr>
      <w:r w:rsidRPr="00F4688D">
        <w:rPr>
          <w:b/>
          <w:color w:val="auto"/>
          <w:sz w:val="22"/>
          <w:szCs w:val="22"/>
        </w:rPr>
        <w:t xml:space="preserve">Evoluția şi tendinţele liniare ale emisiilor totale de </w:t>
      </w:r>
      <w:r w:rsidRPr="00F4688D">
        <w:rPr>
          <w:b/>
          <w:i/>
          <w:color w:val="auto"/>
          <w:sz w:val="22"/>
          <w:szCs w:val="22"/>
        </w:rPr>
        <w:t>substanțe acidifiante</w:t>
      </w:r>
      <w:r w:rsidRPr="00F4688D">
        <w:rPr>
          <w:b/>
          <w:color w:val="auto"/>
          <w:sz w:val="22"/>
          <w:szCs w:val="22"/>
        </w:rPr>
        <w:t>,</w:t>
      </w:r>
    </w:p>
    <w:p w:rsidR="00743B28" w:rsidRPr="00F4688D" w:rsidRDefault="00743B28" w:rsidP="00755618">
      <w:pPr>
        <w:pStyle w:val="Default"/>
        <w:tabs>
          <w:tab w:val="left" w:pos="851"/>
        </w:tabs>
        <w:jc w:val="center"/>
        <w:rPr>
          <w:b/>
          <w:color w:val="auto"/>
          <w:sz w:val="22"/>
          <w:szCs w:val="22"/>
        </w:rPr>
      </w:pPr>
      <w:r w:rsidRPr="00F4688D">
        <w:rPr>
          <w:b/>
          <w:color w:val="auto"/>
          <w:sz w:val="22"/>
          <w:szCs w:val="22"/>
        </w:rPr>
        <w:t xml:space="preserve"> județul Bistrița-Năsăud</w:t>
      </w:r>
    </w:p>
    <w:p w:rsidR="00743B28" w:rsidRPr="006B01A5" w:rsidRDefault="00497B20" w:rsidP="00755618">
      <w:pPr>
        <w:tabs>
          <w:tab w:val="left" w:pos="851"/>
        </w:tabs>
        <w:jc w:val="both"/>
        <w:rPr>
          <w:rFonts w:ascii="Arial" w:hAnsi="Arial" w:cs="Arial"/>
          <w:color w:val="FF0000"/>
          <w:sz w:val="20"/>
          <w:szCs w:val="20"/>
          <w:lang w:val="ro-RO"/>
        </w:rPr>
      </w:pPr>
      <w:r>
        <w:rPr>
          <w:noProof/>
          <w:lang w:val="en-US"/>
        </w:rPr>
        <w:drawing>
          <wp:inline distT="0" distB="0" distL="0" distR="0" wp14:anchorId="76B816EB" wp14:editId="2D8C6F15">
            <wp:extent cx="3939540" cy="2804160"/>
            <wp:effectExtent l="0" t="0" r="3810" b="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val="en-US"/>
        </w:rPr>
        <w:drawing>
          <wp:inline distT="0" distB="0" distL="0" distR="0" wp14:anchorId="261E377D" wp14:editId="7F389F94">
            <wp:extent cx="1714500" cy="2788920"/>
            <wp:effectExtent l="0" t="0" r="0" b="0"/>
            <wp:docPr id="5" name="Diagramă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43B28" w:rsidRPr="00995884" w:rsidRDefault="00743B28" w:rsidP="00755618">
      <w:pPr>
        <w:tabs>
          <w:tab w:val="left" w:pos="851"/>
        </w:tabs>
        <w:jc w:val="center"/>
        <w:rPr>
          <w:rFonts w:ascii="Arial" w:hAnsi="Arial" w:cs="Arial"/>
          <w:sz w:val="20"/>
          <w:szCs w:val="20"/>
          <w:lang w:val="ro-RO"/>
        </w:rPr>
      </w:pPr>
      <w:r w:rsidRPr="00995884">
        <w:rPr>
          <w:rFonts w:ascii="Arial" w:hAnsi="Arial" w:cs="Arial"/>
          <w:sz w:val="20"/>
          <w:szCs w:val="20"/>
          <w:lang w:val="ro-RO"/>
        </w:rPr>
        <w:t>Sursa: Agenţia pentru Protecţia Mediului Bistriţa-Năsăud</w:t>
      </w:r>
    </w:p>
    <w:p w:rsidR="00743B28" w:rsidRPr="006B01A5" w:rsidRDefault="00743B28" w:rsidP="00755618">
      <w:pPr>
        <w:tabs>
          <w:tab w:val="left" w:pos="851"/>
        </w:tabs>
        <w:jc w:val="both"/>
        <w:rPr>
          <w:rFonts w:ascii="Arial" w:hAnsi="Arial" w:cs="Arial"/>
          <w:color w:val="FF0000"/>
          <w:lang w:val="ro-RO"/>
        </w:rPr>
      </w:pPr>
      <w:r w:rsidRPr="006B01A5">
        <w:rPr>
          <w:rFonts w:ascii="Arial" w:hAnsi="Arial" w:cs="Arial"/>
          <w:color w:val="FF0000"/>
          <w:lang w:val="ro-RO"/>
        </w:rPr>
        <w:tab/>
      </w:r>
    </w:p>
    <w:p w:rsidR="00743B28" w:rsidRPr="00995884" w:rsidRDefault="00743B28" w:rsidP="00755618">
      <w:pPr>
        <w:pStyle w:val="Default"/>
        <w:tabs>
          <w:tab w:val="left" w:pos="851"/>
        </w:tabs>
        <w:jc w:val="center"/>
        <w:rPr>
          <w:b/>
          <w:bCs/>
          <w:color w:val="auto"/>
          <w:sz w:val="22"/>
          <w:szCs w:val="22"/>
        </w:rPr>
      </w:pPr>
      <w:r w:rsidRPr="00995884">
        <w:rPr>
          <w:b/>
          <w:bCs/>
          <w:color w:val="auto"/>
          <w:sz w:val="22"/>
          <w:szCs w:val="22"/>
        </w:rPr>
        <w:t>Figura I.3.1.2.</w:t>
      </w:r>
    </w:p>
    <w:p w:rsidR="00743B28" w:rsidRPr="00995884" w:rsidRDefault="00743B28" w:rsidP="00755618">
      <w:pPr>
        <w:pStyle w:val="Default"/>
        <w:tabs>
          <w:tab w:val="left" w:pos="851"/>
        </w:tabs>
        <w:jc w:val="center"/>
        <w:rPr>
          <w:b/>
          <w:bCs/>
          <w:color w:val="auto"/>
          <w:sz w:val="22"/>
          <w:szCs w:val="22"/>
        </w:rPr>
      </w:pPr>
      <w:r w:rsidRPr="00995884">
        <w:rPr>
          <w:b/>
          <w:bCs/>
          <w:color w:val="auto"/>
          <w:sz w:val="22"/>
          <w:szCs w:val="22"/>
        </w:rPr>
        <w:t xml:space="preserve">Evoluția emisiilor de substanțe acidifiante (Gg) provenite din </w:t>
      </w:r>
      <w:r w:rsidRPr="00995884">
        <w:rPr>
          <w:b/>
          <w:bCs/>
          <w:color w:val="auto"/>
          <w:sz w:val="22"/>
          <w:szCs w:val="22"/>
          <w:u w:val="single"/>
        </w:rPr>
        <w:t>sectorul energetic</w:t>
      </w:r>
      <w:r w:rsidRPr="00995884">
        <w:rPr>
          <w:b/>
          <w:bCs/>
          <w:color w:val="auto"/>
          <w:sz w:val="22"/>
          <w:szCs w:val="22"/>
        </w:rPr>
        <w:t>,</w:t>
      </w:r>
    </w:p>
    <w:p w:rsidR="00743B28" w:rsidRPr="00995884" w:rsidRDefault="00743B28" w:rsidP="00755618">
      <w:pPr>
        <w:pStyle w:val="Default"/>
        <w:tabs>
          <w:tab w:val="left" w:pos="851"/>
        </w:tabs>
        <w:jc w:val="center"/>
        <w:rPr>
          <w:b/>
          <w:bCs/>
          <w:color w:val="auto"/>
          <w:sz w:val="22"/>
          <w:szCs w:val="22"/>
        </w:rPr>
      </w:pPr>
      <w:r w:rsidRPr="00995884">
        <w:rPr>
          <w:b/>
          <w:bCs/>
          <w:color w:val="auto"/>
          <w:sz w:val="22"/>
          <w:szCs w:val="22"/>
        </w:rPr>
        <w:t>județul Bistrița-Năsăud</w:t>
      </w:r>
    </w:p>
    <w:p w:rsidR="00743B28" w:rsidRPr="00995884" w:rsidRDefault="00995884" w:rsidP="00995884">
      <w:pPr>
        <w:pStyle w:val="Default"/>
        <w:tabs>
          <w:tab w:val="left" w:pos="851"/>
        </w:tabs>
        <w:jc w:val="center"/>
        <w:rPr>
          <w:color w:val="auto"/>
        </w:rPr>
      </w:pPr>
      <w:r>
        <w:rPr>
          <w:noProof/>
          <w:lang w:val="en-US"/>
        </w:rPr>
        <w:drawing>
          <wp:inline distT="0" distB="0" distL="0" distR="0" wp14:anchorId="3E995D64" wp14:editId="795E252F">
            <wp:extent cx="3169920" cy="2606040"/>
            <wp:effectExtent l="0" t="0" r="0" b="3810"/>
            <wp:docPr id="25" name="Diagramă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val="en-US"/>
        </w:rPr>
        <w:drawing>
          <wp:inline distT="0" distB="0" distL="0" distR="0" wp14:anchorId="3BF9D483" wp14:editId="210A7346">
            <wp:extent cx="2575560" cy="2583180"/>
            <wp:effectExtent l="0" t="0" r="0" b="7620"/>
            <wp:docPr id="41" name="Diagramă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743B28" w:rsidRPr="00995884">
        <w:rPr>
          <w:color w:val="auto"/>
          <w:sz w:val="20"/>
          <w:szCs w:val="20"/>
        </w:rPr>
        <w:t>Sursa: Agenţia pentru Protecţia Mediului Bistriţa-Năsăud</w:t>
      </w:r>
    </w:p>
    <w:p w:rsidR="008D2600" w:rsidRPr="00995884" w:rsidRDefault="008D2600" w:rsidP="00755618">
      <w:pPr>
        <w:pStyle w:val="Default"/>
        <w:tabs>
          <w:tab w:val="left" w:pos="851"/>
        </w:tabs>
        <w:jc w:val="center"/>
        <w:rPr>
          <w:b/>
          <w:bCs/>
          <w:color w:val="auto"/>
          <w:sz w:val="22"/>
          <w:szCs w:val="22"/>
        </w:rPr>
      </w:pPr>
    </w:p>
    <w:p w:rsidR="00743B28" w:rsidRPr="00995884" w:rsidRDefault="00743B28" w:rsidP="00755618">
      <w:pPr>
        <w:pStyle w:val="Default"/>
        <w:tabs>
          <w:tab w:val="left" w:pos="851"/>
        </w:tabs>
        <w:jc w:val="center"/>
        <w:rPr>
          <w:b/>
          <w:bCs/>
          <w:color w:val="auto"/>
          <w:sz w:val="22"/>
          <w:szCs w:val="22"/>
        </w:rPr>
      </w:pPr>
      <w:r w:rsidRPr="00995884">
        <w:rPr>
          <w:b/>
          <w:bCs/>
          <w:color w:val="auto"/>
          <w:sz w:val="22"/>
          <w:szCs w:val="22"/>
        </w:rPr>
        <w:t>Figura I.3.1.3.</w:t>
      </w:r>
    </w:p>
    <w:p w:rsidR="00995884" w:rsidRPr="00995884" w:rsidRDefault="00743B28" w:rsidP="00755618">
      <w:pPr>
        <w:pStyle w:val="Default"/>
        <w:tabs>
          <w:tab w:val="left" w:pos="851"/>
        </w:tabs>
        <w:jc w:val="center"/>
        <w:rPr>
          <w:b/>
          <w:bCs/>
          <w:i/>
          <w:color w:val="auto"/>
          <w:sz w:val="22"/>
          <w:szCs w:val="22"/>
        </w:rPr>
      </w:pPr>
      <w:r w:rsidRPr="00995884">
        <w:rPr>
          <w:b/>
          <w:bCs/>
          <w:color w:val="auto"/>
          <w:sz w:val="22"/>
          <w:szCs w:val="22"/>
        </w:rPr>
        <w:t xml:space="preserve">Evoluția emisiilor de </w:t>
      </w:r>
      <w:r w:rsidRPr="00995884">
        <w:rPr>
          <w:b/>
          <w:bCs/>
          <w:i/>
          <w:color w:val="auto"/>
          <w:sz w:val="22"/>
          <w:szCs w:val="22"/>
        </w:rPr>
        <w:t xml:space="preserve">substanțe acidifiante </w:t>
      </w:r>
      <w:r w:rsidR="00995884" w:rsidRPr="00995884">
        <w:rPr>
          <w:b/>
          <w:bCs/>
          <w:i/>
          <w:color w:val="auto"/>
          <w:sz w:val="22"/>
          <w:szCs w:val="22"/>
        </w:rPr>
        <w:t xml:space="preserve">și a echivalentului acidifiant </w:t>
      </w:r>
    </w:p>
    <w:p w:rsidR="00743B28" w:rsidRPr="00995884" w:rsidRDefault="00743B28" w:rsidP="00755618">
      <w:pPr>
        <w:pStyle w:val="Default"/>
        <w:tabs>
          <w:tab w:val="left" w:pos="851"/>
        </w:tabs>
        <w:jc w:val="center"/>
        <w:rPr>
          <w:b/>
          <w:bCs/>
          <w:color w:val="auto"/>
          <w:sz w:val="22"/>
          <w:szCs w:val="22"/>
        </w:rPr>
      </w:pPr>
      <w:r w:rsidRPr="00995884">
        <w:rPr>
          <w:b/>
          <w:bCs/>
          <w:color w:val="auto"/>
          <w:sz w:val="22"/>
          <w:szCs w:val="22"/>
        </w:rPr>
        <w:t>provenite din</w:t>
      </w:r>
      <w:r w:rsidRPr="00995884">
        <w:rPr>
          <w:b/>
          <w:bCs/>
          <w:i/>
          <w:color w:val="auto"/>
          <w:sz w:val="22"/>
          <w:szCs w:val="22"/>
        </w:rPr>
        <w:t xml:space="preserve"> </w:t>
      </w:r>
      <w:r w:rsidRPr="00995884">
        <w:rPr>
          <w:b/>
          <w:bCs/>
          <w:i/>
          <w:color w:val="auto"/>
          <w:sz w:val="22"/>
          <w:szCs w:val="22"/>
          <w:u w:val="single"/>
        </w:rPr>
        <w:t>sectorul industrial</w:t>
      </w:r>
      <w:r w:rsidRPr="00995884">
        <w:rPr>
          <w:b/>
          <w:bCs/>
          <w:color w:val="auto"/>
          <w:sz w:val="22"/>
          <w:szCs w:val="22"/>
        </w:rPr>
        <w:t xml:space="preserve"> </w:t>
      </w:r>
      <w:r w:rsidR="00995884" w:rsidRPr="00995884">
        <w:rPr>
          <w:b/>
          <w:bCs/>
          <w:color w:val="auto"/>
          <w:sz w:val="22"/>
          <w:szCs w:val="22"/>
        </w:rPr>
        <w:t xml:space="preserve">, </w:t>
      </w:r>
      <w:r w:rsidRPr="00995884">
        <w:rPr>
          <w:b/>
          <w:bCs/>
          <w:color w:val="auto"/>
          <w:sz w:val="22"/>
          <w:szCs w:val="22"/>
        </w:rPr>
        <w:t>judeţul Bistriţa-Năsăud</w:t>
      </w:r>
    </w:p>
    <w:p w:rsidR="00C525CB" w:rsidRPr="006B01A5" w:rsidRDefault="00995884" w:rsidP="00755618">
      <w:pPr>
        <w:pStyle w:val="Default"/>
        <w:tabs>
          <w:tab w:val="left" w:pos="851"/>
        </w:tabs>
        <w:jc w:val="center"/>
        <w:rPr>
          <w:b/>
          <w:bCs/>
          <w:color w:val="FF0000"/>
          <w:sz w:val="22"/>
          <w:szCs w:val="22"/>
        </w:rPr>
      </w:pPr>
      <w:r>
        <w:rPr>
          <w:noProof/>
          <w:lang w:val="en-US"/>
        </w:rPr>
        <w:drawing>
          <wp:inline distT="0" distB="0" distL="0" distR="0" wp14:anchorId="22D32A51" wp14:editId="33E005B7">
            <wp:extent cx="4723765" cy="1775460"/>
            <wp:effectExtent l="0" t="0" r="635" b="0"/>
            <wp:docPr id="44" name="Diagramă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43B28" w:rsidRPr="00995884" w:rsidRDefault="00743B28" w:rsidP="00755618">
      <w:pPr>
        <w:tabs>
          <w:tab w:val="left" w:pos="851"/>
        </w:tabs>
        <w:jc w:val="center"/>
        <w:rPr>
          <w:rFonts w:ascii="Arial" w:hAnsi="Arial" w:cs="Arial"/>
          <w:lang w:val="ro-RO"/>
        </w:rPr>
      </w:pPr>
      <w:r w:rsidRPr="00995884">
        <w:rPr>
          <w:rFonts w:ascii="Arial" w:hAnsi="Arial" w:cs="Arial"/>
          <w:sz w:val="20"/>
          <w:szCs w:val="20"/>
          <w:lang w:val="ro-RO"/>
        </w:rPr>
        <w:t>Sursa: Agenţia pentru Protecţia Mediului Bistriţa-Năsăud</w:t>
      </w:r>
    </w:p>
    <w:p w:rsidR="00743B28" w:rsidRPr="0057765D" w:rsidRDefault="00743B28" w:rsidP="00755618">
      <w:pPr>
        <w:pStyle w:val="Default"/>
        <w:tabs>
          <w:tab w:val="left" w:pos="851"/>
        </w:tabs>
        <w:jc w:val="center"/>
        <w:rPr>
          <w:b/>
          <w:bCs/>
          <w:color w:val="auto"/>
          <w:sz w:val="22"/>
          <w:szCs w:val="22"/>
        </w:rPr>
      </w:pPr>
    </w:p>
    <w:p w:rsidR="00743B28" w:rsidRPr="0057765D" w:rsidRDefault="00743B28" w:rsidP="00755618">
      <w:pPr>
        <w:pStyle w:val="Default"/>
        <w:tabs>
          <w:tab w:val="left" w:pos="851"/>
        </w:tabs>
        <w:jc w:val="center"/>
        <w:rPr>
          <w:b/>
          <w:bCs/>
          <w:color w:val="auto"/>
          <w:sz w:val="22"/>
          <w:szCs w:val="22"/>
        </w:rPr>
      </w:pPr>
      <w:r w:rsidRPr="0057765D">
        <w:rPr>
          <w:b/>
          <w:bCs/>
          <w:color w:val="auto"/>
          <w:sz w:val="22"/>
          <w:szCs w:val="22"/>
        </w:rPr>
        <w:t>Figura I.3.1.4.</w:t>
      </w:r>
    </w:p>
    <w:p w:rsidR="00743B28" w:rsidRPr="0057765D" w:rsidRDefault="00743B28" w:rsidP="00755618">
      <w:pPr>
        <w:pStyle w:val="Default"/>
        <w:tabs>
          <w:tab w:val="left" w:pos="851"/>
        </w:tabs>
        <w:jc w:val="center"/>
        <w:rPr>
          <w:b/>
          <w:bCs/>
          <w:color w:val="auto"/>
          <w:sz w:val="22"/>
          <w:szCs w:val="22"/>
        </w:rPr>
      </w:pPr>
      <w:r w:rsidRPr="0057765D">
        <w:rPr>
          <w:b/>
          <w:bCs/>
          <w:color w:val="auto"/>
          <w:sz w:val="22"/>
          <w:szCs w:val="22"/>
        </w:rPr>
        <w:t xml:space="preserve">Evoluția emisiilor de </w:t>
      </w:r>
      <w:r w:rsidRPr="0057765D">
        <w:rPr>
          <w:b/>
          <w:bCs/>
          <w:i/>
          <w:color w:val="auto"/>
          <w:sz w:val="22"/>
          <w:szCs w:val="22"/>
        </w:rPr>
        <w:t>substanțe acidifiante</w:t>
      </w:r>
      <w:r w:rsidRPr="0057765D">
        <w:rPr>
          <w:b/>
          <w:bCs/>
          <w:color w:val="auto"/>
          <w:sz w:val="22"/>
          <w:szCs w:val="22"/>
        </w:rPr>
        <w:t xml:space="preserve"> provenite </w:t>
      </w:r>
    </w:p>
    <w:p w:rsidR="00743B28" w:rsidRPr="0057765D" w:rsidRDefault="00743B28" w:rsidP="00755618">
      <w:pPr>
        <w:pStyle w:val="Default"/>
        <w:tabs>
          <w:tab w:val="left" w:pos="851"/>
        </w:tabs>
        <w:jc w:val="center"/>
        <w:rPr>
          <w:b/>
          <w:bCs/>
          <w:color w:val="auto"/>
          <w:sz w:val="22"/>
          <w:szCs w:val="22"/>
        </w:rPr>
      </w:pPr>
      <w:r w:rsidRPr="0057765D">
        <w:rPr>
          <w:b/>
          <w:bCs/>
          <w:color w:val="auto"/>
          <w:sz w:val="22"/>
          <w:szCs w:val="22"/>
        </w:rPr>
        <w:t xml:space="preserve">din </w:t>
      </w:r>
      <w:r w:rsidRPr="0057765D">
        <w:rPr>
          <w:b/>
          <w:bCs/>
          <w:i/>
          <w:color w:val="auto"/>
          <w:sz w:val="22"/>
          <w:szCs w:val="22"/>
          <w:u w:val="single"/>
        </w:rPr>
        <w:t>transportul rutiere şi nerutiere</w:t>
      </w:r>
      <w:r w:rsidRPr="0057765D">
        <w:rPr>
          <w:b/>
          <w:bCs/>
          <w:color w:val="auto"/>
          <w:sz w:val="22"/>
          <w:szCs w:val="22"/>
        </w:rPr>
        <w:t>,</w:t>
      </w:r>
      <w:r w:rsidR="00E37DFB" w:rsidRPr="0057765D">
        <w:rPr>
          <w:b/>
          <w:bCs/>
          <w:color w:val="auto"/>
          <w:sz w:val="22"/>
          <w:szCs w:val="22"/>
        </w:rPr>
        <w:t xml:space="preserve"> </w:t>
      </w:r>
      <w:r w:rsidRPr="0057765D">
        <w:rPr>
          <w:b/>
          <w:bCs/>
          <w:color w:val="auto"/>
          <w:sz w:val="22"/>
          <w:szCs w:val="22"/>
        </w:rPr>
        <w:t>Judeţul Bistriţa-Năsăud</w:t>
      </w:r>
    </w:p>
    <w:p w:rsidR="00743B28" w:rsidRPr="006B01A5" w:rsidRDefault="00995884" w:rsidP="00755618">
      <w:pPr>
        <w:pStyle w:val="Default"/>
        <w:tabs>
          <w:tab w:val="left" w:pos="851"/>
        </w:tabs>
        <w:jc w:val="center"/>
        <w:rPr>
          <w:color w:val="FF0000"/>
        </w:rPr>
      </w:pPr>
      <w:r>
        <w:rPr>
          <w:noProof/>
          <w:lang w:val="en-US"/>
        </w:rPr>
        <w:drawing>
          <wp:inline distT="0" distB="0" distL="0" distR="0" wp14:anchorId="1B5C8B42" wp14:editId="702FB3AC">
            <wp:extent cx="4320540" cy="2240280"/>
            <wp:effectExtent l="0" t="0" r="3810" b="7620"/>
            <wp:docPr id="55" name="Diagramă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43B28" w:rsidRPr="00995884" w:rsidRDefault="00743B28" w:rsidP="00755618">
      <w:pPr>
        <w:tabs>
          <w:tab w:val="left" w:pos="851"/>
        </w:tabs>
        <w:jc w:val="center"/>
        <w:rPr>
          <w:rFonts w:ascii="Arial" w:hAnsi="Arial" w:cs="Arial"/>
          <w:lang w:val="ro-RO"/>
        </w:rPr>
      </w:pPr>
      <w:r w:rsidRPr="00995884">
        <w:rPr>
          <w:rFonts w:ascii="Arial" w:hAnsi="Arial" w:cs="Arial"/>
          <w:sz w:val="20"/>
          <w:szCs w:val="20"/>
          <w:lang w:val="ro-RO"/>
        </w:rPr>
        <w:t>Sursa: Agenţia pentru Protecţia Mediului Bistriţa-Năsăud</w:t>
      </w:r>
    </w:p>
    <w:p w:rsidR="00A27379" w:rsidRPr="006B01A5" w:rsidRDefault="00A27379" w:rsidP="00755618">
      <w:pPr>
        <w:pStyle w:val="Default"/>
        <w:tabs>
          <w:tab w:val="left" w:pos="851"/>
        </w:tabs>
        <w:jc w:val="center"/>
        <w:rPr>
          <w:b/>
          <w:bCs/>
          <w:color w:val="FF0000"/>
          <w:sz w:val="22"/>
          <w:szCs w:val="22"/>
        </w:rPr>
      </w:pPr>
    </w:p>
    <w:p w:rsidR="00743B28" w:rsidRPr="00995884" w:rsidRDefault="00743B28" w:rsidP="00755618">
      <w:pPr>
        <w:pStyle w:val="Default"/>
        <w:tabs>
          <w:tab w:val="left" w:pos="851"/>
        </w:tabs>
        <w:jc w:val="center"/>
        <w:rPr>
          <w:b/>
          <w:bCs/>
          <w:color w:val="auto"/>
          <w:sz w:val="22"/>
          <w:szCs w:val="22"/>
        </w:rPr>
      </w:pPr>
      <w:r w:rsidRPr="00995884">
        <w:rPr>
          <w:b/>
          <w:bCs/>
          <w:color w:val="auto"/>
          <w:sz w:val="22"/>
          <w:szCs w:val="22"/>
        </w:rPr>
        <w:t>Figura I.3.1.5.</w:t>
      </w:r>
    </w:p>
    <w:p w:rsidR="00743B28" w:rsidRPr="00995884" w:rsidRDefault="00743B28" w:rsidP="00755618">
      <w:pPr>
        <w:pStyle w:val="Default"/>
        <w:tabs>
          <w:tab w:val="left" w:pos="851"/>
        </w:tabs>
        <w:jc w:val="center"/>
        <w:rPr>
          <w:b/>
          <w:bCs/>
          <w:color w:val="auto"/>
          <w:sz w:val="22"/>
          <w:szCs w:val="22"/>
        </w:rPr>
      </w:pPr>
      <w:r w:rsidRPr="00995884">
        <w:rPr>
          <w:b/>
          <w:bCs/>
          <w:color w:val="auto"/>
          <w:sz w:val="22"/>
          <w:szCs w:val="22"/>
        </w:rPr>
        <w:t xml:space="preserve">Evoluția emisiilor de </w:t>
      </w:r>
      <w:r w:rsidRPr="00995884">
        <w:rPr>
          <w:b/>
          <w:bCs/>
          <w:i/>
          <w:color w:val="auto"/>
          <w:sz w:val="22"/>
          <w:szCs w:val="22"/>
        </w:rPr>
        <w:t>NH</w:t>
      </w:r>
      <w:r w:rsidRPr="00995884">
        <w:rPr>
          <w:b/>
          <w:bCs/>
          <w:i/>
          <w:color w:val="auto"/>
          <w:sz w:val="22"/>
          <w:szCs w:val="22"/>
          <w:vertAlign w:val="subscript"/>
        </w:rPr>
        <w:t>3</w:t>
      </w:r>
      <w:r w:rsidRPr="00995884">
        <w:rPr>
          <w:b/>
          <w:bCs/>
          <w:i/>
          <w:color w:val="auto"/>
          <w:sz w:val="22"/>
          <w:szCs w:val="22"/>
        </w:rPr>
        <w:t xml:space="preserve"> (Gg) ca substanță acidifiantă</w:t>
      </w:r>
      <w:r w:rsidRPr="00995884">
        <w:rPr>
          <w:b/>
          <w:bCs/>
          <w:color w:val="auto"/>
          <w:sz w:val="22"/>
          <w:szCs w:val="22"/>
        </w:rPr>
        <w:t xml:space="preserve"> provenită din </w:t>
      </w:r>
      <w:r w:rsidRPr="00995884">
        <w:rPr>
          <w:b/>
          <w:bCs/>
          <w:i/>
          <w:color w:val="auto"/>
          <w:sz w:val="22"/>
          <w:szCs w:val="22"/>
          <w:u w:val="single"/>
        </w:rPr>
        <w:t>sectorul agricol</w:t>
      </w:r>
      <w:r w:rsidRPr="00995884">
        <w:rPr>
          <w:b/>
          <w:bCs/>
          <w:color w:val="auto"/>
          <w:sz w:val="22"/>
          <w:szCs w:val="22"/>
        </w:rPr>
        <w:t>,</w:t>
      </w:r>
    </w:p>
    <w:p w:rsidR="00743B28" w:rsidRPr="006B01A5" w:rsidRDefault="00743B28" w:rsidP="00755618">
      <w:pPr>
        <w:pStyle w:val="Default"/>
        <w:tabs>
          <w:tab w:val="left" w:pos="851"/>
        </w:tabs>
        <w:jc w:val="center"/>
        <w:rPr>
          <w:b/>
          <w:bCs/>
          <w:color w:val="FF0000"/>
          <w:sz w:val="22"/>
          <w:szCs w:val="22"/>
        </w:rPr>
      </w:pPr>
      <w:r w:rsidRPr="00995884">
        <w:rPr>
          <w:b/>
          <w:bCs/>
          <w:color w:val="auto"/>
          <w:sz w:val="22"/>
          <w:szCs w:val="22"/>
        </w:rPr>
        <w:t xml:space="preserve"> judeţul Bistriţa-Năsăud</w:t>
      </w:r>
    </w:p>
    <w:p w:rsidR="00743B28" w:rsidRPr="006B01A5" w:rsidRDefault="00995884" w:rsidP="00755618">
      <w:pPr>
        <w:pStyle w:val="Default"/>
        <w:tabs>
          <w:tab w:val="left" w:pos="851"/>
        </w:tabs>
        <w:jc w:val="center"/>
        <w:rPr>
          <w:b/>
          <w:bCs/>
          <w:color w:val="FF0000"/>
          <w:sz w:val="20"/>
          <w:szCs w:val="20"/>
        </w:rPr>
      </w:pPr>
      <w:r>
        <w:rPr>
          <w:noProof/>
          <w:lang w:val="en-US"/>
        </w:rPr>
        <w:drawing>
          <wp:inline distT="0" distB="0" distL="0" distR="0" wp14:anchorId="788BE3F0" wp14:editId="0832B891">
            <wp:extent cx="5071110" cy="2255520"/>
            <wp:effectExtent l="0" t="0" r="0" b="0"/>
            <wp:docPr id="56" name="Diagramă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43B28" w:rsidRPr="00995884" w:rsidRDefault="00743B28" w:rsidP="00755618">
      <w:pPr>
        <w:tabs>
          <w:tab w:val="left" w:pos="851"/>
        </w:tabs>
        <w:jc w:val="center"/>
        <w:rPr>
          <w:rFonts w:ascii="Arial" w:hAnsi="Arial" w:cs="Arial"/>
          <w:lang w:val="ro-RO"/>
        </w:rPr>
      </w:pPr>
      <w:r w:rsidRPr="00995884">
        <w:rPr>
          <w:rFonts w:ascii="Arial" w:hAnsi="Arial" w:cs="Arial"/>
          <w:sz w:val="20"/>
          <w:szCs w:val="20"/>
          <w:lang w:val="ro-RO"/>
        </w:rPr>
        <w:t>Sursa: Agenţia pentru Protecţia Mediului Bistriţa-Năsăud</w:t>
      </w: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Figura I.3.1.6.</w:t>
      </w: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 xml:space="preserve">Evoluția emisiilor de </w:t>
      </w:r>
      <w:r w:rsidRPr="00A66EEB">
        <w:rPr>
          <w:b/>
          <w:bCs/>
          <w:i/>
          <w:color w:val="auto"/>
          <w:sz w:val="22"/>
          <w:szCs w:val="22"/>
        </w:rPr>
        <w:t>substanț</w:t>
      </w:r>
      <w:r w:rsidR="00A66EEB" w:rsidRPr="00A66EEB">
        <w:rPr>
          <w:b/>
          <w:bCs/>
          <w:i/>
          <w:color w:val="auto"/>
          <w:sz w:val="22"/>
          <w:szCs w:val="22"/>
        </w:rPr>
        <w:t>e</w:t>
      </w:r>
      <w:r w:rsidRPr="00A66EEB">
        <w:rPr>
          <w:b/>
          <w:bCs/>
          <w:i/>
          <w:color w:val="auto"/>
          <w:sz w:val="22"/>
          <w:szCs w:val="22"/>
        </w:rPr>
        <w:t xml:space="preserve"> acidifiant</w:t>
      </w:r>
      <w:r w:rsidR="00A66EEB" w:rsidRPr="00A66EEB">
        <w:rPr>
          <w:b/>
          <w:bCs/>
          <w:i/>
          <w:color w:val="auto"/>
          <w:sz w:val="22"/>
          <w:szCs w:val="22"/>
        </w:rPr>
        <w:t>e</w:t>
      </w:r>
      <w:r w:rsidRPr="00A66EEB">
        <w:rPr>
          <w:b/>
          <w:bCs/>
          <w:color w:val="auto"/>
          <w:sz w:val="22"/>
          <w:szCs w:val="22"/>
        </w:rPr>
        <w:t xml:space="preserve"> provenit</w:t>
      </w:r>
      <w:r w:rsidR="00A66EEB" w:rsidRPr="00A66EEB">
        <w:rPr>
          <w:b/>
          <w:bCs/>
          <w:color w:val="auto"/>
          <w:sz w:val="22"/>
          <w:szCs w:val="22"/>
        </w:rPr>
        <w:t xml:space="preserve">e </w:t>
      </w:r>
      <w:r w:rsidRPr="00A66EEB">
        <w:rPr>
          <w:b/>
          <w:bCs/>
          <w:color w:val="auto"/>
          <w:sz w:val="22"/>
          <w:szCs w:val="22"/>
        </w:rPr>
        <w:t xml:space="preserve">din </w:t>
      </w:r>
      <w:r w:rsidRPr="00A66EEB">
        <w:rPr>
          <w:b/>
          <w:bCs/>
          <w:i/>
          <w:color w:val="auto"/>
          <w:sz w:val="22"/>
          <w:szCs w:val="22"/>
          <w:u w:val="single"/>
        </w:rPr>
        <w:t>sectorul deseuri</w:t>
      </w:r>
      <w:r w:rsidRPr="00A66EEB">
        <w:rPr>
          <w:b/>
          <w:bCs/>
          <w:color w:val="auto"/>
          <w:sz w:val="22"/>
          <w:szCs w:val="22"/>
        </w:rPr>
        <w:t>,</w:t>
      </w: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 xml:space="preserve"> judeţul Bistriţa-Năsăud</w:t>
      </w:r>
    </w:p>
    <w:p w:rsidR="00743B28" w:rsidRPr="006B01A5" w:rsidRDefault="00A66EEB" w:rsidP="00755618">
      <w:pPr>
        <w:pStyle w:val="Default"/>
        <w:tabs>
          <w:tab w:val="left" w:pos="851"/>
        </w:tabs>
        <w:jc w:val="center"/>
        <w:rPr>
          <w:bCs/>
          <w:color w:val="FF0000"/>
        </w:rPr>
      </w:pPr>
      <w:r>
        <w:rPr>
          <w:noProof/>
          <w:lang w:val="en-US"/>
        </w:rPr>
        <w:drawing>
          <wp:inline distT="0" distB="0" distL="0" distR="0" wp14:anchorId="708A5B4D" wp14:editId="7A1FB4FF">
            <wp:extent cx="4450080" cy="1866900"/>
            <wp:effectExtent l="0" t="0" r="7620" b="0"/>
            <wp:docPr id="57" name="Diagramă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43B28" w:rsidRPr="00A66EEB" w:rsidRDefault="00743B28" w:rsidP="00755618">
      <w:pPr>
        <w:tabs>
          <w:tab w:val="left" w:pos="851"/>
        </w:tabs>
        <w:jc w:val="center"/>
        <w:rPr>
          <w:rFonts w:ascii="Arial" w:hAnsi="Arial" w:cs="Arial"/>
          <w:lang w:val="ro-RO"/>
        </w:rPr>
      </w:pPr>
      <w:r w:rsidRPr="00A66EEB">
        <w:rPr>
          <w:rFonts w:ascii="Arial" w:hAnsi="Arial" w:cs="Arial"/>
          <w:sz w:val="20"/>
          <w:szCs w:val="20"/>
          <w:lang w:val="ro-RO"/>
        </w:rPr>
        <w:t>Sursa: Agenţia pentru Protecţia Mediului Bistriţa-Năsăud</w:t>
      </w:r>
    </w:p>
    <w:p w:rsidR="00743B28" w:rsidRPr="006B01A5" w:rsidRDefault="00743B28" w:rsidP="00755618">
      <w:pPr>
        <w:pStyle w:val="Default"/>
        <w:tabs>
          <w:tab w:val="left" w:pos="851"/>
        </w:tabs>
        <w:jc w:val="both"/>
        <w:rPr>
          <w:bCs/>
          <w:color w:val="FF0000"/>
        </w:rPr>
      </w:pPr>
    </w:p>
    <w:p w:rsidR="00743B28" w:rsidRPr="00A66EEB" w:rsidRDefault="00743B28" w:rsidP="00755618">
      <w:pPr>
        <w:pStyle w:val="Listparagraf"/>
        <w:numPr>
          <w:ilvl w:val="0"/>
          <w:numId w:val="23"/>
        </w:numPr>
        <w:tabs>
          <w:tab w:val="left" w:pos="851"/>
          <w:tab w:val="left" w:pos="1134"/>
          <w:tab w:val="left" w:leader="dot" w:pos="9356"/>
        </w:tabs>
        <w:ind w:left="0" w:firstLine="0"/>
        <w:rPr>
          <w:rFonts w:ascii="Arial" w:hAnsi="Arial" w:cs="Arial"/>
          <w:b/>
          <w:lang w:val="ro-RO"/>
        </w:rPr>
      </w:pPr>
      <w:r w:rsidRPr="00A66EEB">
        <w:rPr>
          <w:rFonts w:ascii="Arial" w:hAnsi="Arial" w:cs="Arial"/>
          <w:b/>
          <w:u w:val="single"/>
          <w:lang w:val="ro-RO"/>
        </w:rPr>
        <w:t>Emisiile de precursori ai ozonului</w:t>
      </w:r>
    </w:p>
    <w:p w:rsidR="00743B28" w:rsidRPr="00A66EEB" w:rsidRDefault="00743B28" w:rsidP="00755618">
      <w:pPr>
        <w:pStyle w:val="Listparagraf"/>
        <w:tabs>
          <w:tab w:val="left" w:pos="851"/>
          <w:tab w:val="left" w:pos="1134"/>
          <w:tab w:val="left" w:leader="dot" w:pos="9356"/>
        </w:tabs>
        <w:ind w:left="0"/>
        <w:rPr>
          <w:rFonts w:ascii="Arial" w:hAnsi="Arial" w:cs="Arial"/>
          <w:u w:val="single"/>
          <w:lang w:val="ro-RO"/>
        </w:rPr>
      </w:pPr>
    </w:p>
    <w:p w:rsidR="00743B28" w:rsidRPr="00A66EEB" w:rsidRDefault="00743B28" w:rsidP="00755618">
      <w:pPr>
        <w:pStyle w:val="Listparagraf"/>
        <w:tabs>
          <w:tab w:val="left" w:pos="851"/>
          <w:tab w:val="left" w:pos="1134"/>
          <w:tab w:val="left" w:leader="dot" w:pos="9356"/>
        </w:tabs>
        <w:ind w:left="0"/>
        <w:rPr>
          <w:rFonts w:ascii="Arial" w:hAnsi="Arial" w:cs="Arial"/>
          <w:lang w:val="ro-RO"/>
        </w:rPr>
      </w:pPr>
      <w:r w:rsidRPr="00A66EEB">
        <w:rPr>
          <w:rFonts w:ascii="Arial" w:hAnsi="Arial" w:cs="Arial"/>
          <w:lang w:val="ro-RO"/>
        </w:rPr>
        <w:tab/>
        <w:t>Emisiile tuturor precursorilor ozonului au o tendință de scădere, ceea ce se vede în liniile de tendințe a poluanților:</w:t>
      </w:r>
    </w:p>
    <w:p w:rsidR="00743B28" w:rsidRPr="00A66EEB" w:rsidRDefault="00743B28" w:rsidP="00755618">
      <w:pPr>
        <w:pStyle w:val="Default"/>
        <w:tabs>
          <w:tab w:val="left" w:pos="851"/>
        </w:tabs>
        <w:jc w:val="center"/>
        <w:rPr>
          <w:color w:val="auto"/>
          <w:sz w:val="22"/>
          <w:szCs w:val="22"/>
        </w:rPr>
      </w:pPr>
      <w:r w:rsidRPr="00A66EEB">
        <w:rPr>
          <w:color w:val="auto"/>
          <w:sz w:val="22"/>
          <w:szCs w:val="22"/>
        </w:rPr>
        <w:tab/>
      </w: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Figura I.3.1.7.</w:t>
      </w: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 xml:space="preserve">Evoluția şi tendinţele liniare ale emisiilor de </w:t>
      </w:r>
      <w:r w:rsidRPr="00A66EEB">
        <w:rPr>
          <w:b/>
          <w:bCs/>
          <w:i/>
          <w:color w:val="auto"/>
          <w:sz w:val="22"/>
          <w:szCs w:val="22"/>
        </w:rPr>
        <w:t>precursori ai ozonului</w:t>
      </w:r>
      <w:r w:rsidRPr="00A66EEB">
        <w:rPr>
          <w:b/>
          <w:bCs/>
          <w:color w:val="auto"/>
          <w:sz w:val="22"/>
          <w:szCs w:val="22"/>
        </w:rPr>
        <w:t xml:space="preserve">, </w:t>
      </w: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 xml:space="preserve">județul Bistrița-Năsăud </w:t>
      </w:r>
    </w:p>
    <w:p w:rsidR="00743B28" w:rsidRPr="00A66EEB" w:rsidRDefault="00A66EEB" w:rsidP="00755618">
      <w:pPr>
        <w:pStyle w:val="Listparagraf"/>
        <w:tabs>
          <w:tab w:val="left" w:pos="851"/>
          <w:tab w:val="left" w:pos="1134"/>
          <w:tab w:val="left" w:leader="dot" w:pos="9356"/>
        </w:tabs>
        <w:ind w:left="0"/>
        <w:jc w:val="center"/>
        <w:rPr>
          <w:rFonts w:ascii="Arial" w:hAnsi="Arial" w:cs="Arial"/>
          <w:sz w:val="20"/>
          <w:szCs w:val="20"/>
          <w:lang w:val="ro-RO"/>
        </w:rPr>
      </w:pPr>
      <w:r w:rsidRPr="00A66EEB">
        <w:rPr>
          <w:noProof/>
          <w:lang w:val="en-US"/>
        </w:rPr>
        <w:drawing>
          <wp:inline distT="0" distB="0" distL="0" distR="0" wp14:anchorId="248400F3" wp14:editId="679CB3A5">
            <wp:extent cx="5049520" cy="1851660"/>
            <wp:effectExtent l="0" t="0" r="0" b="0"/>
            <wp:docPr id="58" name="Diagramă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43B28" w:rsidRPr="00A66EEB" w:rsidRDefault="00743B28" w:rsidP="00755618">
      <w:pPr>
        <w:pStyle w:val="Listparagraf"/>
        <w:tabs>
          <w:tab w:val="left" w:pos="851"/>
          <w:tab w:val="left" w:pos="1134"/>
          <w:tab w:val="left" w:leader="dot" w:pos="9356"/>
        </w:tabs>
        <w:ind w:left="0"/>
        <w:jc w:val="center"/>
        <w:rPr>
          <w:rFonts w:ascii="Arial" w:hAnsi="Arial" w:cs="Arial"/>
          <w:lang w:val="ro-RO"/>
        </w:rPr>
      </w:pPr>
      <w:r w:rsidRPr="00A66EEB">
        <w:rPr>
          <w:rFonts w:ascii="Arial" w:hAnsi="Arial" w:cs="Arial"/>
          <w:sz w:val="20"/>
          <w:szCs w:val="20"/>
          <w:lang w:val="ro-RO"/>
        </w:rPr>
        <w:t>Sursa: Agenţia pentru Protecţia Mediului Bistriţa-Năsăud</w:t>
      </w:r>
    </w:p>
    <w:p w:rsidR="00743B28" w:rsidRPr="00A66EEB" w:rsidRDefault="00743B28" w:rsidP="005C2371">
      <w:pPr>
        <w:pStyle w:val="Default"/>
        <w:tabs>
          <w:tab w:val="left" w:pos="851"/>
        </w:tabs>
        <w:jc w:val="center"/>
        <w:rPr>
          <w:b/>
          <w:bCs/>
          <w:color w:val="auto"/>
          <w:sz w:val="22"/>
          <w:szCs w:val="22"/>
        </w:rPr>
      </w:pPr>
      <w:r w:rsidRPr="00A66EEB">
        <w:rPr>
          <w:b/>
          <w:bCs/>
          <w:color w:val="auto"/>
          <w:sz w:val="22"/>
          <w:szCs w:val="22"/>
        </w:rPr>
        <w:t>Figura I.3.1.8.</w:t>
      </w:r>
    </w:p>
    <w:p w:rsidR="00743B28" w:rsidRPr="00A66EEB" w:rsidRDefault="00743B28" w:rsidP="00755618">
      <w:pPr>
        <w:pStyle w:val="Default"/>
        <w:tabs>
          <w:tab w:val="left" w:pos="851"/>
        </w:tabs>
        <w:jc w:val="center"/>
        <w:rPr>
          <w:bCs/>
          <w:color w:val="auto"/>
          <w:sz w:val="22"/>
          <w:szCs w:val="22"/>
        </w:rPr>
      </w:pPr>
      <w:r w:rsidRPr="00A66EEB">
        <w:rPr>
          <w:bCs/>
          <w:color w:val="auto"/>
          <w:sz w:val="22"/>
          <w:szCs w:val="22"/>
        </w:rPr>
        <w:t xml:space="preserve">Evoluția emisiilor de </w:t>
      </w:r>
      <w:r w:rsidRPr="00A66EEB">
        <w:rPr>
          <w:bCs/>
          <w:i/>
          <w:color w:val="auto"/>
          <w:sz w:val="22"/>
          <w:szCs w:val="22"/>
        </w:rPr>
        <w:t>precursori ai ozonului</w:t>
      </w:r>
      <w:r w:rsidRPr="00A66EEB">
        <w:rPr>
          <w:bCs/>
          <w:color w:val="auto"/>
          <w:sz w:val="22"/>
          <w:szCs w:val="22"/>
        </w:rPr>
        <w:t xml:space="preserve"> provenite din </w:t>
      </w:r>
      <w:r w:rsidRPr="00A66EEB">
        <w:rPr>
          <w:bCs/>
          <w:i/>
          <w:color w:val="auto"/>
          <w:sz w:val="22"/>
          <w:szCs w:val="22"/>
          <w:u w:val="single"/>
        </w:rPr>
        <w:t>sectorul energetic</w:t>
      </w:r>
      <w:r w:rsidRPr="00A66EEB">
        <w:rPr>
          <w:bCs/>
          <w:color w:val="auto"/>
          <w:sz w:val="22"/>
          <w:szCs w:val="22"/>
        </w:rPr>
        <w:t xml:space="preserve">, </w:t>
      </w:r>
    </w:p>
    <w:p w:rsidR="00743B28" w:rsidRPr="00A66EEB" w:rsidRDefault="00743B28" w:rsidP="00755618">
      <w:pPr>
        <w:pStyle w:val="Default"/>
        <w:tabs>
          <w:tab w:val="left" w:pos="851"/>
        </w:tabs>
        <w:jc w:val="center"/>
        <w:rPr>
          <w:color w:val="auto"/>
          <w:sz w:val="22"/>
          <w:szCs w:val="22"/>
        </w:rPr>
      </w:pPr>
      <w:r w:rsidRPr="00A66EEB">
        <w:rPr>
          <w:bCs/>
          <w:color w:val="auto"/>
          <w:sz w:val="22"/>
          <w:szCs w:val="22"/>
        </w:rPr>
        <w:t>judeţul Bistriţa-Năsăud</w:t>
      </w:r>
    </w:p>
    <w:p w:rsidR="00743B28" w:rsidRPr="006B01A5" w:rsidRDefault="00A66EEB" w:rsidP="00755618">
      <w:pPr>
        <w:pStyle w:val="Listparagraf"/>
        <w:tabs>
          <w:tab w:val="left" w:pos="851"/>
          <w:tab w:val="left" w:pos="1134"/>
          <w:tab w:val="left" w:leader="dot" w:pos="9356"/>
        </w:tabs>
        <w:ind w:left="0"/>
        <w:jc w:val="center"/>
        <w:rPr>
          <w:rFonts w:ascii="Arial" w:hAnsi="Arial" w:cs="Arial"/>
          <w:color w:val="FF0000"/>
          <w:lang w:val="ro-RO"/>
        </w:rPr>
      </w:pPr>
      <w:r>
        <w:rPr>
          <w:noProof/>
          <w:lang w:val="en-US"/>
        </w:rPr>
        <w:drawing>
          <wp:inline distT="0" distB="0" distL="0" distR="0" wp14:anchorId="4665EECB" wp14:editId="5976915C">
            <wp:extent cx="4995545" cy="2110740"/>
            <wp:effectExtent l="0" t="0" r="0" b="3810"/>
            <wp:docPr id="59" name="Diagramă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3B28" w:rsidRPr="00A66EEB" w:rsidRDefault="00743B28" w:rsidP="00755618">
      <w:pPr>
        <w:tabs>
          <w:tab w:val="left" w:pos="851"/>
        </w:tabs>
        <w:jc w:val="center"/>
        <w:rPr>
          <w:rFonts w:ascii="Arial" w:hAnsi="Arial" w:cs="Arial"/>
          <w:lang w:val="ro-RO"/>
        </w:rPr>
      </w:pPr>
      <w:r w:rsidRPr="00A66EEB">
        <w:rPr>
          <w:rFonts w:ascii="Arial" w:hAnsi="Arial" w:cs="Arial"/>
          <w:sz w:val="20"/>
          <w:szCs w:val="20"/>
          <w:lang w:val="ro-RO"/>
        </w:rPr>
        <w:t>Sursa: Agenţia pentru Protecţia Mediului Bistriţa-Năsăud</w:t>
      </w:r>
    </w:p>
    <w:p w:rsidR="005C2371" w:rsidRDefault="005C2371" w:rsidP="00755618">
      <w:pPr>
        <w:pStyle w:val="Default"/>
        <w:tabs>
          <w:tab w:val="left" w:pos="851"/>
        </w:tabs>
        <w:jc w:val="center"/>
        <w:rPr>
          <w:b/>
          <w:bCs/>
          <w:color w:val="auto"/>
          <w:sz w:val="22"/>
          <w:szCs w:val="22"/>
        </w:rPr>
      </w:pP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Figura I.3.1.9.</w:t>
      </w: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Evoluția emisiilor de NMVOC (</w:t>
      </w:r>
      <w:r w:rsidRPr="00A66EEB">
        <w:rPr>
          <w:b/>
          <w:bCs/>
          <w:i/>
          <w:color w:val="auto"/>
          <w:sz w:val="22"/>
          <w:szCs w:val="22"/>
        </w:rPr>
        <w:t>precursor al ozonului</w:t>
      </w:r>
      <w:r w:rsidRPr="00A66EEB">
        <w:rPr>
          <w:b/>
          <w:bCs/>
          <w:color w:val="auto"/>
          <w:sz w:val="22"/>
          <w:szCs w:val="22"/>
        </w:rPr>
        <w:t xml:space="preserve">) provenite din </w:t>
      </w:r>
      <w:r w:rsidRPr="00A66EEB">
        <w:rPr>
          <w:b/>
          <w:bCs/>
          <w:i/>
          <w:color w:val="auto"/>
          <w:sz w:val="22"/>
          <w:szCs w:val="22"/>
          <w:u w:val="single"/>
        </w:rPr>
        <w:t>sectorul industrial</w:t>
      </w:r>
      <w:r w:rsidRPr="00A66EEB">
        <w:rPr>
          <w:b/>
          <w:bCs/>
          <w:color w:val="auto"/>
          <w:sz w:val="22"/>
          <w:szCs w:val="22"/>
        </w:rPr>
        <w:t xml:space="preserve">, </w:t>
      </w:r>
    </w:p>
    <w:p w:rsidR="00743B28" w:rsidRPr="00A66EEB" w:rsidRDefault="00743B28" w:rsidP="00755618">
      <w:pPr>
        <w:pStyle w:val="Default"/>
        <w:tabs>
          <w:tab w:val="left" w:pos="851"/>
        </w:tabs>
        <w:jc w:val="center"/>
        <w:rPr>
          <w:color w:val="auto"/>
          <w:sz w:val="22"/>
          <w:szCs w:val="22"/>
        </w:rPr>
      </w:pPr>
      <w:r w:rsidRPr="00A66EEB">
        <w:rPr>
          <w:b/>
          <w:bCs/>
          <w:color w:val="auto"/>
          <w:sz w:val="22"/>
          <w:szCs w:val="22"/>
        </w:rPr>
        <w:t xml:space="preserve"> judeţul Bistriţa-Năsăud</w:t>
      </w:r>
    </w:p>
    <w:p w:rsidR="00743B28" w:rsidRPr="00A66EEB" w:rsidRDefault="00A66EEB" w:rsidP="00A66EEB">
      <w:pPr>
        <w:pStyle w:val="Listparagraf"/>
        <w:tabs>
          <w:tab w:val="left" w:pos="851"/>
          <w:tab w:val="left" w:pos="1134"/>
          <w:tab w:val="left" w:leader="dot" w:pos="9356"/>
        </w:tabs>
        <w:ind w:left="0"/>
        <w:jc w:val="center"/>
        <w:rPr>
          <w:rFonts w:ascii="Arial" w:hAnsi="Arial" w:cs="Arial"/>
          <w:lang w:val="ro-RO"/>
        </w:rPr>
      </w:pPr>
      <w:r w:rsidRPr="00A66EEB">
        <w:rPr>
          <w:noProof/>
          <w:lang w:val="en-US"/>
        </w:rPr>
        <w:drawing>
          <wp:inline distT="0" distB="0" distL="0" distR="0" wp14:anchorId="6A20AEF5" wp14:editId="2A17B6F6">
            <wp:extent cx="4358640" cy="2141220"/>
            <wp:effectExtent l="0" t="0" r="3810" b="0"/>
            <wp:docPr id="60" name="Diagramă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43B28" w:rsidRPr="00A66EEB" w:rsidRDefault="00743B28" w:rsidP="00755618">
      <w:pPr>
        <w:tabs>
          <w:tab w:val="left" w:pos="851"/>
        </w:tabs>
        <w:jc w:val="center"/>
        <w:rPr>
          <w:rFonts w:ascii="Arial" w:hAnsi="Arial" w:cs="Arial"/>
          <w:sz w:val="20"/>
          <w:szCs w:val="20"/>
          <w:lang w:val="ro-RO"/>
        </w:rPr>
      </w:pPr>
      <w:r w:rsidRPr="00A66EEB">
        <w:rPr>
          <w:rFonts w:ascii="Arial" w:hAnsi="Arial" w:cs="Arial"/>
          <w:lang w:val="ro-RO"/>
        </w:rPr>
        <w:tab/>
      </w:r>
      <w:r w:rsidRPr="00A66EEB">
        <w:rPr>
          <w:rFonts w:ascii="Arial" w:hAnsi="Arial" w:cs="Arial"/>
          <w:sz w:val="20"/>
          <w:szCs w:val="20"/>
          <w:lang w:val="ro-RO"/>
        </w:rPr>
        <w:t>Sursa: Agenţia pentru Protecţia Mediului Bistriţa-Năsăud</w:t>
      </w:r>
    </w:p>
    <w:p w:rsidR="00743B28" w:rsidRDefault="00743B28" w:rsidP="00755618">
      <w:pPr>
        <w:tabs>
          <w:tab w:val="left" w:pos="851"/>
        </w:tabs>
        <w:jc w:val="center"/>
        <w:rPr>
          <w:rFonts w:ascii="Arial" w:hAnsi="Arial" w:cs="Arial"/>
          <w:color w:val="FF0000"/>
          <w:lang w:val="ro-RO"/>
        </w:rPr>
      </w:pP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Figura I.3.1.10.</w:t>
      </w: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 xml:space="preserve">Evoluția emisiilor de </w:t>
      </w:r>
      <w:r w:rsidRPr="00A66EEB">
        <w:rPr>
          <w:b/>
          <w:bCs/>
          <w:i/>
          <w:color w:val="auto"/>
          <w:sz w:val="22"/>
          <w:szCs w:val="22"/>
        </w:rPr>
        <w:t>precursori ai ozonului</w:t>
      </w:r>
      <w:r w:rsidRPr="00A66EEB">
        <w:rPr>
          <w:b/>
          <w:bCs/>
          <w:color w:val="auto"/>
          <w:sz w:val="22"/>
          <w:szCs w:val="22"/>
        </w:rPr>
        <w:t xml:space="preserve"> provenite din </w:t>
      </w:r>
      <w:r w:rsidRPr="00A66EEB">
        <w:rPr>
          <w:b/>
          <w:bCs/>
          <w:i/>
          <w:color w:val="auto"/>
          <w:sz w:val="22"/>
          <w:szCs w:val="22"/>
          <w:u w:val="single"/>
        </w:rPr>
        <w:t>transport</w:t>
      </w:r>
      <w:r w:rsidRPr="00A66EEB">
        <w:rPr>
          <w:b/>
          <w:bCs/>
          <w:i/>
          <w:color w:val="auto"/>
          <w:sz w:val="22"/>
          <w:szCs w:val="22"/>
        </w:rPr>
        <w:t>,</w:t>
      </w:r>
      <w:r w:rsidRPr="00A66EEB">
        <w:rPr>
          <w:b/>
          <w:bCs/>
          <w:color w:val="auto"/>
          <w:sz w:val="22"/>
          <w:szCs w:val="22"/>
        </w:rPr>
        <w:t xml:space="preserve"> </w:t>
      </w:r>
    </w:p>
    <w:p w:rsidR="00743B28" w:rsidRPr="00A66EEB" w:rsidRDefault="00743B28" w:rsidP="00755618">
      <w:pPr>
        <w:pStyle w:val="Default"/>
        <w:tabs>
          <w:tab w:val="left" w:pos="851"/>
        </w:tabs>
        <w:jc w:val="center"/>
        <w:rPr>
          <w:b/>
          <w:bCs/>
          <w:color w:val="auto"/>
          <w:sz w:val="22"/>
          <w:szCs w:val="22"/>
        </w:rPr>
      </w:pPr>
      <w:r w:rsidRPr="00A66EEB">
        <w:rPr>
          <w:b/>
          <w:bCs/>
          <w:color w:val="auto"/>
          <w:sz w:val="22"/>
          <w:szCs w:val="22"/>
        </w:rPr>
        <w:t>judeţul Bistriţa-Năsăud</w:t>
      </w:r>
    </w:p>
    <w:p w:rsidR="00A27379" w:rsidRPr="006B01A5" w:rsidRDefault="00A66EEB" w:rsidP="00755618">
      <w:pPr>
        <w:pStyle w:val="Default"/>
        <w:tabs>
          <w:tab w:val="left" w:pos="851"/>
        </w:tabs>
        <w:jc w:val="center"/>
        <w:rPr>
          <w:b/>
          <w:bCs/>
          <w:color w:val="FF0000"/>
          <w:sz w:val="22"/>
          <w:szCs w:val="22"/>
        </w:rPr>
      </w:pPr>
      <w:r>
        <w:rPr>
          <w:noProof/>
          <w:lang w:val="en-US"/>
        </w:rPr>
        <w:drawing>
          <wp:inline distT="0" distB="0" distL="0" distR="0" wp14:anchorId="71BB2154" wp14:editId="1C418C52">
            <wp:extent cx="5608320" cy="2506980"/>
            <wp:effectExtent l="0" t="0" r="0" b="7620"/>
            <wp:docPr id="61" name="Diagramă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27379" w:rsidRPr="006B01A5" w:rsidRDefault="000131CC" w:rsidP="00755618">
      <w:pPr>
        <w:pStyle w:val="Default"/>
        <w:tabs>
          <w:tab w:val="left" w:pos="851"/>
        </w:tabs>
        <w:jc w:val="center"/>
        <w:rPr>
          <w:b/>
          <w:bCs/>
          <w:color w:val="FF0000"/>
          <w:sz w:val="22"/>
          <w:szCs w:val="22"/>
        </w:rPr>
      </w:pPr>
      <w:r>
        <w:rPr>
          <w:noProof/>
          <w:lang w:val="en-US"/>
        </w:rPr>
        <w:drawing>
          <wp:inline distT="0" distB="0" distL="0" distR="0" wp14:anchorId="762DCE02" wp14:editId="54A0ADE3">
            <wp:extent cx="4587240" cy="2247900"/>
            <wp:effectExtent l="0" t="0" r="3810" b="0"/>
            <wp:docPr id="4" name="Diagramă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27379" w:rsidRPr="000131CC" w:rsidRDefault="00A27379" w:rsidP="00A27379">
      <w:pPr>
        <w:jc w:val="center"/>
        <w:rPr>
          <w:lang w:val="ro-RO"/>
        </w:rPr>
      </w:pPr>
      <w:r w:rsidRPr="000131CC">
        <w:rPr>
          <w:rFonts w:ascii="Arial" w:hAnsi="Arial" w:cs="Arial"/>
          <w:sz w:val="20"/>
          <w:szCs w:val="20"/>
          <w:lang w:val="ro-RO"/>
        </w:rPr>
        <w:t>Sursa: Agenţia pentru Protecţia Mediului Bistriţa-Năsăud</w:t>
      </w:r>
    </w:p>
    <w:p w:rsidR="00A27379" w:rsidRDefault="00A27379" w:rsidP="00A27379">
      <w:pPr>
        <w:rPr>
          <w:lang w:val="ro-RO"/>
        </w:rPr>
      </w:pPr>
    </w:p>
    <w:p w:rsidR="00057E36" w:rsidRPr="000131CC" w:rsidRDefault="00057E36" w:rsidP="00A27379">
      <w:pPr>
        <w:rPr>
          <w:lang w:val="ro-RO"/>
        </w:rPr>
      </w:pPr>
    </w:p>
    <w:p w:rsidR="00743B28" w:rsidRPr="00057E36" w:rsidRDefault="00743B28" w:rsidP="00A27379">
      <w:pPr>
        <w:tabs>
          <w:tab w:val="left" w:pos="851"/>
        </w:tabs>
        <w:jc w:val="center"/>
        <w:rPr>
          <w:rFonts w:ascii="Arial" w:hAnsi="Arial" w:cs="Arial"/>
          <w:b/>
          <w:bCs/>
          <w:sz w:val="22"/>
          <w:szCs w:val="22"/>
        </w:rPr>
      </w:pPr>
      <w:r w:rsidRPr="00057E36">
        <w:rPr>
          <w:rFonts w:ascii="Arial" w:hAnsi="Arial" w:cs="Arial"/>
          <w:b/>
          <w:bCs/>
          <w:sz w:val="22"/>
          <w:szCs w:val="22"/>
        </w:rPr>
        <w:t>Figura I.3.1.11.</w:t>
      </w:r>
    </w:p>
    <w:p w:rsidR="00743B28" w:rsidRDefault="00743B28" w:rsidP="00755618">
      <w:pPr>
        <w:pStyle w:val="Default"/>
        <w:tabs>
          <w:tab w:val="left" w:pos="851"/>
        </w:tabs>
        <w:jc w:val="center"/>
        <w:rPr>
          <w:b/>
          <w:bCs/>
          <w:color w:val="auto"/>
          <w:sz w:val="22"/>
          <w:szCs w:val="22"/>
        </w:rPr>
      </w:pPr>
      <w:r w:rsidRPr="000131CC">
        <w:rPr>
          <w:b/>
          <w:bCs/>
          <w:color w:val="auto"/>
          <w:sz w:val="22"/>
          <w:szCs w:val="22"/>
        </w:rPr>
        <w:t>Evoluția emisiilor de NMVOC-Gg (</w:t>
      </w:r>
      <w:r w:rsidRPr="000131CC">
        <w:rPr>
          <w:b/>
          <w:bCs/>
          <w:i/>
          <w:color w:val="auto"/>
          <w:sz w:val="22"/>
          <w:szCs w:val="22"/>
        </w:rPr>
        <w:t>ca precursor al ozonului</w:t>
      </w:r>
      <w:r w:rsidRPr="000131CC">
        <w:rPr>
          <w:b/>
          <w:bCs/>
          <w:color w:val="auto"/>
          <w:sz w:val="22"/>
          <w:szCs w:val="22"/>
        </w:rPr>
        <w:t xml:space="preserve">) provenite din </w:t>
      </w:r>
      <w:r w:rsidRPr="000131CC">
        <w:rPr>
          <w:b/>
          <w:bCs/>
          <w:i/>
          <w:color w:val="auto"/>
          <w:sz w:val="22"/>
          <w:szCs w:val="22"/>
          <w:u w:val="single"/>
        </w:rPr>
        <w:t>agricultură</w:t>
      </w:r>
      <w:r w:rsidRPr="000131CC">
        <w:rPr>
          <w:b/>
          <w:bCs/>
          <w:color w:val="auto"/>
          <w:sz w:val="22"/>
          <w:szCs w:val="22"/>
        </w:rPr>
        <w:t>, pe categorii de activități, Judeţul Bistriţa-Năsăud</w:t>
      </w:r>
    </w:p>
    <w:p w:rsidR="00743B28" w:rsidRPr="009E2D58" w:rsidRDefault="002F213E" w:rsidP="009E2D58">
      <w:pPr>
        <w:pStyle w:val="Default"/>
        <w:tabs>
          <w:tab w:val="left" w:pos="851"/>
        </w:tabs>
        <w:jc w:val="center"/>
        <w:rPr>
          <w:color w:val="auto"/>
        </w:rPr>
      </w:pPr>
      <w:r>
        <w:rPr>
          <w:noProof/>
          <w:lang w:val="en-US"/>
        </w:rPr>
        <w:drawing>
          <wp:anchor distT="0" distB="0" distL="114300" distR="114300" simplePos="0" relativeHeight="251658240" behindDoc="0" locked="0" layoutInCell="1" allowOverlap="1">
            <wp:simplePos x="0" y="0"/>
            <wp:positionH relativeFrom="column">
              <wp:posOffset>1111250</wp:posOffset>
            </wp:positionH>
            <wp:positionV relativeFrom="paragraph">
              <wp:posOffset>3810</wp:posOffset>
            </wp:positionV>
            <wp:extent cx="5021580" cy="2301240"/>
            <wp:effectExtent l="0" t="0" r="7620" b="3810"/>
            <wp:wrapSquare wrapText="bothSides"/>
            <wp:docPr id="12"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Pr>
          <w:b/>
          <w:bCs/>
          <w:color w:val="auto"/>
          <w:sz w:val="22"/>
          <w:szCs w:val="22"/>
        </w:rPr>
        <w:br w:type="textWrapping" w:clear="all"/>
      </w:r>
      <w:r w:rsidR="00743B28" w:rsidRPr="009E2D58">
        <w:rPr>
          <w:color w:val="auto"/>
          <w:sz w:val="20"/>
          <w:szCs w:val="20"/>
        </w:rPr>
        <w:t>Sursa: Agenţia pentru Protecţia Mediului Bistriţa-Năsăud</w:t>
      </w:r>
    </w:p>
    <w:p w:rsidR="00743B28" w:rsidRDefault="00743B28" w:rsidP="00755618">
      <w:pPr>
        <w:pStyle w:val="Default"/>
        <w:tabs>
          <w:tab w:val="left" w:pos="851"/>
        </w:tabs>
        <w:jc w:val="center"/>
        <w:rPr>
          <w:b/>
          <w:bCs/>
          <w:color w:val="FF0000"/>
          <w:sz w:val="22"/>
          <w:szCs w:val="22"/>
        </w:rPr>
      </w:pPr>
    </w:p>
    <w:p w:rsidR="009E2D58" w:rsidRPr="006B01A5" w:rsidRDefault="009E2D58" w:rsidP="00755618">
      <w:pPr>
        <w:pStyle w:val="Default"/>
        <w:tabs>
          <w:tab w:val="left" w:pos="851"/>
        </w:tabs>
        <w:jc w:val="center"/>
        <w:rPr>
          <w:b/>
          <w:bCs/>
          <w:color w:val="FF0000"/>
          <w:sz w:val="22"/>
          <w:szCs w:val="22"/>
        </w:rPr>
      </w:pPr>
    </w:p>
    <w:p w:rsidR="00743B28" w:rsidRPr="0057765D" w:rsidRDefault="00743B28" w:rsidP="00755618">
      <w:pPr>
        <w:pStyle w:val="Listparagraf"/>
        <w:numPr>
          <w:ilvl w:val="0"/>
          <w:numId w:val="23"/>
        </w:numPr>
        <w:tabs>
          <w:tab w:val="left" w:pos="851"/>
          <w:tab w:val="left" w:pos="1134"/>
          <w:tab w:val="left" w:leader="dot" w:pos="9356"/>
        </w:tabs>
        <w:ind w:left="0" w:firstLine="0"/>
        <w:rPr>
          <w:rFonts w:ascii="Arial" w:hAnsi="Arial" w:cs="Arial"/>
          <w:b/>
          <w:u w:val="single"/>
          <w:lang w:val="ro-RO"/>
        </w:rPr>
      </w:pPr>
      <w:r w:rsidRPr="0057765D">
        <w:rPr>
          <w:rFonts w:ascii="Arial" w:hAnsi="Arial" w:cs="Arial"/>
          <w:b/>
          <w:u w:val="single"/>
          <w:lang w:val="ro-RO"/>
        </w:rPr>
        <w:t>Emisiile de particule primare și precursori secundari de particule</w:t>
      </w:r>
    </w:p>
    <w:p w:rsidR="00743B28" w:rsidRPr="006B01A5" w:rsidRDefault="00743B28" w:rsidP="00755618">
      <w:pPr>
        <w:pStyle w:val="Listparagraf"/>
        <w:tabs>
          <w:tab w:val="left" w:pos="851"/>
          <w:tab w:val="left" w:pos="1134"/>
          <w:tab w:val="left" w:leader="dot" w:pos="9356"/>
        </w:tabs>
        <w:ind w:left="0"/>
        <w:rPr>
          <w:rFonts w:ascii="Arial" w:hAnsi="Arial" w:cs="Arial"/>
          <w:color w:val="FF0000"/>
          <w:u w:val="single"/>
          <w:lang w:val="ro-RO"/>
        </w:rPr>
      </w:pPr>
      <w:r w:rsidRPr="006B01A5">
        <w:rPr>
          <w:rFonts w:ascii="Arial" w:hAnsi="Arial" w:cs="Arial"/>
          <w:color w:val="FF0000"/>
          <w:u w:val="single"/>
          <w:lang w:val="ro-RO"/>
        </w:rPr>
        <w:t xml:space="preserve"> </w:t>
      </w:r>
    </w:p>
    <w:p w:rsidR="00743B28" w:rsidRPr="009E2D58" w:rsidRDefault="00743B28" w:rsidP="00755618">
      <w:pPr>
        <w:pStyle w:val="Default"/>
        <w:tabs>
          <w:tab w:val="left" w:pos="851"/>
        </w:tabs>
        <w:jc w:val="center"/>
        <w:rPr>
          <w:b/>
          <w:bCs/>
          <w:color w:val="auto"/>
          <w:sz w:val="22"/>
          <w:szCs w:val="22"/>
        </w:rPr>
      </w:pPr>
      <w:r w:rsidRPr="006B01A5">
        <w:rPr>
          <w:color w:val="FF0000"/>
          <w:sz w:val="22"/>
          <w:szCs w:val="22"/>
        </w:rPr>
        <w:tab/>
      </w:r>
      <w:r w:rsidRPr="009E2D58">
        <w:rPr>
          <w:b/>
          <w:bCs/>
          <w:color w:val="auto"/>
          <w:sz w:val="22"/>
          <w:szCs w:val="22"/>
        </w:rPr>
        <w:t>Figura I.3.1.12.</w:t>
      </w:r>
    </w:p>
    <w:p w:rsidR="00743B28" w:rsidRPr="009E2D58" w:rsidRDefault="00743B28" w:rsidP="00755618">
      <w:pPr>
        <w:pStyle w:val="Default"/>
        <w:tabs>
          <w:tab w:val="left" w:pos="851"/>
        </w:tabs>
        <w:jc w:val="center"/>
        <w:rPr>
          <w:b/>
          <w:bCs/>
          <w:color w:val="auto"/>
          <w:sz w:val="22"/>
          <w:szCs w:val="22"/>
        </w:rPr>
      </w:pPr>
      <w:r w:rsidRPr="009E2D58">
        <w:rPr>
          <w:b/>
          <w:bCs/>
          <w:color w:val="auto"/>
          <w:sz w:val="22"/>
          <w:szCs w:val="22"/>
        </w:rPr>
        <w:t xml:space="preserve">Evoluția şi tendinţele liniare ale emisiilor de particule primare </w:t>
      </w:r>
    </w:p>
    <w:p w:rsidR="00743B28" w:rsidRPr="009E2D58" w:rsidRDefault="00743B28" w:rsidP="00755618">
      <w:pPr>
        <w:pStyle w:val="Default"/>
        <w:tabs>
          <w:tab w:val="left" w:pos="851"/>
        </w:tabs>
        <w:jc w:val="center"/>
        <w:rPr>
          <w:b/>
          <w:bCs/>
          <w:color w:val="auto"/>
          <w:sz w:val="22"/>
          <w:szCs w:val="22"/>
        </w:rPr>
      </w:pPr>
      <w:r w:rsidRPr="009E2D58">
        <w:rPr>
          <w:b/>
          <w:bCs/>
          <w:color w:val="auto"/>
          <w:sz w:val="22"/>
          <w:szCs w:val="22"/>
        </w:rPr>
        <w:t xml:space="preserve">şi precursori secundari de particule (Gg), județul Bistrița-Năsăud </w:t>
      </w:r>
    </w:p>
    <w:p w:rsidR="00743B28" w:rsidRPr="006B01A5" w:rsidRDefault="009E2D58" w:rsidP="009E2D58">
      <w:pPr>
        <w:pStyle w:val="Listparagraf"/>
        <w:tabs>
          <w:tab w:val="left" w:pos="851"/>
        </w:tabs>
        <w:ind w:left="0"/>
        <w:jc w:val="center"/>
        <w:rPr>
          <w:rFonts w:ascii="Arial" w:hAnsi="Arial" w:cs="Arial"/>
          <w:color w:val="FF0000"/>
          <w:lang w:val="ro-RO"/>
        </w:rPr>
      </w:pPr>
      <w:r>
        <w:rPr>
          <w:noProof/>
          <w:lang w:val="en-US"/>
        </w:rPr>
        <w:drawing>
          <wp:inline distT="0" distB="0" distL="0" distR="0" wp14:anchorId="620AE2EF" wp14:editId="56B0D393">
            <wp:extent cx="4076700" cy="1905000"/>
            <wp:effectExtent l="0" t="0" r="0" b="0"/>
            <wp:docPr id="13" name="Diagramă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43B28" w:rsidRPr="0057765D" w:rsidRDefault="00743B28" w:rsidP="00755618">
      <w:pPr>
        <w:tabs>
          <w:tab w:val="left" w:pos="851"/>
        </w:tabs>
        <w:jc w:val="center"/>
        <w:rPr>
          <w:rFonts w:ascii="Arial" w:hAnsi="Arial" w:cs="Arial"/>
          <w:sz w:val="20"/>
          <w:szCs w:val="20"/>
          <w:lang w:val="ro-RO"/>
        </w:rPr>
      </w:pPr>
      <w:r w:rsidRPr="0057765D">
        <w:rPr>
          <w:rFonts w:ascii="Arial" w:hAnsi="Arial" w:cs="Arial"/>
          <w:sz w:val="20"/>
          <w:szCs w:val="20"/>
          <w:lang w:val="ro-RO"/>
        </w:rPr>
        <w:t>Sursa: Agenţia pentru Protecţia Mediului Bistriţa-Năsăud</w:t>
      </w:r>
    </w:p>
    <w:p w:rsidR="00743B28" w:rsidRPr="009E2D58" w:rsidRDefault="00743B28" w:rsidP="00755618">
      <w:pPr>
        <w:tabs>
          <w:tab w:val="left" w:pos="851"/>
        </w:tabs>
        <w:jc w:val="center"/>
        <w:rPr>
          <w:rFonts w:ascii="Arial" w:hAnsi="Arial" w:cs="Arial"/>
          <w:sz w:val="20"/>
          <w:szCs w:val="20"/>
          <w:lang w:val="ro-RO"/>
        </w:rPr>
      </w:pPr>
    </w:p>
    <w:p w:rsidR="00743B28" w:rsidRPr="009E2D58" w:rsidRDefault="00743B28" w:rsidP="00755618">
      <w:pPr>
        <w:pStyle w:val="Default"/>
        <w:tabs>
          <w:tab w:val="left" w:pos="851"/>
        </w:tabs>
        <w:jc w:val="center"/>
        <w:rPr>
          <w:b/>
          <w:bCs/>
          <w:color w:val="auto"/>
          <w:sz w:val="22"/>
          <w:szCs w:val="22"/>
        </w:rPr>
      </w:pPr>
      <w:r w:rsidRPr="009E2D58">
        <w:rPr>
          <w:b/>
          <w:bCs/>
          <w:color w:val="auto"/>
          <w:sz w:val="22"/>
          <w:szCs w:val="22"/>
        </w:rPr>
        <w:t>Figura I.3.1.13.</w:t>
      </w:r>
    </w:p>
    <w:p w:rsidR="00743B28" w:rsidRPr="009E2D58" w:rsidRDefault="00743B28" w:rsidP="00755618">
      <w:pPr>
        <w:pStyle w:val="Default"/>
        <w:tabs>
          <w:tab w:val="left" w:pos="851"/>
        </w:tabs>
        <w:jc w:val="center"/>
        <w:rPr>
          <w:b/>
          <w:bCs/>
          <w:color w:val="auto"/>
          <w:sz w:val="22"/>
          <w:szCs w:val="22"/>
        </w:rPr>
      </w:pPr>
      <w:r w:rsidRPr="009E2D58">
        <w:rPr>
          <w:b/>
          <w:bCs/>
          <w:color w:val="auto"/>
          <w:sz w:val="22"/>
          <w:szCs w:val="22"/>
        </w:rPr>
        <w:t xml:space="preserve">Evoluția emisiilor de </w:t>
      </w:r>
      <w:r w:rsidRPr="009E2D58">
        <w:rPr>
          <w:b/>
          <w:bCs/>
          <w:i/>
          <w:color w:val="auto"/>
          <w:sz w:val="22"/>
          <w:szCs w:val="22"/>
        </w:rPr>
        <w:t>particule primare</w:t>
      </w:r>
      <w:r w:rsidRPr="009E2D58">
        <w:rPr>
          <w:b/>
          <w:bCs/>
          <w:color w:val="auto"/>
          <w:sz w:val="22"/>
          <w:szCs w:val="22"/>
        </w:rPr>
        <w:t xml:space="preserve"> provenite din </w:t>
      </w:r>
      <w:r w:rsidRPr="009E2D58">
        <w:rPr>
          <w:b/>
          <w:bCs/>
          <w:i/>
          <w:color w:val="auto"/>
          <w:sz w:val="22"/>
          <w:szCs w:val="22"/>
          <w:u w:val="single"/>
        </w:rPr>
        <w:t>sectorul energetic</w:t>
      </w:r>
      <w:r w:rsidRPr="009E2D58">
        <w:rPr>
          <w:b/>
          <w:bCs/>
          <w:i/>
          <w:color w:val="auto"/>
          <w:sz w:val="22"/>
          <w:szCs w:val="22"/>
        </w:rPr>
        <w:t>,</w:t>
      </w:r>
      <w:r w:rsidRPr="009E2D58">
        <w:rPr>
          <w:b/>
          <w:bCs/>
          <w:color w:val="auto"/>
          <w:sz w:val="22"/>
          <w:szCs w:val="22"/>
        </w:rPr>
        <w:t xml:space="preserve"> </w:t>
      </w:r>
    </w:p>
    <w:p w:rsidR="00743B28" w:rsidRPr="009E2D58" w:rsidRDefault="00743B28" w:rsidP="00755618">
      <w:pPr>
        <w:pStyle w:val="Default"/>
        <w:tabs>
          <w:tab w:val="left" w:pos="851"/>
        </w:tabs>
        <w:jc w:val="center"/>
        <w:rPr>
          <w:b/>
          <w:bCs/>
          <w:color w:val="auto"/>
          <w:sz w:val="22"/>
          <w:szCs w:val="22"/>
        </w:rPr>
      </w:pPr>
      <w:r w:rsidRPr="009E2D58">
        <w:rPr>
          <w:b/>
          <w:bCs/>
          <w:color w:val="auto"/>
          <w:sz w:val="22"/>
          <w:szCs w:val="22"/>
        </w:rPr>
        <w:t>judeţul Bistriţa-Năsăud</w:t>
      </w:r>
    </w:p>
    <w:p w:rsidR="00743B28" w:rsidRPr="009E2D58" w:rsidRDefault="009E2D58" w:rsidP="00755618">
      <w:pPr>
        <w:pStyle w:val="Default"/>
        <w:tabs>
          <w:tab w:val="left" w:pos="851"/>
        </w:tabs>
        <w:jc w:val="center"/>
        <w:rPr>
          <w:b/>
          <w:bCs/>
          <w:color w:val="auto"/>
          <w:sz w:val="22"/>
          <w:szCs w:val="22"/>
        </w:rPr>
      </w:pPr>
      <w:r w:rsidRPr="009E2D58">
        <w:rPr>
          <w:noProof/>
          <w:color w:val="auto"/>
          <w:lang w:val="en-US"/>
        </w:rPr>
        <w:drawing>
          <wp:inline distT="0" distB="0" distL="0" distR="0" wp14:anchorId="79B14299" wp14:editId="5554448A">
            <wp:extent cx="4776470" cy="1882140"/>
            <wp:effectExtent l="0" t="0" r="5080" b="3810"/>
            <wp:docPr id="24" name="Diagramă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43B28" w:rsidRPr="009E2D58" w:rsidRDefault="00743B28" w:rsidP="00755618">
      <w:pPr>
        <w:tabs>
          <w:tab w:val="left" w:pos="851"/>
        </w:tabs>
        <w:jc w:val="center"/>
        <w:rPr>
          <w:rFonts w:ascii="Arial" w:hAnsi="Arial" w:cs="Arial"/>
          <w:sz w:val="20"/>
          <w:szCs w:val="20"/>
          <w:lang w:val="ro-RO"/>
        </w:rPr>
      </w:pPr>
      <w:r w:rsidRPr="009E2D58">
        <w:rPr>
          <w:rFonts w:ascii="Arial" w:hAnsi="Arial" w:cs="Arial"/>
          <w:sz w:val="20"/>
          <w:szCs w:val="20"/>
          <w:lang w:val="ro-RO"/>
        </w:rPr>
        <w:t>Sursa: Agenţia pentru Protecţia Mediului Bistriţa-Năsăud</w:t>
      </w:r>
    </w:p>
    <w:p w:rsidR="00743B28" w:rsidRPr="006B01A5" w:rsidRDefault="00743B28" w:rsidP="00755618">
      <w:pPr>
        <w:pStyle w:val="Listparagraf"/>
        <w:tabs>
          <w:tab w:val="left" w:pos="0"/>
          <w:tab w:val="left" w:pos="1134"/>
          <w:tab w:val="left" w:leader="dot" w:pos="9356"/>
        </w:tabs>
        <w:ind w:left="0"/>
        <w:jc w:val="both"/>
        <w:rPr>
          <w:rFonts w:ascii="Arial" w:hAnsi="Arial" w:cs="Arial"/>
          <w:color w:val="FF0000"/>
          <w:lang w:val="ro-RO"/>
        </w:rPr>
      </w:pPr>
      <w:r w:rsidRPr="006B01A5">
        <w:rPr>
          <w:rFonts w:ascii="Arial" w:hAnsi="Arial" w:cs="Arial"/>
          <w:color w:val="FF0000"/>
          <w:lang w:val="ro-RO"/>
        </w:rPr>
        <w:tab/>
      </w:r>
    </w:p>
    <w:p w:rsidR="00743B28" w:rsidRPr="0057765D" w:rsidRDefault="00743B28" w:rsidP="00755618">
      <w:pPr>
        <w:pStyle w:val="Default"/>
        <w:tabs>
          <w:tab w:val="left" w:pos="851"/>
        </w:tabs>
        <w:jc w:val="center"/>
        <w:rPr>
          <w:b/>
          <w:bCs/>
          <w:color w:val="auto"/>
          <w:sz w:val="22"/>
          <w:szCs w:val="22"/>
        </w:rPr>
      </w:pPr>
      <w:r w:rsidRPr="0057765D">
        <w:rPr>
          <w:b/>
          <w:bCs/>
          <w:color w:val="auto"/>
          <w:sz w:val="22"/>
          <w:szCs w:val="22"/>
        </w:rPr>
        <w:t>Figura I.3.1.14.</w:t>
      </w:r>
    </w:p>
    <w:p w:rsidR="00743B28" w:rsidRPr="0057765D" w:rsidRDefault="00743B28" w:rsidP="00755618">
      <w:pPr>
        <w:pStyle w:val="Default"/>
        <w:tabs>
          <w:tab w:val="left" w:pos="851"/>
        </w:tabs>
        <w:jc w:val="center"/>
        <w:rPr>
          <w:b/>
          <w:bCs/>
          <w:color w:val="auto"/>
          <w:sz w:val="22"/>
          <w:szCs w:val="22"/>
        </w:rPr>
      </w:pPr>
      <w:r w:rsidRPr="0057765D">
        <w:rPr>
          <w:b/>
          <w:bCs/>
          <w:color w:val="auto"/>
          <w:sz w:val="22"/>
          <w:szCs w:val="22"/>
        </w:rPr>
        <w:t xml:space="preserve">Evoluția emisiilor de </w:t>
      </w:r>
      <w:r w:rsidRPr="0057765D">
        <w:rPr>
          <w:b/>
          <w:bCs/>
          <w:i/>
          <w:color w:val="auto"/>
          <w:sz w:val="22"/>
          <w:szCs w:val="22"/>
        </w:rPr>
        <w:t>particule primare</w:t>
      </w:r>
      <w:r w:rsidRPr="0057765D">
        <w:rPr>
          <w:b/>
          <w:bCs/>
          <w:color w:val="auto"/>
          <w:sz w:val="22"/>
          <w:szCs w:val="22"/>
        </w:rPr>
        <w:t xml:space="preserve"> </w:t>
      </w:r>
    </w:p>
    <w:p w:rsidR="00743B28" w:rsidRPr="0057765D" w:rsidRDefault="00743B28" w:rsidP="00755618">
      <w:pPr>
        <w:pStyle w:val="Default"/>
        <w:tabs>
          <w:tab w:val="left" w:pos="851"/>
        </w:tabs>
        <w:jc w:val="center"/>
        <w:rPr>
          <w:color w:val="auto"/>
          <w:sz w:val="22"/>
          <w:szCs w:val="22"/>
        </w:rPr>
      </w:pPr>
      <w:r w:rsidRPr="0057765D">
        <w:rPr>
          <w:b/>
          <w:bCs/>
          <w:color w:val="auto"/>
          <w:sz w:val="22"/>
          <w:szCs w:val="22"/>
        </w:rPr>
        <w:t xml:space="preserve">din </w:t>
      </w:r>
      <w:r w:rsidRPr="0057765D">
        <w:rPr>
          <w:b/>
          <w:bCs/>
          <w:i/>
          <w:color w:val="auto"/>
          <w:sz w:val="22"/>
          <w:szCs w:val="22"/>
          <w:u w:val="single"/>
        </w:rPr>
        <w:t>sectorul industrial</w:t>
      </w:r>
      <w:r w:rsidRPr="0057765D">
        <w:rPr>
          <w:b/>
          <w:bCs/>
          <w:color w:val="auto"/>
          <w:sz w:val="22"/>
          <w:szCs w:val="22"/>
          <w:u w:val="single"/>
        </w:rPr>
        <w:t>,</w:t>
      </w:r>
      <w:r w:rsidRPr="0057765D">
        <w:rPr>
          <w:b/>
          <w:bCs/>
          <w:color w:val="auto"/>
          <w:sz w:val="22"/>
          <w:szCs w:val="22"/>
        </w:rPr>
        <w:t xml:space="preserve"> pe principalele activităţi emitente, judeţul Bistriţa-Năsăud</w:t>
      </w:r>
    </w:p>
    <w:p w:rsidR="00743B28" w:rsidRPr="006B01A5" w:rsidRDefault="0033042E" w:rsidP="00755618">
      <w:pPr>
        <w:pStyle w:val="Default"/>
        <w:tabs>
          <w:tab w:val="left" w:pos="851"/>
        </w:tabs>
        <w:jc w:val="both"/>
        <w:rPr>
          <w:color w:val="FF0000"/>
        </w:rPr>
      </w:pPr>
      <w:r>
        <w:rPr>
          <w:noProof/>
          <w:lang w:val="en-US"/>
        </w:rPr>
        <w:drawing>
          <wp:inline distT="0" distB="0" distL="0" distR="0" wp14:anchorId="2E137878" wp14:editId="6B55549F">
            <wp:extent cx="2628900" cy="2049780"/>
            <wp:effectExtent l="0" t="0" r="0" b="7620"/>
            <wp:docPr id="26" name="Diagramă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lang w:val="en-US"/>
        </w:rPr>
        <w:drawing>
          <wp:inline distT="0" distB="0" distL="0" distR="0" wp14:anchorId="66A09D38" wp14:editId="439C4C33">
            <wp:extent cx="2910840" cy="2072640"/>
            <wp:effectExtent l="0" t="0" r="3810" b="3810"/>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43B28" w:rsidRPr="0057765D" w:rsidRDefault="00743B28" w:rsidP="00755618">
      <w:pPr>
        <w:tabs>
          <w:tab w:val="left" w:pos="851"/>
        </w:tabs>
        <w:jc w:val="center"/>
        <w:rPr>
          <w:rFonts w:ascii="Arial" w:hAnsi="Arial" w:cs="Arial"/>
          <w:sz w:val="20"/>
          <w:szCs w:val="20"/>
          <w:lang w:val="ro-RO"/>
        </w:rPr>
      </w:pPr>
      <w:r w:rsidRPr="0057765D">
        <w:rPr>
          <w:rFonts w:ascii="Arial" w:hAnsi="Arial" w:cs="Arial"/>
          <w:sz w:val="20"/>
          <w:szCs w:val="20"/>
          <w:lang w:val="ro-RO"/>
        </w:rPr>
        <w:t>Sursa: Agenţia pentru Protecţia Mediului Bistriţa-Năsăud</w:t>
      </w:r>
    </w:p>
    <w:p w:rsidR="00CD2FE2" w:rsidRPr="00F4688D" w:rsidRDefault="00CD2FE2" w:rsidP="00755618">
      <w:pPr>
        <w:pStyle w:val="Default"/>
        <w:tabs>
          <w:tab w:val="left" w:pos="851"/>
        </w:tabs>
        <w:jc w:val="center"/>
        <w:rPr>
          <w:b/>
          <w:bCs/>
          <w:color w:val="auto"/>
          <w:sz w:val="22"/>
          <w:szCs w:val="22"/>
        </w:rPr>
      </w:pPr>
    </w:p>
    <w:p w:rsidR="00743B28" w:rsidRPr="00F4688D" w:rsidRDefault="00743B28" w:rsidP="00755618">
      <w:pPr>
        <w:pStyle w:val="Default"/>
        <w:tabs>
          <w:tab w:val="left" w:pos="851"/>
        </w:tabs>
        <w:jc w:val="center"/>
        <w:rPr>
          <w:b/>
          <w:bCs/>
          <w:color w:val="auto"/>
          <w:sz w:val="22"/>
          <w:szCs w:val="22"/>
        </w:rPr>
      </w:pPr>
      <w:r w:rsidRPr="00F4688D">
        <w:rPr>
          <w:b/>
          <w:bCs/>
          <w:color w:val="auto"/>
          <w:sz w:val="22"/>
          <w:szCs w:val="22"/>
        </w:rPr>
        <w:t>Figura I.3.1.15.</w:t>
      </w:r>
    </w:p>
    <w:p w:rsidR="00743B28" w:rsidRPr="00F4688D" w:rsidRDefault="00743B28" w:rsidP="00755618">
      <w:pPr>
        <w:pStyle w:val="Default"/>
        <w:tabs>
          <w:tab w:val="left" w:pos="851"/>
        </w:tabs>
        <w:jc w:val="center"/>
        <w:rPr>
          <w:b/>
          <w:bCs/>
          <w:color w:val="auto"/>
          <w:sz w:val="22"/>
          <w:szCs w:val="22"/>
        </w:rPr>
      </w:pPr>
      <w:r w:rsidRPr="00F4688D">
        <w:rPr>
          <w:b/>
          <w:bCs/>
          <w:color w:val="auto"/>
          <w:sz w:val="22"/>
          <w:szCs w:val="22"/>
        </w:rPr>
        <w:t xml:space="preserve">Evoluția emisiilor de </w:t>
      </w:r>
      <w:r w:rsidRPr="00F4688D">
        <w:rPr>
          <w:b/>
          <w:bCs/>
          <w:i/>
          <w:color w:val="auto"/>
          <w:sz w:val="22"/>
          <w:szCs w:val="22"/>
        </w:rPr>
        <w:t>particule primare</w:t>
      </w:r>
      <w:r w:rsidRPr="00F4688D">
        <w:rPr>
          <w:b/>
          <w:bCs/>
          <w:color w:val="auto"/>
          <w:sz w:val="22"/>
          <w:szCs w:val="22"/>
        </w:rPr>
        <w:t xml:space="preserve"> provenite din </w:t>
      </w:r>
      <w:r w:rsidRPr="00F4688D">
        <w:rPr>
          <w:b/>
          <w:bCs/>
          <w:color w:val="auto"/>
          <w:sz w:val="22"/>
          <w:szCs w:val="22"/>
          <w:u w:val="single"/>
        </w:rPr>
        <w:t>transport</w:t>
      </w:r>
      <w:r w:rsidRPr="00F4688D">
        <w:rPr>
          <w:b/>
          <w:bCs/>
          <w:color w:val="auto"/>
          <w:sz w:val="22"/>
          <w:szCs w:val="22"/>
        </w:rPr>
        <w:t>, judeţul Bistriţa-Năsăud</w:t>
      </w:r>
    </w:p>
    <w:p w:rsidR="00743B28" w:rsidRPr="006B01A5" w:rsidRDefault="00743B28" w:rsidP="00755618">
      <w:pPr>
        <w:pStyle w:val="Default"/>
        <w:tabs>
          <w:tab w:val="left" w:pos="851"/>
        </w:tabs>
        <w:jc w:val="center"/>
        <w:rPr>
          <w:b/>
          <w:bCs/>
          <w:color w:val="FF0000"/>
          <w:sz w:val="22"/>
          <w:szCs w:val="22"/>
        </w:rPr>
      </w:pPr>
    </w:p>
    <w:p w:rsidR="00F4688D" w:rsidRDefault="00F4688D" w:rsidP="00F4688D">
      <w:pPr>
        <w:pStyle w:val="Default"/>
        <w:tabs>
          <w:tab w:val="left" w:pos="851"/>
        </w:tabs>
        <w:jc w:val="both"/>
        <w:rPr>
          <w:b/>
          <w:bCs/>
          <w:color w:val="FF0000"/>
          <w:sz w:val="22"/>
          <w:szCs w:val="22"/>
        </w:rPr>
      </w:pPr>
      <w:r>
        <w:rPr>
          <w:noProof/>
          <w:lang w:val="en-US"/>
        </w:rPr>
        <w:drawing>
          <wp:inline distT="0" distB="0" distL="0" distR="0" wp14:anchorId="5DB5FE10" wp14:editId="0BF7CED3">
            <wp:extent cx="2956560" cy="2308860"/>
            <wp:effectExtent l="0" t="0" r="0" b="0"/>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noProof/>
          <w:lang w:val="en-US"/>
        </w:rPr>
        <w:drawing>
          <wp:inline distT="0" distB="0" distL="0" distR="0" wp14:anchorId="52821C07" wp14:editId="3CC6347E">
            <wp:extent cx="2941320" cy="2362200"/>
            <wp:effectExtent l="0" t="0" r="0" b="0"/>
            <wp:docPr id="31" name="Diagramă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4688D" w:rsidRPr="00F4688D" w:rsidRDefault="00F4688D" w:rsidP="00F4688D">
      <w:pPr>
        <w:tabs>
          <w:tab w:val="left" w:pos="851"/>
        </w:tabs>
        <w:jc w:val="center"/>
        <w:rPr>
          <w:rFonts w:ascii="Arial" w:hAnsi="Arial" w:cs="Arial"/>
          <w:sz w:val="20"/>
          <w:szCs w:val="20"/>
          <w:lang w:val="ro-RO"/>
        </w:rPr>
      </w:pPr>
      <w:r w:rsidRPr="00F4688D">
        <w:rPr>
          <w:rFonts w:ascii="Arial" w:hAnsi="Arial" w:cs="Arial"/>
          <w:sz w:val="20"/>
          <w:szCs w:val="20"/>
          <w:lang w:val="ro-RO"/>
        </w:rPr>
        <w:t>Sursa: Agenţia pentru Protecţia Mediului Bistriţa-Năsăud</w:t>
      </w:r>
    </w:p>
    <w:p w:rsidR="005C2371" w:rsidRDefault="005C2371" w:rsidP="00F4688D">
      <w:pPr>
        <w:pStyle w:val="Default"/>
        <w:tabs>
          <w:tab w:val="left" w:pos="851"/>
        </w:tabs>
        <w:jc w:val="center"/>
        <w:rPr>
          <w:b/>
          <w:bCs/>
          <w:color w:val="auto"/>
          <w:sz w:val="22"/>
          <w:szCs w:val="22"/>
        </w:rPr>
      </w:pPr>
    </w:p>
    <w:p w:rsidR="005C2371" w:rsidRDefault="005C2371" w:rsidP="00F4688D">
      <w:pPr>
        <w:pStyle w:val="Default"/>
        <w:tabs>
          <w:tab w:val="left" w:pos="851"/>
        </w:tabs>
        <w:jc w:val="center"/>
        <w:rPr>
          <w:b/>
          <w:bCs/>
          <w:color w:val="auto"/>
          <w:sz w:val="22"/>
          <w:szCs w:val="22"/>
        </w:rPr>
      </w:pPr>
    </w:p>
    <w:p w:rsidR="00F4688D" w:rsidRPr="006022C5" w:rsidRDefault="00F4688D" w:rsidP="00F4688D">
      <w:pPr>
        <w:pStyle w:val="Default"/>
        <w:tabs>
          <w:tab w:val="left" w:pos="851"/>
        </w:tabs>
        <w:jc w:val="center"/>
        <w:rPr>
          <w:b/>
          <w:bCs/>
          <w:color w:val="auto"/>
          <w:sz w:val="22"/>
          <w:szCs w:val="22"/>
        </w:rPr>
      </w:pPr>
      <w:r w:rsidRPr="006022C5">
        <w:rPr>
          <w:b/>
          <w:bCs/>
          <w:color w:val="auto"/>
          <w:sz w:val="22"/>
          <w:szCs w:val="22"/>
        </w:rPr>
        <w:t>Figura I.3.1.16.</w:t>
      </w:r>
    </w:p>
    <w:p w:rsidR="00F4688D" w:rsidRPr="006022C5" w:rsidRDefault="00F4688D" w:rsidP="00F4688D">
      <w:pPr>
        <w:pStyle w:val="Default"/>
        <w:tabs>
          <w:tab w:val="left" w:pos="851"/>
        </w:tabs>
        <w:jc w:val="center"/>
        <w:rPr>
          <w:b/>
          <w:bCs/>
          <w:color w:val="auto"/>
          <w:sz w:val="22"/>
          <w:szCs w:val="22"/>
        </w:rPr>
      </w:pPr>
      <w:r w:rsidRPr="006022C5">
        <w:rPr>
          <w:b/>
          <w:bCs/>
          <w:color w:val="auto"/>
          <w:sz w:val="22"/>
          <w:szCs w:val="22"/>
        </w:rPr>
        <w:t xml:space="preserve">Evoluția </w:t>
      </w:r>
      <w:r w:rsidRPr="006022C5">
        <w:rPr>
          <w:b/>
          <w:bCs/>
          <w:i/>
          <w:color w:val="auto"/>
          <w:sz w:val="22"/>
          <w:szCs w:val="22"/>
        </w:rPr>
        <w:t>emisiilor de particule primare</w:t>
      </w:r>
      <w:r w:rsidRPr="006022C5">
        <w:rPr>
          <w:b/>
          <w:bCs/>
          <w:color w:val="auto"/>
          <w:sz w:val="22"/>
          <w:szCs w:val="22"/>
        </w:rPr>
        <w:t xml:space="preserve"> (Gg) provenite din </w:t>
      </w:r>
      <w:r w:rsidRPr="006022C5">
        <w:rPr>
          <w:b/>
          <w:bCs/>
          <w:i/>
          <w:color w:val="auto"/>
          <w:sz w:val="22"/>
          <w:szCs w:val="22"/>
          <w:u w:val="single"/>
        </w:rPr>
        <w:t>agricultură</w:t>
      </w:r>
      <w:r w:rsidRPr="006022C5">
        <w:rPr>
          <w:b/>
          <w:bCs/>
          <w:color w:val="auto"/>
          <w:sz w:val="22"/>
          <w:szCs w:val="22"/>
        </w:rPr>
        <w:t xml:space="preserve">, </w:t>
      </w:r>
    </w:p>
    <w:p w:rsidR="00F4688D" w:rsidRDefault="00F4688D" w:rsidP="00F4688D">
      <w:pPr>
        <w:pStyle w:val="Default"/>
        <w:tabs>
          <w:tab w:val="left" w:pos="851"/>
        </w:tabs>
        <w:jc w:val="center"/>
        <w:rPr>
          <w:b/>
          <w:bCs/>
          <w:color w:val="FF0000"/>
          <w:sz w:val="22"/>
          <w:szCs w:val="22"/>
        </w:rPr>
      </w:pPr>
      <w:r w:rsidRPr="006022C5">
        <w:rPr>
          <w:b/>
          <w:bCs/>
          <w:color w:val="auto"/>
          <w:sz w:val="22"/>
          <w:szCs w:val="22"/>
        </w:rPr>
        <w:t>judeţul Bistriţa-Năsăud</w:t>
      </w:r>
    </w:p>
    <w:p w:rsidR="00F4688D" w:rsidRPr="006B01A5" w:rsidRDefault="006022C5" w:rsidP="006022C5">
      <w:pPr>
        <w:pStyle w:val="Default"/>
        <w:tabs>
          <w:tab w:val="left" w:pos="851"/>
        </w:tabs>
        <w:jc w:val="center"/>
        <w:rPr>
          <w:b/>
          <w:bCs/>
          <w:color w:val="FF0000"/>
          <w:sz w:val="22"/>
          <w:szCs w:val="22"/>
        </w:rPr>
      </w:pPr>
      <w:r>
        <w:rPr>
          <w:noProof/>
          <w:lang w:val="en-US"/>
        </w:rPr>
        <w:drawing>
          <wp:inline distT="0" distB="0" distL="0" distR="0" wp14:anchorId="482D0139" wp14:editId="21863F35">
            <wp:extent cx="4469130" cy="1943100"/>
            <wp:effectExtent l="0" t="0" r="7620" b="0"/>
            <wp:docPr id="42" name="Diagramă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43B28" w:rsidRPr="006022C5" w:rsidRDefault="00743B28" w:rsidP="00755618">
      <w:pPr>
        <w:tabs>
          <w:tab w:val="left" w:pos="851"/>
        </w:tabs>
        <w:jc w:val="center"/>
        <w:rPr>
          <w:rFonts w:ascii="Arial" w:hAnsi="Arial" w:cs="Arial"/>
          <w:sz w:val="20"/>
          <w:szCs w:val="20"/>
          <w:lang w:val="ro-RO"/>
        </w:rPr>
      </w:pPr>
      <w:r w:rsidRPr="006022C5">
        <w:rPr>
          <w:rFonts w:ascii="Arial" w:hAnsi="Arial" w:cs="Arial"/>
          <w:sz w:val="20"/>
          <w:szCs w:val="20"/>
          <w:lang w:val="ro-RO"/>
        </w:rPr>
        <w:t>Sursa: Agenţia pentru Protecţia Mediului Bistriţa-Năsăud</w:t>
      </w:r>
    </w:p>
    <w:p w:rsidR="00743B28" w:rsidRPr="008A2BCE" w:rsidRDefault="00743B28" w:rsidP="008A2BCE">
      <w:pPr>
        <w:tabs>
          <w:tab w:val="left" w:pos="851"/>
        </w:tabs>
        <w:jc w:val="center"/>
        <w:rPr>
          <w:rFonts w:ascii="Arial" w:hAnsi="Arial" w:cs="Arial"/>
          <w:b/>
          <w:bCs/>
          <w:sz w:val="22"/>
          <w:szCs w:val="22"/>
        </w:rPr>
      </w:pPr>
      <w:r w:rsidRPr="008A2BCE">
        <w:rPr>
          <w:rFonts w:ascii="Arial" w:hAnsi="Arial" w:cs="Arial"/>
          <w:b/>
          <w:bCs/>
          <w:sz w:val="22"/>
          <w:szCs w:val="22"/>
        </w:rPr>
        <w:t>Figura I.3.1.17.</w:t>
      </w:r>
    </w:p>
    <w:p w:rsidR="00743B28" w:rsidRPr="006022C5" w:rsidRDefault="00743B28" w:rsidP="00755618">
      <w:pPr>
        <w:pStyle w:val="Default"/>
        <w:tabs>
          <w:tab w:val="left" w:pos="851"/>
        </w:tabs>
        <w:jc w:val="center"/>
        <w:rPr>
          <w:b/>
          <w:bCs/>
          <w:color w:val="auto"/>
          <w:sz w:val="22"/>
          <w:szCs w:val="22"/>
        </w:rPr>
      </w:pPr>
      <w:r w:rsidRPr="006022C5">
        <w:rPr>
          <w:b/>
          <w:bCs/>
          <w:color w:val="auto"/>
          <w:sz w:val="22"/>
          <w:szCs w:val="22"/>
        </w:rPr>
        <w:t xml:space="preserve">Evoluția </w:t>
      </w:r>
      <w:r w:rsidRPr="006022C5">
        <w:rPr>
          <w:b/>
          <w:bCs/>
          <w:i/>
          <w:color w:val="auto"/>
          <w:sz w:val="22"/>
          <w:szCs w:val="22"/>
        </w:rPr>
        <w:t>emisiilor de particule primare</w:t>
      </w:r>
      <w:r w:rsidRPr="006022C5">
        <w:rPr>
          <w:b/>
          <w:bCs/>
          <w:color w:val="auto"/>
          <w:sz w:val="22"/>
          <w:szCs w:val="22"/>
        </w:rPr>
        <w:t xml:space="preserve"> (Gg) provenite din </w:t>
      </w:r>
      <w:r w:rsidRPr="006022C5">
        <w:rPr>
          <w:b/>
          <w:bCs/>
          <w:color w:val="auto"/>
          <w:sz w:val="22"/>
          <w:szCs w:val="22"/>
          <w:u w:val="single"/>
        </w:rPr>
        <w:t>sectorul deşeuri</w:t>
      </w:r>
      <w:r w:rsidRPr="006022C5">
        <w:rPr>
          <w:b/>
          <w:bCs/>
          <w:color w:val="auto"/>
          <w:sz w:val="22"/>
          <w:szCs w:val="22"/>
        </w:rPr>
        <w:t>,</w:t>
      </w:r>
    </w:p>
    <w:p w:rsidR="00743B28" w:rsidRPr="006022C5" w:rsidRDefault="00743B28" w:rsidP="00755618">
      <w:pPr>
        <w:tabs>
          <w:tab w:val="left" w:pos="851"/>
        </w:tabs>
        <w:jc w:val="center"/>
        <w:rPr>
          <w:rFonts w:ascii="Arial" w:hAnsi="Arial" w:cs="Arial"/>
          <w:lang w:val="ro-RO"/>
        </w:rPr>
      </w:pPr>
      <w:r w:rsidRPr="006022C5">
        <w:rPr>
          <w:rFonts w:ascii="Arial" w:hAnsi="Arial" w:cs="Arial"/>
          <w:b/>
          <w:bCs/>
          <w:sz w:val="22"/>
          <w:szCs w:val="22"/>
        </w:rPr>
        <w:t>judeţul Bistriţa-Năsăud</w:t>
      </w:r>
    </w:p>
    <w:p w:rsidR="00743B28" w:rsidRPr="006B01A5" w:rsidRDefault="00743B28" w:rsidP="00755618">
      <w:pPr>
        <w:tabs>
          <w:tab w:val="left" w:pos="1216"/>
        </w:tabs>
        <w:jc w:val="both"/>
        <w:rPr>
          <w:rFonts w:ascii="Arial" w:hAnsi="Arial" w:cs="Arial"/>
          <w:color w:val="FF0000"/>
          <w:lang w:val="ro-RO"/>
        </w:rPr>
      </w:pPr>
      <w:r w:rsidRPr="006B01A5">
        <w:rPr>
          <w:rFonts w:ascii="Arial" w:hAnsi="Arial" w:cs="Arial"/>
          <w:color w:val="FF0000"/>
          <w:lang w:val="ro-RO"/>
        </w:rPr>
        <w:tab/>
      </w:r>
      <w:r w:rsidR="006022C5">
        <w:rPr>
          <w:noProof/>
          <w:lang w:val="en-US"/>
        </w:rPr>
        <w:drawing>
          <wp:inline distT="0" distB="0" distL="0" distR="0" wp14:anchorId="71CA0974" wp14:editId="00A1BAFA">
            <wp:extent cx="4384040" cy="2194560"/>
            <wp:effectExtent l="0" t="0" r="0" b="0"/>
            <wp:docPr id="43" name="Diagramă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43B28" w:rsidRPr="006022C5" w:rsidRDefault="00743B28" w:rsidP="00755618">
      <w:pPr>
        <w:tabs>
          <w:tab w:val="left" w:pos="851"/>
        </w:tabs>
        <w:jc w:val="center"/>
        <w:rPr>
          <w:rFonts w:ascii="Arial" w:hAnsi="Arial" w:cs="Arial"/>
          <w:sz w:val="20"/>
          <w:szCs w:val="20"/>
          <w:lang w:val="ro-RO"/>
        </w:rPr>
      </w:pPr>
      <w:r w:rsidRPr="006022C5">
        <w:rPr>
          <w:rFonts w:ascii="Arial" w:hAnsi="Arial" w:cs="Arial"/>
          <w:sz w:val="20"/>
          <w:szCs w:val="20"/>
          <w:lang w:val="ro-RO"/>
        </w:rPr>
        <w:t>Sursa: Agenţia pentru Protecţia Mediului Bistriţa-Năsăud</w:t>
      </w:r>
    </w:p>
    <w:p w:rsidR="00743B28" w:rsidRPr="006B01A5" w:rsidRDefault="00743B28" w:rsidP="00755618">
      <w:pPr>
        <w:tabs>
          <w:tab w:val="left" w:pos="851"/>
        </w:tabs>
        <w:jc w:val="center"/>
        <w:rPr>
          <w:rFonts w:ascii="Arial" w:hAnsi="Arial" w:cs="Arial"/>
          <w:color w:val="FF0000"/>
          <w:sz w:val="20"/>
          <w:szCs w:val="20"/>
          <w:lang w:val="ro-RO"/>
        </w:rPr>
      </w:pPr>
    </w:p>
    <w:p w:rsidR="003E0CDC" w:rsidRPr="006B01A5" w:rsidRDefault="003E0CDC" w:rsidP="00755618">
      <w:pPr>
        <w:tabs>
          <w:tab w:val="left" w:pos="1216"/>
        </w:tabs>
        <w:jc w:val="both"/>
        <w:rPr>
          <w:rFonts w:ascii="Arial" w:hAnsi="Arial" w:cs="Arial"/>
          <w:color w:val="FF0000"/>
          <w:lang w:val="ro-RO"/>
        </w:rPr>
      </w:pPr>
    </w:p>
    <w:p w:rsidR="00743B28" w:rsidRPr="006022C5" w:rsidRDefault="00743B28" w:rsidP="00755618">
      <w:pPr>
        <w:pStyle w:val="Listparagraf"/>
        <w:numPr>
          <w:ilvl w:val="0"/>
          <w:numId w:val="23"/>
        </w:numPr>
        <w:tabs>
          <w:tab w:val="left" w:pos="851"/>
          <w:tab w:val="left" w:pos="1134"/>
          <w:tab w:val="left" w:leader="dot" w:pos="9356"/>
        </w:tabs>
        <w:ind w:left="0" w:firstLine="0"/>
        <w:rPr>
          <w:rFonts w:ascii="Arial" w:hAnsi="Arial" w:cs="Arial"/>
          <w:b/>
          <w:u w:val="single"/>
          <w:lang w:val="ro-RO"/>
        </w:rPr>
      </w:pPr>
      <w:r w:rsidRPr="006022C5">
        <w:rPr>
          <w:rFonts w:ascii="Arial" w:hAnsi="Arial" w:cs="Arial"/>
          <w:b/>
          <w:u w:val="single"/>
          <w:lang w:val="ro-RO"/>
        </w:rPr>
        <w:t>Emisiile de metale grele (Pb, Cd, Hg)</w:t>
      </w:r>
    </w:p>
    <w:p w:rsidR="00743B28" w:rsidRPr="006022C5" w:rsidRDefault="00743B28" w:rsidP="00755618">
      <w:pPr>
        <w:pStyle w:val="Listparagraf"/>
        <w:tabs>
          <w:tab w:val="left" w:pos="851"/>
          <w:tab w:val="left" w:pos="1134"/>
          <w:tab w:val="left" w:leader="dot" w:pos="9356"/>
        </w:tabs>
        <w:ind w:left="0"/>
        <w:rPr>
          <w:rFonts w:ascii="Arial" w:hAnsi="Arial" w:cs="Arial"/>
          <w:u w:val="single"/>
          <w:lang w:val="ro-RO"/>
        </w:rPr>
      </w:pPr>
    </w:p>
    <w:p w:rsidR="00743B28" w:rsidRPr="006022C5" w:rsidRDefault="00743B28" w:rsidP="00755618">
      <w:pPr>
        <w:pStyle w:val="Listparagraf"/>
        <w:tabs>
          <w:tab w:val="left" w:pos="851"/>
          <w:tab w:val="left" w:pos="1134"/>
          <w:tab w:val="left" w:leader="dot" w:pos="9356"/>
        </w:tabs>
        <w:ind w:left="0"/>
        <w:jc w:val="center"/>
        <w:rPr>
          <w:rFonts w:ascii="Arial" w:hAnsi="Arial" w:cs="Arial"/>
          <w:b/>
          <w:bCs/>
          <w:sz w:val="20"/>
          <w:szCs w:val="20"/>
        </w:rPr>
      </w:pPr>
      <w:r w:rsidRPr="006022C5">
        <w:rPr>
          <w:rFonts w:ascii="Arial" w:hAnsi="Arial" w:cs="Arial"/>
          <w:b/>
          <w:bCs/>
          <w:sz w:val="20"/>
          <w:szCs w:val="20"/>
        </w:rPr>
        <w:t>Figura I.3.1.18.</w:t>
      </w:r>
    </w:p>
    <w:p w:rsidR="00743B28" w:rsidRPr="006022C5" w:rsidRDefault="00743B28" w:rsidP="00755618">
      <w:pPr>
        <w:pStyle w:val="Default"/>
        <w:tabs>
          <w:tab w:val="left" w:pos="851"/>
        </w:tabs>
        <w:jc w:val="center"/>
        <w:rPr>
          <w:b/>
          <w:bCs/>
          <w:color w:val="auto"/>
          <w:sz w:val="20"/>
          <w:szCs w:val="20"/>
        </w:rPr>
      </w:pPr>
      <w:r w:rsidRPr="006022C5">
        <w:rPr>
          <w:b/>
          <w:bCs/>
          <w:color w:val="auto"/>
          <w:sz w:val="20"/>
          <w:szCs w:val="20"/>
        </w:rPr>
        <w:t xml:space="preserve">Evoluția emisiilor totale de </w:t>
      </w:r>
      <w:r w:rsidRPr="006022C5">
        <w:rPr>
          <w:b/>
          <w:bCs/>
          <w:i/>
          <w:color w:val="auto"/>
          <w:sz w:val="20"/>
          <w:szCs w:val="20"/>
        </w:rPr>
        <w:t>metalele grele</w:t>
      </w:r>
      <w:r w:rsidRPr="006022C5">
        <w:rPr>
          <w:b/>
          <w:bCs/>
          <w:color w:val="auto"/>
          <w:sz w:val="20"/>
          <w:szCs w:val="20"/>
        </w:rPr>
        <w:t>, județul Bistrița-Năsăud</w:t>
      </w:r>
      <w:r w:rsidRPr="006022C5">
        <w:rPr>
          <w:noProof/>
          <w:color w:val="auto"/>
          <w:lang w:eastAsia="ro-RO"/>
        </w:rPr>
        <w:t xml:space="preserve"> </w:t>
      </w:r>
    </w:p>
    <w:p w:rsidR="00743B28" w:rsidRPr="006B01A5" w:rsidRDefault="00743B28" w:rsidP="00F71107">
      <w:pPr>
        <w:pStyle w:val="Default"/>
        <w:tabs>
          <w:tab w:val="left" w:pos="851"/>
        </w:tabs>
        <w:jc w:val="both"/>
        <w:rPr>
          <w:color w:val="FF0000"/>
          <w:sz w:val="20"/>
          <w:szCs w:val="20"/>
        </w:rPr>
      </w:pPr>
    </w:p>
    <w:p w:rsidR="00743B28" w:rsidRDefault="006022C5" w:rsidP="00755618">
      <w:pPr>
        <w:tabs>
          <w:tab w:val="left" w:pos="851"/>
        </w:tabs>
        <w:jc w:val="center"/>
        <w:rPr>
          <w:rFonts w:ascii="Arial" w:hAnsi="Arial" w:cs="Arial"/>
          <w:color w:val="FF0000"/>
          <w:sz w:val="20"/>
          <w:szCs w:val="20"/>
          <w:lang w:val="ro-RO"/>
        </w:rPr>
      </w:pPr>
      <w:r>
        <w:rPr>
          <w:noProof/>
          <w:lang w:val="en-US"/>
        </w:rPr>
        <w:drawing>
          <wp:inline distT="0" distB="0" distL="0" distR="0" wp14:anchorId="7B381F32" wp14:editId="5D5BDD79">
            <wp:extent cx="4823460" cy="1851660"/>
            <wp:effectExtent l="0" t="0" r="0" b="0"/>
            <wp:docPr id="52" name="Diagramă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022C5" w:rsidRPr="006B01A5" w:rsidRDefault="006022C5" w:rsidP="006022C5">
      <w:pPr>
        <w:tabs>
          <w:tab w:val="left" w:pos="851"/>
        </w:tabs>
        <w:jc w:val="both"/>
        <w:rPr>
          <w:rFonts w:ascii="Arial" w:hAnsi="Arial" w:cs="Arial"/>
          <w:color w:val="FF0000"/>
          <w:sz w:val="20"/>
          <w:szCs w:val="20"/>
          <w:lang w:val="ro-RO"/>
        </w:rPr>
      </w:pPr>
      <w:r>
        <w:rPr>
          <w:noProof/>
          <w:lang w:val="en-US"/>
        </w:rPr>
        <w:drawing>
          <wp:inline distT="0" distB="0" distL="0" distR="0" wp14:anchorId="4567270A" wp14:editId="0A6F149D">
            <wp:extent cx="2750820" cy="2225040"/>
            <wp:effectExtent l="0" t="0" r="0" b="3810"/>
            <wp:docPr id="53" name="Diagramă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lang w:val="en-US"/>
        </w:rPr>
        <w:drawing>
          <wp:inline distT="0" distB="0" distL="0" distR="0" wp14:anchorId="16512183" wp14:editId="735F9729">
            <wp:extent cx="3024505" cy="2049780"/>
            <wp:effectExtent l="57150" t="57150" r="42545" b="45720"/>
            <wp:docPr id="62" name="Diagramă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43B28" w:rsidRPr="006022C5" w:rsidRDefault="00743B28" w:rsidP="00755618">
      <w:pPr>
        <w:tabs>
          <w:tab w:val="left" w:pos="851"/>
        </w:tabs>
        <w:jc w:val="center"/>
        <w:rPr>
          <w:rFonts w:ascii="Arial" w:hAnsi="Arial" w:cs="Arial"/>
          <w:sz w:val="20"/>
          <w:szCs w:val="20"/>
          <w:lang w:val="ro-RO"/>
        </w:rPr>
      </w:pPr>
      <w:r w:rsidRPr="006022C5">
        <w:rPr>
          <w:rFonts w:ascii="Arial" w:hAnsi="Arial" w:cs="Arial"/>
          <w:sz w:val="20"/>
          <w:szCs w:val="20"/>
          <w:lang w:val="ro-RO"/>
        </w:rPr>
        <w:t xml:space="preserve"> Sursa: Agenţia pentru Protecţia Mediului Bistriţa-Năsăud</w:t>
      </w:r>
    </w:p>
    <w:p w:rsidR="00743B28" w:rsidRPr="006022C5" w:rsidRDefault="00743B28" w:rsidP="00755618">
      <w:pPr>
        <w:pStyle w:val="Default"/>
        <w:tabs>
          <w:tab w:val="left" w:pos="851"/>
        </w:tabs>
        <w:jc w:val="center"/>
        <w:rPr>
          <w:b/>
          <w:bCs/>
          <w:color w:val="auto"/>
          <w:sz w:val="20"/>
          <w:szCs w:val="20"/>
        </w:rPr>
      </w:pPr>
    </w:p>
    <w:p w:rsidR="00743B28" w:rsidRPr="006022C5" w:rsidRDefault="00743B28" w:rsidP="00755618">
      <w:pPr>
        <w:pStyle w:val="Default"/>
        <w:tabs>
          <w:tab w:val="left" w:pos="851"/>
        </w:tabs>
        <w:jc w:val="center"/>
        <w:rPr>
          <w:b/>
          <w:bCs/>
          <w:color w:val="auto"/>
          <w:sz w:val="20"/>
          <w:szCs w:val="20"/>
        </w:rPr>
      </w:pPr>
      <w:r w:rsidRPr="006022C5">
        <w:rPr>
          <w:b/>
          <w:bCs/>
          <w:color w:val="auto"/>
          <w:sz w:val="20"/>
          <w:szCs w:val="20"/>
        </w:rPr>
        <w:t>Figura I.3.1.19.</w:t>
      </w:r>
    </w:p>
    <w:p w:rsidR="00743B28" w:rsidRPr="006022C5" w:rsidRDefault="00743B28" w:rsidP="00755618">
      <w:pPr>
        <w:pStyle w:val="Default"/>
        <w:tabs>
          <w:tab w:val="left" w:pos="851"/>
        </w:tabs>
        <w:jc w:val="center"/>
        <w:rPr>
          <w:b/>
          <w:bCs/>
          <w:color w:val="auto"/>
          <w:sz w:val="20"/>
          <w:szCs w:val="20"/>
        </w:rPr>
      </w:pPr>
      <w:r w:rsidRPr="006022C5">
        <w:rPr>
          <w:b/>
          <w:bCs/>
          <w:color w:val="auto"/>
          <w:sz w:val="20"/>
          <w:szCs w:val="20"/>
        </w:rPr>
        <w:t xml:space="preserve">Evoluția emisiilor de </w:t>
      </w:r>
      <w:r w:rsidRPr="006022C5">
        <w:rPr>
          <w:b/>
          <w:bCs/>
          <w:i/>
          <w:color w:val="auto"/>
          <w:sz w:val="20"/>
          <w:szCs w:val="20"/>
        </w:rPr>
        <w:t>metale grele</w:t>
      </w:r>
      <w:r w:rsidRPr="006022C5">
        <w:rPr>
          <w:b/>
          <w:bCs/>
          <w:color w:val="auto"/>
          <w:sz w:val="20"/>
          <w:szCs w:val="20"/>
        </w:rPr>
        <w:t xml:space="preserve">  (Mg)</w:t>
      </w:r>
    </w:p>
    <w:p w:rsidR="00743B28" w:rsidRPr="006022C5" w:rsidRDefault="00743B28" w:rsidP="00755618">
      <w:pPr>
        <w:pStyle w:val="Default"/>
        <w:tabs>
          <w:tab w:val="left" w:pos="851"/>
        </w:tabs>
        <w:jc w:val="center"/>
        <w:rPr>
          <w:b/>
          <w:bCs/>
          <w:color w:val="auto"/>
          <w:sz w:val="20"/>
          <w:szCs w:val="20"/>
        </w:rPr>
      </w:pPr>
      <w:r w:rsidRPr="006022C5">
        <w:rPr>
          <w:b/>
          <w:bCs/>
          <w:color w:val="auto"/>
          <w:sz w:val="20"/>
          <w:szCs w:val="20"/>
        </w:rPr>
        <w:t xml:space="preserve">provenite din </w:t>
      </w:r>
      <w:r w:rsidRPr="006022C5">
        <w:rPr>
          <w:b/>
          <w:bCs/>
          <w:color w:val="auto"/>
          <w:sz w:val="20"/>
          <w:szCs w:val="20"/>
          <w:u w:val="single"/>
        </w:rPr>
        <w:t>sectorul energetic</w:t>
      </w:r>
      <w:r w:rsidRPr="006022C5">
        <w:rPr>
          <w:b/>
          <w:bCs/>
          <w:color w:val="auto"/>
          <w:sz w:val="20"/>
          <w:szCs w:val="20"/>
        </w:rPr>
        <w:t>, judeţul Bistriţa-Năsăud</w:t>
      </w:r>
    </w:p>
    <w:p w:rsidR="00743B28" w:rsidRPr="006B01A5" w:rsidRDefault="00245671" w:rsidP="00C60D27">
      <w:pPr>
        <w:pStyle w:val="Listparagraf"/>
        <w:tabs>
          <w:tab w:val="left" w:pos="851"/>
          <w:tab w:val="left" w:pos="1134"/>
          <w:tab w:val="left" w:leader="dot" w:pos="9356"/>
        </w:tabs>
        <w:ind w:left="0"/>
        <w:jc w:val="both"/>
        <w:rPr>
          <w:rFonts w:ascii="Arial" w:hAnsi="Arial" w:cs="Arial"/>
          <w:color w:val="FF0000"/>
          <w:lang w:val="ro-RO"/>
        </w:rPr>
      </w:pPr>
      <w:r>
        <w:rPr>
          <w:noProof/>
          <w:lang w:val="en-US"/>
        </w:rPr>
        <w:drawing>
          <wp:inline distT="0" distB="0" distL="0" distR="0" wp14:anchorId="2731DD73" wp14:editId="26C37440">
            <wp:extent cx="3451860" cy="2914650"/>
            <wp:effectExtent l="0" t="0" r="15240" b="0"/>
            <wp:docPr id="63" name="Diagramă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noProof/>
          <w:lang w:val="en-US"/>
        </w:rPr>
        <w:drawing>
          <wp:inline distT="0" distB="0" distL="0" distR="0" wp14:anchorId="281D43CD" wp14:editId="334F8AFA">
            <wp:extent cx="2316480" cy="2918460"/>
            <wp:effectExtent l="0" t="0" r="7620" b="15240"/>
            <wp:docPr id="64" name="Diagramă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60D27" w:rsidRPr="006B01A5" w:rsidRDefault="00245671" w:rsidP="00C60D27">
      <w:pPr>
        <w:pStyle w:val="Listparagraf"/>
        <w:tabs>
          <w:tab w:val="left" w:pos="851"/>
          <w:tab w:val="left" w:pos="1134"/>
          <w:tab w:val="left" w:leader="dot" w:pos="9356"/>
        </w:tabs>
        <w:ind w:left="0"/>
        <w:jc w:val="center"/>
        <w:rPr>
          <w:rFonts w:ascii="Arial" w:hAnsi="Arial" w:cs="Arial"/>
          <w:color w:val="FF0000"/>
          <w:lang w:val="ro-RO"/>
        </w:rPr>
      </w:pPr>
      <w:r>
        <w:rPr>
          <w:noProof/>
          <w:lang w:val="en-US"/>
        </w:rPr>
        <w:drawing>
          <wp:inline distT="0" distB="0" distL="0" distR="0" wp14:anchorId="49A8C883" wp14:editId="6B34DFED">
            <wp:extent cx="5697855" cy="2647950"/>
            <wp:effectExtent l="0" t="0" r="17145" b="0"/>
            <wp:docPr id="68" name="Diagramă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43B28" w:rsidRPr="00245671" w:rsidRDefault="00743B28" w:rsidP="00755618">
      <w:pPr>
        <w:tabs>
          <w:tab w:val="left" w:pos="851"/>
        </w:tabs>
        <w:jc w:val="center"/>
        <w:rPr>
          <w:rFonts w:ascii="Arial" w:hAnsi="Arial" w:cs="Arial"/>
          <w:lang w:val="ro-RO"/>
        </w:rPr>
      </w:pPr>
      <w:r w:rsidRPr="00245671">
        <w:rPr>
          <w:rFonts w:ascii="Arial" w:hAnsi="Arial" w:cs="Arial"/>
          <w:sz w:val="20"/>
          <w:szCs w:val="20"/>
          <w:lang w:val="ro-RO"/>
        </w:rPr>
        <w:t>Sursa: Agenţia pentru Protecţia Mediului Bistriţa-Năsăud</w:t>
      </w:r>
    </w:p>
    <w:p w:rsidR="00743B28" w:rsidRPr="00245671" w:rsidRDefault="00743B28" w:rsidP="00755618">
      <w:pPr>
        <w:pStyle w:val="Default"/>
        <w:tabs>
          <w:tab w:val="left" w:pos="851"/>
        </w:tabs>
        <w:jc w:val="both"/>
        <w:rPr>
          <w:bCs/>
          <w:color w:val="auto"/>
        </w:rPr>
      </w:pPr>
      <w:r w:rsidRPr="00245671">
        <w:rPr>
          <w:bCs/>
          <w:color w:val="auto"/>
        </w:rPr>
        <w:tab/>
      </w:r>
    </w:p>
    <w:p w:rsidR="00743B28" w:rsidRPr="00245671" w:rsidRDefault="00743B28" w:rsidP="00245671">
      <w:pPr>
        <w:pStyle w:val="Default"/>
        <w:tabs>
          <w:tab w:val="left" w:pos="851"/>
        </w:tabs>
        <w:jc w:val="center"/>
        <w:rPr>
          <w:b/>
          <w:bCs/>
          <w:color w:val="auto"/>
          <w:sz w:val="22"/>
          <w:szCs w:val="22"/>
        </w:rPr>
      </w:pPr>
      <w:r w:rsidRPr="00245671">
        <w:rPr>
          <w:b/>
          <w:bCs/>
          <w:color w:val="auto"/>
          <w:sz w:val="22"/>
          <w:szCs w:val="22"/>
        </w:rPr>
        <w:t>Figura I.3.1.20.</w:t>
      </w:r>
    </w:p>
    <w:p w:rsidR="00743B28" w:rsidRPr="00245671" w:rsidRDefault="00743B28" w:rsidP="00755618">
      <w:pPr>
        <w:pStyle w:val="Default"/>
        <w:tabs>
          <w:tab w:val="left" w:pos="851"/>
        </w:tabs>
        <w:jc w:val="center"/>
        <w:rPr>
          <w:b/>
          <w:bCs/>
          <w:color w:val="auto"/>
          <w:sz w:val="22"/>
          <w:szCs w:val="22"/>
          <w:u w:val="single"/>
        </w:rPr>
      </w:pPr>
      <w:r w:rsidRPr="00245671">
        <w:rPr>
          <w:b/>
          <w:bCs/>
          <w:color w:val="auto"/>
          <w:sz w:val="22"/>
          <w:szCs w:val="22"/>
        </w:rPr>
        <w:t xml:space="preserve">Evoluția emisiilor de </w:t>
      </w:r>
      <w:r w:rsidRPr="00245671">
        <w:rPr>
          <w:b/>
          <w:bCs/>
          <w:i/>
          <w:color w:val="auto"/>
          <w:sz w:val="22"/>
          <w:szCs w:val="22"/>
        </w:rPr>
        <w:t>metale grele</w:t>
      </w:r>
      <w:r w:rsidRPr="00245671">
        <w:rPr>
          <w:b/>
          <w:bCs/>
          <w:color w:val="auto"/>
          <w:sz w:val="22"/>
          <w:szCs w:val="22"/>
        </w:rPr>
        <w:t xml:space="preserve"> (Kg) provenite din </w:t>
      </w:r>
      <w:r w:rsidRPr="00245671">
        <w:rPr>
          <w:b/>
          <w:bCs/>
          <w:i/>
          <w:color w:val="auto"/>
          <w:sz w:val="22"/>
          <w:szCs w:val="22"/>
          <w:u w:val="single"/>
        </w:rPr>
        <w:t>sectorul industrial</w:t>
      </w:r>
      <w:r w:rsidRPr="00245671">
        <w:rPr>
          <w:b/>
          <w:bCs/>
          <w:color w:val="auto"/>
          <w:sz w:val="22"/>
          <w:szCs w:val="22"/>
          <w:u w:val="single"/>
        </w:rPr>
        <w:t>,</w:t>
      </w:r>
    </w:p>
    <w:p w:rsidR="00743B28" w:rsidRPr="00245671" w:rsidRDefault="00743B28" w:rsidP="00755618">
      <w:pPr>
        <w:pStyle w:val="Default"/>
        <w:tabs>
          <w:tab w:val="left" w:pos="851"/>
        </w:tabs>
        <w:jc w:val="center"/>
        <w:rPr>
          <w:b/>
          <w:bCs/>
          <w:color w:val="auto"/>
          <w:sz w:val="22"/>
          <w:szCs w:val="22"/>
        </w:rPr>
      </w:pPr>
      <w:r w:rsidRPr="00245671">
        <w:rPr>
          <w:b/>
          <w:bCs/>
          <w:color w:val="auto"/>
          <w:sz w:val="22"/>
          <w:szCs w:val="22"/>
        </w:rPr>
        <w:t xml:space="preserve"> judeţul Bistriţa-Năsăud</w:t>
      </w:r>
    </w:p>
    <w:p w:rsidR="00743B28" w:rsidRPr="006B01A5" w:rsidRDefault="00245671" w:rsidP="00323736">
      <w:pPr>
        <w:pStyle w:val="Default"/>
        <w:tabs>
          <w:tab w:val="left" w:pos="851"/>
        </w:tabs>
        <w:jc w:val="center"/>
        <w:rPr>
          <w:b/>
          <w:bCs/>
          <w:color w:val="FF0000"/>
          <w:sz w:val="20"/>
          <w:szCs w:val="20"/>
        </w:rPr>
      </w:pPr>
      <w:r>
        <w:rPr>
          <w:noProof/>
          <w:lang w:val="en-US"/>
        </w:rPr>
        <w:drawing>
          <wp:inline distT="0" distB="0" distL="0" distR="0" wp14:anchorId="4000BC7B" wp14:editId="385E0C98">
            <wp:extent cx="2781300" cy="1950720"/>
            <wp:effectExtent l="0" t="0" r="0" b="0"/>
            <wp:docPr id="69" name="Diagramă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lang w:val="en-US"/>
        </w:rPr>
        <w:drawing>
          <wp:inline distT="0" distB="0" distL="0" distR="0" wp14:anchorId="6718D1B3" wp14:editId="0B15FC63">
            <wp:extent cx="3093720" cy="1805940"/>
            <wp:effectExtent l="0" t="0" r="0" b="3810"/>
            <wp:docPr id="75" name="Diagramă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43B28" w:rsidRPr="00245671" w:rsidRDefault="00743B28" w:rsidP="00755618">
      <w:pPr>
        <w:tabs>
          <w:tab w:val="left" w:pos="851"/>
        </w:tabs>
        <w:jc w:val="center"/>
        <w:rPr>
          <w:rFonts w:ascii="Arial" w:hAnsi="Arial" w:cs="Arial"/>
          <w:lang w:val="ro-RO"/>
        </w:rPr>
      </w:pPr>
      <w:r w:rsidRPr="00245671">
        <w:rPr>
          <w:rFonts w:ascii="Arial" w:hAnsi="Arial" w:cs="Arial"/>
          <w:sz w:val="20"/>
          <w:szCs w:val="20"/>
          <w:lang w:val="ro-RO"/>
        </w:rPr>
        <w:t>Sursa: Agenţia pentru Protecţia Mediului Bistriţa-Năsăud</w:t>
      </w:r>
    </w:p>
    <w:p w:rsidR="00743B28" w:rsidRPr="006B01A5" w:rsidRDefault="00743B28" w:rsidP="00755618">
      <w:pPr>
        <w:pStyle w:val="Default"/>
        <w:tabs>
          <w:tab w:val="left" w:pos="851"/>
        </w:tabs>
        <w:jc w:val="center"/>
        <w:rPr>
          <w:color w:val="FF0000"/>
        </w:rPr>
      </w:pPr>
      <w:r w:rsidRPr="006B01A5">
        <w:rPr>
          <w:color w:val="FF0000"/>
        </w:rPr>
        <w:tab/>
      </w:r>
    </w:p>
    <w:p w:rsidR="00743B28" w:rsidRPr="00245671" w:rsidRDefault="00743B28" w:rsidP="00755618">
      <w:pPr>
        <w:pStyle w:val="Default"/>
        <w:tabs>
          <w:tab w:val="left" w:pos="851"/>
        </w:tabs>
        <w:jc w:val="center"/>
        <w:rPr>
          <w:b/>
          <w:bCs/>
          <w:color w:val="auto"/>
          <w:sz w:val="22"/>
          <w:szCs w:val="22"/>
        </w:rPr>
      </w:pPr>
      <w:r w:rsidRPr="00245671">
        <w:rPr>
          <w:b/>
          <w:bCs/>
          <w:color w:val="auto"/>
          <w:sz w:val="22"/>
          <w:szCs w:val="22"/>
        </w:rPr>
        <w:t>Figura 1.3.1.21.</w:t>
      </w:r>
    </w:p>
    <w:p w:rsidR="00743B28" w:rsidRPr="00245671" w:rsidRDefault="00743B28" w:rsidP="00755618">
      <w:pPr>
        <w:pStyle w:val="Default"/>
        <w:tabs>
          <w:tab w:val="left" w:pos="851"/>
        </w:tabs>
        <w:jc w:val="center"/>
        <w:rPr>
          <w:b/>
          <w:bCs/>
          <w:color w:val="auto"/>
          <w:sz w:val="22"/>
          <w:szCs w:val="22"/>
        </w:rPr>
      </w:pPr>
      <w:r w:rsidRPr="00245671">
        <w:rPr>
          <w:b/>
          <w:bCs/>
          <w:color w:val="auto"/>
          <w:sz w:val="22"/>
          <w:szCs w:val="22"/>
        </w:rPr>
        <w:t xml:space="preserve">Evoluția emisiilor de </w:t>
      </w:r>
      <w:r w:rsidRPr="00245671">
        <w:rPr>
          <w:b/>
          <w:bCs/>
          <w:i/>
          <w:color w:val="auto"/>
          <w:sz w:val="22"/>
          <w:szCs w:val="22"/>
        </w:rPr>
        <w:t>metale grele</w:t>
      </w:r>
      <w:r w:rsidRPr="00245671">
        <w:rPr>
          <w:b/>
          <w:bCs/>
          <w:color w:val="auto"/>
          <w:sz w:val="22"/>
          <w:szCs w:val="22"/>
        </w:rPr>
        <w:t xml:space="preserve">  (Mg)</w:t>
      </w:r>
    </w:p>
    <w:p w:rsidR="00743B28" w:rsidRPr="00245671" w:rsidRDefault="00743B28" w:rsidP="00755618">
      <w:pPr>
        <w:pStyle w:val="Default"/>
        <w:tabs>
          <w:tab w:val="left" w:pos="851"/>
        </w:tabs>
        <w:jc w:val="center"/>
        <w:rPr>
          <w:b/>
          <w:bCs/>
          <w:color w:val="auto"/>
          <w:sz w:val="22"/>
          <w:szCs w:val="22"/>
        </w:rPr>
      </w:pPr>
      <w:r w:rsidRPr="00245671">
        <w:rPr>
          <w:b/>
          <w:bCs/>
          <w:color w:val="auto"/>
          <w:sz w:val="22"/>
          <w:szCs w:val="22"/>
        </w:rPr>
        <w:t xml:space="preserve">provenite din </w:t>
      </w:r>
      <w:r w:rsidRPr="00245671">
        <w:rPr>
          <w:b/>
          <w:bCs/>
          <w:color w:val="auto"/>
          <w:sz w:val="22"/>
          <w:szCs w:val="22"/>
          <w:u w:val="single"/>
        </w:rPr>
        <w:t>transport</w:t>
      </w:r>
      <w:r w:rsidRPr="00245671">
        <w:rPr>
          <w:b/>
          <w:bCs/>
          <w:color w:val="auto"/>
          <w:sz w:val="22"/>
          <w:szCs w:val="22"/>
        </w:rPr>
        <w:t>, judeţul Bistriţa-Năsăud</w:t>
      </w:r>
    </w:p>
    <w:p w:rsidR="00950F45" w:rsidRDefault="00245671" w:rsidP="008D2A19">
      <w:pPr>
        <w:pStyle w:val="Listparagraf"/>
        <w:tabs>
          <w:tab w:val="left" w:pos="851"/>
          <w:tab w:val="left" w:pos="1134"/>
          <w:tab w:val="left" w:leader="dot" w:pos="9356"/>
        </w:tabs>
        <w:ind w:left="0"/>
        <w:jc w:val="center"/>
        <w:rPr>
          <w:rFonts w:ascii="Arial" w:hAnsi="Arial" w:cs="Arial"/>
          <w:color w:val="FF0000"/>
          <w:lang w:val="ro-RO"/>
        </w:rPr>
      </w:pPr>
      <w:r>
        <w:rPr>
          <w:noProof/>
          <w:lang w:val="en-US"/>
        </w:rPr>
        <w:drawing>
          <wp:inline distT="0" distB="0" distL="0" distR="0" wp14:anchorId="3751E86C" wp14:editId="40363DDB">
            <wp:extent cx="4572000" cy="2339340"/>
            <wp:effectExtent l="0" t="0" r="0" b="3810"/>
            <wp:docPr id="76" name="Diagramă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45671" w:rsidRPr="006B01A5" w:rsidRDefault="00245671" w:rsidP="00755618">
      <w:pPr>
        <w:pStyle w:val="Listparagraf"/>
        <w:tabs>
          <w:tab w:val="left" w:pos="851"/>
          <w:tab w:val="left" w:pos="1134"/>
          <w:tab w:val="left" w:leader="dot" w:pos="9356"/>
        </w:tabs>
        <w:ind w:left="0"/>
        <w:jc w:val="both"/>
        <w:rPr>
          <w:rFonts w:ascii="Arial" w:hAnsi="Arial" w:cs="Arial"/>
          <w:color w:val="FF0000"/>
          <w:lang w:val="ro-RO"/>
        </w:rPr>
      </w:pPr>
      <w:r>
        <w:rPr>
          <w:noProof/>
          <w:lang w:val="en-US"/>
        </w:rPr>
        <w:drawing>
          <wp:inline distT="0" distB="0" distL="0" distR="0" wp14:anchorId="74A0AACF" wp14:editId="24594732">
            <wp:extent cx="2865120" cy="2286000"/>
            <wp:effectExtent l="0" t="0" r="0" b="0"/>
            <wp:docPr id="77" name="Diagramă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noProof/>
          <w:lang w:val="en-US"/>
        </w:rPr>
        <w:drawing>
          <wp:inline distT="0" distB="0" distL="0" distR="0" wp14:anchorId="5BDC586A" wp14:editId="194431CC">
            <wp:extent cx="2781300" cy="2324100"/>
            <wp:effectExtent l="0" t="0" r="0" b="0"/>
            <wp:docPr id="78" name="Diagramă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43B28" w:rsidRPr="003D3557" w:rsidRDefault="00743B28" w:rsidP="00755618">
      <w:pPr>
        <w:tabs>
          <w:tab w:val="left" w:pos="851"/>
        </w:tabs>
        <w:jc w:val="center"/>
        <w:rPr>
          <w:rFonts w:ascii="Arial" w:hAnsi="Arial" w:cs="Arial"/>
          <w:lang w:val="ro-RO"/>
        </w:rPr>
      </w:pPr>
      <w:r w:rsidRPr="003D3557">
        <w:rPr>
          <w:rFonts w:ascii="Arial" w:hAnsi="Arial" w:cs="Arial"/>
          <w:sz w:val="20"/>
          <w:szCs w:val="20"/>
          <w:lang w:val="ro-RO"/>
        </w:rPr>
        <w:t>Sursa: Agenţia pentru Protecţia Mediului Bistriţa-Năsăud</w:t>
      </w:r>
    </w:p>
    <w:p w:rsidR="00743B28" w:rsidRPr="006B01A5" w:rsidRDefault="00743B28" w:rsidP="00755618">
      <w:pPr>
        <w:pStyle w:val="Listparagraf"/>
        <w:tabs>
          <w:tab w:val="left" w:pos="851"/>
          <w:tab w:val="left" w:pos="1134"/>
          <w:tab w:val="left" w:leader="dot" w:pos="9356"/>
        </w:tabs>
        <w:ind w:left="0"/>
        <w:jc w:val="both"/>
        <w:rPr>
          <w:rFonts w:ascii="Arial" w:hAnsi="Arial" w:cs="Arial"/>
          <w:color w:val="FF0000"/>
          <w:lang w:val="ro-RO"/>
        </w:rPr>
      </w:pPr>
    </w:p>
    <w:p w:rsidR="00743B28" w:rsidRDefault="00743B28" w:rsidP="00755618">
      <w:pPr>
        <w:pStyle w:val="Listparagraf"/>
        <w:tabs>
          <w:tab w:val="left" w:pos="851"/>
          <w:tab w:val="left" w:pos="1134"/>
          <w:tab w:val="left" w:leader="dot" w:pos="9356"/>
        </w:tabs>
        <w:ind w:left="0"/>
        <w:jc w:val="both"/>
        <w:rPr>
          <w:rFonts w:ascii="Arial" w:hAnsi="Arial" w:cs="Arial"/>
          <w:lang w:val="ro-RO"/>
        </w:rPr>
      </w:pPr>
      <w:r w:rsidRPr="003D3557">
        <w:rPr>
          <w:rFonts w:ascii="Arial" w:hAnsi="Arial" w:cs="Arial"/>
          <w:lang w:val="ro-RO"/>
        </w:rPr>
        <w:t xml:space="preserve">Din agricultură nu au rezultat metale grele. </w:t>
      </w:r>
    </w:p>
    <w:p w:rsidR="00743B28" w:rsidRDefault="00743B28" w:rsidP="00755618">
      <w:pPr>
        <w:pStyle w:val="Default"/>
        <w:tabs>
          <w:tab w:val="left" w:pos="851"/>
        </w:tabs>
        <w:jc w:val="center"/>
        <w:rPr>
          <w:b/>
          <w:bCs/>
          <w:color w:val="auto"/>
          <w:sz w:val="22"/>
          <w:szCs w:val="22"/>
        </w:rPr>
      </w:pPr>
    </w:p>
    <w:p w:rsidR="007A3EAB" w:rsidRDefault="007A3EAB" w:rsidP="00755618">
      <w:pPr>
        <w:pStyle w:val="Default"/>
        <w:tabs>
          <w:tab w:val="left" w:pos="851"/>
        </w:tabs>
        <w:jc w:val="center"/>
        <w:rPr>
          <w:b/>
          <w:bCs/>
          <w:color w:val="auto"/>
          <w:sz w:val="22"/>
          <w:szCs w:val="22"/>
        </w:rPr>
      </w:pPr>
    </w:p>
    <w:p w:rsidR="007A3EAB" w:rsidRPr="003D3557" w:rsidRDefault="007A3EAB" w:rsidP="00755618">
      <w:pPr>
        <w:pStyle w:val="Default"/>
        <w:tabs>
          <w:tab w:val="left" w:pos="851"/>
        </w:tabs>
        <w:jc w:val="center"/>
        <w:rPr>
          <w:b/>
          <w:bCs/>
          <w:color w:val="auto"/>
          <w:sz w:val="22"/>
          <w:szCs w:val="22"/>
        </w:rPr>
      </w:pPr>
    </w:p>
    <w:p w:rsidR="00743B28" w:rsidRPr="003D3557" w:rsidRDefault="00743B28" w:rsidP="00755618">
      <w:pPr>
        <w:pStyle w:val="Default"/>
        <w:tabs>
          <w:tab w:val="left" w:pos="851"/>
        </w:tabs>
        <w:jc w:val="center"/>
        <w:rPr>
          <w:b/>
          <w:bCs/>
          <w:color w:val="auto"/>
          <w:sz w:val="22"/>
          <w:szCs w:val="22"/>
        </w:rPr>
      </w:pPr>
      <w:r w:rsidRPr="003D3557">
        <w:rPr>
          <w:b/>
          <w:bCs/>
          <w:color w:val="auto"/>
          <w:sz w:val="22"/>
          <w:szCs w:val="22"/>
        </w:rPr>
        <w:t>Figura 1.3.1.22.</w:t>
      </w:r>
    </w:p>
    <w:p w:rsidR="00743B28" w:rsidRPr="003D3557" w:rsidRDefault="00743B28" w:rsidP="00755618">
      <w:pPr>
        <w:pStyle w:val="Default"/>
        <w:tabs>
          <w:tab w:val="left" w:pos="851"/>
        </w:tabs>
        <w:jc w:val="center"/>
        <w:rPr>
          <w:b/>
          <w:bCs/>
          <w:color w:val="auto"/>
          <w:sz w:val="22"/>
          <w:szCs w:val="22"/>
        </w:rPr>
      </w:pPr>
      <w:r w:rsidRPr="003D3557">
        <w:rPr>
          <w:b/>
          <w:bCs/>
          <w:color w:val="auto"/>
          <w:sz w:val="22"/>
          <w:szCs w:val="22"/>
        </w:rPr>
        <w:t xml:space="preserve">Evoluția emisiilor de </w:t>
      </w:r>
      <w:r w:rsidRPr="003D3557">
        <w:rPr>
          <w:b/>
          <w:bCs/>
          <w:i/>
          <w:color w:val="auto"/>
          <w:sz w:val="22"/>
          <w:szCs w:val="22"/>
        </w:rPr>
        <w:t>metale grele</w:t>
      </w:r>
      <w:r w:rsidRPr="003D3557">
        <w:rPr>
          <w:b/>
          <w:bCs/>
          <w:color w:val="auto"/>
          <w:sz w:val="22"/>
          <w:szCs w:val="22"/>
        </w:rPr>
        <w:t xml:space="preserve">  (Mg)</w:t>
      </w:r>
    </w:p>
    <w:p w:rsidR="00743B28" w:rsidRPr="003D3557" w:rsidRDefault="00743B28" w:rsidP="00755618">
      <w:pPr>
        <w:pStyle w:val="Default"/>
        <w:tabs>
          <w:tab w:val="left" w:pos="851"/>
        </w:tabs>
        <w:jc w:val="center"/>
        <w:rPr>
          <w:b/>
          <w:bCs/>
          <w:color w:val="auto"/>
          <w:sz w:val="22"/>
          <w:szCs w:val="22"/>
        </w:rPr>
      </w:pPr>
      <w:r w:rsidRPr="003D3557">
        <w:rPr>
          <w:b/>
          <w:bCs/>
          <w:color w:val="auto"/>
          <w:sz w:val="22"/>
          <w:szCs w:val="22"/>
        </w:rPr>
        <w:t xml:space="preserve">provenite din </w:t>
      </w:r>
      <w:r w:rsidRPr="003D3557">
        <w:rPr>
          <w:b/>
          <w:bCs/>
          <w:color w:val="auto"/>
          <w:sz w:val="22"/>
          <w:szCs w:val="22"/>
          <w:u w:val="single"/>
        </w:rPr>
        <w:t>sectorul deșeuri</w:t>
      </w:r>
      <w:r w:rsidRPr="003D3557">
        <w:rPr>
          <w:b/>
          <w:bCs/>
          <w:color w:val="auto"/>
          <w:sz w:val="22"/>
          <w:szCs w:val="22"/>
        </w:rPr>
        <w:t>, judeţul Bistriţa-Năsăud</w:t>
      </w:r>
    </w:p>
    <w:p w:rsidR="003E0CDC" w:rsidRPr="003D3557" w:rsidRDefault="001528E7" w:rsidP="001528E7">
      <w:pPr>
        <w:pStyle w:val="Default"/>
        <w:tabs>
          <w:tab w:val="left" w:pos="851"/>
        </w:tabs>
        <w:jc w:val="center"/>
        <w:rPr>
          <w:b/>
          <w:bCs/>
          <w:color w:val="auto"/>
          <w:sz w:val="22"/>
          <w:szCs w:val="22"/>
        </w:rPr>
      </w:pPr>
      <w:r>
        <w:rPr>
          <w:noProof/>
          <w:lang w:val="en-US"/>
        </w:rPr>
        <w:drawing>
          <wp:inline distT="0" distB="0" distL="0" distR="0" wp14:anchorId="7479D98D" wp14:editId="374D0C1E">
            <wp:extent cx="4297680" cy="2156460"/>
            <wp:effectExtent l="0" t="0" r="7620" b="0"/>
            <wp:docPr id="79" name="Diagramă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43B28" w:rsidRDefault="00743B28" w:rsidP="00755618">
      <w:pPr>
        <w:tabs>
          <w:tab w:val="left" w:pos="851"/>
        </w:tabs>
        <w:jc w:val="center"/>
        <w:rPr>
          <w:rFonts w:ascii="Arial" w:hAnsi="Arial" w:cs="Arial"/>
          <w:sz w:val="20"/>
          <w:szCs w:val="20"/>
          <w:lang w:val="ro-RO"/>
        </w:rPr>
      </w:pPr>
      <w:r w:rsidRPr="001528E7">
        <w:rPr>
          <w:rFonts w:ascii="Arial" w:hAnsi="Arial" w:cs="Arial"/>
          <w:lang w:val="ro-RO"/>
        </w:rPr>
        <w:tab/>
      </w:r>
      <w:r w:rsidRPr="001528E7">
        <w:rPr>
          <w:rFonts w:ascii="Arial" w:hAnsi="Arial" w:cs="Arial"/>
          <w:sz w:val="20"/>
          <w:szCs w:val="20"/>
          <w:lang w:val="ro-RO"/>
        </w:rPr>
        <w:t>Sursa: Agenţia pentru Protecţia Mediului Bistriţa-Năsăud</w:t>
      </w:r>
    </w:p>
    <w:p w:rsidR="001528E7" w:rsidRPr="001528E7" w:rsidRDefault="001528E7" w:rsidP="00755618">
      <w:pPr>
        <w:tabs>
          <w:tab w:val="left" w:pos="851"/>
        </w:tabs>
        <w:jc w:val="center"/>
        <w:rPr>
          <w:rFonts w:ascii="Arial" w:hAnsi="Arial" w:cs="Arial"/>
          <w:lang w:val="ro-RO"/>
        </w:rPr>
      </w:pPr>
    </w:p>
    <w:p w:rsidR="001528E7" w:rsidRPr="003D3557" w:rsidRDefault="001528E7" w:rsidP="001528E7">
      <w:pPr>
        <w:pStyle w:val="Listparagraf"/>
        <w:tabs>
          <w:tab w:val="left" w:pos="851"/>
          <w:tab w:val="left" w:pos="1134"/>
          <w:tab w:val="left" w:leader="dot" w:pos="9356"/>
        </w:tabs>
        <w:ind w:left="0"/>
        <w:jc w:val="both"/>
        <w:rPr>
          <w:rFonts w:ascii="Arial" w:hAnsi="Arial" w:cs="Arial"/>
          <w:lang w:val="ro-RO"/>
        </w:rPr>
      </w:pPr>
      <w:r>
        <w:rPr>
          <w:rFonts w:ascii="Arial" w:hAnsi="Arial" w:cs="Arial"/>
          <w:lang w:val="ro-RO"/>
        </w:rPr>
        <w:t>În sectorul deșeuri emisiile de metale s-au redus semnificativ în ultimii 2 ani datorită neefectuării activităților de incinerare a nămolurilor provenite de la stațiile de epurare.</w:t>
      </w:r>
    </w:p>
    <w:p w:rsidR="00743B28" w:rsidRPr="006B01A5" w:rsidRDefault="00743B28" w:rsidP="00755618">
      <w:pPr>
        <w:pStyle w:val="Listparagraf"/>
        <w:tabs>
          <w:tab w:val="left" w:pos="851"/>
          <w:tab w:val="left" w:pos="1134"/>
          <w:tab w:val="left" w:leader="dot" w:pos="9356"/>
        </w:tabs>
        <w:ind w:left="0"/>
        <w:jc w:val="both"/>
        <w:rPr>
          <w:rFonts w:ascii="Arial" w:hAnsi="Arial" w:cs="Arial"/>
          <w:color w:val="FF0000"/>
          <w:lang w:val="ro-RO"/>
        </w:rPr>
      </w:pPr>
      <w:r w:rsidRPr="006B01A5">
        <w:rPr>
          <w:rFonts w:ascii="Arial" w:hAnsi="Arial" w:cs="Arial"/>
          <w:color w:val="FF0000"/>
          <w:lang w:val="ro-RO"/>
        </w:rPr>
        <w:tab/>
      </w:r>
    </w:p>
    <w:p w:rsidR="00743B28" w:rsidRPr="006B01A5" w:rsidRDefault="00743B28" w:rsidP="00755618">
      <w:pPr>
        <w:pStyle w:val="Listparagraf"/>
        <w:tabs>
          <w:tab w:val="left" w:pos="851"/>
          <w:tab w:val="left" w:pos="1134"/>
          <w:tab w:val="left" w:leader="dot" w:pos="9356"/>
        </w:tabs>
        <w:ind w:left="0"/>
        <w:jc w:val="both"/>
        <w:rPr>
          <w:rFonts w:ascii="Arial" w:hAnsi="Arial" w:cs="Arial"/>
          <w:color w:val="FF0000"/>
          <w:lang w:val="ro-RO"/>
        </w:rPr>
      </w:pPr>
      <w:r w:rsidRPr="006B01A5">
        <w:rPr>
          <w:rFonts w:ascii="Arial" w:hAnsi="Arial" w:cs="Arial"/>
          <w:color w:val="FF0000"/>
          <w:lang w:val="ro-RO"/>
        </w:rPr>
        <w:tab/>
        <w:t xml:space="preserve"> </w:t>
      </w:r>
    </w:p>
    <w:p w:rsidR="00743B28" w:rsidRPr="006B01A5" w:rsidRDefault="00743B28" w:rsidP="00755618">
      <w:pPr>
        <w:pStyle w:val="Listparagraf"/>
        <w:tabs>
          <w:tab w:val="left" w:pos="851"/>
          <w:tab w:val="left" w:pos="1134"/>
          <w:tab w:val="left" w:leader="dot" w:pos="9356"/>
        </w:tabs>
        <w:ind w:left="0"/>
        <w:jc w:val="center"/>
        <w:rPr>
          <w:rFonts w:ascii="Arial" w:hAnsi="Arial" w:cs="Arial"/>
          <w:color w:val="FF0000"/>
          <w:u w:val="single"/>
          <w:lang w:val="ro-RO"/>
        </w:rPr>
      </w:pPr>
    </w:p>
    <w:p w:rsidR="00743B28" w:rsidRPr="00BF1F00" w:rsidRDefault="00743B28" w:rsidP="00755618">
      <w:pPr>
        <w:pStyle w:val="Listparagraf"/>
        <w:numPr>
          <w:ilvl w:val="0"/>
          <w:numId w:val="23"/>
        </w:numPr>
        <w:tabs>
          <w:tab w:val="left" w:pos="851"/>
          <w:tab w:val="left" w:pos="1134"/>
          <w:tab w:val="left" w:leader="dot" w:pos="9356"/>
        </w:tabs>
        <w:ind w:left="0" w:firstLine="0"/>
        <w:rPr>
          <w:rFonts w:ascii="Arial" w:hAnsi="Arial" w:cs="Arial"/>
          <w:b/>
          <w:u w:val="single"/>
          <w:lang w:val="ro-RO"/>
        </w:rPr>
      </w:pPr>
      <w:r w:rsidRPr="00BF1F00">
        <w:rPr>
          <w:rFonts w:ascii="Arial" w:hAnsi="Arial" w:cs="Arial"/>
          <w:b/>
          <w:u w:val="single"/>
          <w:lang w:val="ro-RO"/>
        </w:rPr>
        <w:t>Emisiile de POPs</w:t>
      </w:r>
    </w:p>
    <w:p w:rsidR="00743B28" w:rsidRPr="00BF1F00" w:rsidRDefault="00743B28" w:rsidP="00755618">
      <w:pPr>
        <w:pStyle w:val="Listparagraf"/>
        <w:tabs>
          <w:tab w:val="left" w:pos="851"/>
          <w:tab w:val="left" w:pos="1134"/>
          <w:tab w:val="left" w:leader="dot" w:pos="9356"/>
        </w:tabs>
        <w:ind w:left="0"/>
        <w:jc w:val="center"/>
        <w:rPr>
          <w:rFonts w:ascii="Arial" w:hAnsi="Arial" w:cs="Arial"/>
          <w:b/>
          <w:bCs/>
          <w:sz w:val="22"/>
          <w:szCs w:val="22"/>
        </w:rPr>
      </w:pPr>
      <w:r w:rsidRPr="00BF1F00">
        <w:rPr>
          <w:rFonts w:ascii="Arial" w:hAnsi="Arial" w:cs="Arial"/>
          <w:b/>
          <w:bCs/>
          <w:sz w:val="22"/>
          <w:szCs w:val="22"/>
        </w:rPr>
        <w:t>Figura I.3.1.23.</w:t>
      </w:r>
    </w:p>
    <w:p w:rsidR="00743B28" w:rsidRPr="00BF1F00" w:rsidRDefault="00743B28" w:rsidP="00755618">
      <w:pPr>
        <w:pStyle w:val="Default"/>
        <w:tabs>
          <w:tab w:val="left" w:pos="851"/>
        </w:tabs>
        <w:jc w:val="center"/>
        <w:rPr>
          <w:b/>
          <w:bCs/>
          <w:color w:val="auto"/>
          <w:sz w:val="22"/>
          <w:szCs w:val="22"/>
        </w:rPr>
      </w:pPr>
      <w:r w:rsidRPr="00BF1F00">
        <w:rPr>
          <w:b/>
          <w:bCs/>
          <w:color w:val="auto"/>
          <w:sz w:val="22"/>
          <w:szCs w:val="22"/>
        </w:rPr>
        <w:t xml:space="preserve">Evoluția emisiilor de </w:t>
      </w:r>
      <w:r w:rsidRPr="00BF1F00">
        <w:rPr>
          <w:b/>
          <w:bCs/>
          <w:i/>
          <w:color w:val="auto"/>
          <w:sz w:val="22"/>
          <w:szCs w:val="22"/>
        </w:rPr>
        <w:t>POPs,</w:t>
      </w:r>
      <w:r w:rsidRPr="00BF1F00">
        <w:rPr>
          <w:b/>
          <w:bCs/>
          <w:color w:val="auto"/>
          <w:sz w:val="22"/>
          <w:szCs w:val="22"/>
        </w:rPr>
        <w:t xml:space="preserve"> județul Bistrița-Năsăud </w:t>
      </w:r>
    </w:p>
    <w:p w:rsidR="00865B59" w:rsidRDefault="00865B59" w:rsidP="00BF1F00">
      <w:pPr>
        <w:pStyle w:val="Listparagraf"/>
        <w:tabs>
          <w:tab w:val="left" w:pos="0"/>
        </w:tabs>
        <w:ind w:left="0"/>
        <w:jc w:val="center"/>
        <w:rPr>
          <w:rFonts w:ascii="Arial" w:hAnsi="Arial" w:cs="Arial"/>
          <w:b/>
          <w:color w:val="FF0000"/>
          <w:lang w:val="ro-RO"/>
        </w:rPr>
      </w:pPr>
      <w:r>
        <w:rPr>
          <w:noProof/>
          <w:lang w:val="en-US"/>
        </w:rPr>
        <w:drawing>
          <wp:inline distT="0" distB="0" distL="0" distR="0" wp14:anchorId="726CEF88" wp14:editId="7D57D101">
            <wp:extent cx="5261610" cy="2217420"/>
            <wp:effectExtent l="0" t="0" r="0" b="0"/>
            <wp:docPr id="80" name="Diagramă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65B59" w:rsidRDefault="00865B59" w:rsidP="00865B59">
      <w:pPr>
        <w:pStyle w:val="Listparagraf"/>
        <w:tabs>
          <w:tab w:val="left" w:pos="0"/>
        </w:tabs>
        <w:ind w:left="0"/>
        <w:rPr>
          <w:rFonts w:ascii="Arial" w:hAnsi="Arial" w:cs="Arial"/>
          <w:b/>
          <w:color w:val="FF0000"/>
          <w:lang w:val="ro-RO"/>
        </w:rPr>
      </w:pPr>
      <w:r>
        <w:rPr>
          <w:noProof/>
          <w:lang w:val="en-US"/>
        </w:rPr>
        <w:drawing>
          <wp:inline distT="0" distB="0" distL="0" distR="0" wp14:anchorId="248076BB" wp14:editId="764F8279">
            <wp:extent cx="2781300" cy="2362200"/>
            <wp:effectExtent l="0" t="0" r="0" b="0"/>
            <wp:docPr id="91" name="Diagramă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noProof/>
          <w:lang w:val="en-US"/>
        </w:rPr>
        <w:drawing>
          <wp:inline distT="0" distB="0" distL="0" distR="0" wp14:anchorId="36A24ABD" wp14:editId="7D94C53E">
            <wp:extent cx="3070860" cy="2308860"/>
            <wp:effectExtent l="0" t="0" r="0" b="0"/>
            <wp:docPr id="93" name="Diagramă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43B28" w:rsidRPr="00BF1F00" w:rsidRDefault="00743B28" w:rsidP="00BF1F00">
      <w:pPr>
        <w:pStyle w:val="Listparagraf"/>
        <w:tabs>
          <w:tab w:val="left" w:pos="0"/>
        </w:tabs>
        <w:ind w:left="0"/>
        <w:jc w:val="center"/>
        <w:rPr>
          <w:rFonts w:ascii="Arial" w:hAnsi="Arial" w:cs="Arial"/>
          <w:lang w:val="ro-RO"/>
        </w:rPr>
      </w:pPr>
      <w:r w:rsidRPr="00BF1F00">
        <w:rPr>
          <w:rFonts w:ascii="Arial" w:hAnsi="Arial" w:cs="Arial"/>
          <w:sz w:val="20"/>
          <w:szCs w:val="20"/>
          <w:lang w:val="ro-RO"/>
        </w:rPr>
        <w:t>Sursa: Agenţia pentru Protecţia Mediului Bistriţa-Năsăud</w:t>
      </w:r>
    </w:p>
    <w:p w:rsidR="00743B28" w:rsidRPr="00BF1F00" w:rsidRDefault="00743B28" w:rsidP="00755618">
      <w:pPr>
        <w:tabs>
          <w:tab w:val="left" w:pos="851"/>
        </w:tabs>
        <w:jc w:val="both"/>
        <w:rPr>
          <w:rFonts w:ascii="Arial" w:hAnsi="Arial" w:cs="Arial"/>
          <w:lang w:val="ro-RO"/>
        </w:rPr>
      </w:pPr>
      <w:r w:rsidRPr="00BF1F00">
        <w:rPr>
          <w:rFonts w:ascii="Arial" w:hAnsi="Arial" w:cs="Arial"/>
          <w:lang w:val="ro-RO"/>
        </w:rPr>
        <w:tab/>
      </w:r>
    </w:p>
    <w:p w:rsidR="002445BB" w:rsidRPr="00BF1F00" w:rsidRDefault="002445BB" w:rsidP="00BF1F00">
      <w:pPr>
        <w:tabs>
          <w:tab w:val="left" w:pos="851"/>
        </w:tabs>
        <w:jc w:val="center"/>
        <w:rPr>
          <w:rFonts w:ascii="Arial" w:hAnsi="Arial" w:cs="Arial"/>
          <w:b/>
          <w:bCs/>
          <w:sz w:val="22"/>
          <w:szCs w:val="22"/>
        </w:rPr>
      </w:pPr>
      <w:r w:rsidRPr="00BF1F00">
        <w:rPr>
          <w:rFonts w:ascii="Arial" w:hAnsi="Arial" w:cs="Arial"/>
          <w:b/>
          <w:bCs/>
          <w:sz w:val="22"/>
          <w:szCs w:val="22"/>
        </w:rPr>
        <w:t>Figura I.3.1.24.</w:t>
      </w:r>
    </w:p>
    <w:p w:rsidR="002445BB" w:rsidRPr="00BF1F00" w:rsidRDefault="002445BB" w:rsidP="002445BB">
      <w:pPr>
        <w:pStyle w:val="Default"/>
        <w:tabs>
          <w:tab w:val="left" w:pos="851"/>
        </w:tabs>
        <w:jc w:val="center"/>
        <w:rPr>
          <w:b/>
          <w:bCs/>
          <w:color w:val="auto"/>
          <w:sz w:val="22"/>
          <w:szCs w:val="22"/>
        </w:rPr>
      </w:pPr>
      <w:r w:rsidRPr="00BF1F00">
        <w:rPr>
          <w:b/>
          <w:bCs/>
          <w:color w:val="auto"/>
          <w:sz w:val="22"/>
          <w:szCs w:val="22"/>
        </w:rPr>
        <w:t xml:space="preserve">Evoluția emisiilor de </w:t>
      </w:r>
      <w:r w:rsidRPr="00BF1F00">
        <w:rPr>
          <w:b/>
          <w:bCs/>
          <w:i/>
          <w:color w:val="auto"/>
          <w:sz w:val="22"/>
          <w:szCs w:val="22"/>
        </w:rPr>
        <w:t xml:space="preserve">POPs </w:t>
      </w:r>
      <w:r w:rsidRPr="00BF1F00">
        <w:rPr>
          <w:b/>
          <w:bCs/>
          <w:color w:val="auto"/>
          <w:sz w:val="22"/>
          <w:szCs w:val="22"/>
        </w:rPr>
        <w:t xml:space="preserve">din </w:t>
      </w:r>
      <w:r w:rsidRPr="00BF1F00">
        <w:rPr>
          <w:b/>
          <w:bCs/>
          <w:color w:val="auto"/>
          <w:sz w:val="22"/>
          <w:szCs w:val="22"/>
          <w:u w:val="single"/>
        </w:rPr>
        <w:t>sectorul energetic</w:t>
      </w:r>
      <w:r w:rsidRPr="00BF1F00">
        <w:rPr>
          <w:b/>
          <w:bCs/>
          <w:i/>
          <w:color w:val="auto"/>
          <w:sz w:val="22"/>
          <w:szCs w:val="22"/>
        </w:rPr>
        <w:t>,</w:t>
      </w:r>
      <w:r w:rsidRPr="00BF1F00">
        <w:rPr>
          <w:b/>
          <w:bCs/>
          <w:color w:val="auto"/>
          <w:sz w:val="22"/>
          <w:szCs w:val="22"/>
        </w:rPr>
        <w:t xml:space="preserve"> județul Bistrița-Năsăud </w:t>
      </w:r>
    </w:p>
    <w:p w:rsidR="002445BB" w:rsidRDefault="00BF1F00" w:rsidP="00BF1F00">
      <w:pPr>
        <w:tabs>
          <w:tab w:val="left" w:pos="851"/>
        </w:tabs>
        <w:jc w:val="center"/>
        <w:rPr>
          <w:rFonts w:ascii="Arial" w:hAnsi="Arial" w:cs="Arial"/>
          <w:color w:val="FF0000"/>
          <w:lang w:val="ro-RO"/>
        </w:rPr>
      </w:pPr>
      <w:r>
        <w:rPr>
          <w:noProof/>
          <w:lang w:val="en-US"/>
        </w:rPr>
        <w:drawing>
          <wp:inline distT="0" distB="0" distL="0" distR="0" wp14:anchorId="7FE5F07A" wp14:editId="55DF35E9">
            <wp:extent cx="4572000" cy="2301240"/>
            <wp:effectExtent l="0" t="0" r="0" b="3810"/>
            <wp:docPr id="95" name="Diagramă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43B28" w:rsidRPr="00BF1F00" w:rsidRDefault="00BF1F00" w:rsidP="00BF1F00">
      <w:pPr>
        <w:tabs>
          <w:tab w:val="left" w:pos="851"/>
        </w:tabs>
        <w:jc w:val="center"/>
        <w:rPr>
          <w:rFonts w:ascii="Arial" w:hAnsi="Arial" w:cs="Arial"/>
          <w:color w:val="FF0000"/>
          <w:lang w:val="ro-RO"/>
        </w:rPr>
      </w:pPr>
      <w:r>
        <w:rPr>
          <w:noProof/>
          <w:lang w:val="en-US"/>
        </w:rPr>
        <w:drawing>
          <wp:inline distT="0" distB="0" distL="0" distR="0" wp14:anchorId="6133713A" wp14:editId="33C4C48D">
            <wp:extent cx="2926080" cy="2769870"/>
            <wp:effectExtent l="0" t="0" r="7620" b="0"/>
            <wp:docPr id="104" name="Diagramă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noProof/>
          <w:lang w:val="en-US"/>
        </w:rPr>
        <w:drawing>
          <wp:inline distT="0" distB="0" distL="0" distR="0" wp14:anchorId="2B25F8C2" wp14:editId="1EB5294B">
            <wp:extent cx="2979420" cy="2792730"/>
            <wp:effectExtent l="0" t="0" r="0" b="7620"/>
            <wp:docPr id="105" name="Diagramă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27379" w:rsidRPr="00BF1F00" w:rsidRDefault="00A27379" w:rsidP="00A27379">
      <w:pPr>
        <w:pStyle w:val="Listparagraf"/>
        <w:tabs>
          <w:tab w:val="left" w:pos="851"/>
          <w:tab w:val="left" w:pos="1134"/>
          <w:tab w:val="left" w:leader="dot" w:pos="9356"/>
        </w:tabs>
        <w:ind w:left="0"/>
        <w:jc w:val="center"/>
        <w:rPr>
          <w:rFonts w:ascii="Arial" w:hAnsi="Arial" w:cs="Arial"/>
          <w:b/>
          <w:bCs/>
          <w:sz w:val="22"/>
          <w:szCs w:val="22"/>
        </w:rPr>
      </w:pPr>
    </w:p>
    <w:p w:rsidR="00A27379" w:rsidRPr="00BF1F00" w:rsidRDefault="00A27379" w:rsidP="00A27379">
      <w:pPr>
        <w:pStyle w:val="Listparagraf"/>
        <w:tabs>
          <w:tab w:val="left" w:pos="851"/>
          <w:tab w:val="left" w:pos="1134"/>
          <w:tab w:val="left" w:leader="dot" w:pos="9356"/>
        </w:tabs>
        <w:ind w:left="0"/>
        <w:jc w:val="center"/>
        <w:rPr>
          <w:rFonts w:ascii="Arial" w:hAnsi="Arial" w:cs="Arial"/>
          <w:b/>
          <w:bCs/>
          <w:sz w:val="22"/>
          <w:szCs w:val="22"/>
        </w:rPr>
      </w:pPr>
      <w:r w:rsidRPr="00BF1F00">
        <w:rPr>
          <w:rFonts w:ascii="Arial" w:hAnsi="Arial" w:cs="Arial"/>
          <w:b/>
          <w:bCs/>
          <w:sz w:val="22"/>
          <w:szCs w:val="22"/>
        </w:rPr>
        <w:t>Figura I.3.1.24.</w:t>
      </w:r>
    </w:p>
    <w:p w:rsidR="00A27379" w:rsidRPr="00BF1F00" w:rsidRDefault="00A27379" w:rsidP="00A27379">
      <w:pPr>
        <w:pStyle w:val="Default"/>
        <w:tabs>
          <w:tab w:val="left" w:pos="851"/>
        </w:tabs>
        <w:jc w:val="center"/>
        <w:rPr>
          <w:b/>
          <w:bCs/>
          <w:color w:val="auto"/>
          <w:sz w:val="22"/>
          <w:szCs w:val="22"/>
        </w:rPr>
      </w:pPr>
      <w:r w:rsidRPr="00BF1F00">
        <w:rPr>
          <w:b/>
          <w:bCs/>
          <w:color w:val="auto"/>
          <w:sz w:val="22"/>
          <w:szCs w:val="22"/>
        </w:rPr>
        <w:t xml:space="preserve">Evoluția emisiilor de </w:t>
      </w:r>
      <w:r w:rsidRPr="00BF1F00">
        <w:rPr>
          <w:b/>
          <w:bCs/>
          <w:i/>
          <w:color w:val="auto"/>
          <w:sz w:val="22"/>
          <w:szCs w:val="22"/>
        </w:rPr>
        <w:t xml:space="preserve">POPs </w:t>
      </w:r>
      <w:r w:rsidRPr="00BF1F00">
        <w:rPr>
          <w:b/>
          <w:bCs/>
          <w:color w:val="auto"/>
          <w:sz w:val="22"/>
          <w:szCs w:val="22"/>
        </w:rPr>
        <w:t xml:space="preserve">din </w:t>
      </w:r>
      <w:r w:rsidRPr="00BF1F00">
        <w:rPr>
          <w:b/>
          <w:bCs/>
          <w:color w:val="auto"/>
          <w:sz w:val="22"/>
          <w:szCs w:val="22"/>
          <w:u w:val="single"/>
        </w:rPr>
        <w:t>trafic</w:t>
      </w:r>
      <w:r w:rsidRPr="00BF1F00">
        <w:rPr>
          <w:b/>
          <w:bCs/>
          <w:i/>
          <w:color w:val="auto"/>
          <w:sz w:val="22"/>
          <w:szCs w:val="22"/>
        </w:rPr>
        <w:t>,</w:t>
      </w:r>
      <w:r w:rsidRPr="00BF1F00">
        <w:rPr>
          <w:b/>
          <w:bCs/>
          <w:color w:val="auto"/>
          <w:sz w:val="22"/>
          <w:szCs w:val="22"/>
        </w:rPr>
        <w:t xml:space="preserve"> județul Bistrița-Năsăud </w:t>
      </w:r>
    </w:p>
    <w:p w:rsidR="00A27379" w:rsidRPr="006B01A5" w:rsidRDefault="00550F40" w:rsidP="00755618">
      <w:pPr>
        <w:tabs>
          <w:tab w:val="left" w:pos="851"/>
        </w:tabs>
        <w:jc w:val="both"/>
        <w:rPr>
          <w:rFonts w:ascii="Arial" w:hAnsi="Arial" w:cs="Arial"/>
          <w:color w:val="FF0000"/>
          <w:lang w:val="ro-RO"/>
        </w:rPr>
      </w:pPr>
      <w:r>
        <w:rPr>
          <w:noProof/>
          <w:lang w:val="en-US"/>
        </w:rPr>
        <w:drawing>
          <wp:inline distT="0" distB="0" distL="0" distR="0" wp14:anchorId="69CE9EF8" wp14:editId="1D6AAF90">
            <wp:extent cx="3177540" cy="2468880"/>
            <wp:effectExtent l="0" t="0" r="3810" b="7620"/>
            <wp:docPr id="106" name="Diagramă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noProof/>
          <w:lang w:val="en-US"/>
        </w:rPr>
        <w:drawing>
          <wp:inline distT="0" distB="0" distL="0" distR="0" wp14:anchorId="387FCCC1" wp14:editId="20DDF52A">
            <wp:extent cx="2514600" cy="2621280"/>
            <wp:effectExtent l="0" t="0" r="0" b="7620"/>
            <wp:docPr id="107" name="Diagramă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43B28" w:rsidRPr="00B30D47" w:rsidRDefault="00743B28" w:rsidP="00755618">
      <w:pPr>
        <w:pStyle w:val="Default"/>
        <w:tabs>
          <w:tab w:val="left" w:pos="851"/>
        </w:tabs>
        <w:jc w:val="both"/>
        <w:rPr>
          <w:color w:val="auto"/>
        </w:rPr>
      </w:pPr>
      <w:r w:rsidRPr="006B01A5">
        <w:rPr>
          <w:bCs/>
          <w:color w:val="FF0000"/>
        </w:rPr>
        <w:tab/>
      </w:r>
      <w:r w:rsidRPr="00B30D47">
        <w:rPr>
          <w:color w:val="auto"/>
        </w:rPr>
        <w:t>Di</w:t>
      </w:r>
      <w:r w:rsidR="00A27379" w:rsidRPr="00B30D47">
        <w:rPr>
          <w:color w:val="auto"/>
        </w:rPr>
        <w:t>n</w:t>
      </w:r>
      <w:r w:rsidRPr="00B30D47">
        <w:rPr>
          <w:color w:val="auto"/>
        </w:rPr>
        <w:t xml:space="preserve"> </w:t>
      </w:r>
      <w:r w:rsidR="00BF1F00" w:rsidRPr="00B30D47">
        <w:rPr>
          <w:color w:val="auto"/>
        </w:rPr>
        <w:t xml:space="preserve">industrie și </w:t>
      </w:r>
      <w:r w:rsidRPr="00B30D47">
        <w:rPr>
          <w:bCs/>
          <w:color w:val="auto"/>
        </w:rPr>
        <w:t xml:space="preserve">agricultură </w:t>
      </w:r>
      <w:r w:rsidRPr="00B30D47">
        <w:rPr>
          <w:color w:val="auto"/>
        </w:rPr>
        <w:t>nu avem emisii de POPs.</w:t>
      </w:r>
    </w:p>
    <w:p w:rsidR="002445BB" w:rsidRPr="006B01A5" w:rsidRDefault="002445BB" w:rsidP="00755618">
      <w:pPr>
        <w:pStyle w:val="Default"/>
        <w:tabs>
          <w:tab w:val="left" w:pos="851"/>
        </w:tabs>
        <w:jc w:val="both"/>
        <w:rPr>
          <w:color w:val="FF0000"/>
        </w:rPr>
      </w:pPr>
    </w:p>
    <w:p w:rsidR="00743B28" w:rsidRPr="00B30D47" w:rsidRDefault="00743B28" w:rsidP="00B30D47">
      <w:pPr>
        <w:pStyle w:val="Default"/>
        <w:tabs>
          <w:tab w:val="left" w:pos="851"/>
        </w:tabs>
        <w:jc w:val="both"/>
        <w:rPr>
          <w:b/>
          <w:bCs/>
          <w:color w:val="auto"/>
          <w:sz w:val="22"/>
          <w:szCs w:val="22"/>
        </w:rPr>
      </w:pPr>
      <w:r w:rsidRPr="006B01A5">
        <w:rPr>
          <w:bCs/>
          <w:color w:val="FF0000"/>
        </w:rPr>
        <w:tab/>
      </w:r>
      <w:r w:rsidR="00550F40" w:rsidRPr="00B30D47">
        <w:rPr>
          <w:b/>
          <w:bCs/>
          <w:color w:val="auto"/>
          <w:sz w:val="22"/>
          <w:szCs w:val="22"/>
        </w:rPr>
        <w:t>Tabelul</w:t>
      </w:r>
      <w:r w:rsidRPr="00B30D47">
        <w:rPr>
          <w:b/>
          <w:bCs/>
          <w:color w:val="auto"/>
          <w:sz w:val="22"/>
          <w:szCs w:val="22"/>
        </w:rPr>
        <w:t xml:space="preserve"> I.3.1.</w:t>
      </w:r>
      <w:r w:rsidR="00B30D47" w:rsidRPr="00B30D47">
        <w:rPr>
          <w:b/>
          <w:bCs/>
          <w:color w:val="auto"/>
          <w:sz w:val="22"/>
          <w:szCs w:val="22"/>
        </w:rPr>
        <w:t>1</w:t>
      </w:r>
    </w:p>
    <w:p w:rsidR="00743B28" w:rsidRPr="00B30D47" w:rsidRDefault="00743B28" w:rsidP="00755618">
      <w:pPr>
        <w:pStyle w:val="Default"/>
        <w:tabs>
          <w:tab w:val="left" w:pos="851"/>
        </w:tabs>
        <w:jc w:val="center"/>
        <w:rPr>
          <w:b/>
          <w:bCs/>
          <w:color w:val="auto"/>
          <w:sz w:val="22"/>
          <w:szCs w:val="22"/>
        </w:rPr>
      </w:pPr>
      <w:r w:rsidRPr="00B30D47">
        <w:rPr>
          <w:b/>
          <w:bCs/>
          <w:color w:val="auto"/>
          <w:sz w:val="22"/>
          <w:szCs w:val="22"/>
        </w:rPr>
        <w:t xml:space="preserve">Evoluția emisiilor de </w:t>
      </w:r>
      <w:r w:rsidRPr="00B30D47">
        <w:rPr>
          <w:b/>
          <w:bCs/>
          <w:i/>
          <w:color w:val="auto"/>
          <w:sz w:val="22"/>
          <w:szCs w:val="22"/>
        </w:rPr>
        <w:t xml:space="preserve">POPs </w:t>
      </w:r>
      <w:r w:rsidRPr="00B30D47">
        <w:rPr>
          <w:b/>
          <w:bCs/>
          <w:color w:val="auto"/>
          <w:sz w:val="22"/>
          <w:szCs w:val="22"/>
        </w:rPr>
        <w:t xml:space="preserve">provenite din </w:t>
      </w:r>
      <w:r w:rsidRPr="00B30D47">
        <w:rPr>
          <w:b/>
          <w:bCs/>
          <w:color w:val="auto"/>
          <w:sz w:val="22"/>
          <w:szCs w:val="22"/>
          <w:u w:val="single"/>
        </w:rPr>
        <w:t>sectorul deșeuri</w:t>
      </w:r>
      <w:r w:rsidRPr="00B30D47">
        <w:rPr>
          <w:b/>
          <w:bCs/>
          <w:color w:val="auto"/>
          <w:sz w:val="22"/>
          <w:szCs w:val="22"/>
        </w:rPr>
        <w:t>, judeţul Bistriţa-Năsăud</w:t>
      </w:r>
    </w:p>
    <w:tbl>
      <w:tblPr>
        <w:tblStyle w:val="Style1"/>
        <w:tblW w:w="5000" w:type="pct"/>
        <w:tblLook w:val="04A0" w:firstRow="1" w:lastRow="0" w:firstColumn="1" w:lastColumn="0" w:noHBand="0" w:noVBand="1"/>
      </w:tblPr>
      <w:tblGrid>
        <w:gridCol w:w="952"/>
        <w:gridCol w:w="2479"/>
        <w:gridCol w:w="3087"/>
        <w:gridCol w:w="2836"/>
      </w:tblGrid>
      <w:tr w:rsidR="00550F40" w:rsidRPr="00550F40" w:rsidTr="00550F4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 w:type="pct"/>
            <w:noWrap/>
            <w:hideMark/>
          </w:tcPr>
          <w:p w:rsidR="00550F40" w:rsidRPr="00550F40" w:rsidRDefault="00550F40" w:rsidP="00550F40">
            <w:pPr>
              <w:rPr>
                <w:rFonts w:eastAsia="Times New Roman"/>
                <w:sz w:val="20"/>
                <w:szCs w:val="20"/>
                <w:lang w:val="en-US"/>
              </w:rPr>
            </w:pPr>
          </w:p>
        </w:tc>
        <w:tc>
          <w:tcPr>
            <w:tcW w:w="1325" w:type="pct"/>
            <w:noWrap/>
            <w:hideMark/>
          </w:tcPr>
          <w:p w:rsidR="00550F40" w:rsidRPr="00550F40" w:rsidRDefault="00550F40" w:rsidP="00550F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50F40">
              <w:rPr>
                <w:rFonts w:ascii="Arial" w:eastAsia="Times New Roman" w:hAnsi="Arial" w:cs="Arial"/>
                <w:b/>
                <w:bCs/>
                <w:sz w:val="22"/>
                <w:szCs w:val="22"/>
                <w:lang w:val="en-US"/>
              </w:rPr>
              <w:t xml:space="preserve"> HCB - g</w:t>
            </w:r>
          </w:p>
        </w:tc>
        <w:tc>
          <w:tcPr>
            <w:tcW w:w="1650" w:type="pct"/>
            <w:hideMark/>
          </w:tcPr>
          <w:p w:rsidR="00550F40" w:rsidRPr="00550F40" w:rsidRDefault="00550F40" w:rsidP="00550F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50F40">
              <w:rPr>
                <w:rFonts w:ascii="Arial" w:eastAsia="Times New Roman" w:hAnsi="Arial" w:cs="Arial"/>
                <w:b/>
                <w:bCs/>
                <w:sz w:val="22"/>
                <w:szCs w:val="22"/>
                <w:lang w:val="en-US"/>
              </w:rPr>
              <w:t xml:space="preserve">Dioxin+Furans - g </w:t>
            </w:r>
          </w:p>
        </w:tc>
        <w:tc>
          <w:tcPr>
            <w:tcW w:w="1516" w:type="pct"/>
            <w:hideMark/>
          </w:tcPr>
          <w:p w:rsidR="00550F40" w:rsidRPr="00550F40" w:rsidRDefault="00550F40" w:rsidP="00550F4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22"/>
                <w:szCs w:val="22"/>
                <w:lang w:val="en-US"/>
              </w:rPr>
            </w:pPr>
            <w:r w:rsidRPr="00550F40">
              <w:rPr>
                <w:rFonts w:ascii="Arial" w:eastAsia="Times New Roman" w:hAnsi="Arial" w:cs="Arial"/>
                <w:b/>
                <w:bCs/>
                <w:sz w:val="22"/>
                <w:szCs w:val="22"/>
                <w:lang w:val="en-US"/>
              </w:rPr>
              <w:t>total PAHs - g</w:t>
            </w:r>
          </w:p>
        </w:tc>
      </w:tr>
      <w:tr w:rsidR="00550F40" w:rsidRPr="00550F40" w:rsidTr="00550F4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9" w:type="pct"/>
            <w:noWrap/>
            <w:hideMark/>
          </w:tcPr>
          <w:p w:rsidR="00550F40" w:rsidRPr="00550F40" w:rsidRDefault="00550F40" w:rsidP="00550F40">
            <w:pPr>
              <w:jc w:val="right"/>
              <w:rPr>
                <w:rFonts w:ascii="Arial" w:eastAsia="Times New Roman" w:hAnsi="Arial" w:cs="Arial"/>
                <w:sz w:val="22"/>
                <w:szCs w:val="22"/>
                <w:lang w:val="en-US"/>
              </w:rPr>
            </w:pPr>
            <w:r w:rsidRPr="00550F40">
              <w:rPr>
                <w:rFonts w:ascii="Arial" w:eastAsia="Times New Roman" w:hAnsi="Arial" w:cs="Arial"/>
                <w:sz w:val="22"/>
                <w:szCs w:val="22"/>
                <w:lang w:val="en-US"/>
              </w:rPr>
              <w:t>2020</w:t>
            </w:r>
          </w:p>
        </w:tc>
        <w:tc>
          <w:tcPr>
            <w:tcW w:w="1325" w:type="pct"/>
            <w:noWrap/>
            <w:hideMark/>
          </w:tcPr>
          <w:p w:rsidR="00550F40" w:rsidRPr="00550F40" w:rsidRDefault="00550F40" w:rsidP="00550F4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50F40">
              <w:rPr>
                <w:rFonts w:ascii="Arial" w:eastAsia="Times New Roman" w:hAnsi="Arial" w:cs="Arial"/>
                <w:sz w:val="22"/>
                <w:szCs w:val="22"/>
                <w:lang w:val="en-US"/>
              </w:rPr>
              <w:t>0.0398</w:t>
            </w:r>
          </w:p>
        </w:tc>
        <w:tc>
          <w:tcPr>
            <w:tcW w:w="1650" w:type="pct"/>
            <w:noWrap/>
            <w:hideMark/>
          </w:tcPr>
          <w:p w:rsidR="00550F40" w:rsidRPr="00550F40" w:rsidRDefault="00550F40" w:rsidP="00550F4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50F40">
              <w:rPr>
                <w:rFonts w:ascii="Arial" w:eastAsia="Times New Roman" w:hAnsi="Arial" w:cs="Arial"/>
                <w:sz w:val="22"/>
                <w:szCs w:val="22"/>
                <w:lang w:val="en-US"/>
              </w:rPr>
              <w:t>0.00696</w:t>
            </w:r>
          </w:p>
        </w:tc>
        <w:tc>
          <w:tcPr>
            <w:tcW w:w="1516" w:type="pct"/>
            <w:noWrap/>
            <w:hideMark/>
          </w:tcPr>
          <w:p w:rsidR="00550F40" w:rsidRPr="00550F40" w:rsidRDefault="00550F40" w:rsidP="00550F4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val="en-US"/>
              </w:rPr>
            </w:pPr>
            <w:r w:rsidRPr="00550F40">
              <w:rPr>
                <w:rFonts w:ascii="Arial" w:eastAsia="Times New Roman" w:hAnsi="Arial" w:cs="Arial"/>
                <w:sz w:val="22"/>
                <w:szCs w:val="22"/>
                <w:lang w:val="en-US"/>
              </w:rPr>
              <w:t>0.0003976</w:t>
            </w:r>
          </w:p>
        </w:tc>
      </w:tr>
      <w:tr w:rsidR="00550F40" w:rsidRPr="00550F40" w:rsidTr="00550F40">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9" w:type="pct"/>
            <w:noWrap/>
            <w:hideMark/>
          </w:tcPr>
          <w:p w:rsidR="00550F40" w:rsidRPr="00550F40" w:rsidRDefault="00550F40" w:rsidP="00550F40">
            <w:pPr>
              <w:jc w:val="right"/>
              <w:rPr>
                <w:rFonts w:ascii="Arial" w:eastAsia="Times New Roman" w:hAnsi="Arial" w:cs="Arial"/>
                <w:sz w:val="22"/>
                <w:szCs w:val="22"/>
                <w:lang w:val="en-US"/>
              </w:rPr>
            </w:pPr>
            <w:r w:rsidRPr="00550F40">
              <w:rPr>
                <w:rFonts w:ascii="Arial" w:eastAsia="Times New Roman" w:hAnsi="Arial" w:cs="Arial"/>
                <w:sz w:val="22"/>
                <w:szCs w:val="22"/>
                <w:lang w:val="en-US"/>
              </w:rPr>
              <w:t>2021</w:t>
            </w:r>
          </w:p>
        </w:tc>
        <w:tc>
          <w:tcPr>
            <w:tcW w:w="1325" w:type="pct"/>
            <w:noWrap/>
            <w:hideMark/>
          </w:tcPr>
          <w:p w:rsidR="00550F40" w:rsidRPr="00550F40" w:rsidRDefault="00550F40" w:rsidP="00550F4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50F40">
              <w:rPr>
                <w:rFonts w:ascii="Arial" w:eastAsia="Times New Roman" w:hAnsi="Arial" w:cs="Arial"/>
                <w:sz w:val="22"/>
                <w:szCs w:val="22"/>
                <w:lang w:val="en-US"/>
              </w:rPr>
              <w:t>0.03914</w:t>
            </w:r>
          </w:p>
        </w:tc>
        <w:tc>
          <w:tcPr>
            <w:tcW w:w="1650" w:type="pct"/>
            <w:noWrap/>
            <w:hideMark/>
          </w:tcPr>
          <w:p w:rsidR="00550F40" w:rsidRPr="00550F40" w:rsidRDefault="00550F40" w:rsidP="00550F4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50F40">
              <w:rPr>
                <w:rFonts w:ascii="Arial" w:eastAsia="Times New Roman" w:hAnsi="Arial" w:cs="Arial"/>
                <w:sz w:val="22"/>
                <w:szCs w:val="22"/>
                <w:lang w:val="en-US"/>
              </w:rPr>
              <w:t>0.00685</w:t>
            </w:r>
          </w:p>
        </w:tc>
        <w:tc>
          <w:tcPr>
            <w:tcW w:w="1516" w:type="pct"/>
            <w:noWrap/>
            <w:hideMark/>
          </w:tcPr>
          <w:p w:rsidR="00550F40" w:rsidRPr="00550F40" w:rsidRDefault="00550F40" w:rsidP="00550F4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2"/>
                <w:szCs w:val="22"/>
                <w:lang w:val="en-US"/>
              </w:rPr>
            </w:pPr>
            <w:r w:rsidRPr="00550F40">
              <w:rPr>
                <w:rFonts w:ascii="Arial" w:eastAsia="Times New Roman" w:hAnsi="Arial" w:cs="Arial"/>
                <w:sz w:val="22"/>
                <w:szCs w:val="22"/>
                <w:lang w:val="en-US"/>
              </w:rPr>
              <w:t>0.0003914</w:t>
            </w:r>
          </w:p>
        </w:tc>
      </w:tr>
    </w:tbl>
    <w:p w:rsidR="00743B28" w:rsidRPr="00B30D47" w:rsidRDefault="00743B28" w:rsidP="00755618">
      <w:pPr>
        <w:tabs>
          <w:tab w:val="left" w:pos="851"/>
        </w:tabs>
        <w:jc w:val="center"/>
        <w:rPr>
          <w:rFonts w:ascii="Arial" w:hAnsi="Arial" w:cs="Arial"/>
          <w:sz w:val="20"/>
          <w:szCs w:val="20"/>
          <w:lang w:val="ro-RO"/>
        </w:rPr>
      </w:pPr>
      <w:r w:rsidRPr="00B30D47">
        <w:rPr>
          <w:rFonts w:ascii="Arial" w:hAnsi="Arial" w:cs="Arial"/>
          <w:sz w:val="20"/>
          <w:szCs w:val="20"/>
          <w:lang w:val="ro-RO"/>
        </w:rPr>
        <w:t>Sursa: Agenţia pentru Protecţia Mediului Bistriţa-Năsăud</w:t>
      </w:r>
    </w:p>
    <w:p w:rsidR="00743B28" w:rsidRPr="006B01A5" w:rsidRDefault="00743B28" w:rsidP="00755618">
      <w:pPr>
        <w:tabs>
          <w:tab w:val="left" w:pos="851"/>
        </w:tabs>
        <w:jc w:val="center"/>
        <w:rPr>
          <w:rFonts w:ascii="Arial" w:hAnsi="Arial" w:cs="Arial"/>
          <w:color w:val="FF0000"/>
          <w:sz w:val="20"/>
          <w:szCs w:val="20"/>
          <w:lang w:val="ro-RO"/>
        </w:rPr>
      </w:pPr>
    </w:p>
    <w:p w:rsidR="00743B28" w:rsidRPr="006B01A5" w:rsidRDefault="00743B28" w:rsidP="00755618">
      <w:pPr>
        <w:tabs>
          <w:tab w:val="left" w:pos="851"/>
        </w:tabs>
        <w:jc w:val="center"/>
        <w:rPr>
          <w:rFonts w:ascii="Arial" w:hAnsi="Arial" w:cs="Arial"/>
          <w:color w:val="FF0000"/>
          <w:sz w:val="28"/>
          <w:szCs w:val="28"/>
          <w:lang w:val="ro-RO"/>
        </w:rPr>
      </w:pPr>
    </w:p>
    <w:p w:rsidR="00743B28" w:rsidRPr="0017585F" w:rsidRDefault="00743B28" w:rsidP="00755618">
      <w:pPr>
        <w:tabs>
          <w:tab w:val="left" w:pos="851"/>
          <w:tab w:val="left" w:leader="dot" w:pos="9356"/>
        </w:tabs>
        <w:jc w:val="center"/>
        <w:rPr>
          <w:rFonts w:ascii="Arial" w:hAnsi="Arial" w:cs="Arial"/>
          <w:b/>
          <w:sz w:val="32"/>
          <w:szCs w:val="32"/>
          <w:lang w:val="ro-RO"/>
        </w:rPr>
      </w:pPr>
      <w:r w:rsidRPr="0017585F">
        <w:rPr>
          <w:rFonts w:ascii="Arial" w:hAnsi="Arial" w:cs="Arial"/>
          <w:b/>
          <w:sz w:val="32"/>
          <w:szCs w:val="32"/>
          <w:lang w:val="ro-RO"/>
        </w:rPr>
        <w:t>I.4. Politici, acţiuni şi măsuri pentru îmbunătăţirea calităţii aerului înconjurător</w:t>
      </w:r>
    </w:p>
    <w:p w:rsidR="00743B28" w:rsidRPr="0017585F" w:rsidRDefault="00743B28" w:rsidP="00755618">
      <w:pPr>
        <w:tabs>
          <w:tab w:val="left" w:pos="851"/>
        </w:tabs>
        <w:rPr>
          <w:rFonts w:ascii="Arial" w:hAnsi="Arial" w:cs="Arial"/>
          <w:lang w:val="ro-RO"/>
        </w:rPr>
      </w:pPr>
    </w:p>
    <w:p w:rsidR="003E0CDC" w:rsidRPr="0017585F" w:rsidRDefault="00743B28" w:rsidP="00755618">
      <w:pPr>
        <w:tabs>
          <w:tab w:val="left" w:pos="851"/>
        </w:tabs>
        <w:jc w:val="both"/>
        <w:rPr>
          <w:rFonts w:ascii="Arial" w:hAnsi="Arial" w:cs="Arial"/>
          <w:lang w:val="ro-RO"/>
        </w:rPr>
      </w:pPr>
      <w:r w:rsidRPr="0017585F">
        <w:rPr>
          <w:rFonts w:ascii="Arial" w:hAnsi="Arial" w:cs="Arial"/>
          <w:lang w:val="ro-RO"/>
        </w:rPr>
        <w:tab/>
        <w:t>La nivel local obiectivele şi măsurile necesare pentru îmbunătăţirea calităţii aerului atmosferic se regăsesc în</w:t>
      </w:r>
      <w:r w:rsidR="00BB0B4B" w:rsidRPr="0017585F">
        <w:rPr>
          <w:rFonts w:ascii="Arial" w:hAnsi="Arial" w:cs="Arial"/>
          <w:lang w:val="ro-RO"/>
        </w:rPr>
        <w:t xml:space="preserve">tr-o serie </w:t>
      </w:r>
      <w:r w:rsidR="00D14A8E">
        <w:rPr>
          <w:rFonts w:ascii="Arial" w:hAnsi="Arial" w:cs="Arial"/>
          <w:lang w:val="ro-RO"/>
        </w:rPr>
        <w:t xml:space="preserve">de </w:t>
      </w:r>
      <w:r w:rsidR="00BB0B4B" w:rsidRPr="0017585F">
        <w:rPr>
          <w:rFonts w:ascii="Arial" w:hAnsi="Arial" w:cs="Arial"/>
          <w:lang w:val="ro-RO"/>
        </w:rPr>
        <w:t xml:space="preserve">planuri, </w:t>
      </w:r>
      <w:r w:rsidR="0017585F" w:rsidRPr="0017585F">
        <w:rPr>
          <w:rFonts w:ascii="Arial" w:hAnsi="Arial" w:cs="Arial"/>
          <w:lang w:val="ro-RO"/>
        </w:rPr>
        <w:t>cum sunt</w:t>
      </w:r>
      <w:r w:rsidR="00BB0B4B" w:rsidRPr="0017585F">
        <w:rPr>
          <w:rFonts w:ascii="Arial" w:hAnsi="Arial" w:cs="Arial"/>
          <w:lang w:val="ro-RO"/>
        </w:rPr>
        <w:t xml:space="preserve"> </w:t>
      </w:r>
      <w:r w:rsidRPr="0017585F">
        <w:rPr>
          <w:rFonts w:ascii="Arial" w:hAnsi="Arial" w:cs="Arial"/>
          <w:lang w:val="ro-RO"/>
        </w:rPr>
        <w:t>Planul Local de Acţiune pe</w:t>
      </w:r>
      <w:r w:rsidR="00D14A8E">
        <w:rPr>
          <w:rFonts w:ascii="Arial" w:hAnsi="Arial" w:cs="Arial"/>
          <w:lang w:val="ro-RO"/>
        </w:rPr>
        <w:t>ntru</w:t>
      </w:r>
      <w:r w:rsidRPr="0017585F">
        <w:rPr>
          <w:rFonts w:ascii="Arial" w:hAnsi="Arial" w:cs="Arial"/>
          <w:lang w:val="ro-RO"/>
        </w:rPr>
        <w:t xml:space="preserve"> Mediu</w:t>
      </w:r>
      <w:r w:rsidR="00E14486" w:rsidRPr="0017585F">
        <w:rPr>
          <w:rFonts w:ascii="Arial" w:hAnsi="Arial" w:cs="Arial"/>
          <w:lang w:val="ro-RO"/>
        </w:rPr>
        <w:t xml:space="preserve"> </w:t>
      </w:r>
      <w:r w:rsidR="00BB0B4B" w:rsidRPr="0017585F">
        <w:rPr>
          <w:rFonts w:ascii="Arial" w:hAnsi="Arial" w:cs="Arial"/>
          <w:lang w:val="ro-RO"/>
        </w:rPr>
        <w:t>(</w:t>
      </w:r>
      <w:r w:rsidRPr="0017585F">
        <w:rPr>
          <w:rFonts w:ascii="Arial" w:hAnsi="Arial" w:cs="Arial"/>
          <w:lang w:val="ro-RO"/>
        </w:rPr>
        <w:t>PLAM</w:t>
      </w:r>
      <w:r w:rsidR="00BB0B4B" w:rsidRPr="0017585F">
        <w:rPr>
          <w:rFonts w:ascii="Arial" w:hAnsi="Arial" w:cs="Arial"/>
          <w:lang w:val="ro-RO"/>
        </w:rPr>
        <w:t xml:space="preserve">), </w:t>
      </w:r>
      <w:r w:rsidR="003E0CDC" w:rsidRPr="0017585F">
        <w:rPr>
          <w:rFonts w:ascii="Arial" w:hAnsi="Arial" w:cs="Arial"/>
          <w:lang w:val="ro-RO"/>
        </w:rPr>
        <w:t>Planul Județean de menținere a calității aerului (PMCA)</w:t>
      </w:r>
      <w:r w:rsidR="00BB0B4B" w:rsidRPr="0017585F">
        <w:rPr>
          <w:rFonts w:ascii="Arial" w:hAnsi="Arial" w:cs="Arial"/>
          <w:lang w:val="ro-RO"/>
        </w:rPr>
        <w:t>, Planul de Acțiune pentru Energie Du</w:t>
      </w:r>
      <w:r w:rsidR="009837E8" w:rsidRPr="0017585F">
        <w:rPr>
          <w:rFonts w:ascii="Arial" w:hAnsi="Arial" w:cs="Arial"/>
          <w:lang w:val="ro-RO"/>
        </w:rPr>
        <w:t xml:space="preserve">rabilă </w:t>
      </w:r>
      <w:r w:rsidR="00F13F34" w:rsidRPr="0017585F">
        <w:rPr>
          <w:rFonts w:ascii="Arial" w:hAnsi="Arial" w:cs="Arial"/>
          <w:lang w:val="ro-RO"/>
        </w:rPr>
        <w:t>2008-2022</w:t>
      </w:r>
      <w:r w:rsidR="009837E8" w:rsidRPr="0017585F">
        <w:rPr>
          <w:rFonts w:ascii="Arial" w:hAnsi="Arial" w:cs="Arial"/>
          <w:lang w:val="ro-RO"/>
        </w:rPr>
        <w:t xml:space="preserve"> al municipiului Bistrița (PAED)</w:t>
      </w:r>
      <w:r w:rsidRPr="0017585F">
        <w:rPr>
          <w:rFonts w:ascii="Arial" w:hAnsi="Arial" w:cs="Arial"/>
          <w:lang w:val="ro-RO"/>
        </w:rPr>
        <w:t>.</w:t>
      </w:r>
    </w:p>
    <w:p w:rsidR="00743B28" w:rsidRPr="008B216B" w:rsidRDefault="009837E8" w:rsidP="00755618">
      <w:pPr>
        <w:tabs>
          <w:tab w:val="left" w:pos="851"/>
        </w:tabs>
        <w:jc w:val="both"/>
        <w:rPr>
          <w:rFonts w:ascii="Arial" w:hAnsi="Arial" w:cs="Arial"/>
          <w:sz w:val="20"/>
          <w:szCs w:val="20"/>
          <w:lang w:val="ro-RO"/>
        </w:rPr>
      </w:pPr>
      <w:r w:rsidRPr="008B216B">
        <w:rPr>
          <w:rFonts w:ascii="Arial" w:hAnsi="Arial" w:cs="Arial"/>
          <w:lang w:val="ro-RO"/>
        </w:rPr>
        <w:tab/>
      </w:r>
      <w:r w:rsidR="00743B28" w:rsidRPr="008B216B">
        <w:rPr>
          <w:rFonts w:ascii="Arial" w:hAnsi="Arial" w:cs="Arial"/>
          <w:lang w:val="ro-RO"/>
        </w:rPr>
        <w:t xml:space="preserve">PLAM </w:t>
      </w:r>
      <w:r w:rsidRPr="008B216B">
        <w:rPr>
          <w:rFonts w:ascii="Arial" w:hAnsi="Arial" w:cs="Arial"/>
          <w:lang w:val="ro-RO"/>
        </w:rPr>
        <w:t xml:space="preserve">a </w:t>
      </w:r>
      <w:r w:rsidR="00743B28" w:rsidRPr="008B216B">
        <w:rPr>
          <w:rFonts w:ascii="Arial" w:hAnsi="Arial" w:cs="Arial"/>
          <w:lang w:val="ro-RO"/>
        </w:rPr>
        <w:t>judeţului Bistriţa-Năsăud</w:t>
      </w:r>
      <w:r w:rsidRPr="008B216B">
        <w:rPr>
          <w:rFonts w:ascii="Arial" w:hAnsi="Arial" w:cs="Arial"/>
          <w:lang w:val="ro-RO"/>
        </w:rPr>
        <w:t>,</w:t>
      </w:r>
      <w:r w:rsidR="00743B28" w:rsidRPr="008B216B">
        <w:rPr>
          <w:rFonts w:ascii="Arial" w:hAnsi="Arial" w:cs="Arial"/>
          <w:lang w:val="ro-RO"/>
        </w:rPr>
        <w:t xml:space="preserve"> varianta III revizuit în 2016</w:t>
      </w:r>
      <w:r w:rsidRPr="008B216B">
        <w:rPr>
          <w:rFonts w:ascii="Arial" w:hAnsi="Arial" w:cs="Arial"/>
          <w:lang w:val="ro-RO"/>
        </w:rPr>
        <w:t>,</w:t>
      </w:r>
      <w:r w:rsidR="00743B28" w:rsidRPr="008B216B">
        <w:rPr>
          <w:rFonts w:ascii="Arial" w:hAnsi="Arial" w:cs="Arial"/>
          <w:lang w:val="ro-RO"/>
        </w:rPr>
        <w:t xml:space="preserve"> cuprinde o serie de măsuri propuse pentru problemele legate de poluarea atmosferei</w:t>
      </w:r>
      <w:r w:rsidR="0017585F" w:rsidRPr="008B216B">
        <w:rPr>
          <w:rFonts w:ascii="Arial" w:hAnsi="Arial" w:cs="Arial"/>
          <w:lang w:val="ro-RO"/>
        </w:rPr>
        <w:t>.</w:t>
      </w:r>
      <w:r w:rsidR="008B216B" w:rsidRPr="008B216B">
        <w:t xml:space="preserve"> (</w:t>
      </w:r>
      <w:hyperlink r:id="rId88" w:history="1">
        <w:r w:rsidR="008B216B" w:rsidRPr="008B216B">
          <w:rPr>
            <w:rStyle w:val="Hyperlink"/>
            <w:rFonts w:ascii="Arial" w:hAnsi="Arial" w:cs="Arial"/>
            <w:color w:val="auto"/>
            <w:sz w:val="20"/>
            <w:szCs w:val="20"/>
            <w:lang w:val="ro-RO"/>
          </w:rPr>
          <w:t>http://www.anpm.ro/web/apm-bistrita/dezvoltare-durabila</w:t>
        </w:r>
      </w:hyperlink>
      <w:r w:rsidR="008B216B" w:rsidRPr="008B216B">
        <w:rPr>
          <w:rFonts w:ascii="Arial" w:hAnsi="Arial" w:cs="Arial"/>
          <w:sz w:val="20"/>
          <w:szCs w:val="20"/>
          <w:lang w:val="ro-RO"/>
        </w:rPr>
        <w:t>)</w:t>
      </w:r>
    </w:p>
    <w:p w:rsidR="00E14486" w:rsidRPr="00E14486" w:rsidRDefault="00E14486" w:rsidP="00E14486">
      <w:pPr>
        <w:tabs>
          <w:tab w:val="left" w:pos="851"/>
        </w:tabs>
        <w:ind w:firstLine="851"/>
        <w:jc w:val="both"/>
        <w:rPr>
          <w:rFonts w:ascii="Arial" w:hAnsi="Arial" w:cs="Arial"/>
          <w:spacing w:val="-4"/>
          <w:lang w:val="en-US"/>
        </w:rPr>
      </w:pPr>
      <w:r w:rsidRPr="00E14486">
        <w:rPr>
          <w:rFonts w:ascii="Arial" w:hAnsi="Arial" w:cs="Arial"/>
          <w:spacing w:val="-4"/>
        </w:rPr>
        <w:t xml:space="preserve">În </w:t>
      </w:r>
      <w:r>
        <w:rPr>
          <w:rFonts w:ascii="Arial" w:hAnsi="Arial" w:cs="Arial"/>
          <w:spacing w:val="-4"/>
        </w:rPr>
        <w:t>urma</w:t>
      </w:r>
      <w:r w:rsidRPr="00E14486">
        <w:rPr>
          <w:rFonts w:ascii="Arial" w:hAnsi="Arial" w:cs="Arial"/>
          <w:spacing w:val="-4"/>
        </w:rPr>
        <w:t xml:space="preserve"> monitorizării PLAM</w:t>
      </w:r>
      <w:r>
        <w:rPr>
          <w:rFonts w:ascii="Arial" w:hAnsi="Arial" w:cs="Arial"/>
          <w:spacing w:val="-4"/>
        </w:rPr>
        <w:t xml:space="preserve"> s-a constatat </w:t>
      </w:r>
      <w:r w:rsidRPr="00E14486">
        <w:rPr>
          <w:rFonts w:ascii="Arial" w:hAnsi="Arial" w:cs="Arial"/>
          <w:spacing w:val="-4"/>
        </w:rPr>
        <w:t xml:space="preserve">la finalul anului </w:t>
      </w:r>
      <w:r w:rsidR="00CA572B">
        <w:rPr>
          <w:rFonts w:ascii="Arial" w:hAnsi="Arial" w:cs="Arial"/>
          <w:spacing w:val="-4"/>
        </w:rPr>
        <w:t>2021</w:t>
      </w:r>
      <w:r w:rsidRPr="00E14486">
        <w:rPr>
          <w:rFonts w:ascii="Arial" w:hAnsi="Arial" w:cs="Arial"/>
          <w:spacing w:val="-4"/>
        </w:rPr>
        <w:t xml:space="preserve"> </w:t>
      </w:r>
      <w:r>
        <w:rPr>
          <w:rFonts w:ascii="Arial" w:hAnsi="Arial" w:cs="Arial"/>
          <w:spacing w:val="-4"/>
        </w:rPr>
        <w:t>c</w:t>
      </w:r>
      <w:r>
        <w:rPr>
          <w:rFonts w:ascii="Arial" w:hAnsi="Arial" w:cs="Arial"/>
          <w:spacing w:val="-4"/>
          <w:lang w:val="ro-RO"/>
        </w:rPr>
        <w:t xml:space="preserve">ă </w:t>
      </w:r>
      <w:r w:rsidRPr="00E14486">
        <w:rPr>
          <w:rFonts w:ascii="Arial" w:hAnsi="Arial" w:cs="Arial"/>
          <w:spacing w:val="-4"/>
        </w:rPr>
        <w:t>din totalul de 156 acţiuni, 12 acțiuni au fost realizate, 128 sunt în curs de realizare şi un număr 16 sunt nerealizate.</w:t>
      </w:r>
      <w:r>
        <w:rPr>
          <w:rFonts w:ascii="Arial" w:hAnsi="Arial" w:cs="Arial"/>
          <w:spacing w:val="-4"/>
        </w:rPr>
        <w:t xml:space="preserve"> Practic</w:t>
      </w:r>
      <w:r w:rsidRPr="00E14486">
        <w:rPr>
          <w:rFonts w:ascii="Arial" w:hAnsi="Arial" w:cs="Arial"/>
          <w:b/>
          <w:spacing w:val="-4"/>
          <w:lang w:val="en-US"/>
        </w:rPr>
        <w:t xml:space="preserve"> </w:t>
      </w:r>
      <w:r w:rsidRPr="00E14486">
        <w:rPr>
          <w:rFonts w:ascii="Arial" w:hAnsi="Arial" w:cs="Arial"/>
          <w:spacing w:val="-4"/>
          <w:lang w:val="en-US"/>
        </w:rPr>
        <w:t>89</w:t>
      </w:r>
      <w:r w:rsidR="008D2A19">
        <w:rPr>
          <w:rFonts w:ascii="Arial" w:hAnsi="Arial" w:cs="Arial"/>
          <w:spacing w:val="-4"/>
          <w:lang w:val="en-US"/>
        </w:rPr>
        <w:t>,</w:t>
      </w:r>
      <w:r w:rsidRPr="00E14486">
        <w:rPr>
          <w:rFonts w:ascii="Arial" w:hAnsi="Arial" w:cs="Arial"/>
          <w:spacing w:val="-4"/>
          <w:lang w:val="en-US"/>
        </w:rPr>
        <w:t>74% din totalul acţiunilor sunt  realizate sau în curs de realizare.</w:t>
      </w:r>
    </w:p>
    <w:p w:rsidR="00E14486" w:rsidRPr="00E14486" w:rsidRDefault="00E14486" w:rsidP="00E14486">
      <w:pPr>
        <w:pStyle w:val="Listparagraf"/>
        <w:contextualSpacing w:val="0"/>
        <w:jc w:val="both"/>
        <w:rPr>
          <w:rFonts w:ascii="Arial" w:hAnsi="Arial" w:cs="Arial"/>
        </w:rPr>
      </w:pPr>
      <w:r>
        <w:rPr>
          <w:rFonts w:ascii="Arial" w:hAnsi="Arial" w:cs="Arial"/>
          <w:bCs/>
        </w:rPr>
        <w:t>Dintre a</w:t>
      </w:r>
      <w:r w:rsidRPr="00E14486">
        <w:rPr>
          <w:rFonts w:ascii="Arial" w:hAnsi="Arial" w:cs="Arial"/>
          <w:bCs/>
        </w:rPr>
        <w:t xml:space="preserve">cţiunile realizate </w:t>
      </w:r>
      <w:r>
        <w:rPr>
          <w:rFonts w:ascii="Arial" w:hAnsi="Arial" w:cs="Arial"/>
          <w:bCs/>
        </w:rPr>
        <w:t>amintim:</w:t>
      </w:r>
    </w:p>
    <w:p w:rsidR="00E14486" w:rsidRPr="00E14486" w:rsidRDefault="00A505BE" w:rsidP="00E14486">
      <w:pPr>
        <w:pStyle w:val="Listparagraf"/>
        <w:numPr>
          <w:ilvl w:val="2"/>
          <w:numId w:val="40"/>
        </w:numPr>
        <w:ind w:left="567" w:hanging="283"/>
        <w:contextualSpacing w:val="0"/>
        <w:jc w:val="both"/>
        <w:rPr>
          <w:rFonts w:ascii="Arial" w:hAnsi="Arial" w:cs="Arial"/>
        </w:rPr>
      </w:pPr>
      <w:r>
        <w:rPr>
          <w:rFonts w:ascii="Arial" w:hAnsi="Arial" w:cs="Arial"/>
        </w:rPr>
        <w:t>r</w:t>
      </w:r>
      <w:r w:rsidR="008B13F4">
        <w:rPr>
          <w:rFonts w:ascii="Arial" w:hAnsi="Arial" w:cs="Arial"/>
        </w:rPr>
        <w:t xml:space="preserve">ealizarea de </w:t>
      </w:r>
      <w:r w:rsidR="00E14486">
        <w:rPr>
          <w:rFonts w:ascii="Arial" w:hAnsi="Arial" w:cs="Arial"/>
        </w:rPr>
        <w:t>s</w:t>
      </w:r>
      <w:r w:rsidR="00E14486" w:rsidRPr="00E14486">
        <w:rPr>
          <w:rFonts w:ascii="Arial" w:hAnsi="Arial" w:cs="Arial"/>
        </w:rPr>
        <w:t>tații de epurare noi în unele localități din mediul urban și rural;</w:t>
      </w:r>
    </w:p>
    <w:p w:rsidR="00E14486" w:rsidRPr="00E14486" w:rsidRDefault="00E14486" w:rsidP="00E14486">
      <w:pPr>
        <w:pStyle w:val="Listparagraf"/>
        <w:numPr>
          <w:ilvl w:val="2"/>
          <w:numId w:val="40"/>
        </w:numPr>
        <w:ind w:left="567" w:hanging="283"/>
        <w:contextualSpacing w:val="0"/>
        <w:jc w:val="both"/>
        <w:rPr>
          <w:rFonts w:ascii="Arial" w:hAnsi="Arial" w:cs="Arial"/>
        </w:rPr>
      </w:pPr>
      <w:r>
        <w:rPr>
          <w:rFonts w:ascii="Arial" w:hAnsi="Arial" w:cs="Arial"/>
        </w:rPr>
        <w:t>a</w:t>
      </w:r>
      <w:r w:rsidRPr="00E14486">
        <w:rPr>
          <w:rFonts w:ascii="Arial" w:hAnsi="Arial" w:cs="Arial"/>
        </w:rPr>
        <w:t>chiziționarea de maşini de măturat stradale cu sisteme de reținere a prafului și spălare umedă;</w:t>
      </w:r>
    </w:p>
    <w:p w:rsidR="00E14486" w:rsidRPr="00E14486" w:rsidRDefault="00E14486" w:rsidP="00E14486">
      <w:pPr>
        <w:pStyle w:val="Listparagraf"/>
        <w:numPr>
          <w:ilvl w:val="2"/>
          <w:numId w:val="40"/>
        </w:numPr>
        <w:ind w:left="567" w:hanging="283"/>
        <w:contextualSpacing w:val="0"/>
        <w:jc w:val="both"/>
        <w:rPr>
          <w:rFonts w:ascii="Arial" w:hAnsi="Arial" w:cs="Arial"/>
        </w:rPr>
      </w:pPr>
      <w:r>
        <w:rPr>
          <w:rFonts w:ascii="Arial" w:hAnsi="Arial" w:cs="Arial"/>
        </w:rPr>
        <w:t>e</w:t>
      </w:r>
      <w:r w:rsidRPr="00E14486">
        <w:rPr>
          <w:rFonts w:ascii="Arial" w:hAnsi="Arial" w:cs="Arial"/>
        </w:rPr>
        <w:t xml:space="preserve">xtinderea rețelelor de alimentare cu apă potabilă în Bistrița și localitățile component; </w:t>
      </w:r>
    </w:p>
    <w:p w:rsidR="00E14486" w:rsidRPr="00E14486" w:rsidRDefault="00E14486" w:rsidP="00E14486">
      <w:pPr>
        <w:pStyle w:val="Listparagraf"/>
        <w:numPr>
          <w:ilvl w:val="2"/>
          <w:numId w:val="40"/>
        </w:numPr>
        <w:ind w:left="567" w:hanging="283"/>
        <w:contextualSpacing w:val="0"/>
        <w:jc w:val="both"/>
        <w:rPr>
          <w:rFonts w:ascii="Arial" w:hAnsi="Arial" w:cs="Arial"/>
        </w:rPr>
      </w:pPr>
      <w:r>
        <w:rPr>
          <w:rFonts w:ascii="Arial" w:hAnsi="Arial" w:cs="Arial"/>
        </w:rPr>
        <w:t>a</w:t>
      </w:r>
      <w:r w:rsidRPr="00E14486">
        <w:rPr>
          <w:rFonts w:ascii="Arial" w:hAnsi="Arial" w:cs="Arial"/>
        </w:rPr>
        <w:t>menajarea pârâurilor V</w:t>
      </w:r>
      <w:r>
        <w:rPr>
          <w:rFonts w:ascii="Arial" w:hAnsi="Arial" w:cs="Arial"/>
        </w:rPr>
        <w:t xml:space="preserve">alea </w:t>
      </w:r>
      <w:r w:rsidRPr="00E14486">
        <w:rPr>
          <w:rFonts w:ascii="Arial" w:hAnsi="Arial" w:cs="Arial"/>
        </w:rPr>
        <w:t>Cipului, V</w:t>
      </w:r>
      <w:r>
        <w:rPr>
          <w:rFonts w:ascii="Arial" w:hAnsi="Arial" w:cs="Arial"/>
        </w:rPr>
        <w:t xml:space="preserve">alea </w:t>
      </w:r>
      <w:r w:rsidRPr="00E14486">
        <w:rPr>
          <w:rFonts w:ascii="Arial" w:hAnsi="Arial" w:cs="Arial"/>
        </w:rPr>
        <w:t>Poienii, V</w:t>
      </w:r>
      <w:r>
        <w:rPr>
          <w:rFonts w:ascii="Arial" w:hAnsi="Arial" w:cs="Arial"/>
        </w:rPr>
        <w:t xml:space="preserve">alea </w:t>
      </w:r>
      <w:r w:rsidRPr="00E14486">
        <w:rPr>
          <w:rFonts w:ascii="Arial" w:hAnsi="Arial" w:cs="Arial"/>
        </w:rPr>
        <w:t>Aluniș, V</w:t>
      </w:r>
      <w:r w:rsidR="008B13F4">
        <w:rPr>
          <w:rFonts w:ascii="Arial" w:hAnsi="Arial" w:cs="Arial"/>
        </w:rPr>
        <w:t>alea</w:t>
      </w:r>
      <w:r w:rsidRPr="00E14486">
        <w:rPr>
          <w:rFonts w:ascii="Arial" w:hAnsi="Arial" w:cs="Arial"/>
        </w:rPr>
        <w:t xml:space="preserve"> Mare, V</w:t>
      </w:r>
      <w:r w:rsidR="008B13F4">
        <w:rPr>
          <w:rFonts w:ascii="Arial" w:hAnsi="Arial" w:cs="Arial"/>
        </w:rPr>
        <w:t>alea</w:t>
      </w:r>
      <w:r w:rsidRPr="00E14486">
        <w:rPr>
          <w:rFonts w:ascii="Arial" w:hAnsi="Arial" w:cs="Arial"/>
        </w:rPr>
        <w:t xml:space="preserve"> Măgurii, V</w:t>
      </w:r>
      <w:r w:rsidR="008B13F4">
        <w:rPr>
          <w:rFonts w:ascii="Arial" w:hAnsi="Arial" w:cs="Arial"/>
        </w:rPr>
        <w:t>alea</w:t>
      </w:r>
      <w:r w:rsidRPr="00E14486">
        <w:rPr>
          <w:rFonts w:ascii="Arial" w:hAnsi="Arial" w:cs="Arial"/>
        </w:rPr>
        <w:t xml:space="preserve"> Putinei, V</w:t>
      </w:r>
      <w:r w:rsidR="008B13F4">
        <w:rPr>
          <w:rFonts w:ascii="Arial" w:hAnsi="Arial" w:cs="Arial"/>
        </w:rPr>
        <w:t>alea</w:t>
      </w:r>
      <w:r w:rsidRPr="00E14486">
        <w:rPr>
          <w:rFonts w:ascii="Arial" w:hAnsi="Arial" w:cs="Arial"/>
        </w:rPr>
        <w:t xml:space="preserve"> Secii</w:t>
      </w:r>
      <w:r w:rsidR="008B13F4">
        <w:rPr>
          <w:rFonts w:ascii="Arial" w:hAnsi="Arial" w:cs="Arial"/>
        </w:rPr>
        <w:t>,</w:t>
      </w:r>
      <w:r w:rsidRPr="00E14486">
        <w:rPr>
          <w:rFonts w:ascii="Arial" w:hAnsi="Arial" w:cs="Arial"/>
        </w:rPr>
        <w:t xml:space="preserve"> pentru apărarea împotriva inundațiilor;</w:t>
      </w:r>
    </w:p>
    <w:p w:rsidR="00E14486" w:rsidRPr="00E14486" w:rsidRDefault="00E14486" w:rsidP="00E14486">
      <w:pPr>
        <w:pStyle w:val="Listparagraf"/>
        <w:numPr>
          <w:ilvl w:val="2"/>
          <w:numId w:val="40"/>
        </w:numPr>
        <w:ind w:left="567" w:hanging="283"/>
        <w:contextualSpacing w:val="0"/>
        <w:jc w:val="both"/>
        <w:rPr>
          <w:rFonts w:ascii="Arial" w:hAnsi="Arial" w:cs="Arial"/>
        </w:rPr>
      </w:pPr>
      <w:r>
        <w:rPr>
          <w:rFonts w:ascii="Arial" w:hAnsi="Arial" w:cs="Arial"/>
        </w:rPr>
        <w:t>c</w:t>
      </w:r>
      <w:r w:rsidRPr="00E14486">
        <w:rPr>
          <w:rFonts w:ascii="Arial" w:hAnsi="Arial" w:cs="Arial"/>
        </w:rPr>
        <w:t>onstruire</w:t>
      </w:r>
      <w:r w:rsidR="008B13F4">
        <w:rPr>
          <w:rFonts w:ascii="Arial" w:hAnsi="Arial" w:cs="Arial"/>
        </w:rPr>
        <w:t>a</w:t>
      </w:r>
      <w:r w:rsidRPr="00E14486">
        <w:rPr>
          <w:rFonts w:ascii="Arial" w:hAnsi="Arial" w:cs="Arial"/>
        </w:rPr>
        <w:t xml:space="preserve"> platforme comunale de depozitare a deșeurilor de grajd, îmbunătățirea programului de curățare/spălare a arterelor de circulație rutieră;</w:t>
      </w:r>
    </w:p>
    <w:p w:rsidR="00E14486" w:rsidRPr="00E14486" w:rsidRDefault="00E14486" w:rsidP="00E14486">
      <w:pPr>
        <w:pStyle w:val="Listparagraf"/>
        <w:numPr>
          <w:ilvl w:val="2"/>
          <w:numId w:val="40"/>
        </w:numPr>
        <w:ind w:left="567" w:hanging="283"/>
        <w:contextualSpacing w:val="0"/>
        <w:jc w:val="both"/>
        <w:rPr>
          <w:rFonts w:ascii="Arial" w:hAnsi="Arial" w:cs="Arial"/>
        </w:rPr>
      </w:pPr>
      <w:r>
        <w:rPr>
          <w:rFonts w:ascii="Arial" w:hAnsi="Arial" w:cs="Arial"/>
        </w:rPr>
        <w:t>r</w:t>
      </w:r>
      <w:r w:rsidRPr="00E14486">
        <w:rPr>
          <w:rFonts w:ascii="Arial" w:hAnsi="Arial" w:cs="Arial"/>
        </w:rPr>
        <w:t>econstrucți</w:t>
      </w:r>
      <w:r w:rsidR="008B13F4">
        <w:rPr>
          <w:rFonts w:ascii="Arial" w:hAnsi="Arial" w:cs="Arial"/>
        </w:rPr>
        <w:t>a</w:t>
      </w:r>
      <w:r w:rsidRPr="00E14486">
        <w:rPr>
          <w:rFonts w:ascii="Arial" w:hAnsi="Arial" w:cs="Arial"/>
        </w:rPr>
        <w:t xml:space="preserve"> ecologică forestieră pe terenuri degradate constitui</w:t>
      </w:r>
      <w:r w:rsidR="008B13F4">
        <w:rPr>
          <w:rFonts w:ascii="Arial" w:hAnsi="Arial" w:cs="Arial"/>
        </w:rPr>
        <w:t>te î</w:t>
      </w:r>
      <w:r w:rsidRPr="00E14486">
        <w:rPr>
          <w:rFonts w:ascii="Arial" w:hAnsi="Arial" w:cs="Arial"/>
        </w:rPr>
        <w:t>n perimetrul de ameliorare Viișoara - Ghinda - municipiul Bistrița;</w:t>
      </w:r>
    </w:p>
    <w:p w:rsidR="00E14486" w:rsidRPr="00E14486" w:rsidRDefault="00E14486" w:rsidP="00E14486">
      <w:pPr>
        <w:pStyle w:val="Listparagraf"/>
        <w:numPr>
          <w:ilvl w:val="2"/>
          <w:numId w:val="40"/>
        </w:numPr>
        <w:ind w:left="567" w:hanging="283"/>
        <w:contextualSpacing w:val="0"/>
        <w:jc w:val="both"/>
        <w:rPr>
          <w:rFonts w:ascii="Arial" w:hAnsi="Arial" w:cs="Arial"/>
        </w:rPr>
      </w:pPr>
      <w:r>
        <w:rPr>
          <w:rFonts w:ascii="Arial" w:hAnsi="Arial" w:cs="Arial"/>
        </w:rPr>
        <w:t>a</w:t>
      </w:r>
      <w:r w:rsidRPr="00E14486">
        <w:rPr>
          <w:rFonts w:ascii="Arial" w:hAnsi="Arial" w:cs="Arial"/>
        </w:rPr>
        <w:t>menajarea cursului de apă necadastrat Valea Pietricica;</w:t>
      </w:r>
    </w:p>
    <w:p w:rsidR="00E14486" w:rsidRPr="00E14486" w:rsidRDefault="00E14486" w:rsidP="00E14486">
      <w:pPr>
        <w:pStyle w:val="Listparagraf"/>
        <w:numPr>
          <w:ilvl w:val="2"/>
          <w:numId w:val="40"/>
        </w:numPr>
        <w:ind w:left="567" w:hanging="283"/>
        <w:contextualSpacing w:val="0"/>
        <w:jc w:val="both"/>
        <w:rPr>
          <w:rFonts w:ascii="Arial" w:hAnsi="Arial" w:cs="Arial"/>
        </w:rPr>
      </w:pPr>
      <w:r>
        <w:rPr>
          <w:rFonts w:ascii="Arial" w:hAnsi="Arial" w:cs="Arial"/>
        </w:rPr>
        <w:t>l</w:t>
      </w:r>
      <w:r w:rsidRPr="00E14486">
        <w:rPr>
          <w:rFonts w:ascii="Arial" w:hAnsi="Arial" w:cs="Arial"/>
        </w:rPr>
        <w:t>ucrări de amenajare a cursurilor de apă</w:t>
      </w:r>
      <w:r w:rsidRPr="00E14486">
        <w:rPr>
          <w:rFonts w:ascii="Arial" w:hAnsi="Arial" w:cs="Arial"/>
          <w:b/>
          <w:bCs/>
        </w:rPr>
        <w:t xml:space="preserve"> </w:t>
      </w:r>
      <w:r w:rsidRPr="00E14486">
        <w:rPr>
          <w:rFonts w:ascii="Arial" w:hAnsi="Arial" w:cs="Arial"/>
        </w:rPr>
        <w:t xml:space="preserve">necadastrate ( </w:t>
      </w:r>
      <w:r w:rsidR="008B13F4">
        <w:rPr>
          <w:rFonts w:ascii="Arial" w:hAnsi="Arial" w:cs="Arial"/>
        </w:rPr>
        <w:t>în</w:t>
      </w:r>
      <w:r w:rsidRPr="00E14486">
        <w:rPr>
          <w:rFonts w:ascii="Arial" w:hAnsi="Arial" w:cs="Arial"/>
        </w:rPr>
        <w:t xml:space="preserve"> Caianu Mic și Mărișelu);</w:t>
      </w:r>
    </w:p>
    <w:p w:rsidR="00E14486" w:rsidRPr="00E14486" w:rsidRDefault="00E14486" w:rsidP="00E14486">
      <w:pPr>
        <w:pStyle w:val="Listparagraf"/>
        <w:numPr>
          <w:ilvl w:val="2"/>
          <w:numId w:val="40"/>
        </w:numPr>
        <w:ind w:left="567" w:hanging="283"/>
        <w:contextualSpacing w:val="0"/>
        <w:jc w:val="both"/>
        <w:rPr>
          <w:rFonts w:ascii="Arial" w:hAnsi="Arial" w:cs="Arial"/>
        </w:rPr>
      </w:pPr>
      <w:r>
        <w:rPr>
          <w:rFonts w:ascii="Arial" w:hAnsi="Arial" w:cs="Arial"/>
        </w:rPr>
        <w:t>e</w:t>
      </w:r>
      <w:r w:rsidRPr="00E14486">
        <w:rPr>
          <w:rFonts w:ascii="Arial" w:hAnsi="Arial" w:cs="Arial"/>
        </w:rPr>
        <w:t>xtinderea rețelelor de alimentare cu apă existente în municipiul Bistrița;</w:t>
      </w:r>
    </w:p>
    <w:p w:rsidR="00E14486" w:rsidRPr="00E14486" w:rsidRDefault="00E14486" w:rsidP="00E14486">
      <w:pPr>
        <w:pStyle w:val="Listparagraf"/>
        <w:numPr>
          <w:ilvl w:val="2"/>
          <w:numId w:val="40"/>
        </w:numPr>
        <w:ind w:left="567" w:hanging="283"/>
        <w:contextualSpacing w:val="0"/>
        <w:jc w:val="both"/>
        <w:rPr>
          <w:rFonts w:ascii="Arial" w:hAnsi="Arial" w:cs="Arial"/>
          <w:b/>
          <w:bCs/>
        </w:rPr>
      </w:pPr>
      <w:r>
        <w:rPr>
          <w:rFonts w:ascii="Arial" w:hAnsi="Arial" w:cs="Arial"/>
        </w:rPr>
        <w:t>a</w:t>
      </w:r>
      <w:r w:rsidRPr="00E14486">
        <w:rPr>
          <w:rFonts w:ascii="Arial" w:hAnsi="Arial" w:cs="Arial"/>
        </w:rPr>
        <w:t>sfaltarea străzilor adiacente străzilor centrale in municipiul Bistrița.</w:t>
      </w:r>
    </w:p>
    <w:p w:rsidR="00E14486" w:rsidRPr="00E14486" w:rsidRDefault="00E14486" w:rsidP="008B13F4">
      <w:pPr>
        <w:ind w:firstLine="851"/>
        <w:jc w:val="both"/>
        <w:rPr>
          <w:rFonts w:ascii="Arial" w:hAnsi="Arial" w:cs="Arial"/>
          <w:spacing w:val="-4"/>
          <w:lang w:val="en-US"/>
        </w:rPr>
      </w:pPr>
      <w:r w:rsidRPr="00E14486">
        <w:rPr>
          <w:rFonts w:ascii="Arial" w:hAnsi="Arial" w:cs="Arial"/>
          <w:szCs w:val="28"/>
        </w:rPr>
        <w:t xml:space="preserve">Conform prevederilor </w:t>
      </w:r>
      <w:r w:rsidRPr="00E14486">
        <w:rPr>
          <w:rFonts w:ascii="Arial" w:hAnsi="Arial" w:cs="Arial"/>
          <w:bCs/>
          <w:spacing w:val="-4"/>
          <w:lang w:val="ro-RO"/>
        </w:rPr>
        <w:t>și a rezultatele monitorizării implementării</w:t>
      </w:r>
      <w:r w:rsidR="008B13F4">
        <w:rPr>
          <w:rFonts w:ascii="Arial" w:hAnsi="Arial" w:cs="Arial"/>
          <w:bCs/>
          <w:spacing w:val="-4"/>
          <w:lang w:val="ro-RO"/>
        </w:rPr>
        <w:t>,</w:t>
      </w:r>
      <w:r w:rsidRPr="00E14486">
        <w:rPr>
          <w:rFonts w:ascii="Arial" w:hAnsi="Arial" w:cs="Arial"/>
          <w:bCs/>
          <w:spacing w:val="-4"/>
          <w:lang w:val="ro-RO"/>
        </w:rPr>
        <w:t xml:space="preserve"> care indică faptul că din cele 156 de acțiuni au rămas doar </w:t>
      </w:r>
      <w:r w:rsidRPr="00E14486">
        <w:rPr>
          <w:rFonts w:ascii="Arial" w:hAnsi="Arial" w:cs="Arial"/>
          <w:spacing w:val="-4"/>
          <w:lang w:val="ro-RO"/>
        </w:rPr>
        <w:t xml:space="preserve">10,26%  </w:t>
      </w:r>
      <w:r w:rsidRPr="00E14486">
        <w:rPr>
          <w:rFonts w:ascii="Arial" w:hAnsi="Arial" w:cs="Arial"/>
          <w:bCs/>
          <w:spacing w:val="-4"/>
          <w:lang w:val="ro-RO"/>
        </w:rPr>
        <w:t>nerealizate, Agenția pentru Protecția Mediului Bistrița-Năsăud a demarat procedura de revizuirea Planului Local de Acţiune pentru Mediu, rev</w:t>
      </w:r>
      <w:r w:rsidR="008B13F4">
        <w:rPr>
          <w:rFonts w:ascii="Arial" w:hAnsi="Arial" w:cs="Arial"/>
          <w:bCs/>
          <w:spacing w:val="-4"/>
          <w:lang w:val="ro-RO"/>
        </w:rPr>
        <w:t>i</w:t>
      </w:r>
      <w:r w:rsidRPr="00E14486">
        <w:rPr>
          <w:rFonts w:ascii="Arial" w:hAnsi="Arial" w:cs="Arial"/>
          <w:bCs/>
          <w:spacing w:val="-4"/>
          <w:lang w:val="ro-RO"/>
        </w:rPr>
        <w:t xml:space="preserve">zuire ce se va face în perioada semestrul II 2021 – semestrul I al anului 2022. </w:t>
      </w:r>
    </w:p>
    <w:p w:rsidR="009837E8" w:rsidRPr="00B30D47" w:rsidRDefault="008B13F4" w:rsidP="00755618">
      <w:pPr>
        <w:tabs>
          <w:tab w:val="left" w:pos="851"/>
        </w:tabs>
        <w:jc w:val="both"/>
        <w:rPr>
          <w:rFonts w:ascii="Arial" w:hAnsi="Arial" w:cs="Arial"/>
          <w:sz w:val="20"/>
          <w:szCs w:val="20"/>
          <w:lang w:val="ro-RO"/>
        </w:rPr>
      </w:pPr>
      <w:r w:rsidRPr="0017585F">
        <w:rPr>
          <w:rFonts w:ascii="Arial" w:hAnsi="Arial" w:cs="Arial"/>
          <w:lang w:val="ro-RO"/>
        </w:rPr>
        <w:tab/>
      </w:r>
      <w:r w:rsidR="00743B28" w:rsidRPr="0017585F">
        <w:rPr>
          <w:rFonts w:ascii="Arial" w:hAnsi="Arial" w:cs="Arial"/>
          <w:lang w:val="ro-RO"/>
        </w:rPr>
        <w:t>Planul județean de menținere a calității aerului</w:t>
      </w:r>
      <w:r w:rsidR="00F13F34" w:rsidRPr="0017585F">
        <w:rPr>
          <w:rFonts w:ascii="Arial" w:hAnsi="Arial" w:cs="Arial"/>
          <w:lang w:val="ro-RO"/>
        </w:rPr>
        <w:t xml:space="preserve"> </w:t>
      </w:r>
      <w:r w:rsidR="005964E0">
        <w:rPr>
          <w:rFonts w:ascii="Arial" w:hAnsi="Arial" w:cs="Arial"/>
          <w:lang w:val="ro-RO"/>
        </w:rPr>
        <w:t>20</w:t>
      </w:r>
      <w:r w:rsidR="00B30D47">
        <w:rPr>
          <w:rFonts w:ascii="Arial" w:hAnsi="Arial" w:cs="Arial"/>
          <w:lang w:val="ro-RO"/>
        </w:rPr>
        <w:t>18</w:t>
      </w:r>
      <w:r w:rsidR="00F13F34" w:rsidRPr="0017585F">
        <w:rPr>
          <w:rFonts w:ascii="Arial" w:hAnsi="Arial" w:cs="Arial"/>
          <w:lang w:val="ro-RO"/>
        </w:rPr>
        <w:t>-2022,</w:t>
      </w:r>
      <w:r w:rsidR="00743B28" w:rsidRPr="0017585F">
        <w:rPr>
          <w:rFonts w:ascii="Arial" w:hAnsi="Arial" w:cs="Arial"/>
          <w:lang w:val="ro-RO"/>
        </w:rPr>
        <w:t xml:space="preserve"> realizat de Consiliul Județean Bistrița-Năsăud </w:t>
      </w:r>
      <w:r w:rsidR="009837E8" w:rsidRPr="0017585F">
        <w:rPr>
          <w:rFonts w:ascii="Arial" w:hAnsi="Arial" w:cs="Arial"/>
          <w:lang w:val="ro-RO"/>
        </w:rPr>
        <w:t xml:space="preserve">și </w:t>
      </w:r>
      <w:r w:rsidR="00743B28" w:rsidRPr="0017585F">
        <w:rPr>
          <w:rFonts w:ascii="Arial" w:hAnsi="Arial" w:cs="Arial"/>
          <w:lang w:val="ro-RO"/>
        </w:rPr>
        <w:t xml:space="preserve">aprobat </w:t>
      </w:r>
      <w:r w:rsidR="009837E8" w:rsidRPr="0017585F">
        <w:rPr>
          <w:rFonts w:ascii="Arial" w:hAnsi="Arial" w:cs="Arial"/>
          <w:lang w:val="ro-RO"/>
        </w:rPr>
        <w:t>prin HCJ nr. 186 din 19.12.</w:t>
      </w:r>
      <w:r w:rsidR="005964E0">
        <w:rPr>
          <w:rFonts w:ascii="Arial" w:hAnsi="Arial" w:cs="Arial"/>
          <w:lang w:val="ro-RO"/>
        </w:rPr>
        <w:t>2021</w:t>
      </w:r>
      <w:r w:rsidR="009837E8" w:rsidRPr="0017585F">
        <w:rPr>
          <w:rFonts w:ascii="Arial" w:hAnsi="Arial" w:cs="Arial"/>
          <w:lang w:val="ro-RO"/>
        </w:rPr>
        <w:t>, conține și el o serie întreagă de măsuri care urmăresc reducerea emisiilor de pulberi, oxizi de sulf, oxizi de azot, oxid de carbon. Aceste sunt împărțite pe indicatori și surse de emisii</w:t>
      </w:r>
      <w:r w:rsidR="00743B28" w:rsidRPr="0017585F">
        <w:rPr>
          <w:rFonts w:ascii="Arial" w:hAnsi="Arial" w:cs="Arial"/>
          <w:lang w:val="ro-RO"/>
        </w:rPr>
        <w:t>.</w:t>
      </w:r>
      <w:r w:rsidR="009837E8" w:rsidRPr="0017585F">
        <w:rPr>
          <w:rFonts w:ascii="Arial" w:hAnsi="Arial" w:cs="Arial"/>
          <w:lang w:val="ro-RO"/>
        </w:rPr>
        <w:t xml:space="preserve"> </w:t>
      </w:r>
      <w:r w:rsidR="0017585F" w:rsidRPr="0017585F">
        <w:rPr>
          <w:rFonts w:ascii="Arial" w:hAnsi="Arial" w:cs="Arial"/>
          <w:sz w:val="20"/>
          <w:szCs w:val="20"/>
          <w:lang w:val="ro-RO"/>
        </w:rPr>
        <w:t xml:space="preserve">(vezi </w:t>
      </w:r>
      <w:r w:rsidR="0097235B" w:rsidRPr="0017585F">
        <w:rPr>
          <w:rFonts w:ascii="Arial" w:hAnsi="Arial" w:cs="Arial"/>
          <w:sz w:val="20"/>
          <w:szCs w:val="20"/>
          <w:lang w:val="ro-RO"/>
        </w:rPr>
        <w:t>http://www.portalbn.ro/cj/Lists/ProiecteLegislative/Attachments/864/PLAN_MENTINERE%20CALIT.AER%2029.06.2017.pdf</w:t>
      </w:r>
      <w:r w:rsidR="0017585F" w:rsidRPr="0017585F">
        <w:rPr>
          <w:rFonts w:ascii="Arial" w:hAnsi="Arial" w:cs="Arial"/>
          <w:sz w:val="20"/>
          <w:szCs w:val="20"/>
          <w:lang w:val="ro-RO"/>
        </w:rPr>
        <w:t>)</w:t>
      </w:r>
    </w:p>
    <w:p w:rsidR="00743B28" w:rsidRPr="00B30D47" w:rsidRDefault="00743B28" w:rsidP="00755618">
      <w:pPr>
        <w:tabs>
          <w:tab w:val="left" w:pos="851"/>
          <w:tab w:val="left" w:leader="dot" w:pos="9356"/>
        </w:tabs>
        <w:jc w:val="right"/>
        <w:rPr>
          <w:rFonts w:ascii="Arial" w:hAnsi="Arial" w:cs="Arial"/>
          <w:b/>
          <w:lang w:val="ro-RO"/>
        </w:rPr>
      </w:pPr>
      <w:bookmarkStart w:id="0" w:name="_GoBack"/>
      <w:bookmarkEnd w:id="0"/>
      <w:r w:rsidRPr="00B30D47">
        <w:rPr>
          <w:rFonts w:ascii="Arial" w:hAnsi="Arial" w:cs="Arial"/>
          <w:b/>
          <w:lang w:val="ro-RO"/>
        </w:rPr>
        <w:t xml:space="preserve">    Întocmit,</w:t>
      </w:r>
    </w:p>
    <w:p w:rsidR="00743B28" w:rsidRPr="00B30D47" w:rsidRDefault="00743B28" w:rsidP="00755618">
      <w:pPr>
        <w:tabs>
          <w:tab w:val="left" w:pos="851"/>
          <w:tab w:val="left" w:leader="dot" w:pos="9356"/>
        </w:tabs>
        <w:jc w:val="right"/>
        <w:rPr>
          <w:rFonts w:ascii="Arial" w:hAnsi="Arial" w:cs="Arial"/>
          <w:lang w:val="ro-RO"/>
        </w:rPr>
      </w:pPr>
      <w:r w:rsidRPr="00B30D47">
        <w:rPr>
          <w:rFonts w:ascii="Arial" w:hAnsi="Arial" w:cs="Arial"/>
          <w:lang w:val="ro-RO"/>
        </w:rPr>
        <w:t>Ana Angela CORDO</w:t>
      </w:r>
      <w:r w:rsidRPr="00B30D47">
        <w:rPr>
          <w:rFonts w:ascii="Arial" w:hAnsi="Tahoma" w:cs="Arial"/>
          <w:lang w:val="ro-RO"/>
        </w:rPr>
        <w:t>Ș</w:t>
      </w:r>
    </w:p>
    <w:sectPr w:rsidR="00743B28" w:rsidRPr="00B30D47" w:rsidSect="00DD6935">
      <w:headerReference w:type="default" r:id="rId89"/>
      <w:footerReference w:type="default" r:id="rId90"/>
      <w:pgSz w:w="11906" w:h="16838"/>
      <w:pgMar w:top="851" w:right="1134" w:bottom="851" w:left="1418" w:header="624"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B3A" w:rsidRDefault="00867B3A" w:rsidP="002974C9">
      <w:r>
        <w:separator/>
      </w:r>
    </w:p>
  </w:endnote>
  <w:endnote w:type="continuationSeparator" w:id="0">
    <w:p w:rsidR="00867B3A" w:rsidRDefault="00867B3A" w:rsidP="00297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825" w:rsidRDefault="004B7825">
    <w:pPr>
      <w:pStyle w:val="Subsol"/>
      <w:jc w:val="center"/>
    </w:pPr>
  </w:p>
  <w:p w:rsidR="004B7825" w:rsidRPr="00D42E3E" w:rsidRDefault="004B7825">
    <w:pPr>
      <w:pStyle w:val="Subsol"/>
      <w:jc w:val="center"/>
    </w:pPr>
    <w:r w:rsidRPr="00D42E3E">
      <w:t>I</w:t>
    </w:r>
    <w:r>
      <w:t>-</w:t>
    </w:r>
    <w:r w:rsidRPr="00D42E3E">
      <w:fldChar w:fldCharType="begin"/>
    </w:r>
    <w:r w:rsidRPr="00D42E3E">
      <w:instrText>PAGE   \* MERGEFORMAT</w:instrText>
    </w:r>
    <w:r w:rsidRPr="00D42E3E">
      <w:fldChar w:fldCharType="separate"/>
    </w:r>
    <w:r w:rsidR="00867B3A" w:rsidRPr="00867B3A">
      <w:rPr>
        <w:noProof/>
        <w:lang w:val="ro-RO"/>
      </w:rPr>
      <w:t>1</w:t>
    </w:r>
    <w:r w:rsidRPr="00D42E3E">
      <w:fldChar w:fldCharType="end"/>
    </w:r>
  </w:p>
  <w:p w:rsidR="004B7825" w:rsidRDefault="004B782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B3A" w:rsidRDefault="00867B3A" w:rsidP="002974C9">
      <w:r>
        <w:separator/>
      </w:r>
    </w:p>
  </w:footnote>
  <w:footnote w:type="continuationSeparator" w:id="0">
    <w:p w:rsidR="00867B3A" w:rsidRDefault="00867B3A" w:rsidP="00297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825" w:rsidRDefault="004B7825" w:rsidP="00115064">
    <w:pPr>
      <w:pStyle w:val="Antet"/>
      <w:tabs>
        <w:tab w:val="clear" w:pos="4513"/>
      </w:tabs>
      <w:jc w:val="center"/>
      <w:rPr>
        <w:rFonts w:ascii="Arial" w:hAnsi="Arial" w:cs="Arial"/>
        <w:b/>
        <w:color w:val="808080"/>
      </w:rPr>
    </w:pPr>
    <w:r w:rsidRPr="00A55C7C">
      <w:rPr>
        <w:rFonts w:ascii="Arial" w:hAnsi="Arial" w:cs="Arial"/>
        <w:b/>
        <w:color w:val="808080"/>
      </w:rPr>
      <w:t>Raport privind starea mediului în jude</w:t>
    </w:r>
    <w:r w:rsidRPr="00A55C7C">
      <w:rPr>
        <w:rFonts w:ascii="Tahoma" w:hAnsi="Tahoma" w:cs="Tahoma"/>
        <w:b/>
        <w:color w:val="808080"/>
      </w:rPr>
      <w:t>ț</w:t>
    </w:r>
    <w:r w:rsidRPr="00A55C7C">
      <w:rPr>
        <w:rFonts w:ascii="Arial" w:hAnsi="Arial" w:cs="Arial"/>
        <w:b/>
        <w:color w:val="808080"/>
      </w:rPr>
      <w:t>ul Bistri</w:t>
    </w:r>
    <w:r w:rsidRPr="00A55C7C">
      <w:rPr>
        <w:rFonts w:ascii="Tahoma" w:hAnsi="Tahoma" w:cs="Tahoma"/>
        <w:b/>
        <w:color w:val="808080"/>
      </w:rPr>
      <w:t>ț</w:t>
    </w:r>
    <w:r w:rsidRPr="00A55C7C">
      <w:rPr>
        <w:rFonts w:ascii="Arial" w:hAnsi="Arial" w:cs="Arial"/>
        <w:b/>
        <w:color w:val="808080"/>
      </w:rPr>
      <w:t xml:space="preserve">a-Năsăud, anul </w:t>
    </w:r>
    <w:r>
      <w:rPr>
        <w:rFonts w:ascii="Arial" w:hAnsi="Arial" w:cs="Arial"/>
        <w:b/>
        <w:color w:val="808080"/>
      </w:rPr>
      <w:t>2021</w:t>
    </w:r>
  </w:p>
  <w:p w:rsidR="004B7825" w:rsidRPr="00A55C7C" w:rsidRDefault="004B7825" w:rsidP="001466A3">
    <w:pPr>
      <w:pStyle w:val="Antet"/>
      <w:tabs>
        <w:tab w:val="clear" w:pos="4513"/>
      </w:tabs>
      <w:jc w:val="center"/>
      <w:rPr>
        <w:rFonts w:ascii="Arial" w:hAnsi="Arial" w:cs="Arial"/>
        <w:b/>
        <w:color w:val="8080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602E2"/>
    <w:multiLevelType w:val="hybridMultilevel"/>
    <w:tmpl w:val="DEAAC6C6"/>
    <w:lvl w:ilvl="0" w:tplc="04180001">
      <w:start w:val="1"/>
      <w:numFmt w:val="bullet"/>
      <w:lvlText w:val=""/>
      <w:lvlJc w:val="left"/>
      <w:pPr>
        <w:ind w:left="720" w:hanging="360"/>
      </w:pPr>
      <w:rPr>
        <w:rFonts w:ascii="Symbol" w:hAnsi="Symbol" w:hint="default"/>
      </w:rPr>
    </w:lvl>
    <w:lvl w:ilvl="1" w:tplc="15360F4A">
      <w:numFmt w:val="bullet"/>
      <w:lvlText w:val="–"/>
      <w:lvlJc w:val="left"/>
      <w:pPr>
        <w:ind w:left="1440" w:hanging="360"/>
      </w:pPr>
      <w:rPr>
        <w:rFonts w:ascii="Times New Roman" w:eastAsia="Times New Roman" w:hAnsi="Times New Roman" w:cs="Times New Roman" w:hint="default"/>
      </w:rPr>
    </w:lvl>
    <w:lvl w:ilvl="2" w:tplc="24D8D078">
      <w:numFmt w:val="bullet"/>
      <w:lvlText w:val="-"/>
      <w:lvlJc w:val="left"/>
      <w:pPr>
        <w:ind w:left="2160" w:hanging="360"/>
      </w:pPr>
      <w:rPr>
        <w:rFonts w:ascii="Times New Roman" w:eastAsia="Calibri" w:hAnsi="Times New Roman" w:cs="Times New Roman" w:hint="default"/>
      </w:r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0934332A"/>
    <w:multiLevelType w:val="hybridMultilevel"/>
    <w:tmpl w:val="C982368A"/>
    <w:lvl w:ilvl="0" w:tplc="9EFA7EDE">
      <w:start w:val="1"/>
      <w:numFmt w:val="upperLetter"/>
      <w:lvlText w:val="%1."/>
      <w:lvlJc w:val="left"/>
      <w:pPr>
        <w:ind w:left="720" w:hanging="360"/>
      </w:pPr>
      <w:rPr>
        <w:rFonts w:hint="default"/>
        <w:b/>
        <w:color w:val="auto"/>
        <w:sz w:val="24"/>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6317C8B"/>
    <w:multiLevelType w:val="hybridMultilevel"/>
    <w:tmpl w:val="AB34566A"/>
    <w:lvl w:ilvl="0" w:tplc="802A32D0">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 w15:restartNumberingAfterBreak="0">
    <w:nsid w:val="16A60EC8"/>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 w15:restartNumberingAfterBreak="0">
    <w:nsid w:val="17222159"/>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5" w15:restartNumberingAfterBreak="0">
    <w:nsid w:val="1D340AAD"/>
    <w:multiLevelType w:val="multilevel"/>
    <w:tmpl w:val="9D78803C"/>
    <w:lvl w:ilvl="0">
      <w:start w:val="1"/>
      <w:numFmt w:val="upperRoman"/>
      <w:lvlText w:val=" %1. "/>
      <w:lvlJc w:val="left"/>
      <w:pPr>
        <w:tabs>
          <w:tab w:val="num" w:pos="0"/>
        </w:tabs>
        <w:ind w:left="735" w:hanging="735"/>
      </w:pPr>
      <w:rPr>
        <w:rFonts w:cs="Times New Roman" w:hint="default"/>
        <w:b/>
        <w:i w:val="0"/>
        <w:caps w:val="0"/>
        <w:strike w:val="0"/>
        <w:dstrike w:val="0"/>
        <w:vanish w:val="0"/>
        <w:color w:val="000000"/>
        <w:sz w:val="26"/>
        <w:szCs w:val="26"/>
        <w:vertAlign w:val="baseline"/>
      </w:rPr>
    </w:lvl>
    <w:lvl w:ilvl="1">
      <w:start w:val="1"/>
      <w:numFmt w:val="decimal"/>
      <w:suff w:val="space"/>
      <w:lvlText w:val="%1.%2."/>
      <w:lvlJc w:val="left"/>
      <w:pPr>
        <w:ind w:left="737" w:hanging="624"/>
      </w:pPr>
      <w:rPr>
        <w:rFonts w:cs="Times New Roman" w:hint="default"/>
        <w:sz w:val="32"/>
        <w:szCs w:val="32"/>
      </w:rPr>
    </w:lvl>
    <w:lvl w:ilvl="2">
      <w:start w:val="1"/>
      <w:numFmt w:val="decimal"/>
      <w:lvlText w:val="%1.%2.%3."/>
      <w:lvlJc w:val="left"/>
      <w:pPr>
        <w:tabs>
          <w:tab w:val="num" w:pos="1107"/>
        </w:tabs>
        <w:ind w:left="1674" w:hanging="397"/>
      </w:pPr>
      <w:rPr>
        <w:rFonts w:cs="Times New Roman" w:hint="default"/>
        <w:b/>
        <w:sz w:val="28"/>
        <w:szCs w:val="28"/>
      </w:rPr>
    </w:lvl>
    <w:lvl w:ilvl="3">
      <w:start w:val="1"/>
      <w:numFmt w:val="decimal"/>
      <w:lvlText w:val="%1.%2.%3.%4."/>
      <w:lvlJc w:val="left"/>
      <w:pPr>
        <w:tabs>
          <w:tab w:val="num" w:pos="2215"/>
        </w:tabs>
        <w:ind w:left="2215" w:hanging="1080"/>
      </w:pPr>
      <w:rPr>
        <w:rFonts w:cs="Times New Roman" w:hint="default"/>
        <w:b/>
        <w:sz w:val="24"/>
        <w:szCs w:val="24"/>
      </w:rPr>
    </w:lvl>
    <w:lvl w:ilvl="4">
      <w:start w:val="1"/>
      <w:numFmt w:val="decimal"/>
      <w:lvlText w:val="%1.%2.%3.%4.%5."/>
      <w:lvlJc w:val="left"/>
      <w:pPr>
        <w:tabs>
          <w:tab w:val="num" w:pos="1080"/>
        </w:tabs>
        <w:ind w:left="1080" w:hanging="1080"/>
      </w:pPr>
      <w:rPr>
        <w:rFonts w:cs="Times New Roman" w:hint="default"/>
        <w:sz w:val="20"/>
      </w:rPr>
    </w:lvl>
    <w:lvl w:ilvl="5">
      <w:start w:val="1"/>
      <w:numFmt w:val="decimal"/>
      <w:lvlText w:val="%1.%2.%3.%4.%5.%6."/>
      <w:lvlJc w:val="left"/>
      <w:pPr>
        <w:tabs>
          <w:tab w:val="num" w:pos="1440"/>
        </w:tabs>
        <w:ind w:left="1440" w:hanging="1440"/>
      </w:pPr>
      <w:rPr>
        <w:rFonts w:cs="Times New Roman" w:hint="default"/>
        <w:sz w:val="20"/>
      </w:rPr>
    </w:lvl>
    <w:lvl w:ilvl="6">
      <w:start w:val="1"/>
      <w:numFmt w:val="decimal"/>
      <w:lvlText w:val="%1.%2.%3.%4.%5.%6.%7."/>
      <w:lvlJc w:val="left"/>
      <w:pPr>
        <w:tabs>
          <w:tab w:val="num" w:pos="1800"/>
        </w:tabs>
        <w:ind w:left="1800" w:hanging="1800"/>
      </w:pPr>
      <w:rPr>
        <w:rFonts w:cs="Times New Roman" w:hint="default"/>
        <w:sz w:val="20"/>
      </w:rPr>
    </w:lvl>
    <w:lvl w:ilvl="7">
      <w:start w:val="1"/>
      <w:numFmt w:val="decimal"/>
      <w:lvlText w:val="%1.%2.%3.%4.%5.%6.%7.%8."/>
      <w:lvlJc w:val="left"/>
      <w:pPr>
        <w:tabs>
          <w:tab w:val="num" w:pos="1800"/>
        </w:tabs>
        <w:ind w:left="1800" w:hanging="1800"/>
      </w:pPr>
      <w:rPr>
        <w:rFonts w:cs="Times New Roman" w:hint="default"/>
        <w:sz w:val="20"/>
      </w:rPr>
    </w:lvl>
    <w:lvl w:ilvl="8">
      <w:start w:val="1"/>
      <w:numFmt w:val="decimal"/>
      <w:lvlText w:val="%1.%2.%3.%4.%5.%6.%7.%8.%9."/>
      <w:lvlJc w:val="left"/>
      <w:pPr>
        <w:tabs>
          <w:tab w:val="num" w:pos="2160"/>
        </w:tabs>
        <w:ind w:left="2160" w:hanging="2160"/>
      </w:pPr>
      <w:rPr>
        <w:rFonts w:cs="Times New Roman" w:hint="default"/>
        <w:sz w:val="20"/>
      </w:rPr>
    </w:lvl>
  </w:abstractNum>
  <w:abstractNum w:abstractNumId="6" w15:restartNumberingAfterBreak="0">
    <w:nsid w:val="1FD61500"/>
    <w:multiLevelType w:val="hybridMultilevel"/>
    <w:tmpl w:val="BD00288E"/>
    <w:lvl w:ilvl="0" w:tplc="04180001">
      <w:start w:val="1"/>
      <w:numFmt w:val="bullet"/>
      <w:lvlText w:val=""/>
      <w:lvlJc w:val="left"/>
      <w:pPr>
        <w:ind w:left="1573" w:hanging="360"/>
      </w:pPr>
      <w:rPr>
        <w:rFonts w:ascii="Symbol" w:hAnsi="Symbol" w:hint="default"/>
      </w:rPr>
    </w:lvl>
    <w:lvl w:ilvl="1" w:tplc="04180003" w:tentative="1">
      <w:start w:val="1"/>
      <w:numFmt w:val="bullet"/>
      <w:lvlText w:val="o"/>
      <w:lvlJc w:val="left"/>
      <w:pPr>
        <w:ind w:left="2293" w:hanging="360"/>
      </w:pPr>
      <w:rPr>
        <w:rFonts w:ascii="Courier New" w:hAnsi="Courier New" w:cs="Courier New" w:hint="default"/>
      </w:rPr>
    </w:lvl>
    <w:lvl w:ilvl="2" w:tplc="04180005" w:tentative="1">
      <w:start w:val="1"/>
      <w:numFmt w:val="bullet"/>
      <w:lvlText w:val=""/>
      <w:lvlJc w:val="left"/>
      <w:pPr>
        <w:ind w:left="3013" w:hanging="360"/>
      </w:pPr>
      <w:rPr>
        <w:rFonts w:ascii="Wingdings" w:hAnsi="Wingdings" w:hint="default"/>
      </w:rPr>
    </w:lvl>
    <w:lvl w:ilvl="3" w:tplc="04180001" w:tentative="1">
      <w:start w:val="1"/>
      <w:numFmt w:val="bullet"/>
      <w:lvlText w:val=""/>
      <w:lvlJc w:val="left"/>
      <w:pPr>
        <w:ind w:left="3733" w:hanging="360"/>
      </w:pPr>
      <w:rPr>
        <w:rFonts w:ascii="Symbol" w:hAnsi="Symbol" w:hint="default"/>
      </w:rPr>
    </w:lvl>
    <w:lvl w:ilvl="4" w:tplc="04180003" w:tentative="1">
      <w:start w:val="1"/>
      <w:numFmt w:val="bullet"/>
      <w:lvlText w:val="o"/>
      <w:lvlJc w:val="left"/>
      <w:pPr>
        <w:ind w:left="4453" w:hanging="360"/>
      </w:pPr>
      <w:rPr>
        <w:rFonts w:ascii="Courier New" w:hAnsi="Courier New" w:cs="Courier New" w:hint="default"/>
      </w:rPr>
    </w:lvl>
    <w:lvl w:ilvl="5" w:tplc="04180005" w:tentative="1">
      <w:start w:val="1"/>
      <w:numFmt w:val="bullet"/>
      <w:lvlText w:val=""/>
      <w:lvlJc w:val="left"/>
      <w:pPr>
        <w:ind w:left="5173" w:hanging="360"/>
      </w:pPr>
      <w:rPr>
        <w:rFonts w:ascii="Wingdings" w:hAnsi="Wingdings" w:hint="default"/>
      </w:rPr>
    </w:lvl>
    <w:lvl w:ilvl="6" w:tplc="04180001" w:tentative="1">
      <w:start w:val="1"/>
      <w:numFmt w:val="bullet"/>
      <w:lvlText w:val=""/>
      <w:lvlJc w:val="left"/>
      <w:pPr>
        <w:ind w:left="5893" w:hanging="360"/>
      </w:pPr>
      <w:rPr>
        <w:rFonts w:ascii="Symbol" w:hAnsi="Symbol" w:hint="default"/>
      </w:rPr>
    </w:lvl>
    <w:lvl w:ilvl="7" w:tplc="04180003" w:tentative="1">
      <w:start w:val="1"/>
      <w:numFmt w:val="bullet"/>
      <w:lvlText w:val="o"/>
      <w:lvlJc w:val="left"/>
      <w:pPr>
        <w:ind w:left="6613" w:hanging="360"/>
      </w:pPr>
      <w:rPr>
        <w:rFonts w:ascii="Courier New" w:hAnsi="Courier New" w:cs="Courier New" w:hint="default"/>
      </w:rPr>
    </w:lvl>
    <w:lvl w:ilvl="8" w:tplc="04180005" w:tentative="1">
      <w:start w:val="1"/>
      <w:numFmt w:val="bullet"/>
      <w:lvlText w:val=""/>
      <w:lvlJc w:val="left"/>
      <w:pPr>
        <w:ind w:left="7333" w:hanging="360"/>
      </w:pPr>
      <w:rPr>
        <w:rFonts w:ascii="Wingdings" w:hAnsi="Wingdings" w:hint="default"/>
      </w:rPr>
    </w:lvl>
  </w:abstractNum>
  <w:abstractNum w:abstractNumId="7" w15:restartNumberingAfterBreak="0">
    <w:nsid w:val="25F61334"/>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8" w15:restartNumberingAfterBreak="0">
    <w:nsid w:val="2C69658A"/>
    <w:multiLevelType w:val="hybridMultilevel"/>
    <w:tmpl w:val="515EDF5A"/>
    <w:lvl w:ilvl="0" w:tplc="7EF88A80">
      <w:start w:val="1"/>
      <w:numFmt w:val="bullet"/>
      <w:lvlText w:val="˗"/>
      <w:lvlJc w:val="left"/>
      <w:pPr>
        <w:ind w:left="360" w:hanging="360"/>
      </w:pPr>
      <w:rPr>
        <w:rFonts w:ascii="Times New Roman" w:hAnsi="Times New Roman"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9" w15:restartNumberingAfterBreak="0">
    <w:nsid w:val="2D8211DC"/>
    <w:multiLevelType w:val="hybridMultilevel"/>
    <w:tmpl w:val="E29E5D0C"/>
    <w:lvl w:ilvl="0" w:tplc="1722D5A6">
      <w:numFmt w:val="bullet"/>
      <w:lvlText w:val="-"/>
      <w:lvlJc w:val="left"/>
      <w:pPr>
        <w:ind w:left="360" w:hanging="360"/>
      </w:pPr>
      <w:rPr>
        <w:rFonts w:ascii="Times New Roman" w:eastAsia="Times New Roman" w:hAnsi="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10" w15:restartNumberingAfterBreak="0">
    <w:nsid w:val="320238B7"/>
    <w:multiLevelType w:val="hybridMultilevel"/>
    <w:tmpl w:val="D834BCDE"/>
    <w:lvl w:ilvl="0" w:tplc="1F102632">
      <w:start w:val="1"/>
      <w:numFmt w:val="upperLetter"/>
      <w:lvlText w:val="%1."/>
      <w:lvlJc w:val="left"/>
      <w:pPr>
        <w:ind w:left="720" w:hanging="360"/>
      </w:pPr>
      <w:rPr>
        <w:rFonts w:cs="Times New Roman" w:hint="default"/>
        <w:b/>
        <w:sz w:val="24"/>
        <w:szCs w:val="24"/>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1" w15:restartNumberingAfterBreak="0">
    <w:nsid w:val="32B75A4B"/>
    <w:multiLevelType w:val="hybridMultilevel"/>
    <w:tmpl w:val="36D63C74"/>
    <w:lvl w:ilvl="0" w:tplc="04180015">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2" w15:restartNumberingAfterBreak="0">
    <w:nsid w:val="366F71C6"/>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3" w15:restartNumberingAfterBreak="0">
    <w:nsid w:val="38333242"/>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4" w15:restartNumberingAfterBreak="0">
    <w:nsid w:val="399B2570"/>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5" w15:restartNumberingAfterBreak="0">
    <w:nsid w:val="3AFD44A3"/>
    <w:multiLevelType w:val="hybridMultilevel"/>
    <w:tmpl w:val="36D63C74"/>
    <w:lvl w:ilvl="0" w:tplc="04180015">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6" w15:restartNumberingAfterBreak="0">
    <w:nsid w:val="3FE85B98"/>
    <w:multiLevelType w:val="hybridMultilevel"/>
    <w:tmpl w:val="36D63C74"/>
    <w:lvl w:ilvl="0" w:tplc="04180015">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7" w15:restartNumberingAfterBreak="0">
    <w:nsid w:val="401471A7"/>
    <w:multiLevelType w:val="hybridMultilevel"/>
    <w:tmpl w:val="0CF0B15A"/>
    <w:lvl w:ilvl="0" w:tplc="C804F080">
      <w:start w:val="1"/>
      <w:numFmt w:val="lowerLetter"/>
      <w:lvlText w:val="%1)"/>
      <w:lvlJc w:val="left"/>
      <w:pPr>
        <w:ind w:left="644" w:hanging="360"/>
      </w:pPr>
      <w:rPr>
        <w:rFonts w:hint="default"/>
        <w:b/>
      </w:rPr>
    </w:lvl>
    <w:lvl w:ilvl="1" w:tplc="04180019">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8" w15:restartNumberingAfterBreak="0">
    <w:nsid w:val="42C551EC"/>
    <w:multiLevelType w:val="multilevel"/>
    <w:tmpl w:val="343C5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91456"/>
    <w:multiLevelType w:val="hybridMultilevel"/>
    <w:tmpl w:val="3042BCE8"/>
    <w:lvl w:ilvl="0" w:tplc="AED6F5B6">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0" w15:restartNumberingAfterBreak="0">
    <w:nsid w:val="46B37F18"/>
    <w:multiLevelType w:val="hybridMultilevel"/>
    <w:tmpl w:val="872C07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F588A"/>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15:restartNumberingAfterBreak="0">
    <w:nsid w:val="471E1B54"/>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3" w15:restartNumberingAfterBreak="0">
    <w:nsid w:val="49143B04"/>
    <w:multiLevelType w:val="hybridMultilevel"/>
    <w:tmpl w:val="8452C66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A3C1939"/>
    <w:multiLevelType w:val="hybridMultilevel"/>
    <w:tmpl w:val="26E22C2C"/>
    <w:lvl w:ilvl="0" w:tplc="7EF88A80">
      <w:start w:val="1"/>
      <w:numFmt w:val="bullet"/>
      <w:lvlText w:val="˗"/>
      <w:lvlJc w:val="left"/>
      <w:pPr>
        <w:ind w:left="360" w:hanging="360"/>
      </w:pPr>
      <w:rPr>
        <w:rFonts w:ascii="Times New Roman" w:hAnsi="Times New Roman"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25" w15:restartNumberingAfterBreak="0">
    <w:nsid w:val="4BFC3532"/>
    <w:multiLevelType w:val="hybridMultilevel"/>
    <w:tmpl w:val="3C2A7B42"/>
    <w:lvl w:ilvl="0" w:tplc="17CC65EA">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6" w15:restartNumberingAfterBreak="0">
    <w:nsid w:val="53B21AB3"/>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7" w15:restartNumberingAfterBreak="0">
    <w:nsid w:val="59B719C9"/>
    <w:multiLevelType w:val="hybridMultilevel"/>
    <w:tmpl w:val="674C6D30"/>
    <w:lvl w:ilvl="0" w:tplc="47DC4782">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8" w15:restartNumberingAfterBreak="0">
    <w:nsid w:val="5BF17AB7"/>
    <w:multiLevelType w:val="hybridMultilevel"/>
    <w:tmpl w:val="0F4A0438"/>
    <w:lvl w:ilvl="0" w:tplc="15360F4A">
      <w:numFmt w:val="bullet"/>
      <w:lvlText w:val="–"/>
      <w:lvlJc w:val="left"/>
      <w:pPr>
        <w:ind w:left="1440" w:hanging="360"/>
      </w:pPr>
      <w:rPr>
        <w:rFonts w:ascii="Times New Roman" w:eastAsiaTheme="minorEastAsia" w:hAnsi="Times New Roman" w:cs="Times New Roman" w:hint="default"/>
      </w:rPr>
    </w:lvl>
    <w:lvl w:ilvl="1" w:tplc="15360F4A">
      <w:numFmt w:val="bullet"/>
      <w:lvlText w:val="–"/>
      <w:lvlJc w:val="left"/>
      <w:pPr>
        <w:ind w:left="2160" w:hanging="360"/>
      </w:pPr>
      <w:rPr>
        <w:rFonts w:ascii="Times New Roman" w:eastAsiaTheme="minorEastAsia" w:hAnsi="Times New Roman" w:cs="Times New Roman"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630324EE"/>
    <w:multiLevelType w:val="hybridMultilevel"/>
    <w:tmpl w:val="46FA4D56"/>
    <w:lvl w:ilvl="0" w:tplc="15360F4A">
      <w:numFmt w:val="bullet"/>
      <w:lvlText w:val="–"/>
      <w:lvlJc w:val="left"/>
      <w:pPr>
        <w:ind w:left="720" w:hanging="360"/>
      </w:pPr>
      <w:rPr>
        <w:rFonts w:ascii="Times New Roman" w:eastAsia="Times New Roman" w:hAnsi="Times New Roman" w:cs="Times New Roman" w:hint="default"/>
      </w:rPr>
    </w:lvl>
    <w:lvl w:ilvl="1" w:tplc="47FAC920">
      <w:numFmt w:val="bullet"/>
      <w:lvlText w:val="-"/>
      <w:lvlJc w:val="left"/>
      <w:pPr>
        <w:ind w:left="2100" w:hanging="1020"/>
      </w:pPr>
      <w:rPr>
        <w:rFonts w:ascii="Times New Roman" w:eastAsia="Calibri" w:hAnsi="Times New Roman" w:cs="Times New Roman" w:hint="default"/>
      </w:rPr>
    </w:lvl>
    <w:lvl w:ilvl="2" w:tplc="15360F4A">
      <w:numFmt w:val="bullet"/>
      <w:lvlText w:val="–"/>
      <w:lvlJc w:val="left"/>
      <w:pPr>
        <w:ind w:left="2160" w:hanging="360"/>
      </w:pPr>
      <w:rPr>
        <w:rFonts w:ascii="Times New Roman" w:eastAsia="Times New Roman" w:hAnsi="Times New Roman" w:cs="Times New Roman" w:hint="default"/>
      </w:r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0" w15:restartNumberingAfterBreak="0">
    <w:nsid w:val="65902110"/>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1" w15:restartNumberingAfterBreak="0">
    <w:nsid w:val="665632C6"/>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2" w15:restartNumberingAfterBreak="0">
    <w:nsid w:val="67D4091B"/>
    <w:multiLevelType w:val="hybridMultilevel"/>
    <w:tmpl w:val="E404F6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8E61109"/>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4" w15:restartNumberingAfterBreak="0">
    <w:nsid w:val="69DB483D"/>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5" w15:restartNumberingAfterBreak="0">
    <w:nsid w:val="6BD061B6"/>
    <w:multiLevelType w:val="hybridMultilevel"/>
    <w:tmpl w:val="799E3B58"/>
    <w:lvl w:ilvl="0" w:tplc="BCCC742E">
      <w:start w:val="2"/>
      <w:numFmt w:val="bullet"/>
      <w:lvlText w:val="-"/>
      <w:lvlJc w:val="left"/>
      <w:pPr>
        <w:ind w:left="720" w:hanging="36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3572CF"/>
    <w:multiLevelType w:val="hybridMultilevel"/>
    <w:tmpl w:val="8DC4212A"/>
    <w:lvl w:ilvl="0" w:tplc="08090001">
      <w:start w:val="1"/>
      <w:numFmt w:val="bullet"/>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7" w15:restartNumberingAfterBreak="0">
    <w:nsid w:val="70040D1F"/>
    <w:multiLevelType w:val="hybridMultilevel"/>
    <w:tmpl w:val="40B4984A"/>
    <w:lvl w:ilvl="0" w:tplc="D180B108">
      <w:start w:val="1"/>
      <w:numFmt w:val="upperLetter"/>
      <w:lvlText w:val="%1."/>
      <w:lvlJc w:val="left"/>
      <w:pPr>
        <w:ind w:left="720" w:hanging="360"/>
      </w:pPr>
      <w:rPr>
        <w:rFonts w:cs="Times New Roman" w:hint="default"/>
        <w:b/>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8" w15:restartNumberingAfterBreak="0">
    <w:nsid w:val="7287086A"/>
    <w:multiLevelType w:val="hybridMultilevel"/>
    <w:tmpl w:val="36F4A4FA"/>
    <w:lvl w:ilvl="0" w:tplc="9E8250CA">
      <w:start w:val="1"/>
      <w:numFmt w:val="upperLetter"/>
      <w:lvlText w:val="%1."/>
      <w:lvlJc w:val="left"/>
      <w:pPr>
        <w:ind w:left="720" w:hanging="360"/>
      </w:pPr>
      <w:rPr>
        <w:rFonts w:cs="Times New Roman" w:hint="default"/>
        <w:b w:val="0"/>
        <w:sz w:val="24"/>
        <w:u w:val="none"/>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9" w15:restartNumberingAfterBreak="0">
    <w:nsid w:val="7A957AEE"/>
    <w:multiLevelType w:val="hybridMultilevel"/>
    <w:tmpl w:val="9516EC26"/>
    <w:lvl w:ilvl="0" w:tplc="1722D5A6">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D307F5B"/>
    <w:multiLevelType w:val="hybridMultilevel"/>
    <w:tmpl w:val="30D02C1E"/>
    <w:lvl w:ilvl="0" w:tplc="1722D5A6">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10"/>
  </w:num>
  <w:num w:numId="4">
    <w:abstractNumId w:val="37"/>
  </w:num>
  <w:num w:numId="5">
    <w:abstractNumId w:val="11"/>
  </w:num>
  <w:num w:numId="6">
    <w:abstractNumId w:val="15"/>
  </w:num>
  <w:num w:numId="7">
    <w:abstractNumId w:val="16"/>
  </w:num>
  <w:num w:numId="8">
    <w:abstractNumId w:val="19"/>
  </w:num>
  <w:num w:numId="9">
    <w:abstractNumId w:val="38"/>
  </w:num>
  <w:num w:numId="10">
    <w:abstractNumId w:val="21"/>
  </w:num>
  <w:num w:numId="11">
    <w:abstractNumId w:val="4"/>
  </w:num>
  <w:num w:numId="12">
    <w:abstractNumId w:val="34"/>
  </w:num>
  <w:num w:numId="13">
    <w:abstractNumId w:val="27"/>
  </w:num>
  <w:num w:numId="14">
    <w:abstractNumId w:val="2"/>
  </w:num>
  <w:num w:numId="15">
    <w:abstractNumId w:val="30"/>
  </w:num>
  <w:num w:numId="16">
    <w:abstractNumId w:val="26"/>
  </w:num>
  <w:num w:numId="17">
    <w:abstractNumId w:val="14"/>
  </w:num>
  <w:num w:numId="18">
    <w:abstractNumId w:val="22"/>
  </w:num>
  <w:num w:numId="19">
    <w:abstractNumId w:val="33"/>
  </w:num>
  <w:num w:numId="20">
    <w:abstractNumId w:val="3"/>
  </w:num>
  <w:num w:numId="21">
    <w:abstractNumId w:val="12"/>
  </w:num>
  <w:num w:numId="22">
    <w:abstractNumId w:val="13"/>
  </w:num>
  <w:num w:numId="23">
    <w:abstractNumId w:val="25"/>
  </w:num>
  <w:num w:numId="24">
    <w:abstractNumId w:val="7"/>
  </w:num>
  <w:num w:numId="25">
    <w:abstractNumId w:val="31"/>
  </w:num>
  <w:num w:numId="26">
    <w:abstractNumId w:val="1"/>
  </w:num>
  <w:num w:numId="27">
    <w:abstractNumId w:val="18"/>
  </w:num>
  <w:num w:numId="28">
    <w:abstractNumId w:val="6"/>
  </w:num>
  <w:num w:numId="29">
    <w:abstractNumId w:val="20"/>
  </w:num>
  <w:num w:numId="30">
    <w:abstractNumId w:val="35"/>
  </w:num>
  <w:num w:numId="31">
    <w:abstractNumId w:val="32"/>
  </w:num>
  <w:num w:numId="32">
    <w:abstractNumId w:val="24"/>
  </w:num>
  <w:num w:numId="33">
    <w:abstractNumId w:val="36"/>
  </w:num>
  <w:num w:numId="34">
    <w:abstractNumId w:val="8"/>
  </w:num>
  <w:num w:numId="35">
    <w:abstractNumId w:val="9"/>
  </w:num>
  <w:num w:numId="36">
    <w:abstractNumId w:val="17"/>
  </w:num>
  <w:num w:numId="37">
    <w:abstractNumId w:val="40"/>
  </w:num>
  <w:num w:numId="38">
    <w:abstractNumId w:val="39"/>
  </w:num>
  <w:num w:numId="39">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851"/>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4C9"/>
    <w:rsid w:val="000006A9"/>
    <w:rsid w:val="0000077B"/>
    <w:rsid w:val="000015C7"/>
    <w:rsid w:val="0000342D"/>
    <w:rsid w:val="00004611"/>
    <w:rsid w:val="00004682"/>
    <w:rsid w:val="00004957"/>
    <w:rsid w:val="00006D7D"/>
    <w:rsid w:val="000077CE"/>
    <w:rsid w:val="0001030D"/>
    <w:rsid w:val="000131CC"/>
    <w:rsid w:val="00013A88"/>
    <w:rsid w:val="000143CE"/>
    <w:rsid w:val="0001449A"/>
    <w:rsid w:val="00015203"/>
    <w:rsid w:val="00015BCA"/>
    <w:rsid w:val="0002325F"/>
    <w:rsid w:val="00026E3B"/>
    <w:rsid w:val="000277D0"/>
    <w:rsid w:val="00030994"/>
    <w:rsid w:val="00031099"/>
    <w:rsid w:val="00034F4D"/>
    <w:rsid w:val="000365D4"/>
    <w:rsid w:val="0004230F"/>
    <w:rsid w:val="000467BB"/>
    <w:rsid w:val="0004774C"/>
    <w:rsid w:val="00050223"/>
    <w:rsid w:val="00052EAD"/>
    <w:rsid w:val="00053002"/>
    <w:rsid w:val="00057BF6"/>
    <w:rsid w:val="00057E36"/>
    <w:rsid w:val="00061320"/>
    <w:rsid w:val="0006483D"/>
    <w:rsid w:val="00066B8D"/>
    <w:rsid w:val="00067281"/>
    <w:rsid w:val="00070AA8"/>
    <w:rsid w:val="000713EE"/>
    <w:rsid w:val="00075CD7"/>
    <w:rsid w:val="00075F04"/>
    <w:rsid w:val="000775C1"/>
    <w:rsid w:val="00077A74"/>
    <w:rsid w:val="000801FE"/>
    <w:rsid w:val="0008448E"/>
    <w:rsid w:val="000870D5"/>
    <w:rsid w:val="0009750F"/>
    <w:rsid w:val="000A26C5"/>
    <w:rsid w:val="000A2F78"/>
    <w:rsid w:val="000A6D74"/>
    <w:rsid w:val="000A7A44"/>
    <w:rsid w:val="000A7C0B"/>
    <w:rsid w:val="000B0D59"/>
    <w:rsid w:val="000B41CB"/>
    <w:rsid w:val="000B5EFC"/>
    <w:rsid w:val="000B6120"/>
    <w:rsid w:val="000B6946"/>
    <w:rsid w:val="000C77CD"/>
    <w:rsid w:val="000C7E35"/>
    <w:rsid w:val="000D1BA4"/>
    <w:rsid w:val="000D298B"/>
    <w:rsid w:val="000D3386"/>
    <w:rsid w:val="000D3DEB"/>
    <w:rsid w:val="000D6187"/>
    <w:rsid w:val="000D6AF9"/>
    <w:rsid w:val="000E3067"/>
    <w:rsid w:val="000E3702"/>
    <w:rsid w:val="000E6060"/>
    <w:rsid w:val="000E7919"/>
    <w:rsid w:val="000F0E61"/>
    <w:rsid w:val="000F220F"/>
    <w:rsid w:val="000F3C9C"/>
    <w:rsid w:val="000F5570"/>
    <w:rsid w:val="000F580E"/>
    <w:rsid w:val="00100198"/>
    <w:rsid w:val="00101F7C"/>
    <w:rsid w:val="00102B5B"/>
    <w:rsid w:val="00103930"/>
    <w:rsid w:val="00104B2C"/>
    <w:rsid w:val="00111CF7"/>
    <w:rsid w:val="00113774"/>
    <w:rsid w:val="00114327"/>
    <w:rsid w:val="00115064"/>
    <w:rsid w:val="0011541A"/>
    <w:rsid w:val="001160CA"/>
    <w:rsid w:val="0011799F"/>
    <w:rsid w:val="00120155"/>
    <w:rsid w:val="00121A4F"/>
    <w:rsid w:val="00122E54"/>
    <w:rsid w:val="00123623"/>
    <w:rsid w:val="00125B6D"/>
    <w:rsid w:val="001263DB"/>
    <w:rsid w:val="001326A4"/>
    <w:rsid w:val="00132B58"/>
    <w:rsid w:val="00132EDD"/>
    <w:rsid w:val="0013349A"/>
    <w:rsid w:val="0013404D"/>
    <w:rsid w:val="001342A6"/>
    <w:rsid w:val="00136F33"/>
    <w:rsid w:val="00137997"/>
    <w:rsid w:val="001466A3"/>
    <w:rsid w:val="00150414"/>
    <w:rsid w:val="00151497"/>
    <w:rsid w:val="001528E7"/>
    <w:rsid w:val="00154792"/>
    <w:rsid w:val="00155278"/>
    <w:rsid w:val="0015683C"/>
    <w:rsid w:val="00156D85"/>
    <w:rsid w:val="00164C1A"/>
    <w:rsid w:val="001675B8"/>
    <w:rsid w:val="00167BE8"/>
    <w:rsid w:val="00167C7C"/>
    <w:rsid w:val="00170742"/>
    <w:rsid w:val="0017170C"/>
    <w:rsid w:val="00174C05"/>
    <w:rsid w:val="0017585F"/>
    <w:rsid w:val="00175B21"/>
    <w:rsid w:val="00181163"/>
    <w:rsid w:val="001814C8"/>
    <w:rsid w:val="00182671"/>
    <w:rsid w:val="001857F2"/>
    <w:rsid w:val="00185A13"/>
    <w:rsid w:val="00186B60"/>
    <w:rsid w:val="00186CF0"/>
    <w:rsid w:val="00193682"/>
    <w:rsid w:val="0019627A"/>
    <w:rsid w:val="00196C0B"/>
    <w:rsid w:val="001A017E"/>
    <w:rsid w:val="001A03BA"/>
    <w:rsid w:val="001A0960"/>
    <w:rsid w:val="001A293B"/>
    <w:rsid w:val="001A2AD3"/>
    <w:rsid w:val="001A3F5F"/>
    <w:rsid w:val="001A49D3"/>
    <w:rsid w:val="001A5110"/>
    <w:rsid w:val="001A7688"/>
    <w:rsid w:val="001A7A57"/>
    <w:rsid w:val="001B061A"/>
    <w:rsid w:val="001B66F4"/>
    <w:rsid w:val="001B6777"/>
    <w:rsid w:val="001B787B"/>
    <w:rsid w:val="001C3A55"/>
    <w:rsid w:val="001C4191"/>
    <w:rsid w:val="001D2EE0"/>
    <w:rsid w:val="001D3B31"/>
    <w:rsid w:val="001D4FA5"/>
    <w:rsid w:val="001D6279"/>
    <w:rsid w:val="001D780D"/>
    <w:rsid w:val="001E1C9A"/>
    <w:rsid w:val="001E38C3"/>
    <w:rsid w:val="001E4F7B"/>
    <w:rsid w:val="001E7EFA"/>
    <w:rsid w:val="001F04EC"/>
    <w:rsid w:val="001F52DA"/>
    <w:rsid w:val="001F6585"/>
    <w:rsid w:val="001F6E58"/>
    <w:rsid w:val="002007DE"/>
    <w:rsid w:val="0020300C"/>
    <w:rsid w:val="002070B1"/>
    <w:rsid w:val="00211EB1"/>
    <w:rsid w:val="00217AAA"/>
    <w:rsid w:val="00225AB0"/>
    <w:rsid w:val="00225B30"/>
    <w:rsid w:val="00227407"/>
    <w:rsid w:val="00230279"/>
    <w:rsid w:val="0023185E"/>
    <w:rsid w:val="00231889"/>
    <w:rsid w:val="002334C4"/>
    <w:rsid w:val="00233ABB"/>
    <w:rsid w:val="00240E6C"/>
    <w:rsid w:val="0024114B"/>
    <w:rsid w:val="002445BB"/>
    <w:rsid w:val="0024504C"/>
    <w:rsid w:val="00245671"/>
    <w:rsid w:val="00245798"/>
    <w:rsid w:val="002471F5"/>
    <w:rsid w:val="002474B4"/>
    <w:rsid w:val="00250091"/>
    <w:rsid w:val="002523A6"/>
    <w:rsid w:val="00254ACE"/>
    <w:rsid w:val="00254AFB"/>
    <w:rsid w:val="002565AE"/>
    <w:rsid w:val="00256A6D"/>
    <w:rsid w:val="00256C8F"/>
    <w:rsid w:val="00256CE6"/>
    <w:rsid w:val="00257FB9"/>
    <w:rsid w:val="0026100B"/>
    <w:rsid w:val="00261C24"/>
    <w:rsid w:val="0026376C"/>
    <w:rsid w:val="00263D3A"/>
    <w:rsid w:val="00266C3A"/>
    <w:rsid w:val="00267664"/>
    <w:rsid w:val="00267A20"/>
    <w:rsid w:val="00271E17"/>
    <w:rsid w:val="002722FF"/>
    <w:rsid w:val="0027286A"/>
    <w:rsid w:val="00274F1B"/>
    <w:rsid w:val="0027524A"/>
    <w:rsid w:val="002823D2"/>
    <w:rsid w:val="002828FA"/>
    <w:rsid w:val="0028370D"/>
    <w:rsid w:val="002842CB"/>
    <w:rsid w:val="00284F8C"/>
    <w:rsid w:val="00285914"/>
    <w:rsid w:val="002866EB"/>
    <w:rsid w:val="00290276"/>
    <w:rsid w:val="00291B58"/>
    <w:rsid w:val="002933FB"/>
    <w:rsid w:val="00294276"/>
    <w:rsid w:val="002974C9"/>
    <w:rsid w:val="002A0CEE"/>
    <w:rsid w:val="002A1A28"/>
    <w:rsid w:val="002A1AB2"/>
    <w:rsid w:val="002A1E65"/>
    <w:rsid w:val="002A363B"/>
    <w:rsid w:val="002A4178"/>
    <w:rsid w:val="002A6804"/>
    <w:rsid w:val="002B36D7"/>
    <w:rsid w:val="002B4624"/>
    <w:rsid w:val="002B473B"/>
    <w:rsid w:val="002B68FE"/>
    <w:rsid w:val="002C1019"/>
    <w:rsid w:val="002C1249"/>
    <w:rsid w:val="002C193F"/>
    <w:rsid w:val="002C7209"/>
    <w:rsid w:val="002C74F2"/>
    <w:rsid w:val="002C7821"/>
    <w:rsid w:val="002C7A01"/>
    <w:rsid w:val="002D0646"/>
    <w:rsid w:val="002D0DD9"/>
    <w:rsid w:val="002D1D84"/>
    <w:rsid w:val="002D4FB4"/>
    <w:rsid w:val="002E063A"/>
    <w:rsid w:val="002E1730"/>
    <w:rsid w:val="002F213E"/>
    <w:rsid w:val="002F348D"/>
    <w:rsid w:val="002F5DDC"/>
    <w:rsid w:val="002F7950"/>
    <w:rsid w:val="002F7E89"/>
    <w:rsid w:val="00303A11"/>
    <w:rsid w:val="003051C2"/>
    <w:rsid w:val="00306FC6"/>
    <w:rsid w:val="00306FE1"/>
    <w:rsid w:val="00312CBE"/>
    <w:rsid w:val="00312F74"/>
    <w:rsid w:val="00316746"/>
    <w:rsid w:val="0031762E"/>
    <w:rsid w:val="00323736"/>
    <w:rsid w:val="00325ABE"/>
    <w:rsid w:val="0032753C"/>
    <w:rsid w:val="0033033A"/>
    <w:rsid w:val="0033042E"/>
    <w:rsid w:val="00330648"/>
    <w:rsid w:val="0033069F"/>
    <w:rsid w:val="00332339"/>
    <w:rsid w:val="003329A7"/>
    <w:rsid w:val="00333562"/>
    <w:rsid w:val="00340F51"/>
    <w:rsid w:val="003435D2"/>
    <w:rsid w:val="00345F7E"/>
    <w:rsid w:val="00350308"/>
    <w:rsid w:val="00351B49"/>
    <w:rsid w:val="003525BF"/>
    <w:rsid w:val="00354F0C"/>
    <w:rsid w:val="003571FD"/>
    <w:rsid w:val="0036116D"/>
    <w:rsid w:val="0036145B"/>
    <w:rsid w:val="003615D9"/>
    <w:rsid w:val="00363292"/>
    <w:rsid w:val="00365352"/>
    <w:rsid w:val="00372592"/>
    <w:rsid w:val="003764E6"/>
    <w:rsid w:val="00377823"/>
    <w:rsid w:val="00382C3F"/>
    <w:rsid w:val="00385D58"/>
    <w:rsid w:val="00386DF8"/>
    <w:rsid w:val="00387E2C"/>
    <w:rsid w:val="00391119"/>
    <w:rsid w:val="003919BE"/>
    <w:rsid w:val="0039224F"/>
    <w:rsid w:val="00392AEC"/>
    <w:rsid w:val="00395422"/>
    <w:rsid w:val="003954F5"/>
    <w:rsid w:val="003A1091"/>
    <w:rsid w:val="003A320F"/>
    <w:rsid w:val="003A5AB0"/>
    <w:rsid w:val="003A6EBA"/>
    <w:rsid w:val="003B1E4B"/>
    <w:rsid w:val="003B2207"/>
    <w:rsid w:val="003B3205"/>
    <w:rsid w:val="003B3F88"/>
    <w:rsid w:val="003B4930"/>
    <w:rsid w:val="003B494F"/>
    <w:rsid w:val="003B4ED7"/>
    <w:rsid w:val="003B54CA"/>
    <w:rsid w:val="003B73B9"/>
    <w:rsid w:val="003B7AC3"/>
    <w:rsid w:val="003B7B4E"/>
    <w:rsid w:val="003C0CDD"/>
    <w:rsid w:val="003C1963"/>
    <w:rsid w:val="003C44EA"/>
    <w:rsid w:val="003C5E63"/>
    <w:rsid w:val="003D26C0"/>
    <w:rsid w:val="003D3557"/>
    <w:rsid w:val="003D3B74"/>
    <w:rsid w:val="003D4296"/>
    <w:rsid w:val="003D7238"/>
    <w:rsid w:val="003E0CDC"/>
    <w:rsid w:val="003E1B33"/>
    <w:rsid w:val="003E1D37"/>
    <w:rsid w:val="003E5C5E"/>
    <w:rsid w:val="003E6CB5"/>
    <w:rsid w:val="003E7F4D"/>
    <w:rsid w:val="003F0609"/>
    <w:rsid w:val="00402799"/>
    <w:rsid w:val="00404B4B"/>
    <w:rsid w:val="004101D7"/>
    <w:rsid w:val="0041057F"/>
    <w:rsid w:val="004117F8"/>
    <w:rsid w:val="00412071"/>
    <w:rsid w:val="0041228E"/>
    <w:rsid w:val="0041301C"/>
    <w:rsid w:val="00414F8B"/>
    <w:rsid w:val="004169B1"/>
    <w:rsid w:val="00416F83"/>
    <w:rsid w:val="00420DD3"/>
    <w:rsid w:val="0042137D"/>
    <w:rsid w:val="00423C40"/>
    <w:rsid w:val="004276AF"/>
    <w:rsid w:val="00427B11"/>
    <w:rsid w:val="0043223F"/>
    <w:rsid w:val="00435A88"/>
    <w:rsid w:val="00435F22"/>
    <w:rsid w:val="00436C38"/>
    <w:rsid w:val="00436D18"/>
    <w:rsid w:val="0044060E"/>
    <w:rsid w:val="00446B59"/>
    <w:rsid w:val="00450F77"/>
    <w:rsid w:val="00452B43"/>
    <w:rsid w:val="00452BC7"/>
    <w:rsid w:val="00453FD6"/>
    <w:rsid w:val="00454F80"/>
    <w:rsid w:val="0045633A"/>
    <w:rsid w:val="00456C34"/>
    <w:rsid w:val="00463AAF"/>
    <w:rsid w:val="00466238"/>
    <w:rsid w:val="00466C46"/>
    <w:rsid w:val="00467638"/>
    <w:rsid w:val="00471B9F"/>
    <w:rsid w:val="00474DAB"/>
    <w:rsid w:val="0047557B"/>
    <w:rsid w:val="00475614"/>
    <w:rsid w:val="0047694F"/>
    <w:rsid w:val="00476C71"/>
    <w:rsid w:val="0047797E"/>
    <w:rsid w:val="00477B1E"/>
    <w:rsid w:val="0048010B"/>
    <w:rsid w:val="00481C07"/>
    <w:rsid w:val="00481D04"/>
    <w:rsid w:val="00481F2A"/>
    <w:rsid w:val="00482E1E"/>
    <w:rsid w:val="004846F0"/>
    <w:rsid w:val="004877B8"/>
    <w:rsid w:val="00496341"/>
    <w:rsid w:val="0049765A"/>
    <w:rsid w:val="00497B20"/>
    <w:rsid w:val="004B2C0F"/>
    <w:rsid w:val="004B3D92"/>
    <w:rsid w:val="004B5515"/>
    <w:rsid w:val="004B57B9"/>
    <w:rsid w:val="004B5DA5"/>
    <w:rsid w:val="004B5ED1"/>
    <w:rsid w:val="004B68B5"/>
    <w:rsid w:val="004B7678"/>
    <w:rsid w:val="004B7819"/>
    <w:rsid w:val="004B7825"/>
    <w:rsid w:val="004C3259"/>
    <w:rsid w:val="004C3965"/>
    <w:rsid w:val="004C7215"/>
    <w:rsid w:val="004D13B5"/>
    <w:rsid w:val="004D1BBF"/>
    <w:rsid w:val="004D355D"/>
    <w:rsid w:val="004D551C"/>
    <w:rsid w:val="004D577A"/>
    <w:rsid w:val="004D5E40"/>
    <w:rsid w:val="004E02DB"/>
    <w:rsid w:val="004E1E32"/>
    <w:rsid w:val="004E38DC"/>
    <w:rsid w:val="004E4A91"/>
    <w:rsid w:val="004E5743"/>
    <w:rsid w:val="004E71F7"/>
    <w:rsid w:val="004E79B1"/>
    <w:rsid w:val="004F6B1E"/>
    <w:rsid w:val="00501B88"/>
    <w:rsid w:val="0050307B"/>
    <w:rsid w:val="005031EC"/>
    <w:rsid w:val="0050349B"/>
    <w:rsid w:val="00504D70"/>
    <w:rsid w:val="00505658"/>
    <w:rsid w:val="00505726"/>
    <w:rsid w:val="0050636B"/>
    <w:rsid w:val="00506632"/>
    <w:rsid w:val="00506E32"/>
    <w:rsid w:val="00511BE0"/>
    <w:rsid w:val="00512394"/>
    <w:rsid w:val="0051290C"/>
    <w:rsid w:val="00513114"/>
    <w:rsid w:val="00514FD5"/>
    <w:rsid w:val="005160C2"/>
    <w:rsid w:val="00517B00"/>
    <w:rsid w:val="00517B18"/>
    <w:rsid w:val="00517EAC"/>
    <w:rsid w:val="00521627"/>
    <w:rsid w:val="00527A61"/>
    <w:rsid w:val="00527AC4"/>
    <w:rsid w:val="005320D4"/>
    <w:rsid w:val="00541696"/>
    <w:rsid w:val="00543BF4"/>
    <w:rsid w:val="0054577A"/>
    <w:rsid w:val="00545E58"/>
    <w:rsid w:val="00545EA8"/>
    <w:rsid w:val="00547F80"/>
    <w:rsid w:val="00550F40"/>
    <w:rsid w:val="00553C15"/>
    <w:rsid w:val="00557177"/>
    <w:rsid w:val="005623BE"/>
    <w:rsid w:val="00562589"/>
    <w:rsid w:val="00563837"/>
    <w:rsid w:val="00565450"/>
    <w:rsid w:val="005668F4"/>
    <w:rsid w:val="00567C96"/>
    <w:rsid w:val="0057280C"/>
    <w:rsid w:val="00576E65"/>
    <w:rsid w:val="0057765D"/>
    <w:rsid w:val="0058274C"/>
    <w:rsid w:val="005868E5"/>
    <w:rsid w:val="0058799F"/>
    <w:rsid w:val="00590802"/>
    <w:rsid w:val="00595D95"/>
    <w:rsid w:val="00595DA7"/>
    <w:rsid w:val="005964E0"/>
    <w:rsid w:val="005969C8"/>
    <w:rsid w:val="005A0986"/>
    <w:rsid w:val="005A11AF"/>
    <w:rsid w:val="005A4621"/>
    <w:rsid w:val="005A69E1"/>
    <w:rsid w:val="005B394F"/>
    <w:rsid w:val="005B4865"/>
    <w:rsid w:val="005B7482"/>
    <w:rsid w:val="005C2371"/>
    <w:rsid w:val="005C701B"/>
    <w:rsid w:val="005C78F2"/>
    <w:rsid w:val="005D108D"/>
    <w:rsid w:val="005D1A25"/>
    <w:rsid w:val="005D2B9A"/>
    <w:rsid w:val="005D3A82"/>
    <w:rsid w:val="005D3CFB"/>
    <w:rsid w:val="005D4AA7"/>
    <w:rsid w:val="005D4CFC"/>
    <w:rsid w:val="005D5E4C"/>
    <w:rsid w:val="005D7C9D"/>
    <w:rsid w:val="005D7E81"/>
    <w:rsid w:val="005E10DF"/>
    <w:rsid w:val="005E157E"/>
    <w:rsid w:val="005E2353"/>
    <w:rsid w:val="005E486C"/>
    <w:rsid w:val="005E58C9"/>
    <w:rsid w:val="005E7ED2"/>
    <w:rsid w:val="005F02EC"/>
    <w:rsid w:val="005F1F17"/>
    <w:rsid w:val="005F2A96"/>
    <w:rsid w:val="005F3945"/>
    <w:rsid w:val="005F5432"/>
    <w:rsid w:val="006010B0"/>
    <w:rsid w:val="006022C5"/>
    <w:rsid w:val="00602CCA"/>
    <w:rsid w:val="00603A19"/>
    <w:rsid w:val="00603A8A"/>
    <w:rsid w:val="00606C0C"/>
    <w:rsid w:val="00607404"/>
    <w:rsid w:val="0061166E"/>
    <w:rsid w:val="00615B13"/>
    <w:rsid w:val="00620282"/>
    <w:rsid w:val="0062126F"/>
    <w:rsid w:val="006244B4"/>
    <w:rsid w:val="006276C0"/>
    <w:rsid w:val="00627D7D"/>
    <w:rsid w:val="00630513"/>
    <w:rsid w:val="00634E65"/>
    <w:rsid w:val="00637B71"/>
    <w:rsid w:val="00637D93"/>
    <w:rsid w:val="0064027B"/>
    <w:rsid w:val="00641105"/>
    <w:rsid w:val="00642ACF"/>
    <w:rsid w:val="00644698"/>
    <w:rsid w:val="006479DD"/>
    <w:rsid w:val="00650B8C"/>
    <w:rsid w:val="00651593"/>
    <w:rsid w:val="006520A4"/>
    <w:rsid w:val="00653221"/>
    <w:rsid w:val="0065569E"/>
    <w:rsid w:val="00656CEF"/>
    <w:rsid w:val="0066214F"/>
    <w:rsid w:val="006628A5"/>
    <w:rsid w:val="00662BF7"/>
    <w:rsid w:val="00663D9B"/>
    <w:rsid w:val="00664E78"/>
    <w:rsid w:val="0066507B"/>
    <w:rsid w:val="0067007B"/>
    <w:rsid w:val="0067010C"/>
    <w:rsid w:val="0068094D"/>
    <w:rsid w:val="00680ACE"/>
    <w:rsid w:val="00682CB5"/>
    <w:rsid w:val="006842FC"/>
    <w:rsid w:val="0068537B"/>
    <w:rsid w:val="006873B8"/>
    <w:rsid w:val="00691AD7"/>
    <w:rsid w:val="00692368"/>
    <w:rsid w:val="006927B4"/>
    <w:rsid w:val="00693984"/>
    <w:rsid w:val="006979BF"/>
    <w:rsid w:val="006A4700"/>
    <w:rsid w:val="006A50BF"/>
    <w:rsid w:val="006A6BA7"/>
    <w:rsid w:val="006A7FC4"/>
    <w:rsid w:val="006B019A"/>
    <w:rsid w:val="006B01A5"/>
    <w:rsid w:val="006B0263"/>
    <w:rsid w:val="006B094C"/>
    <w:rsid w:val="006B11F4"/>
    <w:rsid w:val="006B2545"/>
    <w:rsid w:val="006B5BA8"/>
    <w:rsid w:val="006B5CCA"/>
    <w:rsid w:val="006C0A29"/>
    <w:rsid w:val="006C58E6"/>
    <w:rsid w:val="006C5F48"/>
    <w:rsid w:val="006C7709"/>
    <w:rsid w:val="006D19D9"/>
    <w:rsid w:val="006E064D"/>
    <w:rsid w:val="006E2962"/>
    <w:rsid w:val="006E325F"/>
    <w:rsid w:val="006E32DE"/>
    <w:rsid w:val="006E3997"/>
    <w:rsid w:val="006E3D9A"/>
    <w:rsid w:val="006E492C"/>
    <w:rsid w:val="006E6C45"/>
    <w:rsid w:val="006F24FB"/>
    <w:rsid w:val="006F2963"/>
    <w:rsid w:val="006F634A"/>
    <w:rsid w:val="006F7234"/>
    <w:rsid w:val="007018EC"/>
    <w:rsid w:val="00701A04"/>
    <w:rsid w:val="007035C4"/>
    <w:rsid w:val="00704303"/>
    <w:rsid w:val="007060B0"/>
    <w:rsid w:val="007073BF"/>
    <w:rsid w:val="007117E7"/>
    <w:rsid w:val="0071482D"/>
    <w:rsid w:val="00722472"/>
    <w:rsid w:val="00723C0C"/>
    <w:rsid w:val="00725430"/>
    <w:rsid w:val="00725E45"/>
    <w:rsid w:val="00727822"/>
    <w:rsid w:val="00730A45"/>
    <w:rsid w:val="00730DC7"/>
    <w:rsid w:val="00732198"/>
    <w:rsid w:val="007323F6"/>
    <w:rsid w:val="007343ED"/>
    <w:rsid w:val="00736FDD"/>
    <w:rsid w:val="00743428"/>
    <w:rsid w:val="00743B28"/>
    <w:rsid w:val="0074504F"/>
    <w:rsid w:val="00745980"/>
    <w:rsid w:val="00745C6C"/>
    <w:rsid w:val="007505C8"/>
    <w:rsid w:val="00752EC5"/>
    <w:rsid w:val="007540AF"/>
    <w:rsid w:val="00755618"/>
    <w:rsid w:val="00756121"/>
    <w:rsid w:val="00756A93"/>
    <w:rsid w:val="007579EC"/>
    <w:rsid w:val="0076054D"/>
    <w:rsid w:val="00760BCE"/>
    <w:rsid w:val="00761E6B"/>
    <w:rsid w:val="00761F7E"/>
    <w:rsid w:val="00765E3A"/>
    <w:rsid w:val="0076708A"/>
    <w:rsid w:val="007679CD"/>
    <w:rsid w:val="00773CC4"/>
    <w:rsid w:val="00774102"/>
    <w:rsid w:val="007760D2"/>
    <w:rsid w:val="00776B17"/>
    <w:rsid w:val="00777632"/>
    <w:rsid w:val="0078022C"/>
    <w:rsid w:val="0078048E"/>
    <w:rsid w:val="00780C9C"/>
    <w:rsid w:val="007842ED"/>
    <w:rsid w:val="007858A1"/>
    <w:rsid w:val="00785E3A"/>
    <w:rsid w:val="00786F0D"/>
    <w:rsid w:val="007871B3"/>
    <w:rsid w:val="00792EF9"/>
    <w:rsid w:val="00793207"/>
    <w:rsid w:val="00793CC7"/>
    <w:rsid w:val="00795784"/>
    <w:rsid w:val="00795827"/>
    <w:rsid w:val="00795B5B"/>
    <w:rsid w:val="007967E6"/>
    <w:rsid w:val="00797B86"/>
    <w:rsid w:val="007A1026"/>
    <w:rsid w:val="007A3EAB"/>
    <w:rsid w:val="007A49AA"/>
    <w:rsid w:val="007A5CBC"/>
    <w:rsid w:val="007A6529"/>
    <w:rsid w:val="007A7022"/>
    <w:rsid w:val="007A7888"/>
    <w:rsid w:val="007A7F36"/>
    <w:rsid w:val="007B1F1E"/>
    <w:rsid w:val="007B2491"/>
    <w:rsid w:val="007B37E0"/>
    <w:rsid w:val="007B3D82"/>
    <w:rsid w:val="007B3D8A"/>
    <w:rsid w:val="007B40EA"/>
    <w:rsid w:val="007B5226"/>
    <w:rsid w:val="007B6731"/>
    <w:rsid w:val="007B6C48"/>
    <w:rsid w:val="007B6D1A"/>
    <w:rsid w:val="007C0E9C"/>
    <w:rsid w:val="007C25B8"/>
    <w:rsid w:val="007C2E74"/>
    <w:rsid w:val="007C41FA"/>
    <w:rsid w:val="007C5925"/>
    <w:rsid w:val="007C61B5"/>
    <w:rsid w:val="007C6260"/>
    <w:rsid w:val="007D1094"/>
    <w:rsid w:val="007D4F78"/>
    <w:rsid w:val="007D55CB"/>
    <w:rsid w:val="007D5D01"/>
    <w:rsid w:val="007D742F"/>
    <w:rsid w:val="007E1814"/>
    <w:rsid w:val="007E5E8F"/>
    <w:rsid w:val="007F1598"/>
    <w:rsid w:val="007F1757"/>
    <w:rsid w:val="007F1CCB"/>
    <w:rsid w:val="007F2BA2"/>
    <w:rsid w:val="007F5D18"/>
    <w:rsid w:val="007F5EB2"/>
    <w:rsid w:val="007F7563"/>
    <w:rsid w:val="008000ED"/>
    <w:rsid w:val="00800811"/>
    <w:rsid w:val="00802505"/>
    <w:rsid w:val="00804833"/>
    <w:rsid w:val="0080685F"/>
    <w:rsid w:val="00811067"/>
    <w:rsid w:val="00813414"/>
    <w:rsid w:val="00814B1D"/>
    <w:rsid w:val="00814E82"/>
    <w:rsid w:val="00817737"/>
    <w:rsid w:val="00817F0F"/>
    <w:rsid w:val="00823024"/>
    <w:rsid w:val="008239C8"/>
    <w:rsid w:val="00823AC4"/>
    <w:rsid w:val="00826759"/>
    <w:rsid w:val="00830336"/>
    <w:rsid w:val="0083158D"/>
    <w:rsid w:val="0083219A"/>
    <w:rsid w:val="00840EC9"/>
    <w:rsid w:val="008433CC"/>
    <w:rsid w:val="00845876"/>
    <w:rsid w:val="008503EF"/>
    <w:rsid w:val="008527CB"/>
    <w:rsid w:val="008545D1"/>
    <w:rsid w:val="00854C69"/>
    <w:rsid w:val="008573EA"/>
    <w:rsid w:val="008602AF"/>
    <w:rsid w:val="0086408F"/>
    <w:rsid w:val="008650D6"/>
    <w:rsid w:val="00865278"/>
    <w:rsid w:val="00865B59"/>
    <w:rsid w:val="008667AC"/>
    <w:rsid w:val="008679D1"/>
    <w:rsid w:val="00867B3A"/>
    <w:rsid w:val="00867C05"/>
    <w:rsid w:val="00867D1C"/>
    <w:rsid w:val="00867EB5"/>
    <w:rsid w:val="0087124D"/>
    <w:rsid w:val="00872F74"/>
    <w:rsid w:val="00876FB9"/>
    <w:rsid w:val="008807E5"/>
    <w:rsid w:val="008813AC"/>
    <w:rsid w:val="00886B48"/>
    <w:rsid w:val="00890013"/>
    <w:rsid w:val="00895F22"/>
    <w:rsid w:val="008A1446"/>
    <w:rsid w:val="008A1835"/>
    <w:rsid w:val="008A2BCE"/>
    <w:rsid w:val="008A6C6A"/>
    <w:rsid w:val="008B13F4"/>
    <w:rsid w:val="008B18FE"/>
    <w:rsid w:val="008B216B"/>
    <w:rsid w:val="008B5F06"/>
    <w:rsid w:val="008C03C6"/>
    <w:rsid w:val="008C1287"/>
    <w:rsid w:val="008C2478"/>
    <w:rsid w:val="008C29DD"/>
    <w:rsid w:val="008C398F"/>
    <w:rsid w:val="008C596E"/>
    <w:rsid w:val="008C6581"/>
    <w:rsid w:val="008C7015"/>
    <w:rsid w:val="008C71F8"/>
    <w:rsid w:val="008C7E24"/>
    <w:rsid w:val="008D0EEB"/>
    <w:rsid w:val="008D2600"/>
    <w:rsid w:val="008D2A19"/>
    <w:rsid w:val="008D70D0"/>
    <w:rsid w:val="008D7E48"/>
    <w:rsid w:val="008E0915"/>
    <w:rsid w:val="008E17AF"/>
    <w:rsid w:val="008E2110"/>
    <w:rsid w:val="008E4A22"/>
    <w:rsid w:val="008F2744"/>
    <w:rsid w:val="008F3908"/>
    <w:rsid w:val="008F63F5"/>
    <w:rsid w:val="009028F8"/>
    <w:rsid w:val="009030CA"/>
    <w:rsid w:val="00904CE6"/>
    <w:rsid w:val="0090560D"/>
    <w:rsid w:val="00906ED8"/>
    <w:rsid w:val="009111C2"/>
    <w:rsid w:val="009139CD"/>
    <w:rsid w:val="00914B22"/>
    <w:rsid w:val="0091799D"/>
    <w:rsid w:val="00920473"/>
    <w:rsid w:val="00921CD2"/>
    <w:rsid w:val="009273C6"/>
    <w:rsid w:val="009408FB"/>
    <w:rsid w:val="00941E7D"/>
    <w:rsid w:val="00943485"/>
    <w:rsid w:val="00945ABC"/>
    <w:rsid w:val="00946BFF"/>
    <w:rsid w:val="0094794E"/>
    <w:rsid w:val="00950F45"/>
    <w:rsid w:val="009525BF"/>
    <w:rsid w:val="00954768"/>
    <w:rsid w:val="00960DF9"/>
    <w:rsid w:val="00962C7E"/>
    <w:rsid w:val="009662E9"/>
    <w:rsid w:val="0097235B"/>
    <w:rsid w:val="00982CB5"/>
    <w:rsid w:val="009837E8"/>
    <w:rsid w:val="0099138F"/>
    <w:rsid w:val="00991F44"/>
    <w:rsid w:val="00992342"/>
    <w:rsid w:val="00995068"/>
    <w:rsid w:val="00995815"/>
    <w:rsid w:val="00995884"/>
    <w:rsid w:val="00997912"/>
    <w:rsid w:val="009A1414"/>
    <w:rsid w:val="009A1DF6"/>
    <w:rsid w:val="009A1FAB"/>
    <w:rsid w:val="009A2092"/>
    <w:rsid w:val="009A2283"/>
    <w:rsid w:val="009A45CB"/>
    <w:rsid w:val="009B3533"/>
    <w:rsid w:val="009B3F36"/>
    <w:rsid w:val="009B4BE5"/>
    <w:rsid w:val="009C044C"/>
    <w:rsid w:val="009C1C95"/>
    <w:rsid w:val="009C1CD6"/>
    <w:rsid w:val="009C48D8"/>
    <w:rsid w:val="009C5FC5"/>
    <w:rsid w:val="009D2076"/>
    <w:rsid w:val="009D2312"/>
    <w:rsid w:val="009D359F"/>
    <w:rsid w:val="009D4792"/>
    <w:rsid w:val="009E15BA"/>
    <w:rsid w:val="009E1FB1"/>
    <w:rsid w:val="009E24F0"/>
    <w:rsid w:val="009E2667"/>
    <w:rsid w:val="009E2B31"/>
    <w:rsid w:val="009E2D58"/>
    <w:rsid w:val="009E2F12"/>
    <w:rsid w:val="009E6436"/>
    <w:rsid w:val="009F1FAD"/>
    <w:rsid w:val="009F3D09"/>
    <w:rsid w:val="009F3E1C"/>
    <w:rsid w:val="009F4DF2"/>
    <w:rsid w:val="009F51A9"/>
    <w:rsid w:val="009F53DF"/>
    <w:rsid w:val="009F5868"/>
    <w:rsid w:val="009F60C6"/>
    <w:rsid w:val="00A0077B"/>
    <w:rsid w:val="00A00AC3"/>
    <w:rsid w:val="00A00D91"/>
    <w:rsid w:val="00A01613"/>
    <w:rsid w:val="00A0241A"/>
    <w:rsid w:val="00A0330D"/>
    <w:rsid w:val="00A04374"/>
    <w:rsid w:val="00A043B1"/>
    <w:rsid w:val="00A04AEF"/>
    <w:rsid w:val="00A110D5"/>
    <w:rsid w:val="00A2367C"/>
    <w:rsid w:val="00A26C02"/>
    <w:rsid w:val="00A27379"/>
    <w:rsid w:val="00A2789A"/>
    <w:rsid w:val="00A31312"/>
    <w:rsid w:val="00A36293"/>
    <w:rsid w:val="00A372BD"/>
    <w:rsid w:val="00A376F1"/>
    <w:rsid w:val="00A378FC"/>
    <w:rsid w:val="00A41CEE"/>
    <w:rsid w:val="00A461CF"/>
    <w:rsid w:val="00A4724A"/>
    <w:rsid w:val="00A4793E"/>
    <w:rsid w:val="00A505BE"/>
    <w:rsid w:val="00A52184"/>
    <w:rsid w:val="00A52F42"/>
    <w:rsid w:val="00A541CA"/>
    <w:rsid w:val="00A54BE7"/>
    <w:rsid w:val="00A55C7C"/>
    <w:rsid w:val="00A57F56"/>
    <w:rsid w:val="00A6245B"/>
    <w:rsid w:val="00A6430B"/>
    <w:rsid w:val="00A65DB1"/>
    <w:rsid w:val="00A66BA8"/>
    <w:rsid w:val="00A66EEB"/>
    <w:rsid w:val="00A6785F"/>
    <w:rsid w:val="00A71A50"/>
    <w:rsid w:val="00A72A55"/>
    <w:rsid w:val="00A759C6"/>
    <w:rsid w:val="00A77C2D"/>
    <w:rsid w:val="00A80064"/>
    <w:rsid w:val="00A842A9"/>
    <w:rsid w:val="00A93247"/>
    <w:rsid w:val="00A976A4"/>
    <w:rsid w:val="00AA07A4"/>
    <w:rsid w:val="00AA1526"/>
    <w:rsid w:val="00AA3306"/>
    <w:rsid w:val="00AA3A67"/>
    <w:rsid w:val="00AB2766"/>
    <w:rsid w:val="00AB29DD"/>
    <w:rsid w:val="00AB2BE6"/>
    <w:rsid w:val="00AB59B9"/>
    <w:rsid w:val="00AB5A23"/>
    <w:rsid w:val="00AC06E1"/>
    <w:rsid w:val="00AC1980"/>
    <w:rsid w:val="00AC642F"/>
    <w:rsid w:val="00AC6BDF"/>
    <w:rsid w:val="00AC6F1E"/>
    <w:rsid w:val="00AD0FB6"/>
    <w:rsid w:val="00AD31CA"/>
    <w:rsid w:val="00AD63B8"/>
    <w:rsid w:val="00AD6502"/>
    <w:rsid w:val="00AD6EF9"/>
    <w:rsid w:val="00AD7E19"/>
    <w:rsid w:val="00AE1A65"/>
    <w:rsid w:val="00AE3E73"/>
    <w:rsid w:val="00AE4F2F"/>
    <w:rsid w:val="00AF17C7"/>
    <w:rsid w:val="00AF243E"/>
    <w:rsid w:val="00AF2820"/>
    <w:rsid w:val="00AF3A7E"/>
    <w:rsid w:val="00AF5831"/>
    <w:rsid w:val="00AF6867"/>
    <w:rsid w:val="00B02310"/>
    <w:rsid w:val="00B031FA"/>
    <w:rsid w:val="00B03710"/>
    <w:rsid w:val="00B04FDF"/>
    <w:rsid w:val="00B05A20"/>
    <w:rsid w:val="00B10D00"/>
    <w:rsid w:val="00B13AC7"/>
    <w:rsid w:val="00B14A5C"/>
    <w:rsid w:val="00B2032C"/>
    <w:rsid w:val="00B21230"/>
    <w:rsid w:val="00B22F0E"/>
    <w:rsid w:val="00B261BA"/>
    <w:rsid w:val="00B30D47"/>
    <w:rsid w:val="00B32AC3"/>
    <w:rsid w:val="00B35759"/>
    <w:rsid w:val="00B37641"/>
    <w:rsid w:val="00B402EE"/>
    <w:rsid w:val="00B406F4"/>
    <w:rsid w:val="00B41FFE"/>
    <w:rsid w:val="00B534E2"/>
    <w:rsid w:val="00B53744"/>
    <w:rsid w:val="00B56278"/>
    <w:rsid w:val="00B569FB"/>
    <w:rsid w:val="00B60913"/>
    <w:rsid w:val="00B64DD4"/>
    <w:rsid w:val="00B65E27"/>
    <w:rsid w:val="00B73EA9"/>
    <w:rsid w:val="00B74D3F"/>
    <w:rsid w:val="00B752BF"/>
    <w:rsid w:val="00B76AAE"/>
    <w:rsid w:val="00B76CC2"/>
    <w:rsid w:val="00B76DD8"/>
    <w:rsid w:val="00B802B1"/>
    <w:rsid w:val="00B84237"/>
    <w:rsid w:val="00B908E1"/>
    <w:rsid w:val="00B918F0"/>
    <w:rsid w:val="00B92698"/>
    <w:rsid w:val="00B971E3"/>
    <w:rsid w:val="00BA027D"/>
    <w:rsid w:val="00BA056F"/>
    <w:rsid w:val="00BA5A5A"/>
    <w:rsid w:val="00BA731F"/>
    <w:rsid w:val="00BB0B4B"/>
    <w:rsid w:val="00BB4DF7"/>
    <w:rsid w:val="00BB6C2B"/>
    <w:rsid w:val="00BC0866"/>
    <w:rsid w:val="00BC3C96"/>
    <w:rsid w:val="00BD37CE"/>
    <w:rsid w:val="00BD4E83"/>
    <w:rsid w:val="00BD74D4"/>
    <w:rsid w:val="00BD76DF"/>
    <w:rsid w:val="00BE7EE7"/>
    <w:rsid w:val="00BF0D9A"/>
    <w:rsid w:val="00BF15A1"/>
    <w:rsid w:val="00BF1F00"/>
    <w:rsid w:val="00BF2909"/>
    <w:rsid w:val="00BF36DE"/>
    <w:rsid w:val="00BF46B5"/>
    <w:rsid w:val="00BF4C16"/>
    <w:rsid w:val="00BF4F65"/>
    <w:rsid w:val="00BF552E"/>
    <w:rsid w:val="00BF5A17"/>
    <w:rsid w:val="00BF68F3"/>
    <w:rsid w:val="00C0178F"/>
    <w:rsid w:val="00C02B70"/>
    <w:rsid w:val="00C0342C"/>
    <w:rsid w:val="00C044B4"/>
    <w:rsid w:val="00C0511D"/>
    <w:rsid w:val="00C078B6"/>
    <w:rsid w:val="00C125B9"/>
    <w:rsid w:val="00C1273F"/>
    <w:rsid w:val="00C26DD5"/>
    <w:rsid w:val="00C27C15"/>
    <w:rsid w:val="00C27C3C"/>
    <w:rsid w:val="00C32C0E"/>
    <w:rsid w:val="00C3445E"/>
    <w:rsid w:val="00C36A42"/>
    <w:rsid w:val="00C36DE9"/>
    <w:rsid w:val="00C4016F"/>
    <w:rsid w:val="00C41A19"/>
    <w:rsid w:val="00C42437"/>
    <w:rsid w:val="00C4294A"/>
    <w:rsid w:val="00C44019"/>
    <w:rsid w:val="00C441D7"/>
    <w:rsid w:val="00C444D3"/>
    <w:rsid w:val="00C46A0C"/>
    <w:rsid w:val="00C47250"/>
    <w:rsid w:val="00C525CB"/>
    <w:rsid w:val="00C5306F"/>
    <w:rsid w:val="00C53CBB"/>
    <w:rsid w:val="00C554B3"/>
    <w:rsid w:val="00C56A5F"/>
    <w:rsid w:val="00C60D27"/>
    <w:rsid w:val="00C615C1"/>
    <w:rsid w:val="00C63C1F"/>
    <w:rsid w:val="00C63C4D"/>
    <w:rsid w:val="00C646F5"/>
    <w:rsid w:val="00C647CA"/>
    <w:rsid w:val="00C64E37"/>
    <w:rsid w:val="00C739DA"/>
    <w:rsid w:val="00C73A2A"/>
    <w:rsid w:val="00C73DE6"/>
    <w:rsid w:val="00C806B5"/>
    <w:rsid w:val="00C80FB5"/>
    <w:rsid w:val="00C8211E"/>
    <w:rsid w:val="00C82E50"/>
    <w:rsid w:val="00C86D87"/>
    <w:rsid w:val="00C91081"/>
    <w:rsid w:val="00C9455C"/>
    <w:rsid w:val="00C969A0"/>
    <w:rsid w:val="00C97083"/>
    <w:rsid w:val="00CA1667"/>
    <w:rsid w:val="00CA4732"/>
    <w:rsid w:val="00CA572B"/>
    <w:rsid w:val="00CA5FF7"/>
    <w:rsid w:val="00CA619F"/>
    <w:rsid w:val="00CA6213"/>
    <w:rsid w:val="00CA7742"/>
    <w:rsid w:val="00CA7D8C"/>
    <w:rsid w:val="00CB3D1E"/>
    <w:rsid w:val="00CB4A08"/>
    <w:rsid w:val="00CB5C13"/>
    <w:rsid w:val="00CC0277"/>
    <w:rsid w:val="00CC0916"/>
    <w:rsid w:val="00CC432D"/>
    <w:rsid w:val="00CC621B"/>
    <w:rsid w:val="00CC7C8C"/>
    <w:rsid w:val="00CD0302"/>
    <w:rsid w:val="00CD0546"/>
    <w:rsid w:val="00CD0A07"/>
    <w:rsid w:val="00CD2FE2"/>
    <w:rsid w:val="00CD430F"/>
    <w:rsid w:val="00CD4654"/>
    <w:rsid w:val="00CD53F6"/>
    <w:rsid w:val="00CD5BE5"/>
    <w:rsid w:val="00CD5CEF"/>
    <w:rsid w:val="00CD6767"/>
    <w:rsid w:val="00CD7F43"/>
    <w:rsid w:val="00CE3DD4"/>
    <w:rsid w:val="00CE733E"/>
    <w:rsid w:val="00CE7451"/>
    <w:rsid w:val="00CF0785"/>
    <w:rsid w:val="00CF2CE6"/>
    <w:rsid w:val="00CF4B5F"/>
    <w:rsid w:val="00CF5174"/>
    <w:rsid w:val="00D01D9A"/>
    <w:rsid w:val="00D02318"/>
    <w:rsid w:val="00D031C5"/>
    <w:rsid w:val="00D03D2E"/>
    <w:rsid w:val="00D04401"/>
    <w:rsid w:val="00D06453"/>
    <w:rsid w:val="00D0779D"/>
    <w:rsid w:val="00D10DF3"/>
    <w:rsid w:val="00D126C8"/>
    <w:rsid w:val="00D12ACA"/>
    <w:rsid w:val="00D132FD"/>
    <w:rsid w:val="00D14A8E"/>
    <w:rsid w:val="00D14D5B"/>
    <w:rsid w:val="00D168D5"/>
    <w:rsid w:val="00D1713C"/>
    <w:rsid w:val="00D17F6A"/>
    <w:rsid w:val="00D217F0"/>
    <w:rsid w:val="00D234FD"/>
    <w:rsid w:val="00D24604"/>
    <w:rsid w:val="00D247FE"/>
    <w:rsid w:val="00D27BB9"/>
    <w:rsid w:val="00D3329F"/>
    <w:rsid w:val="00D346F2"/>
    <w:rsid w:val="00D36796"/>
    <w:rsid w:val="00D36E4D"/>
    <w:rsid w:val="00D37471"/>
    <w:rsid w:val="00D4075D"/>
    <w:rsid w:val="00D416DB"/>
    <w:rsid w:val="00D42565"/>
    <w:rsid w:val="00D42E3E"/>
    <w:rsid w:val="00D45720"/>
    <w:rsid w:val="00D46B64"/>
    <w:rsid w:val="00D46F3B"/>
    <w:rsid w:val="00D47294"/>
    <w:rsid w:val="00D47D5E"/>
    <w:rsid w:val="00D5114E"/>
    <w:rsid w:val="00D552E8"/>
    <w:rsid w:val="00D55D5B"/>
    <w:rsid w:val="00D55FCD"/>
    <w:rsid w:val="00D610CF"/>
    <w:rsid w:val="00D61561"/>
    <w:rsid w:val="00D62207"/>
    <w:rsid w:val="00D64AB5"/>
    <w:rsid w:val="00D65CBC"/>
    <w:rsid w:val="00D6698B"/>
    <w:rsid w:val="00D674A7"/>
    <w:rsid w:val="00D67CCD"/>
    <w:rsid w:val="00D720F5"/>
    <w:rsid w:val="00D729A2"/>
    <w:rsid w:val="00D73785"/>
    <w:rsid w:val="00D7648F"/>
    <w:rsid w:val="00D77045"/>
    <w:rsid w:val="00D80950"/>
    <w:rsid w:val="00D80BC1"/>
    <w:rsid w:val="00D82EFE"/>
    <w:rsid w:val="00D8385E"/>
    <w:rsid w:val="00D83B9A"/>
    <w:rsid w:val="00D83F25"/>
    <w:rsid w:val="00D87F95"/>
    <w:rsid w:val="00D90B59"/>
    <w:rsid w:val="00D91785"/>
    <w:rsid w:val="00D95392"/>
    <w:rsid w:val="00D955C7"/>
    <w:rsid w:val="00D96E22"/>
    <w:rsid w:val="00DA076C"/>
    <w:rsid w:val="00DA3410"/>
    <w:rsid w:val="00DA3439"/>
    <w:rsid w:val="00DA72BE"/>
    <w:rsid w:val="00DA72CA"/>
    <w:rsid w:val="00DA7DC0"/>
    <w:rsid w:val="00DB771A"/>
    <w:rsid w:val="00DC43A2"/>
    <w:rsid w:val="00DC57CB"/>
    <w:rsid w:val="00DD0697"/>
    <w:rsid w:val="00DD0A3D"/>
    <w:rsid w:val="00DD3967"/>
    <w:rsid w:val="00DD3D35"/>
    <w:rsid w:val="00DD4C72"/>
    <w:rsid w:val="00DD6898"/>
    <w:rsid w:val="00DD6935"/>
    <w:rsid w:val="00DD762A"/>
    <w:rsid w:val="00DE0C06"/>
    <w:rsid w:val="00DE1590"/>
    <w:rsid w:val="00DE1B8A"/>
    <w:rsid w:val="00DE1CEC"/>
    <w:rsid w:val="00DE27C0"/>
    <w:rsid w:val="00DE3B05"/>
    <w:rsid w:val="00DE40BC"/>
    <w:rsid w:val="00DE526E"/>
    <w:rsid w:val="00DE6A29"/>
    <w:rsid w:val="00DF09FC"/>
    <w:rsid w:val="00DF1D76"/>
    <w:rsid w:val="00DF2BB5"/>
    <w:rsid w:val="00DF60F0"/>
    <w:rsid w:val="00DF7474"/>
    <w:rsid w:val="00DF75C2"/>
    <w:rsid w:val="00DF75FD"/>
    <w:rsid w:val="00DF7BF7"/>
    <w:rsid w:val="00E020CB"/>
    <w:rsid w:val="00E029B3"/>
    <w:rsid w:val="00E05197"/>
    <w:rsid w:val="00E1367A"/>
    <w:rsid w:val="00E13B4F"/>
    <w:rsid w:val="00E14061"/>
    <w:rsid w:val="00E14486"/>
    <w:rsid w:val="00E14917"/>
    <w:rsid w:val="00E15B52"/>
    <w:rsid w:val="00E15B7D"/>
    <w:rsid w:val="00E20F68"/>
    <w:rsid w:val="00E21402"/>
    <w:rsid w:val="00E22BF9"/>
    <w:rsid w:val="00E231D1"/>
    <w:rsid w:val="00E25A70"/>
    <w:rsid w:val="00E26F6E"/>
    <w:rsid w:val="00E341FA"/>
    <w:rsid w:val="00E37DFB"/>
    <w:rsid w:val="00E40574"/>
    <w:rsid w:val="00E40C5D"/>
    <w:rsid w:val="00E44157"/>
    <w:rsid w:val="00E44259"/>
    <w:rsid w:val="00E44576"/>
    <w:rsid w:val="00E44BB1"/>
    <w:rsid w:val="00E44D6A"/>
    <w:rsid w:val="00E45CEC"/>
    <w:rsid w:val="00E466CB"/>
    <w:rsid w:val="00E556AC"/>
    <w:rsid w:val="00E56007"/>
    <w:rsid w:val="00E60DBC"/>
    <w:rsid w:val="00E63D0F"/>
    <w:rsid w:val="00E650AD"/>
    <w:rsid w:val="00E66461"/>
    <w:rsid w:val="00E67370"/>
    <w:rsid w:val="00E678FA"/>
    <w:rsid w:val="00E70518"/>
    <w:rsid w:val="00E71175"/>
    <w:rsid w:val="00E744C5"/>
    <w:rsid w:val="00E767C5"/>
    <w:rsid w:val="00E7763B"/>
    <w:rsid w:val="00E77B6B"/>
    <w:rsid w:val="00E8147D"/>
    <w:rsid w:val="00E81E38"/>
    <w:rsid w:val="00E825F5"/>
    <w:rsid w:val="00E82C44"/>
    <w:rsid w:val="00E837C5"/>
    <w:rsid w:val="00E847C0"/>
    <w:rsid w:val="00E86520"/>
    <w:rsid w:val="00E90992"/>
    <w:rsid w:val="00E93F2C"/>
    <w:rsid w:val="00E95451"/>
    <w:rsid w:val="00E966BD"/>
    <w:rsid w:val="00E9743C"/>
    <w:rsid w:val="00E97673"/>
    <w:rsid w:val="00EA1C5A"/>
    <w:rsid w:val="00EA3989"/>
    <w:rsid w:val="00EA505B"/>
    <w:rsid w:val="00EA5098"/>
    <w:rsid w:val="00EA5BDC"/>
    <w:rsid w:val="00EB2C47"/>
    <w:rsid w:val="00EB2F8F"/>
    <w:rsid w:val="00EB54A1"/>
    <w:rsid w:val="00EB680D"/>
    <w:rsid w:val="00EC1433"/>
    <w:rsid w:val="00EC35DB"/>
    <w:rsid w:val="00EC3FDC"/>
    <w:rsid w:val="00EC61F5"/>
    <w:rsid w:val="00EC70A4"/>
    <w:rsid w:val="00ED3E37"/>
    <w:rsid w:val="00ED44F4"/>
    <w:rsid w:val="00ED4A60"/>
    <w:rsid w:val="00ED68AA"/>
    <w:rsid w:val="00ED6C1F"/>
    <w:rsid w:val="00ED7017"/>
    <w:rsid w:val="00ED74C8"/>
    <w:rsid w:val="00EE01C2"/>
    <w:rsid w:val="00EE0BB0"/>
    <w:rsid w:val="00EE11E3"/>
    <w:rsid w:val="00EE3234"/>
    <w:rsid w:val="00EE7008"/>
    <w:rsid w:val="00EF5F4E"/>
    <w:rsid w:val="00F00A85"/>
    <w:rsid w:val="00F02AD7"/>
    <w:rsid w:val="00F031BE"/>
    <w:rsid w:val="00F06929"/>
    <w:rsid w:val="00F13F34"/>
    <w:rsid w:val="00F2080C"/>
    <w:rsid w:val="00F26CE8"/>
    <w:rsid w:val="00F301C0"/>
    <w:rsid w:val="00F308B8"/>
    <w:rsid w:val="00F30F43"/>
    <w:rsid w:val="00F31B65"/>
    <w:rsid w:val="00F32685"/>
    <w:rsid w:val="00F3299D"/>
    <w:rsid w:val="00F33EC8"/>
    <w:rsid w:val="00F37795"/>
    <w:rsid w:val="00F45F0C"/>
    <w:rsid w:val="00F4688D"/>
    <w:rsid w:val="00F46DB7"/>
    <w:rsid w:val="00F470ED"/>
    <w:rsid w:val="00F4738C"/>
    <w:rsid w:val="00F507B2"/>
    <w:rsid w:val="00F5113A"/>
    <w:rsid w:val="00F5161F"/>
    <w:rsid w:val="00F51F0D"/>
    <w:rsid w:val="00F52C74"/>
    <w:rsid w:val="00F55E38"/>
    <w:rsid w:val="00F60F51"/>
    <w:rsid w:val="00F613B7"/>
    <w:rsid w:val="00F6192D"/>
    <w:rsid w:val="00F649E2"/>
    <w:rsid w:val="00F657B6"/>
    <w:rsid w:val="00F71107"/>
    <w:rsid w:val="00F711E6"/>
    <w:rsid w:val="00F71321"/>
    <w:rsid w:val="00F73998"/>
    <w:rsid w:val="00F76A24"/>
    <w:rsid w:val="00F7723C"/>
    <w:rsid w:val="00F77325"/>
    <w:rsid w:val="00F80889"/>
    <w:rsid w:val="00F837FC"/>
    <w:rsid w:val="00F84C08"/>
    <w:rsid w:val="00F9145C"/>
    <w:rsid w:val="00F916D6"/>
    <w:rsid w:val="00F9417F"/>
    <w:rsid w:val="00F95C68"/>
    <w:rsid w:val="00F97278"/>
    <w:rsid w:val="00F97B3A"/>
    <w:rsid w:val="00FA1C42"/>
    <w:rsid w:val="00FA2E69"/>
    <w:rsid w:val="00FA3E98"/>
    <w:rsid w:val="00FA604A"/>
    <w:rsid w:val="00FA65C3"/>
    <w:rsid w:val="00FA7373"/>
    <w:rsid w:val="00FA7400"/>
    <w:rsid w:val="00FA7FA8"/>
    <w:rsid w:val="00FB062D"/>
    <w:rsid w:val="00FB2789"/>
    <w:rsid w:val="00FC07B4"/>
    <w:rsid w:val="00FC0FA6"/>
    <w:rsid w:val="00FC3BF3"/>
    <w:rsid w:val="00FC3F99"/>
    <w:rsid w:val="00FC5170"/>
    <w:rsid w:val="00FC6804"/>
    <w:rsid w:val="00FD1DD3"/>
    <w:rsid w:val="00FD237A"/>
    <w:rsid w:val="00FD5509"/>
    <w:rsid w:val="00FD5851"/>
    <w:rsid w:val="00FD6285"/>
    <w:rsid w:val="00FD6E7B"/>
    <w:rsid w:val="00FD75DF"/>
    <w:rsid w:val="00FE1B67"/>
    <w:rsid w:val="00FE2828"/>
    <w:rsid w:val="00FE4C70"/>
    <w:rsid w:val="00FE620E"/>
    <w:rsid w:val="00FE66BE"/>
    <w:rsid w:val="00FE7EC9"/>
    <w:rsid w:val="00FF700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E9D20A"/>
  <w15:docId w15:val="{8CA075BB-0DCD-4269-B476-68B22BB2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4C9"/>
    <w:rPr>
      <w:rFonts w:ascii="Times New Roman" w:eastAsia="SimSun" w:hAnsi="Times New Roman"/>
      <w:sz w:val="24"/>
      <w:szCs w:val="24"/>
      <w:lang w:val="en-GB" w:eastAsia="en-US"/>
    </w:rPr>
  </w:style>
  <w:style w:type="paragraph" w:styleId="Titlu1">
    <w:name w:val="heading 1"/>
    <w:basedOn w:val="Normal"/>
    <w:link w:val="Titlu1Caracter"/>
    <w:uiPriority w:val="99"/>
    <w:qFormat/>
    <w:rsid w:val="00363292"/>
    <w:pPr>
      <w:spacing w:before="100" w:beforeAutospacing="1" w:after="100" w:afterAutospacing="1"/>
      <w:outlineLvl w:val="0"/>
    </w:pPr>
    <w:rPr>
      <w:rFonts w:eastAsia="Calibri"/>
      <w:b/>
      <w:kern w:val="36"/>
      <w:sz w:val="4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uiPriority w:val="99"/>
    <w:locked/>
    <w:rsid w:val="00363292"/>
    <w:rPr>
      <w:rFonts w:ascii="Times New Roman" w:hAnsi="Times New Roman" w:cs="Times New Roman"/>
      <w:b/>
      <w:kern w:val="36"/>
      <w:sz w:val="48"/>
      <w:lang w:eastAsia="ro-RO"/>
    </w:rPr>
  </w:style>
  <w:style w:type="paragraph" w:styleId="Listparagraf">
    <w:name w:val="List Paragraph"/>
    <w:basedOn w:val="Normal"/>
    <w:uiPriority w:val="34"/>
    <w:qFormat/>
    <w:rsid w:val="002974C9"/>
    <w:pPr>
      <w:ind w:left="720"/>
      <w:contextualSpacing/>
    </w:pPr>
  </w:style>
  <w:style w:type="paragraph" w:styleId="Antet">
    <w:name w:val="header"/>
    <w:basedOn w:val="Normal"/>
    <w:link w:val="AntetCaracter"/>
    <w:uiPriority w:val="99"/>
    <w:rsid w:val="002974C9"/>
    <w:pPr>
      <w:tabs>
        <w:tab w:val="center" w:pos="4513"/>
        <w:tab w:val="right" w:pos="9026"/>
      </w:tabs>
    </w:pPr>
    <w:rPr>
      <w:szCs w:val="20"/>
    </w:rPr>
  </w:style>
  <w:style w:type="character" w:customStyle="1" w:styleId="AntetCaracter">
    <w:name w:val="Antet Caracter"/>
    <w:link w:val="Antet"/>
    <w:uiPriority w:val="99"/>
    <w:locked/>
    <w:rsid w:val="002974C9"/>
    <w:rPr>
      <w:rFonts w:ascii="Times New Roman" w:eastAsia="SimSun" w:hAnsi="Times New Roman" w:cs="Times New Roman"/>
      <w:sz w:val="24"/>
      <w:lang w:val="en-GB"/>
    </w:rPr>
  </w:style>
  <w:style w:type="paragraph" w:styleId="Subsol">
    <w:name w:val="footer"/>
    <w:basedOn w:val="Normal"/>
    <w:link w:val="SubsolCaracter"/>
    <w:uiPriority w:val="99"/>
    <w:rsid w:val="002974C9"/>
    <w:pPr>
      <w:tabs>
        <w:tab w:val="center" w:pos="4513"/>
        <w:tab w:val="right" w:pos="9026"/>
      </w:tabs>
    </w:pPr>
    <w:rPr>
      <w:szCs w:val="20"/>
    </w:rPr>
  </w:style>
  <w:style w:type="character" w:customStyle="1" w:styleId="SubsolCaracter">
    <w:name w:val="Subsol Caracter"/>
    <w:link w:val="Subsol"/>
    <w:uiPriority w:val="99"/>
    <w:locked/>
    <w:rsid w:val="002974C9"/>
    <w:rPr>
      <w:rFonts w:ascii="Times New Roman" w:eastAsia="SimSun" w:hAnsi="Times New Roman" w:cs="Times New Roman"/>
      <w:sz w:val="24"/>
      <w:lang w:val="en-GB"/>
    </w:rPr>
  </w:style>
  <w:style w:type="paragraph" w:styleId="TextnBalon">
    <w:name w:val="Balloon Text"/>
    <w:basedOn w:val="Normal"/>
    <w:link w:val="TextnBalonCaracter"/>
    <w:uiPriority w:val="99"/>
    <w:semiHidden/>
    <w:rsid w:val="002974C9"/>
    <w:rPr>
      <w:rFonts w:ascii="Tahoma" w:hAnsi="Tahoma"/>
      <w:sz w:val="16"/>
      <w:szCs w:val="20"/>
    </w:rPr>
  </w:style>
  <w:style w:type="character" w:customStyle="1" w:styleId="TextnBalonCaracter">
    <w:name w:val="Text în Balon Caracter"/>
    <w:link w:val="TextnBalon"/>
    <w:uiPriority w:val="99"/>
    <w:semiHidden/>
    <w:locked/>
    <w:rsid w:val="002974C9"/>
    <w:rPr>
      <w:rFonts w:ascii="Tahoma" w:eastAsia="SimSun" w:hAnsi="Tahoma" w:cs="Times New Roman"/>
      <w:sz w:val="16"/>
      <w:lang w:val="en-GB"/>
    </w:rPr>
  </w:style>
  <w:style w:type="paragraph" w:styleId="Frspaiere">
    <w:name w:val="No Spacing"/>
    <w:link w:val="FrspaiereCaracter"/>
    <w:uiPriority w:val="99"/>
    <w:qFormat/>
    <w:rsid w:val="00EC61F5"/>
    <w:rPr>
      <w:rFonts w:eastAsia="Times New Roman"/>
      <w:sz w:val="22"/>
    </w:rPr>
  </w:style>
  <w:style w:type="character" w:customStyle="1" w:styleId="FrspaiereCaracter">
    <w:name w:val="Fără spațiere Caracter"/>
    <w:link w:val="Frspaiere"/>
    <w:uiPriority w:val="99"/>
    <w:locked/>
    <w:rsid w:val="00EC61F5"/>
    <w:rPr>
      <w:rFonts w:eastAsia="Times New Roman"/>
      <w:sz w:val="22"/>
      <w:lang w:val="ro-RO" w:eastAsia="ro-RO" w:bidi="ar-SA"/>
    </w:rPr>
  </w:style>
  <w:style w:type="paragraph" w:customStyle="1" w:styleId="Default">
    <w:name w:val="Default"/>
    <w:rsid w:val="00EC61F5"/>
    <w:pPr>
      <w:autoSpaceDE w:val="0"/>
      <w:autoSpaceDN w:val="0"/>
      <w:adjustRightInd w:val="0"/>
    </w:pPr>
    <w:rPr>
      <w:rFonts w:ascii="Arial" w:hAnsi="Arial" w:cs="Arial"/>
      <w:color w:val="000000"/>
      <w:sz w:val="24"/>
      <w:szCs w:val="24"/>
      <w:lang w:eastAsia="en-US"/>
    </w:rPr>
  </w:style>
  <w:style w:type="table" w:styleId="Listcolorat-Accentuare4">
    <w:name w:val="Colorful List Accent 4"/>
    <w:basedOn w:val="TabelNormal"/>
    <w:uiPriority w:val="99"/>
    <w:rsid w:val="00EC61F5"/>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Tabelgril">
    <w:name w:val="Table Grid"/>
    <w:basedOn w:val="TabelNormal"/>
    <w:uiPriority w:val="99"/>
    <w:rsid w:val="00EC6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colorat-Accentuare6">
    <w:name w:val="Colorful List Accent 6"/>
    <w:basedOn w:val="TabelNormal"/>
    <w:uiPriority w:val="99"/>
    <w:rsid w:val="00257FB9"/>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paragraph" w:styleId="NormalWeb">
    <w:name w:val="Normal (Web)"/>
    <w:basedOn w:val="Normal"/>
    <w:uiPriority w:val="99"/>
    <w:rsid w:val="00E7763B"/>
    <w:pPr>
      <w:spacing w:before="100" w:beforeAutospacing="1" w:after="100" w:afterAutospacing="1"/>
    </w:pPr>
    <w:rPr>
      <w:rFonts w:eastAsia="MS Mincho"/>
      <w:lang w:val="ro-RO" w:eastAsia="ja-JP"/>
    </w:rPr>
  </w:style>
  <w:style w:type="character" w:customStyle="1" w:styleId="epapagename">
    <w:name w:val="epapagename"/>
    <w:uiPriority w:val="99"/>
    <w:rsid w:val="00363292"/>
  </w:style>
  <w:style w:type="character" w:customStyle="1" w:styleId="apple-converted-space">
    <w:name w:val="apple-converted-space"/>
    <w:rsid w:val="00363292"/>
  </w:style>
  <w:style w:type="character" w:styleId="Accentuat">
    <w:name w:val="Emphasis"/>
    <w:uiPriority w:val="99"/>
    <w:qFormat/>
    <w:rsid w:val="00363292"/>
    <w:rPr>
      <w:rFonts w:cs="Times New Roman"/>
      <w:i/>
    </w:rPr>
  </w:style>
  <w:style w:type="table" w:styleId="Listdeculoaredeschis-Accentuare3">
    <w:name w:val="Light List Accent 3"/>
    <w:basedOn w:val="TabelNormal"/>
    <w:uiPriority w:val="99"/>
    <w:rsid w:val="003E5C5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Grilcolorat-Accentuare3">
    <w:name w:val="Colorful Grid Accent 3"/>
    <w:basedOn w:val="TabelNormal"/>
    <w:uiPriority w:val="73"/>
    <w:rsid w:val="00D12ACA"/>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Umbrirecolorat-Accentuare4">
    <w:name w:val="Colorful Shading Accent 4"/>
    <w:basedOn w:val="TabelNormal"/>
    <w:uiPriority w:val="71"/>
    <w:rsid w:val="00A8006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Umbriredeculoaredeschis-Accentuare3">
    <w:name w:val="Light Shading Accent 3"/>
    <w:basedOn w:val="TabelNormal"/>
    <w:uiPriority w:val="60"/>
    <w:rsid w:val="00211EB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Umbriremedie1-Accentuare3">
    <w:name w:val="Medium Shading 1 Accent 3"/>
    <w:basedOn w:val="TabelNormal"/>
    <w:uiPriority w:val="63"/>
    <w:rsid w:val="00211EB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rilcolorat-Accentuare4">
    <w:name w:val="Colorful Grid Accent 4"/>
    <w:basedOn w:val="TabelNormal"/>
    <w:uiPriority w:val="73"/>
    <w:rsid w:val="00876FB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colorat-Accentuare2">
    <w:name w:val="Colorful Grid Accent 2"/>
    <w:basedOn w:val="TabelNormal"/>
    <w:uiPriority w:val="73"/>
    <w:rsid w:val="00876FB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yle1">
    <w:name w:val="Style1"/>
    <w:basedOn w:val="TabelNormal"/>
    <w:uiPriority w:val="99"/>
    <w:qFormat/>
    <w:rsid w:val="00C64E37"/>
    <w:tblPr>
      <w:tblStyleRowBandSize w:val="1"/>
    </w:tblPr>
    <w:tblStylePr w:type="firstRow">
      <w:tblPr/>
      <w:tcPr>
        <w:shd w:val="clear" w:color="auto" w:fill="9BBB59" w:themeFill="accent3"/>
      </w:tcPr>
    </w:tblStylePr>
    <w:tblStylePr w:type="firstCol">
      <w:tblPr/>
      <w:tcPr>
        <w:shd w:val="clear" w:color="auto" w:fill="CCC0D9" w:themeFill="accent4" w:themeFillTint="66"/>
      </w:tcPr>
    </w:tblStylePr>
    <w:tblStylePr w:type="band1Horz">
      <w:tblPr/>
      <w:tcPr>
        <w:shd w:val="clear" w:color="auto" w:fill="CCC0D9" w:themeFill="accent4" w:themeFillTint="66"/>
      </w:tcPr>
    </w:tblStylePr>
    <w:tblStylePr w:type="band2Horz">
      <w:tblPr/>
      <w:tcPr>
        <w:shd w:val="clear" w:color="auto" w:fill="E5DFEC" w:themeFill="accent4" w:themeFillTint="33"/>
      </w:tcPr>
    </w:tblStylePr>
  </w:style>
  <w:style w:type="character" w:styleId="Referincomentariu">
    <w:name w:val="annotation reference"/>
    <w:basedOn w:val="Fontdeparagrafimplicit"/>
    <w:uiPriority w:val="99"/>
    <w:semiHidden/>
    <w:unhideWhenUsed/>
    <w:rsid w:val="005B4865"/>
    <w:rPr>
      <w:sz w:val="16"/>
      <w:szCs w:val="16"/>
    </w:rPr>
  </w:style>
  <w:style w:type="paragraph" w:styleId="Textcomentariu">
    <w:name w:val="annotation text"/>
    <w:basedOn w:val="Normal"/>
    <w:link w:val="TextcomentariuCaracter"/>
    <w:uiPriority w:val="99"/>
    <w:semiHidden/>
    <w:unhideWhenUsed/>
    <w:rsid w:val="005B4865"/>
    <w:rPr>
      <w:sz w:val="20"/>
      <w:szCs w:val="20"/>
    </w:rPr>
  </w:style>
  <w:style w:type="character" w:customStyle="1" w:styleId="TextcomentariuCaracter">
    <w:name w:val="Text comentariu Caracter"/>
    <w:basedOn w:val="Fontdeparagrafimplicit"/>
    <w:link w:val="Textcomentariu"/>
    <w:uiPriority w:val="99"/>
    <w:semiHidden/>
    <w:rsid w:val="005B4865"/>
    <w:rPr>
      <w:rFonts w:ascii="Times New Roman" w:eastAsia="SimSun" w:hAnsi="Times New Roman"/>
      <w:lang w:val="en-GB" w:eastAsia="en-US"/>
    </w:rPr>
  </w:style>
  <w:style w:type="paragraph" w:styleId="SubiectComentariu">
    <w:name w:val="annotation subject"/>
    <w:basedOn w:val="Textcomentariu"/>
    <w:next w:val="Textcomentariu"/>
    <w:link w:val="SubiectComentariuCaracter"/>
    <w:uiPriority w:val="99"/>
    <w:semiHidden/>
    <w:unhideWhenUsed/>
    <w:rsid w:val="005B4865"/>
    <w:rPr>
      <w:b/>
      <w:bCs/>
    </w:rPr>
  </w:style>
  <w:style w:type="character" w:customStyle="1" w:styleId="SubiectComentariuCaracter">
    <w:name w:val="Subiect Comentariu Caracter"/>
    <w:basedOn w:val="TextcomentariuCaracter"/>
    <w:link w:val="SubiectComentariu"/>
    <w:uiPriority w:val="99"/>
    <w:semiHidden/>
    <w:rsid w:val="005B4865"/>
    <w:rPr>
      <w:rFonts w:ascii="Times New Roman" w:eastAsia="SimSun" w:hAnsi="Times New Roman"/>
      <w:b/>
      <w:bCs/>
      <w:lang w:val="en-GB" w:eastAsia="en-US"/>
    </w:rPr>
  </w:style>
  <w:style w:type="character" w:styleId="Textsubstituent">
    <w:name w:val="Placeholder Text"/>
    <w:basedOn w:val="Fontdeparagrafimplicit"/>
    <w:uiPriority w:val="99"/>
    <w:semiHidden/>
    <w:rsid w:val="00316746"/>
    <w:rPr>
      <w:color w:val="808080"/>
    </w:rPr>
  </w:style>
  <w:style w:type="table" w:styleId="Umbriredeculoaredeschis-Accentuare5">
    <w:name w:val="Light Shading Accent 5"/>
    <w:basedOn w:val="TabelNormal"/>
    <w:uiPriority w:val="60"/>
    <w:rsid w:val="006628A5"/>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2-Accent11">
    <w:name w:val="Medium Shading 2 - Accent 11"/>
    <w:basedOn w:val="TabelNormal"/>
    <w:uiPriority w:val="64"/>
    <w:rsid w:val="006628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Umbriremedie2-Accentuare2">
    <w:name w:val="Medium Shading 2 Accent 2"/>
    <w:basedOn w:val="TabelNormal"/>
    <w:uiPriority w:val="64"/>
    <w:rsid w:val="006628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Umbriremedie2-Accentuare3">
    <w:name w:val="Medium Shading 2 Accent 3"/>
    <w:basedOn w:val="TabelNormal"/>
    <w:uiPriority w:val="64"/>
    <w:rsid w:val="006628A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deculoaredeschis-Accentuare4">
    <w:name w:val="Light List Accent 4"/>
    <w:basedOn w:val="TabelNormal"/>
    <w:uiPriority w:val="61"/>
    <w:rsid w:val="006628A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Umbriredeculoaredeschis-Accentuare4">
    <w:name w:val="Light Shading Accent 4"/>
    <w:basedOn w:val="TabelNormal"/>
    <w:uiPriority w:val="60"/>
    <w:rsid w:val="003B73B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NormalArialCaracter">
    <w:name w:val="Normal+Arial Caracter"/>
    <w:basedOn w:val="Indentcorptext3"/>
    <w:link w:val="NormalArialCaracterCaracter"/>
    <w:rsid w:val="00DF7BF7"/>
    <w:pPr>
      <w:spacing w:after="0"/>
      <w:ind w:left="0" w:firstLine="720"/>
      <w:jc w:val="both"/>
    </w:pPr>
    <w:rPr>
      <w:rFonts w:ascii="Arial" w:eastAsia="Calibri" w:hAnsi="Arial" w:cs="Arial"/>
      <w:noProof/>
      <w:sz w:val="24"/>
      <w:szCs w:val="24"/>
      <w:lang w:val="ro-RO" w:eastAsia="ro-RO"/>
    </w:rPr>
  </w:style>
  <w:style w:type="character" w:customStyle="1" w:styleId="NormalArialCaracterCaracter">
    <w:name w:val="Normal+Arial Caracter Caracter"/>
    <w:link w:val="NormalArialCaracter"/>
    <w:rsid w:val="00DF7BF7"/>
    <w:rPr>
      <w:rFonts w:ascii="Arial" w:hAnsi="Arial" w:cs="Arial"/>
      <w:noProof/>
      <w:sz w:val="24"/>
      <w:szCs w:val="24"/>
    </w:rPr>
  </w:style>
  <w:style w:type="paragraph" w:styleId="Indentcorptext3">
    <w:name w:val="Body Text Indent 3"/>
    <w:basedOn w:val="Normal"/>
    <w:link w:val="Indentcorptext3Caracter"/>
    <w:uiPriority w:val="99"/>
    <w:semiHidden/>
    <w:unhideWhenUsed/>
    <w:rsid w:val="00DF7BF7"/>
    <w:pPr>
      <w:spacing w:after="120"/>
      <w:ind w:left="360"/>
    </w:pPr>
    <w:rPr>
      <w:sz w:val="16"/>
      <w:szCs w:val="16"/>
    </w:rPr>
  </w:style>
  <w:style w:type="character" w:customStyle="1" w:styleId="Indentcorptext3Caracter">
    <w:name w:val="Indent corp text 3 Caracter"/>
    <w:basedOn w:val="Fontdeparagrafimplicit"/>
    <w:link w:val="Indentcorptext3"/>
    <w:uiPriority w:val="99"/>
    <w:semiHidden/>
    <w:rsid w:val="00DF7BF7"/>
    <w:rPr>
      <w:rFonts w:ascii="Times New Roman" w:eastAsia="SimSun" w:hAnsi="Times New Roman"/>
      <w:sz w:val="16"/>
      <w:szCs w:val="16"/>
      <w:lang w:val="en-GB" w:eastAsia="en-US"/>
    </w:rPr>
  </w:style>
  <w:style w:type="character" w:styleId="Hyperlink">
    <w:name w:val="Hyperlink"/>
    <w:basedOn w:val="Fontdeparagrafimplicit"/>
    <w:uiPriority w:val="99"/>
    <w:unhideWhenUsed/>
    <w:rsid w:val="008B21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3379">
      <w:bodyDiv w:val="1"/>
      <w:marLeft w:val="0"/>
      <w:marRight w:val="0"/>
      <w:marTop w:val="0"/>
      <w:marBottom w:val="0"/>
      <w:divBdr>
        <w:top w:val="none" w:sz="0" w:space="0" w:color="auto"/>
        <w:left w:val="none" w:sz="0" w:space="0" w:color="auto"/>
        <w:bottom w:val="none" w:sz="0" w:space="0" w:color="auto"/>
        <w:right w:val="none" w:sz="0" w:space="0" w:color="auto"/>
      </w:divBdr>
    </w:div>
    <w:div w:id="16002254">
      <w:bodyDiv w:val="1"/>
      <w:marLeft w:val="0"/>
      <w:marRight w:val="0"/>
      <w:marTop w:val="0"/>
      <w:marBottom w:val="0"/>
      <w:divBdr>
        <w:top w:val="none" w:sz="0" w:space="0" w:color="auto"/>
        <w:left w:val="none" w:sz="0" w:space="0" w:color="auto"/>
        <w:bottom w:val="none" w:sz="0" w:space="0" w:color="auto"/>
        <w:right w:val="none" w:sz="0" w:space="0" w:color="auto"/>
      </w:divBdr>
    </w:div>
    <w:div w:id="101219798">
      <w:bodyDiv w:val="1"/>
      <w:marLeft w:val="0"/>
      <w:marRight w:val="0"/>
      <w:marTop w:val="0"/>
      <w:marBottom w:val="0"/>
      <w:divBdr>
        <w:top w:val="none" w:sz="0" w:space="0" w:color="auto"/>
        <w:left w:val="none" w:sz="0" w:space="0" w:color="auto"/>
        <w:bottom w:val="none" w:sz="0" w:space="0" w:color="auto"/>
        <w:right w:val="none" w:sz="0" w:space="0" w:color="auto"/>
      </w:divBdr>
    </w:div>
    <w:div w:id="109056371">
      <w:bodyDiv w:val="1"/>
      <w:marLeft w:val="0"/>
      <w:marRight w:val="0"/>
      <w:marTop w:val="0"/>
      <w:marBottom w:val="0"/>
      <w:divBdr>
        <w:top w:val="none" w:sz="0" w:space="0" w:color="auto"/>
        <w:left w:val="none" w:sz="0" w:space="0" w:color="auto"/>
        <w:bottom w:val="none" w:sz="0" w:space="0" w:color="auto"/>
        <w:right w:val="none" w:sz="0" w:space="0" w:color="auto"/>
      </w:divBdr>
    </w:div>
    <w:div w:id="157232780">
      <w:bodyDiv w:val="1"/>
      <w:marLeft w:val="0"/>
      <w:marRight w:val="0"/>
      <w:marTop w:val="0"/>
      <w:marBottom w:val="0"/>
      <w:divBdr>
        <w:top w:val="none" w:sz="0" w:space="0" w:color="auto"/>
        <w:left w:val="none" w:sz="0" w:space="0" w:color="auto"/>
        <w:bottom w:val="none" w:sz="0" w:space="0" w:color="auto"/>
        <w:right w:val="none" w:sz="0" w:space="0" w:color="auto"/>
      </w:divBdr>
    </w:div>
    <w:div w:id="176844830">
      <w:bodyDiv w:val="1"/>
      <w:marLeft w:val="0"/>
      <w:marRight w:val="0"/>
      <w:marTop w:val="0"/>
      <w:marBottom w:val="0"/>
      <w:divBdr>
        <w:top w:val="none" w:sz="0" w:space="0" w:color="auto"/>
        <w:left w:val="none" w:sz="0" w:space="0" w:color="auto"/>
        <w:bottom w:val="none" w:sz="0" w:space="0" w:color="auto"/>
        <w:right w:val="none" w:sz="0" w:space="0" w:color="auto"/>
      </w:divBdr>
    </w:div>
    <w:div w:id="185019729">
      <w:bodyDiv w:val="1"/>
      <w:marLeft w:val="0"/>
      <w:marRight w:val="0"/>
      <w:marTop w:val="0"/>
      <w:marBottom w:val="0"/>
      <w:divBdr>
        <w:top w:val="none" w:sz="0" w:space="0" w:color="auto"/>
        <w:left w:val="none" w:sz="0" w:space="0" w:color="auto"/>
        <w:bottom w:val="none" w:sz="0" w:space="0" w:color="auto"/>
        <w:right w:val="none" w:sz="0" w:space="0" w:color="auto"/>
      </w:divBdr>
    </w:div>
    <w:div w:id="190807459">
      <w:bodyDiv w:val="1"/>
      <w:marLeft w:val="0"/>
      <w:marRight w:val="0"/>
      <w:marTop w:val="0"/>
      <w:marBottom w:val="0"/>
      <w:divBdr>
        <w:top w:val="none" w:sz="0" w:space="0" w:color="auto"/>
        <w:left w:val="none" w:sz="0" w:space="0" w:color="auto"/>
        <w:bottom w:val="none" w:sz="0" w:space="0" w:color="auto"/>
        <w:right w:val="none" w:sz="0" w:space="0" w:color="auto"/>
      </w:divBdr>
    </w:div>
    <w:div w:id="301271483">
      <w:bodyDiv w:val="1"/>
      <w:marLeft w:val="0"/>
      <w:marRight w:val="0"/>
      <w:marTop w:val="0"/>
      <w:marBottom w:val="0"/>
      <w:divBdr>
        <w:top w:val="none" w:sz="0" w:space="0" w:color="auto"/>
        <w:left w:val="none" w:sz="0" w:space="0" w:color="auto"/>
        <w:bottom w:val="none" w:sz="0" w:space="0" w:color="auto"/>
        <w:right w:val="none" w:sz="0" w:space="0" w:color="auto"/>
      </w:divBdr>
    </w:div>
    <w:div w:id="315035712">
      <w:bodyDiv w:val="1"/>
      <w:marLeft w:val="0"/>
      <w:marRight w:val="0"/>
      <w:marTop w:val="0"/>
      <w:marBottom w:val="0"/>
      <w:divBdr>
        <w:top w:val="none" w:sz="0" w:space="0" w:color="auto"/>
        <w:left w:val="none" w:sz="0" w:space="0" w:color="auto"/>
        <w:bottom w:val="none" w:sz="0" w:space="0" w:color="auto"/>
        <w:right w:val="none" w:sz="0" w:space="0" w:color="auto"/>
      </w:divBdr>
    </w:div>
    <w:div w:id="332686192">
      <w:bodyDiv w:val="1"/>
      <w:marLeft w:val="0"/>
      <w:marRight w:val="0"/>
      <w:marTop w:val="0"/>
      <w:marBottom w:val="0"/>
      <w:divBdr>
        <w:top w:val="none" w:sz="0" w:space="0" w:color="auto"/>
        <w:left w:val="none" w:sz="0" w:space="0" w:color="auto"/>
        <w:bottom w:val="none" w:sz="0" w:space="0" w:color="auto"/>
        <w:right w:val="none" w:sz="0" w:space="0" w:color="auto"/>
      </w:divBdr>
    </w:div>
    <w:div w:id="334115332">
      <w:bodyDiv w:val="1"/>
      <w:marLeft w:val="0"/>
      <w:marRight w:val="0"/>
      <w:marTop w:val="0"/>
      <w:marBottom w:val="0"/>
      <w:divBdr>
        <w:top w:val="none" w:sz="0" w:space="0" w:color="auto"/>
        <w:left w:val="none" w:sz="0" w:space="0" w:color="auto"/>
        <w:bottom w:val="none" w:sz="0" w:space="0" w:color="auto"/>
        <w:right w:val="none" w:sz="0" w:space="0" w:color="auto"/>
      </w:divBdr>
    </w:div>
    <w:div w:id="365177053">
      <w:bodyDiv w:val="1"/>
      <w:marLeft w:val="0"/>
      <w:marRight w:val="0"/>
      <w:marTop w:val="0"/>
      <w:marBottom w:val="0"/>
      <w:divBdr>
        <w:top w:val="none" w:sz="0" w:space="0" w:color="auto"/>
        <w:left w:val="none" w:sz="0" w:space="0" w:color="auto"/>
        <w:bottom w:val="none" w:sz="0" w:space="0" w:color="auto"/>
        <w:right w:val="none" w:sz="0" w:space="0" w:color="auto"/>
      </w:divBdr>
    </w:div>
    <w:div w:id="442116912">
      <w:bodyDiv w:val="1"/>
      <w:marLeft w:val="0"/>
      <w:marRight w:val="0"/>
      <w:marTop w:val="0"/>
      <w:marBottom w:val="0"/>
      <w:divBdr>
        <w:top w:val="none" w:sz="0" w:space="0" w:color="auto"/>
        <w:left w:val="none" w:sz="0" w:space="0" w:color="auto"/>
        <w:bottom w:val="none" w:sz="0" w:space="0" w:color="auto"/>
        <w:right w:val="none" w:sz="0" w:space="0" w:color="auto"/>
      </w:divBdr>
    </w:div>
    <w:div w:id="447359854">
      <w:bodyDiv w:val="1"/>
      <w:marLeft w:val="0"/>
      <w:marRight w:val="0"/>
      <w:marTop w:val="0"/>
      <w:marBottom w:val="0"/>
      <w:divBdr>
        <w:top w:val="none" w:sz="0" w:space="0" w:color="auto"/>
        <w:left w:val="none" w:sz="0" w:space="0" w:color="auto"/>
        <w:bottom w:val="none" w:sz="0" w:space="0" w:color="auto"/>
        <w:right w:val="none" w:sz="0" w:space="0" w:color="auto"/>
      </w:divBdr>
    </w:div>
    <w:div w:id="448356455">
      <w:bodyDiv w:val="1"/>
      <w:marLeft w:val="0"/>
      <w:marRight w:val="0"/>
      <w:marTop w:val="0"/>
      <w:marBottom w:val="0"/>
      <w:divBdr>
        <w:top w:val="none" w:sz="0" w:space="0" w:color="auto"/>
        <w:left w:val="none" w:sz="0" w:space="0" w:color="auto"/>
        <w:bottom w:val="none" w:sz="0" w:space="0" w:color="auto"/>
        <w:right w:val="none" w:sz="0" w:space="0" w:color="auto"/>
      </w:divBdr>
    </w:div>
    <w:div w:id="459805153">
      <w:bodyDiv w:val="1"/>
      <w:marLeft w:val="0"/>
      <w:marRight w:val="0"/>
      <w:marTop w:val="0"/>
      <w:marBottom w:val="0"/>
      <w:divBdr>
        <w:top w:val="none" w:sz="0" w:space="0" w:color="auto"/>
        <w:left w:val="none" w:sz="0" w:space="0" w:color="auto"/>
        <w:bottom w:val="none" w:sz="0" w:space="0" w:color="auto"/>
        <w:right w:val="none" w:sz="0" w:space="0" w:color="auto"/>
      </w:divBdr>
    </w:div>
    <w:div w:id="501628733">
      <w:bodyDiv w:val="1"/>
      <w:marLeft w:val="0"/>
      <w:marRight w:val="0"/>
      <w:marTop w:val="0"/>
      <w:marBottom w:val="0"/>
      <w:divBdr>
        <w:top w:val="none" w:sz="0" w:space="0" w:color="auto"/>
        <w:left w:val="none" w:sz="0" w:space="0" w:color="auto"/>
        <w:bottom w:val="none" w:sz="0" w:space="0" w:color="auto"/>
        <w:right w:val="none" w:sz="0" w:space="0" w:color="auto"/>
      </w:divBdr>
    </w:div>
    <w:div w:id="539124099">
      <w:marLeft w:val="0"/>
      <w:marRight w:val="0"/>
      <w:marTop w:val="0"/>
      <w:marBottom w:val="0"/>
      <w:divBdr>
        <w:top w:val="none" w:sz="0" w:space="0" w:color="auto"/>
        <w:left w:val="none" w:sz="0" w:space="0" w:color="auto"/>
        <w:bottom w:val="none" w:sz="0" w:space="0" w:color="auto"/>
        <w:right w:val="none" w:sz="0" w:space="0" w:color="auto"/>
      </w:divBdr>
    </w:div>
    <w:div w:id="539124100">
      <w:marLeft w:val="0"/>
      <w:marRight w:val="0"/>
      <w:marTop w:val="0"/>
      <w:marBottom w:val="0"/>
      <w:divBdr>
        <w:top w:val="none" w:sz="0" w:space="0" w:color="auto"/>
        <w:left w:val="none" w:sz="0" w:space="0" w:color="auto"/>
        <w:bottom w:val="none" w:sz="0" w:space="0" w:color="auto"/>
        <w:right w:val="none" w:sz="0" w:space="0" w:color="auto"/>
      </w:divBdr>
    </w:div>
    <w:div w:id="539124101">
      <w:marLeft w:val="0"/>
      <w:marRight w:val="0"/>
      <w:marTop w:val="0"/>
      <w:marBottom w:val="0"/>
      <w:divBdr>
        <w:top w:val="none" w:sz="0" w:space="0" w:color="auto"/>
        <w:left w:val="none" w:sz="0" w:space="0" w:color="auto"/>
        <w:bottom w:val="none" w:sz="0" w:space="0" w:color="auto"/>
        <w:right w:val="none" w:sz="0" w:space="0" w:color="auto"/>
      </w:divBdr>
    </w:div>
    <w:div w:id="539124102">
      <w:marLeft w:val="0"/>
      <w:marRight w:val="0"/>
      <w:marTop w:val="0"/>
      <w:marBottom w:val="0"/>
      <w:divBdr>
        <w:top w:val="none" w:sz="0" w:space="0" w:color="auto"/>
        <w:left w:val="none" w:sz="0" w:space="0" w:color="auto"/>
        <w:bottom w:val="none" w:sz="0" w:space="0" w:color="auto"/>
        <w:right w:val="none" w:sz="0" w:space="0" w:color="auto"/>
      </w:divBdr>
    </w:div>
    <w:div w:id="539124103">
      <w:marLeft w:val="0"/>
      <w:marRight w:val="0"/>
      <w:marTop w:val="0"/>
      <w:marBottom w:val="0"/>
      <w:divBdr>
        <w:top w:val="none" w:sz="0" w:space="0" w:color="auto"/>
        <w:left w:val="none" w:sz="0" w:space="0" w:color="auto"/>
        <w:bottom w:val="none" w:sz="0" w:space="0" w:color="auto"/>
        <w:right w:val="none" w:sz="0" w:space="0" w:color="auto"/>
      </w:divBdr>
    </w:div>
    <w:div w:id="539124104">
      <w:marLeft w:val="0"/>
      <w:marRight w:val="0"/>
      <w:marTop w:val="0"/>
      <w:marBottom w:val="0"/>
      <w:divBdr>
        <w:top w:val="none" w:sz="0" w:space="0" w:color="auto"/>
        <w:left w:val="none" w:sz="0" w:space="0" w:color="auto"/>
        <w:bottom w:val="none" w:sz="0" w:space="0" w:color="auto"/>
        <w:right w:val="none" w:sz="0" w:space="0" w:color="auto"/>
      </w:divBdr>
    </w:div>
    <w:div w:id="539124105">
      <w:marLeft w:val="0"/>
      <w:marRight w:val="0"/>
      <w:marTop w:val="0"/>
      <w:marBottom w:val="0"/>
      <w:divBdr>
        <w:top w:val="none" w:sz="0" w:space="0" w:color="auto"/>
        <w:left w:val="none" w:sz="0" w:space="0" w:color="auto"/>
        <w:bottom w:val="none" w:sz="0" w:space="0" w:color="auto"/>
        <w:right w:val="none" w:sz="0" w:space="0" w:color="auto"/>
      </w:divBdr>
    </w:div>
    <w:div w:id="539124106">
      <w:marLeft w:val="0"/>
      <w:marRight w:val="0"/>
      <w:marTop w:val="0"/>
      <w:marBottom w:val="0"/>
      <w:divBdr>
        <w:top w:val="none" w:sz="0" w:space="0" w:color="auto"/>
        <w:left w:val="none" w:sz="0" w:space="0" w:color="auto"/>
        <w:bottom w:val="none" w:sz="0" w:space="0" w:color="auto"/>
        <w:right w:val="none" w:sz="0" w:space="0" w:color="auto"/>
      </w:divBdr>
    </w:div>
    <w:div w:id="539124107">
      <w:marLeft w:val="0"/>
      <w:marRight w:val="0"/>
      <w:marTop w:val="0"/>
      <w:marBottom w:val="0"/>
      <w:divBdr>
        <w:top w:val="none" w:sz="0" w:space="0" w:color="auto"/>
        <w:left w:val="none" w:sz="0" w:space="0" w:color="auto"/>
        <w:bottom w:val="none" w:sz="0" w:space="0" w:color="auto"/>
        <w:right w:val="none" w:sz="0" w:space="0" w:color="auto"/>
      </w:divBdr>
    </w:div>
    <w:div w:id="539124108">
      <w:marLeft w:val="0"/>
      <w:marRight w:val="0"/>
      <w:marTop w:val="0"/>
      <w:marBottom w:val="0"/>
      <w:divBdr>
        <w:top w:val="none" w:sz="0" w:space="0" w:color="auto"/>
        <w:left w:val="none" w:sz="0" w:space="0" w:color="auto"/>
        <w:bottom w:val="none" w:sz="0" w:space="0" w:color="auto"/>
        <w:right w:val="none" w:sz="0" w:space="0" w:color="auto"/>
      </w:divBdr>
    </w:div>
    <w:div w:id="539124109">
      <w:marLeft w:val="0"/>
      <w:marRight w:val="0"/>
      <w:marTop w:val="0"/>
      <w:marBottom w:val="0"/>
      <w:divBdr>
        <w:top w:val="none" w:sz="0" w:space="0" w:color="auto"/>
        <w:left w:val="none" w:sz="0" w:space="0" w:color="auto"/>
        <w:bottom w:val="none" w:sz="0" w:space="0" w:color="auto"/>
        <w:right w:val="none" w:sz="0" w:space="0" w:color="auto"/>
      </w:divBdr>
    </w:div>
    <w:div w:id="539124110">
      <w:marLeft w:val="0"/>
      <w:marRight w:val="0"/>
      <w:marTop w:val="0"/>
      <w:marBottom w:val="0"/>
      <w:divBdr>
        <w:top w:val="none" w:sz="0" w:space="0" w:color="auto"/>
        <w:left w:val="none" w:sz="0" w:space="0" w:color="auto"/>
        <w:bottom w:val="none" w:sz="0" w:space="0" w:color="auto"/>
        <w:right w:val="none" w:sz="0" w:space="0" w:color="auto"/>
      </w:divBdr>
    </w:div>
    <w:div w:id="539124111">
      <w:marLeft w:val="0"/>
      <w:marRight w:val="0"/>
      <w:marTop w:val="0"/>
      <w:marBottom w:val="0"/>
      <w:divBdr>
        <w:top w:val="none" w:sz="0" w:space="0" w:color="auto"/>
        <w:left w:val="none" w:sz="0" w:space="0" w:color="auto"/>
        <w:bottom w:val="none" w:sz="0" w:space="0" w:color="auto"/>
        <w:right w:val="none" w:sz="0" w:space="0" w:color="auto"/>
      </w:divBdr>
    </w:div>
    <w:div w:id="539124112">
      <w:marLeft w:val="0"/>
      <w:marRight w:val="0"/>
      <w:marTop w:val="0"/>
      <w:marBottom w:val="0"/>
      <w:divBdr>
        <w:top w:val="none" w:sz="0" w:space="0" w:color="auto"/>
        <w:left w:val="none" w:sz="0" w:space="0" w:color="auto"/>
        <w:bottom w:val="none" w:sz="0" w:space="0" w:color="auto"/>
        <w:right w:val="none" w:sz="0" w:space="0" w:color="auto"/>
      </w:divBdr>
    </w:div>
    <w:div w:id="539124113">
      <w:marLeft w:val="0"/>
      <w:marRight w:val="0"/>
      <w:marTop w:val="0"/>
      <w:marBottom w:val="0"/>
      <w:divBdr>
        <w:top w:val="none" w:sz="0" w:space="0" w:color="auto"/>
        <w:left w:val="none" w:sz="0" w:space="0" w:color="auto"/>
        <w:bottom w:val="none" w:sz="0" w:space="0" w:color="auto"/>
        <w:right w:val="none" w:sz="0" w:space="0" w:color="auto"/>
      </w:divBdr>
    </w:div>
    <w:div w:id="539124114">
      <w:marLeft w:val="0"/>
      <w:marRight w:val="0"/>
      <w:marTop w:val="0"/>
      <w:marBottom w:val="0"/>
      <w:divBdr>
        <w:top w:val="none" w:sz="0" w:space="0" w:color="auto"/>
        <w:left w:val="none" w:sz="0" w:space="0" w:color="auto"/>
        <w:bottom w:val="none" w:sz="0" w:space="0" w:color="auto"/>
        <w:right w:val="none" w:sz="0" w:space="0" w:color="auto"/>
      </w:divBdr>
    </w:div>
    <w:div w:id="539124115">
      <w:marLeft w:val="0"/>
      <w:marRight w:val="0"/>
      <w:marTop w:val="0"/>
      <w:marBottom w:val="0"/>
      <w:divBdr>
        <w:top w:val="none" w:sz="0" w:space="0" w:color="auto"/>
        <w:left w:val="none" w:sz="0" w:space="0" w:color="auto"/>
        <w:bottom w:val="none" w:sz="0" w:space="0" w:color="auto"/>
        <w:right w:val="none" w:sz="0" w:space="0" w:color="auto"/>
      </w:divBdr>
    </w:div>
    <w:div w:id="539124116">
      <w:marLeft w:val="0"/>
      <w:marRight w:val="0"/>
      <w:marTop w:val="0"/>
      <w:marBottom w:val="0"/>
      <w:divBdr>
        <w:top w:val="none" w:sz="0" w:space="0" w:color="auto"/>
        <w:left w:val="none" w:sz="0" w:space="0" w:color="auto"/>
        <w:bottom w:val="none" w:sz="0" w:space="0" w:color="auto"/>
        <w:right w:val="none" w:sz="0" w:space="0" w:color="auto"/>
      </w:divBdr>
    </w:div>
    <w:div w:id="539124117">
      <w:marLeft w:val="0"/>
      <w:marRight w:val="0"/>
      <w:marTop w:val="0"/>
      <w:marBottom w:val="0"/>
      <w:divBdr>
        <w:top w:val="none" w:sz="0" w:space="0" w:color="auto"/>
        <w:left w:val="none" w:sz="0" w:space="0" w:color="auto"/>
        <w:bottom w:val="none" w:sz="0" w:space="0" w:color="auto"/>
        <w:right w:val="none" w:sz="0" w:space="0" w:color="auto"/>
      </w:divBdr>
    </w:div>
    <w:div w:id="539124118">
      <w:marLeft w:val="0"/>
      <w:marRight w:val="0"/>
      <w:marTop w:val="0"/>
      <w:marBottom w:val="0"/>
      <w:divBdr>
        <w:top w:val="none" w:sz="0" w:space="0" w:color="auto"/>
        <w:left w:val="none" w:sz="0" w:space="0" w:color="auto"/>
        <w:bottom w:val="none" w:sz="0" w:space="0" w:color="auto"/>
        <w:right w:val="none" w:sz="0" w:space="0" w:color="auto"/>
      </w:divBdr>
    </w:div>
    <w:div w:id="539124119">
      <w:marLeft w:val="0"/>
      <w:marRight w:val="0"/>
      <w:marTop w:val="0"/>
      <w:marBottom w:val="0"/>
      <w:divBdr>
        <w:top w:val="none" w:sz="0" w:space="0" w:color="auto"/>
        <w:left w:val="none" w:sz="0" w:space="0" w:color="auto"/>
        <w:bottom w:val="none" w:sz="0" w:space="0" w:color="auto"/>
        <w:right w:val="none" w:sz="0" w:space="0" w:color="auto"/>
      </w:divBdr>
    </w:div>
    <w:div w:id="539124120">
      <w:marLeft w:val="0"/>
      <w:marRight w:val="0"/>
      <w:marTop w:val="0"/>
      <w:marBottom w:val="0"/>
      <w:divBdr>
        <w:top w:val="none" w:sz="0" w:space="0" w:color="auto"/>
        <w:left w:val="none" w:sz="0" w:space="0" w:color="auto"/>
        <w:bottom w:val="none" w:sz="0" w:space="0" w:color="auto"/>
        <w:right w:val="none" w:sz="0" w:space="0" w:color="auto"/>
      </w:divBdr>
    </w:div>
    <w:div w:id="539124121">
      <w:marLeft w:val="0"/>
      <w:marRight w:val="0"/>
      <w:marTop w:val="0"/>
      <w:marBottom w:val="0"/>
      <w:divBdr>
        <w:top w:val="none" w:sz="0" w:space="0" w:color="auto"/>
        <w:left w:val="none" w:sz="0" w:space="0" w:color="auto"/>
        <w:bottom w:val="none" w:sz="0" w:space="0" w:color="auto"/>
        <w:right w:val="none" w:sz="0" w:space="0" w:color="auto"/>
      </w:divBdr>
    </w:div>
    <w:div w:id="539124122">
      <w:marLeft w:val="0"/>
      <w:marRight w:val="0"/>
      <w:marTop w:val="0"/>
      <w:marBottom w:val="0"/>
      <w:divBdr>
        <w:top w:val="none" w:sz="0" w:space="0" w:color="auto"/>
        <w:left w:val="none" w:sz="0" w:space="0" w:color="auto"/>
        <w:bottom w:val="none" w:sz="0" w:space="0" w:color="auto"/>
        <w:right w:val="none" w:sz="0" w:space="0" w:color="auto"/>
      </w:divBdr>
    </w:div>
    <w:div w:id="539124123">
      <w:marLeft w:val="0"/>
      <w:marRight w:val="0"/>
      <w:marTop w:val="0"/>
      <w:marBottom w:val="0"/>
      <w:divBdr>
        <w:top w:val="none" w:sz="0" w:space="0" w:color="auto"/>
        <w:left w:val="none" w:sz="0" w:space="0" w:color="auto"/>
        <w:bottom w:val="none" w:sz="0" w:space="0" w:color="auto"/>
        <w:right w:val="none" w:sz="0" w:space="0" w:color="auto"/>
      </w:divBdr>
    </w:div>
    <w:div w:id="539124124">
      <w:marLeft w:val="0"/>
      <w:marRight w:val="0"/>
      <w:marTop w:val="0"/>
      <w:marBottom w:val="0"/>
      <w:divBdr>
        <w:top w:val="none" w:sz="0" w:space="0" w:color="auto"/>
        <w:left w:val="none" w:sz="0" w:space="0" w:color="auto"/>
        <w:bottom w:val="none" w:sz="0" w:space="0" w:color="auto"/>
        <w:right w:val="none" w:sz="0" w:space="0" w:color="auto"/>
      </w:divBdr>
    </w:div>
    <w:div w:id="539124125">
      <w:marLeft w:val="0"/>
      <w:marRight w:val="0"/>
      <w:marTop w:val="0"/>
      <w:marBottom w:val="0"/>
      <w:divBdr>
        <w:top w:val="none" w:sz="0" w:space="0" w:color="auto"/>
        <w:left w:val="none" w:sz="0" w:space="0" w:color="auto"/>
        <w:bottom w:val="none" w:sz="0" w:space="0" w:color="auto"/>
        <w:right w:val="none" w:sz="0" w:space="0" w:color="auto"/>
      </w:divBdr>
    </w:div>
    <w:div w:id="539124126">
      <w:marLeft w:val="0"/>
      <w:marRight w:val="0"/>
      <w:marTop w:val="0"/>
      <w:marBottom w:val="0"/>
      <w:divBdr>
        <w:top w:val="none" w:sz="0" w:space="0" w:color="auto"/>
        <w:left w:val="none" w:sz="0" w:space="0" w:color="auto"/>
        <w:bottom w:val="none" w:sz="0" w:space="0" w:color="auto"/>
        <w:right w:val="none" w:sz="0" w:space="0" w:color="auto"/>
      </w:divBdr>
    </w:div>
    <w:div w:id="539124127">
      <w:marLeft w:val="0"/>
      <w:marRight w:val="0"/>
      <w:marTop w:val="0"/>
      <w:marBottom w:val="0"/>
      <w:divBdr>
        <w:top w:val="none" w:sz="0" w:space="0" w:color="auto"/>
        <w:left w:val="none" w:sz="0" w:space="0" w:color="auto"/>
        <w:bottom w:val="none" w:sz="0" w:space="0" w:color="auto"/>
        <w:right w:val="none" w:sz="0" w:space="0" w:color="auto"/>
      </w:divBdr>
    </w:div>
    <w:div w:id="539124128">
      <w:marLeft w:val="0"/>
      <w:marRight w:val="0"/>
      <w:marTop w:val="0"/>
      <w:marBottom w:val="0"/>
      <w:divBdr>
        <w:top w:val="none" w:sz="0" w:space="0" w:color="auto"/>
        <w:left w:val="none" w:sz="0" w:space="0" w:color="auto"/>
        <w:bottom w:val="none" w:sz="0" w:space="0" w:color="auto"/>
        <w:right w:val="none" w:sz="0" w:space="0" w:color="auto"/>
      </w:divBdr>
    </w:div>
    <w:div w:id="539124129">
      <w:marLeft w:val="0"/>
      <w:marRight w:val="0"/>
      <w:marTop w:val="0"/>
      <w:marBottom w:val="0"/>
      <w:divBdr>
        <w:top w:val="none" w:sz="0" w:space="0" w:color="auto"/>
        <w:left w:val="none" w:sz="0" w:space="0" w:color="auto"/>
        <w:bottom w:val="none" w:sz="0" w:space="0" w:color="auto"/>
        <w:right w:val="none" w:sz="0" w:space="0" w:color="auto"/>
      </w:divBdr>
    </w:div>
    <w:div w:id="539124130">
      <w:marLeft w:val="0"/>
      <w:marRight w:val="0"/>
      <w:marTop w:val="0"/>
      <w:marBottom w:val="0"/>
      <w:divBdr>
        <w:top w:val="none" w:sz="0" w:space="0" w:color="auto"/>
        <w:left w:val="none" w:sz="0" w:space="0" w:color="auto"/>
        <w:bottom w:val="none" w:sz="0" w:space="0" w:color="auto"/>
        <w:right w:val="none" w:sz="0" w:space="0" w:color="auto"/>
      </w:divBdr>
    </w:div>
    <w:div w:id="539124131">
      <w:marLeft w:val="0"/>
      <w:marRight w:val="0"/>
      <w:marTop w:val="0"/>
      <w:marBottom w:val="0"/>
      <w:divBdr>
        <w:top w:val="none" w:sz="0" w:space="0" w:color="auto"/>
        <w:left w:val="none" w:sz="0" w:space="0" w:color="auto"/>
        <w:bottom w:val="none" w:sz="0" w:space="0" w:color="auto"/>
        <w:right w:val="none" w:sz="0" w:space="0" w:color="auto"/>
      </w:divBdr>
    </w:div>
    <w:div w:id="539124132">
      <w:marLeft w:val="0"/>
      <w:marRight w:val="0"/>
      <w:marTop w:val="0"/>
      <w:marBottom w:val="0"/>
      <w:divBdr>
        <w:top w:val="none" w:sz="0" w:space="0" w:color="auto"/>
        <w:left w:val="none" w:sz="0" w:space="0" w:color="auto"/>
        <w:bottom w:val="none" w:sz="0" w:space="0" w:color="auto"/>
        <w:right w:val="none" w:sz="0" w:space="0" w:color="auto"/>
      </w:divBdr>
    </w:div>
    <w:div w:id="539124133">
      <w:marLeft w:val="0"/>
      <w:marRight w:val="0"/>
      <w:marTop w:val="0"/>
      <w:marBottom w:val="0"/>
      <w:divBdr>
        <w:top w:val="none" w:sz="0" w:space="0" w:color="auto"/>
        <w:left w:val="none" w:sz="0" w:space="0" w:color="auto"/>
        <w:bottom w:val="none" w:sz="0" w:space="0" w:color="auto"/>
        <w:right w:val="none" w:sz="0" w:space="0" w:color="auto"/>
      </w:divBdr>
    </w:div>
    <w:div w:id="539124134">
      <w:marLeft w:val="0"/>
      <w:marRight w:val="0"/>
      <w:marTop w:val="0"/>
      <w:marBottom w:val="0"/>
      <w:divBdr>
        <w:top w:val="none" w:sz="0" w:space="0" w:color="auto"/>
        <w:left w:val="none" w:sz="0" w:space="0" w:color="auto"/>
        <w:bottom w:val="none" w:sz="0" w:space="0" w:color="auto"/>
        <w:right w:val="none" w:sz="0" w:space="0" w:color="auto"/>
      </w:divBdr>
    </w:div>
    <w:div w:id="539124135">
      <w:marLeft w:val="0"/>
      <w:marRight w:val="0"/>
      <w:marTop w:val="0"/>
      <w:marBottom w:val="0"/>
      <w:divBdr>
        <w:top w:val="none" w:sz="0" w:space="0" w:color="auto"/>
        <w:left w:val="none" w:sz="0" w:space="0" w:color="auto"/>
        <w:bottom w:val="none" w:sz="0" w:space="0" w:color="auto"/>
        <w:right w:val="none" w:sz="0" w:space="0" w:color="auto"/>
      </w:divBdr>
    </w:div>
    <w:div w:id="539124136">
      <w:marLeft w:val="0"/>
      <w:marRight w:val="0"/>
      <w:marTop w:val="0"/>
      <w:marBottom w:val="0"/>
      <w:divBdr>
        <w:top w:val="none" w:sz="0" w:space="0" w:color="auto"/>
        <w:left w:val="none" w:sz="0" w:space="0" w:color="auto"/>
        <w:bottom w:val="none" w:sz="0" w:space="0" w:color="auto"/>
        <w:right w:val="none" w:sz="0" w:space="0" w:color="auto"/>
      </w:divBdr>
    </w:div>
    <w:div w:id="539124137">
      <w:marLeft w:val="0"/>
      <w:marRight w:val="0"/>
      <w:marTop w:val="0"/>
      <w:marBottom w:val="0"/>
      <w:divBdr>
        <w:top w:val="none" w:sz="0" w:space="0" w:color="auto"/>
        <w:left w:val="none" w:sz="0" w:space="0" w:color="auto"/>
        <w:bottom w:val="none" w:sz="0" w:space="0" w:color="auto"/>
        <w:right w:val="none" w:sz="0" w:space="0" w:color="auto"/>
      </w:divBdr>
    </w:div>
    <w:div w:id="539124138">
      <w:marLeft w:val="0"/>
      <w:marRight w:val="0"/>
      <w:marTop w:val="0"/>
      <w:marBottom w:val="0"/>
      <w:divBdr>
        <w:top w:val="none" w:sz="0" w:space="0" w:color="auto"/>
        <w:left w:val="none" w:sz="0" w:space="0" w:color="auto"/>
        <w:bottom w:val="none" w:sz="0" w:space="0" w:color="auto"/>
        <w:right w:val="none" w:sz="0" w:space="0" w:color="auto"/>
      </w:divBdr>
    </w:div>
    <w:div w:id="539124139">
      <w:marLeft w:val="0"/>
      <w:marRight w:val="0"/>
      <w:marTop w:val="0"/>
      <w:marBottom w:val="0"/>
      <w:divBdr>
        <w:top w:val="none" w:sz="0" w:space="0" w:color="auto"/>
        <w:left w:val="none" w:sz="0" w:space="0" w:color="auto"/>
        <w:bottom w:val="none" w:sz="0" w:space="0" w:color="auto"/>
        <w:right w:val="none" w:sz="0" w:space="0" w:color="auto"/>
      </w:divBdr>
    </w:div>
    <w:div w:id="539124140">
      <w:marLeft w:val="0"/>
      <w:marRight w:val="0"/>
      <w:marTop w:val="0"/>
      <w:marBottom w:val="0"/>
      <w:divBdr>
        <w:top w:val="none" w:sz="0" w:space="0" w:color="auto"/>
        <w:left w:val="none" w:sz="0" w:space="0" w:color="auto"/>
        <w:bottom w:val="none" w:sz="0" w:space="0" w:color="auto"/>
        <w:right w:val="none" w:sz="0" w:space="0" w:color="auto"/>
      </w:divBdr>
    </w:div>
    <w:div w:id="539124141">
      <w:marLeft w:val="0"/>
      <w:marRight w:val="0"/>
      <w:marTop w:val="0"/>
      <w:marBottom w:val="0"/>
      <w:divBdr>
        <w:top w:val="none" w:sz="0" w:space="0" w:color="auto"/>
        <w:left w:val="none" w:sz="0" w:space="0" w:color="auto"/>
        <w:bottom w:val="none" w:sz="0" w:space="0" w:color="auto"/>
        <w:right w:val="none" w:sz="0" w:space="0" w:color="auto"/>
      </w:divBdr>
    </w:div>
    <w:div w:id="539124142">
      <w:marLeft w:val="0"/>
      <w:marRight w:val="0"/>
      <w:marTop w:val="0"/>
      <w:marBottom w:val="0"/>
      <w:divBdr>
        <w:top w:val="none" w:sz="0" w:space="0" w:color="auto"/>
        <w:left w:val="none" w:sz="0" w:space="0" w:color="auto"/>
        <w:bottom w:val="none" w:sz="0" w:space="0" w:color="auto"/>
        <w:right w:val="none" w:sz="0" w:space="0" w:color="auto"/>
      </w:divBdr>
    </w:div>
    <w:div w:id="539124143">
      <w:marLeft w:val="0"/>
      <w:marRight w:val="0"/>
      <w:marTop w:val="0"/>
      <w:marBottom w:val="0"/>
      <w:divBdr>
        <w:top w:val="none" w:sz="0" w:space="0" w:color="auto"/>
        <w:left w:val="none" w:sz="0" w:space="0" w:color="auto"/>
        <w:bottom w:val="none" w:sz="0" w:space="0" w:color="auto"/>
        <w:right w:val="none" w:sz="0" w:space="0" w:color="auto"/>
      </w:divBdr>
    </w:div>
    <w:div w:id="539124144">
      <w:marLeft w:val="0"/>
      <w:marRight w:val="0"/>
      <w:marTop w:val="0"/>
      <w:marBottom w:val="0"/>
      <w:divBdr>
        <w:top w:val="none" w:sz="0" w:space="0" w:color="auto"/>
        <w:left w:val="none" w:sz="0" w:space="0" w:color="auto"/>
        <w:bottom w:val="none" w:sz="0" w:space="0" w:color="auto"/>
        <w:right w:val="none" w:sz="0" w:space="0" w:color="auto"/>
      </w:divBdr>
    </w:div>
    <w:div w:id="539124145">
      <w:marLeft w:val="0"/>
      <w:marRight w:val="0"/>
      <w:marTop w:val="0"/>
      <w:marBottom w:val="0"/>
      <w:divBdr>
        <w:top w:val="none" w:sz="0" w:space="0" w:color="auto"/>
        <w:left w:val="none" w:sz="0" w:space="0" w:color="auto"/>
        <w:bottom w:val="none" w:sz="0" w:space="0" w:color="auto"/>
        <w:right w:val="none" w:sz="0" w:space="0" w:color="auto"/>
      </w:divBdr>
    </w:div>
    <w:div w:id="539124146">
      <w:marLeft w:val="0"/>
      <w:marRight w:val="0"/>
      <w:marTop w:val="0"/>
      <w:marBottom w:val="0"/>
      <w:divBdr>
        <w:top w:val="none" w:sz="0" w:space="0" w:color="auto"/>
        <w:left w:val="none" w:sz="0" w:space="0" w:color="auto"/>
        <w:bottom w:val="none" w:sz="0" w:space="0" w:color="auto"/>
        <w:right w:val="none" w:sz="0" w:space="0" w:color="auto"/>
      </w:divBdr>
    </w:div>
    <w:div w:id="539124147">
      <w:marLeft w:val="0"/>
      <w:marRight w:val="0"/>
      <w:marTop w:val="0"/>
      <w:marBottom w:val="0"/>
      <w:divBdr>
        <w:top w:val="none" w:sz="0" w:space="0" w:color="auto"/>
        <w:left w:val="none" w:sz="0" w:space="0" w:color="auto"/>
        <w:bottom w:val="none" w:sz="0" w:space="0" w:color="auto"/>
        <w:right w:val="none" w:sz="0" w:space="0" w:color="auto"/>
      </w:divBdr>
    </w:div>
    <w:div w:id="539124148">
      <w:marLeft w:val="0"/>
      <w:marRight w:val="0"/>
      <w:marTop w:val="0"/>
      <w:marBottom w:val="0"/>
      <w:divBdr>
        <w:top w:val="none" w:sz="0" w:space="0" w:color="auto"/>
        <w:left w:val="none" w:sz="0" w:space="0" w:color="auto"/>
        <w:bottom w:val="none" w:sz="0" w:space="0" w:color="auto"/>
        <w:right w:val="none" w:sz="0" w:space="0" w:color="auto"/>
      </w:divBdr>
    </w:div>
    <w:div w:id="539124149">
      <w:marLeft w:val="0"/>
      <w:marRight w:val="0"/>
      <w:marTop w:val="0"/>
      <w:marBottom w:val="0"/>
      <w:divBdr>
        <w:top w:val="none" w:sz="0" w:space="0" w:color="auto"/>
        <w:left w:val="none" w:sz="0" w:space="0" w:color="auto"/>
        <w:bottom w:val="none" w:sz="0" w:space="0" w:color="auto"/>
        <w:right w:val="none" w:sz="0" w:space="0" w:color="auto"/>
      </w:divBdr>
    </w:div>
    <w:div w:id="539124150">
      <w:marLeft w:val="0"/>
      <w:marRight w:val="0"/>
      <w:marTop w:val="0"/>
      <w:marBottom w:val="0"/>
      <w:divBdr>
        <w:top w:val="none" w:sz="0" w:space="0" w:color="auto"/>
        <w:left w:val="none" w:sz="0" w:space="0" w:color="auto"/>
        <w:bottom w:val="none" w:sz="0" w:space="0" w:color="auto"/>
        <w:right w:val="none" w:sz="0" w:space="0" w:color="auto"/>
      </w:divBdr>
    </w:div>
    <w:div w:id="539124151">
      <w:marLeft w:val="0"/>
      <w:marRight w:val="0"/>
      <w:marTop w:val="0"/>
      <w:marBottom w:val="0"/>
      <w:divBdr>
        <w:top w:val="none" w:sz="0" w:space="0" w:color="auto"/>
        <w:left w:val="none" w:sz="0" w:space="0" w:color="auto"/>
        <w:bottom w:val="none" w:sz="0" w:space="0" w:color="auto"/>
        <w:right w:val="none" w:sz="0" w:space="0" w:color="auto"/>
      </w:divBdr>
    </w:div>
    <w:div w:id="539124152">
      <w:marLeft w:val="0"/>
      <w:marRight w:val="0"/>
      <w:marTop w:val="0"/>
      <w:marBottom w:val="0"/>
      <w:divBdr>
        <w:top w:val="none" w:sz="0" w:space="0" w:color="auto"/>
        <w:left w:val="none" w:sz="0" w:space="0" w:color="auto"/>
        <w:bottom w:val="none" w:sz="0" w:space="0" w:color="auto"/>
        <w:right w:val="none" w:sz="0" w:space="0" w:color="auto"/>
      </w:divBdr>
    </w:div>
    <w:div w:id="539124153">
      <w:marLeft w:val="0"/>
      <w:marRight w:val="0"/>
      <w:marTop w:val="0"/>
      <w:marBottom w:val="0"/>
      <w:divBdr>
        <w:top w:val="none" w:sz="0" w:space="0" w:color="auto"/>
        <w:left w:val="none" w:sz="0" w:space="0" w:color="auto"/>
        <w:bottom w:val="none" w:sz="0" w:space="0" w:color="auto"/>
        <w:right w:val="none" w:sz="0" w:space="0" w:color="auto"/>
      </w:divBdr>
    </w:div>
    <w:div w:id="539124154">
      <w:marLeft w:val="0"/>
      <w:marRight w:val="0"/>
      <w:marTop w:val="0"/>
      <w:marBottom w:val="0"/>
      <w:divBdr>
        <w:top w:val="none" w:sz="0" w:space="0" w:color="auto"/>
        <w:left w:val="none" w:sz="0" w:space="0" w:color="auto"/>
        <w:bottom w:val="none" w:sz="0" w:space="0" w:color="auto"/>
        <w:right w:val="none" w:sz="0" w:space="0" w:color="auto"/>
      </w:divBdr>
    </w:div>
    <w:div w:id="539124155">
      <w:marLeft w:val="0"/>
      <w:marRight w:val="0"/>
      <w:marTop w:val="0"/>
      <w:marBottom w:val="0"/>
      <w:divBdr>
        <w:top w:val="none" w:sz="0" w:space="0" w:color="auto"/>
        <w:left w:val="none" w:sz="0" w:space="0" w:color="auto"/>
        <w:bottom w:val="none" w:sz="0" w:space="0" w:color="auto"/>
        <w:right w:val="none" w:sz="0" w:space="0" w:color="auto"/>
      </w:divBdr>
    </w:div>
    <w:div w:id="539124156">
      <w:marLeft w:val="0"/>
      <w:marRight w:val="0"/>
      <w:marTop w:val="0"/>
      <w:marBottom w:val="0"/>
      <w:divBdr>
        <w:top w:val="none" w:sz="0" w:space="0" w:color="auto"/>
        <w:left w:val="none" w:sz="0" w:space="0" w:color="auto"/>
        <w:bottom w:val="none" w:sz="0" w:space="0" w:color="auto"/>
        <w:right w:val="none" w:sz="0" w:space="0" w:color="auto"/>
      </w:divBdr>
    </w:div>
    <w:div w:id="539124157">
      <w:marLeft w:val="0"/>
      <w:marRight w:val="0"/>
      <w:marTop w:val="0"/>
      <w:marBottom w:val="0"/>
      <w:divBdr>
        <w:top w:val="none" w:sz="0" w:space="0" w:color="auto"/>
        <w:left w:val="none" w:sz="0" w:space="0" w:color="auto"/>
        <w:bottom w:val="none" w:sz="0" w:space="0" w:color="auto"/>
        <w:right w:val="none" w:sz="0" w:space="0" w:color="auto"/>
      </w:divBdr>
    </w:div>
    <w:div w:id="539124158">
      <w:marLeft w:val="0"/>
      <w:marRight w:val="0"/>
      <w:marTop w:val="0"/>
      <w:marBottom w:val="0"/>
      <w:divBdr>
        <w:top w:val="none" w:sz="0" w:space="0" w:color="auto"/>
        <w:left w:val="none" w:sz="0" w:space="0" w:color="auto"/>
        <w:bottom w:val="none" w:sz="0" w:space="0" w:color="auto"/>
        <w:right w:val="none" w:sz="0" w:space="0" w:color="auto"/>
      </w:divBdr>
    </w:div>
    <w:div w:id="539124159">
      <w:marLeft w:val="0"/>
      <w:marRight w:val="0"/>
      <w:marTop w:val="0"/>
      <w:marBottom w:val="0"/>
      <w:divBdr>
        <w:top w:val="none" w:sz="0" w:space="0" w:color="auto"/>
        <w:left w:val="none" w:sz="0" w:space="0" w:color="auto"/>
        <w:bottom w:val="none" w:sz="0" w:space="0" w:color="auto"/>
        <w:right w:val="none" w:sz="0" w:space="0" w:color="auto"/>
      </w:divBdr>
    </w:div>
    <w:div w:id="539124160">
      <w:marLeft w:val="0"/>
      <w:marRight w:val="0"/>
      <w:marTop w:val="0"/>
      <w:marBottom w:val="0"/>
      <w:divBdr>
        <w:top w:val="none" w:sz="0" w:space="0" w:color="auto"/>
        <w:left w:val="none" w:sz="0" w:space="0" w:color="auto"/>
        <w:bottom w:val="none" w:sz="0" w:space="0" w:color="auto"/>
        <w:right w:val="none" w:sz="0" w:space="0" w:color="auto"/>
      </w:divBdr>
    </w:div>
    <w:div w:id="539124161">
      <w:marLeft w:val="0"/>
      <w:marRight w:val="0"/>
      <w:marTop w:val="0"/>
      <w:marBottom w:val="0"/>
      <w:divBdr>
        <w:top w:val="none" w:sz="0" w:space="0" w:color="auto"/>
        <w:left w:val="none" w:sz="0" w:space="0" w:color="auto"/>
        <w:bottom w:val="none" w:sz="0" w:space="0" w:color="auto"/>
        <w:right w:val="none" w:sz="0" w:space="0" w:color="auto"/>
      </w:divBdr>
    </w:div>
    <w:div w:id="539124162">
      <w:marLeft w:val="0"/>
      <w:marRight w:val="0"/>
      <w:marTop w:val="0"/>
      <w:marBottom w:val="0"/>
      <w:divBdr>
        <w:top w:val="none" w:sz="0" w:space="0" w:color="auto"/>
        <w:left w:val="none" w:sz="0" w:space="0" w:color="auto"/>
        <w:bottom w:val="none" w:sz="0" w:space="0" w:color="auto"/>
        <w:right w:val="none" w:sz="0" w:space="0" w:color="auto"/>
      </w:divBdr>
    </w:div>
    <w:div w:id="539124163">
      <w:marLeft w:val="0"/>
      <w:marRight w:val="0"/>
      <w:marTop w:val="0"/>
      <w:marBottom w:val="0"/>
      <w:divBdr>
        <w:top w:val="none" w:sz="0" w:space="0" w:color="auto"/>
        <w:left w:val="none" w:sz="0" w:space="0" w:color="auto"/>
        <w:bottom w:val="none" w:sz="0" w:space="0" w:color="auto"/>
        <w:right w:val="none" w:sz="0" w:space="0" w:color="auto"/>
      </w:divBdr>
    </w:div>
    <w:div w:id="539124164">
      <w:marLeft w:val="0"/>
      <w:marRight w:val="0"/>
      <w:marTop w:val="0"/>
      <w:marBottom w:val="0"/>
      <w:divBdr>
        <w:top w:val="none" w:sz="0" w:space="0" w:color="auto"/>
        <w:left w:val="none" w:sz="0" w:space="0" w:color="auto"/>
        <w:bottom w:val="none" w:sz="0" w:space="0" w:color="auto"/>
        <w:right w:val="none" w:sz="0" w:space="0" w:color="auto"/>
      </w:divBdr>
    </w:div>
    <w:div w:id="539124165">
      <w:marLeft w:val="0"/>
      <w:marRight w:val="0"/>
      <w:marTop w:val="0"/>
      <w:marBottom w:val="0"/>
      <w:divBdr>
        <w:top w:val="none" w:sz="0" w:space="0" w:color="auto"/>
        <w:left w:val="none" w:sz="0" w:space="0" w:color="auto"/>
        <w:bottom w:val="none" w:sz="0" w:space="0" w:color="auto"/>
        <w:right w:val="none" w:sz="0" w:space="0" w:color="auto"/>
      </w:divBdr>
    </w:div>
    <w:div w:id="539124166">
      <w:marLeft w:val="0"/>
      <w:marRight w:val="0"/>
      <w:marTop w:val="0"/>
      <w:marBottom w:val="0"/>
      <w:divBdr>
        <w:top w:val="none" w:sz="0" w:space="0" w:color="auto"/>
        <w:left w:val="none" w:sz="0" w:space="0" w:color="auto"/>
        <w:bottom w:val="none" w:sz="0" w:space="0" w:color="auto"/>
        <w:right w:val="none" w:sz="0" w:space="0" w:color="auto"/>
      </w:divBdr>
    </w:div>
    <w:div w:id="539124167">
      <w:marLeft w:val="0"/>
      <w:marRight w:val="0"/>
      <w:marTop w:val="0"/>
      <w:marBottom w:val="0"/>
      <w:divBdr>
        <w:top w:val="none" w:sz="0" w:space="0" w:color="auto"/>
        <w:left w:val="none" w:sz="0" w:space="0" w:color="auto"/>
        <w:bottom w:val="none" w:sz="0" w:space="0" w:color="auto"/>
        <w:right w:val="none" w:sz="0" w:space="0" w:color="auto"/>
      </w:divBdr>
    </w:div>
    <w:div w:id="539124168">
      <w:marLeft w:val="0"/>
      <w:marRight w:val="0"/>
      <w:marTop w:val="0"/>
      <w:marBottom w:val="0"/>
      <w:divBdr>
        <w:top w:val="none" w:sz="0" w:space="0" w:color="auto"/>
        <w:left w:val="none" w:sz="0" w:space="0" w:color="auto"/>
        <w:bottom w:val="none" w:sz="0" w:space="0" w:color="auto"/>
        <w:right w:val="none" w:sz="0" w:space="0" w:color="auto"/>
      </w:divBdr>
    </w:div>
    <w:div w:id="539124169">
      <w:marLeft w:val="0"/>
      <w:marRight w:val="0"/>
      <w:marTop w:val="0"/>
      <w:marBottom w:val="0"/>
      <w:divBdr>
        <w:top w:val="none" w:sz="0" w:space="0" w:color="auto"/>
        <w:left w:val="none" w:sz="0" w:space="0" w:color="auto"/>
        <w:bottom w:val="none" w:sz="0" w:space="0" w:color="auto"/>
        <w:right w:val="none" w:sz="0" w:space="0" w:color="auto"/>
      </w:divBdr>
    </w:div>
    <w:div w:id="542249485">
      <w:bodyDiv w:val="1"/>
      <w:marLeft w:val="0"/>
      <w:marRight w:val="0"/>
      <w:marTop w:val="0"/>
      <w:marBottom w:val="0"/>
      <w:divBdr>
        <w:top w:val="none" w:sz="0" w:space="0" w:color="auto"/>
        <w:left w:val="none" w:sz="0" w:space="0" w:color="auto"/>
        <w:bottom w:val="none" w:sz="0" w:space="0" w:color="auto"/>
        <w:right w:val="none" w:sz="0" w:space="0" w:color="auto"/>
      </w:divBdr>
    </w:div>
    <w:div w:id="550119189">
      <w:bodyDiv w:val="1"/>
      <w:marLeft w:val="0"/>
      <w:marRight w:val="0"/>
      <w:marTop w:val="0"/>
      <w:marBottom w:val="0"/>
      <w:divBdr>
        <w:top w:val="none" w:sz="0" w:space="0" w:color="auto"/>
        <w:left w:val="none" w:sz="0" w:space="0" w:color="auto"/>
        <w:bottom w:val="none" w:sz="0" w:space="0" w:color="auto"/>
        <w:right w:val="none" w:sz="0" w:space="0" w:color="auto"/>
      </w:divBdr>
    </w:div>
    <w:div w:id="559220004">
      <w:bodyDiv w:val="1"/>
      <w:marLeft w:val="0"/>
      <w:marRight w:val="0"/>
      <w:marTop w:val="0"/>
      <w:marBottom w:val="0"/>
      <w:divBdr>
        <w:top w:val="none" w:sz="0" w:space="0" w:color="auto"/>
        <w:left w:val="none" w:sz="0" w:space="0" w:color="auto"/>
        <w:bottom w:val="none" w:sz="0" w:space="0" w:color="auto"/>
        <w:right w:val="none" w:sz="0" w:space="0" w:color="auto"/>
      </w:divBdr>
    </w:div>
    <w:div w:id="574976920">
      <w:bodyDiv w:val="1"/>
      <w:marLeft w:val="0"/>
      <w:marRight w:val="0"/>
      <w:marTop w:val="0"/>
      <w:marBottom w:val="0"/>
      <w:divBdr>
        <w:top w:val="none" w:sz="0" w:space="0" w:color="auto"/>
        <w:left w:val="none" w:sz="0" w:space="0" w:color="auto"/>
        <w:bottom w:val="none" w:sz="0" w:space="0" w:color="auto"/>
        <w:right w:val="none" w:sz="0" w:space="0" w:color="auto"/>
      </w:divBdr>
    </w:div>
    <w:div w:id="601762546">
      <w:bodyDiv w:val="1"/>
      <w:marLeft w:val="0"/>
      <w:marRight w:val="0"/>
      <w:marTop w:val="0"/>
      <w:marBottom w:val="0"/>
      <w:divBdr>
        <w:top w:val="none" w:sz="0" w:space="0" w:color="auto"/>
        <w:left w:val="none" w:sz="0" w:space="0" w:color="auto"/>
        <w:bottom w:val="none" w:sz="0" w:space="0" w:color="auto"/>
        <w:right w:val="none" w:sz="0" w:space="0" w:color="auto"/>
      </w:divBdr>
    </w:div>
    <w:div w:id="623315382">
      <w:bodyDiv w:val="1"/>
      <w:marLeft w:val="0"/>
      <w:marRight w:val="0"/>
      <w:marTop w:val="0"/>
      <w:marBottom w:val="0"/>
      <w:divBdr>
        <w:top w:val="none" w:sz="0" w:space="0" w:color="auto"/>
        <w:left w:val="none" w:sz="0" w:space="0" w:color="auto"/>
        <w:bottom w:val="none" w:sz="0" w:space="0" w:color="auto"/>
        <w:right w:val="none" w:sz="0" w:space="0" w:color="auto"/>
      </w:divBdr>
    </w:div>
    <w:div w:id="640236963">
      <w:bodyDiv w:val="1"/>
      <w:marLeft w:val="0"/>
      <w:marRight w:val="0"/>
      <w:marTop w:val="0"/>
      <w:marBottom w:val="0"/>
      <w:divBdr>
        <w:top w:val="none" w:sz="0" w:space="0" w:color="auto"/>
        <w:left w:val="none" w:sz="0" w:space="0" w:color="auto"/>
        <w:bottom w:val="none" w:sz="0" w:space="0" w:color="auto"/>
        <w:right w:val="none" w:sz="0" w:space="0" w:color="auto"/>
      </w:divBdr>
    </w:div>
    <w:div w:id="644552290">
      <w:bodyDiv w:val="1"/>
      <w:marLeft w:val="0"/>
      <w:marRight w:val="0"/>
      <w:marTop w:val="0"/>
      <w:marBottom w:val="0"/>
      <w:divBdr>
        <w:top w:val="none" w:sz="0" w:space="0" w:color="auto"/>
        <w:left w:val="none" w:sz="0" w:space="0" w:color="auto"/>
        <w:bottom w:val="none" w:sz="0" w:space="0" w:color="auto"/>
        <w:right w:val="none" w:sz="0" w:space="0" w:color="auto"/>
      </w:divBdr>
    </w:div>
    <w:div w:id="666713935">
      <w:bodyDiv w:val="1"/>
      <w:marLeft w:val="0"/>
      <w:marRight w:val="0"/>
      <w:marTop w:val="0"/>
      <w:marBottom w:val="0"/>
      <w:divBdr>
        <w:top w:val="none" w:sz="0" w:space="0" w:color="auto"/>
        <w:left w:val="none" w:sz="0" w:space="0" w:color="auto"/>
        <w:bottom w:val="none" w:sz="0" w:space="0" w:color="auto"/>
        <w:right w:val="none" w:sz="0" w:space="0" w:color="auto"/>
      </w:divBdr>
    </w:div>
    <w:div w:id="669258987">
      <w:bodyDiv w:val="1"/>
      <w:marLeft w:val="0"/>
      <w:marRight w:val="0"/>
      <w:marTop w:val="0"/>
      <w:marBottom w:val="0"/>
      <w:divBdr>
        <w:top w:val="none" w:sz="0" w:space="0" w:color="auto"/>
        <w:left w:val="none" w:sz="0" w:space="0" w:color="auto"/>
        <w:bottom w:val="none" w:sz="0" w:space="0" w:color="auto"/>
        <w:right w:val="none" w:sz="0" w:space="0" w:color="auto"/>
      </w:divBdr>
    </w:div>
    <w:div w:id="685788862">
      <w:bodyDiv w:val="1"/>
      <w:marLeft w:val="0"/>
      <w:marRight w:val="0"/>
      <w:marTop w:val="0"/>
      <w:marBottom w:val="0"/>
      <w:divBdr>
        <w:top w:val="none" w:sz="0" w:space="0" w:color="auto"/>
        <w:left w:val="none" w:sz="0" w:space="0" w:color="auto"/>
        <w:bottom w:val="none" w:sz="0" w:space="0" w:color="auto"/>
        <w:right w:val="none" w:sz="0" w:space="0" w:color="auto"/>
      </w:divBdr>
    </w:div>
    <w:div w:id="707144255">
      <w:bodyDiv w:val="1"/>
      <w:marLeft w:val="0"/>
      <w:marRight w:val="0"/>
      <w:marTop w:val="0"/>
      <w:marBottom w:val="0"/>
      <w:divBdr>
        <w:top w:val="none" w:sz="0" w:space="0" w:color="auto"/>
        <w:left w:val="none" w:sz="0" w:space="0" w:color="auto"/>
        <w:bottom w:val="none" w:sz="0" w:space="0" w:color="auto"/>
        <w:right w:val="none" w:sz="0" w:space="0" w:color="auto"/>
      </w:divBdr>
    </w:div>
    <w:div w:id="730419134">
      <w:bodyDiv w:val="1"/>
      <w:marLeft w:val="0"/>
      <w:marRight w:val="0"/>
      <w:marTop w:val="0"/>
      <w:marBottom w:val="0"/>
      <w:divBdr>
        <w:top w:val="none" w:sz="0" w:space="0" w:color="auto"/>
        <w:left w:val="none" w:sz="0" w:space="0" w:color="auto"/>
        <w:bottom w:val="none" w:sz="0" w:space="0" w:color="auto"/>
        <w:right w:val="none" w:sz="0" w:space="0" w:color="auto"/>
      </w:divBdr>
    </w:div>
    <w:div w:id="738479994">
      <w:bodyDiv w:val="1"/>
      <w:marLeft w:val="0"/>
      <w:marRight w:val="0"/>
      <w:marTop w:val="0"/>
      <w:marBottom w:val="0"/>
      <w:divBdr>
        <w:top w:val="none" w:sz="0" w:space="0" w:color="auto"/>
        <w:left w:val="none" w:sz="0" w:space="0" w:color="auto"/>
        <w:bottom w:val="none" w:sz="0" w:space="0" w:color="auto"/>
        <w:right w:val="none" w:sz="0" w:space="0" w:color="auto"/>
      </w:divBdr>
    </w:div>
    <w:div w:id="744376536">
      <w:bodyDiv w:val="1"/>
      <w:marLeft w:val="0"/>
      <w:marRight w:val="0"/>
      <w:marTop w:val="0"/>
      <w:marBottom w:val="0"/>
      <w:divBdr>
        <w:top w:val="none" w:sz="0" w:space="0" w:color="auto"/>
        <w:left w:val="none" w:sz="0" w:space="0" w:color="auto"/>
        <w:bottom w:val="none" w:sz="0" w:space="0" w:color="auto"/>
        <w:right w:val="none" w:sz="0" w:space="0" w:color="auto"/>
      </w:divBdr>
    </w:div>
    <w:div w:id="748229989">
      <w:bodyDiv w:val="1"/>
      <w:marLeft w:val="0"/>
      <w:marRight w:val="0"/>
      <w:marTop w:val="0"/>
      <w:marBottom w:val="0"/>
      <w:divBdr>
        <w:top w:val="none" w:sz="0" w:space="0" w:color="auto"/>
        <w:left w:val="none" w:sz="0" w:space="0" w:color="auto"/>
        <w:bottom w:val="none" w:sz="0" w:space="0" w:color="auto"/>
        <w:right w:val="none" w:sz="0" w:space="0" w:color="auto"/>
      </w:divBdr>
    </w:div>
    <w:div w:id="754744067">
      <w:bodyDiv w:val="1"/>
      <w:marLeft w:val="0"/>
      <w:marRight w:val="0"/>
      <w:marTop w:val="0"/>
      <w:marBottom w:val="0"/>
      <w:divBdr>
        <w:top w:val="none" w:sz="0" w:space="0" w:color="auto"/>
        <w:left w:val="none" w:sz="0" w:space="0" w:color="auto"/>
        <w:bottom w:val="none" w:sz="0" w:space="0" w:color="auto"/>
        <w:right w:val="none" w:sz="0" w:space="0" w:color="auto"/>
      </w:divBdr>
    </w:div>
    <w:div w:id="764879985">
      <w:bodyDiv w:val="1"/>
      <w:marLeft w:val="0"/>
      <w:marRight w:val="0"/>
      <w:marTop w:val="0"/>
      <w:marBottom w:val="0"/>
      <w:divBdr>
        <w:top w:val="none" w:sz="0" w:space="0" w:color="auto"/>
        <w:left w:val="none" w:sz="0" w:space="0" w:color="auto"/>
        <w:bottom w:val="none" w:sz="0" w:space="0" w:color="auto"/>
        <w:right w:val="none" w:sz="0" w:space="0" w:color="auto"/>
      </w:divBdr>
    </w:div>
    <w:div w:id="770971279">
      <w:bodyDiv w:val="1"/>
      <w:marLeft w:val="0"/>
      <w:marRight w:val="0"/>
      <w:marTop w:val="0"/>
      <w:marBottom w:val="0"/>
      <w:divBdr>
        <w:top w:val="none" w:sz="0" w:space="0" w:color="auto"/>
        <w:left w:val="none" w:sz="0" w:space="0" w:color="auto"/>
        <w:bottom w:val="none" w:sz="0" w:space="0" w:color="auto"/>
        <w:right w:val="none" w:sz="0" w:space="0" w:color="auto"/>
      </w:divBdr>
    </w:div>
    <w:div w:id="786847453">
      <w:bodyDiv w:val="1"/>
      <w:marLeft w:val="0"/>
      <w:marRight w:val="0"/>
      <w:marTop w:val="0"/>
      <w:marBottom w:val="0"/>
      <w:divBdr>
        <w:top w:val="none" w:sz="0" w:space="0" w:color="auto"/>
        <w:left w:val="none" w:sz="0" w:space="0" w:color="auto"/>
        <w:bottom w:val="none" w:sz="0" w:space="0" w:color="auto"/>
        <w:right w:val="none" w:sz="0" w:space="0" w:color="auto"/>
      </w:divBdr>
    </w:div>
    <w:div w:id="790053211">
      <w:bodyDiv w:val="1"/>
      <w:marLeft w:val="0"/>
      <w:marRight w:val="0"/>
      <w:marTop w:val="0"/>
      <w:marBottom w:val="0"/>
      <w:divBdr>
        <w:top w:val="none" w:sz="0" w:space="0" w:color="auto"/>
        <w:left w:val="none" w:sz="0" w:space="0" w:color="auto"/>
        <w:bottom w:val="none" w:sz="0" w:space="0" w:color="auto"/>
        <w:right w:val="none" w:sz="0" w:space="0" w:color="auto"/>
      </w:divBdr>
    </w:div>
    <w:div w:id="799033611">
      <w:bodyDiv w:val="1"/>
      <w:marLeft w:val="0"/>
      <w:marRight w:val="0"/>
      <w:marTop w:val="0"/>
      <w:marBottom w:val="0"/>
      <w:divBdr>
        <w:top w:val="none" w:sz="0" w:space="0" w:color="auto"/>
        <w:left w:val="none" w:sz="0" w:space="0" w:color="auto"/>
        <w:bottom w:val="none" w:sz="0" w:space="0" w:color="auto"/>
        <w:right w:val="none" w:sz="0" w:space="0" w:color="auto"/>
      </w:divBdr>
    </w:div>
    <w:div w:id="826943323">
      <w:bodyDiv w:val="1"/>
      <w:marLeft w:val="0"/>
      <w:marRight w:val="0"/>
      <w:marTop w:val="0"/>
      <w:marBottom w:val="0"/>
      <w:divBdr>
        <w:top w:val="none" w:sz="0" w:space="0" w:color="auto"/>
        <w:left w:val="none" w:sz="0" w:space="0" w:color="auto"/>
        <w:bottom w:val="none" w:sz="0" w:space="0" w:color="auto"/>
        <w:right w:val="none" w:sz="0" w:space="0" w:color="auto"/>
      </w:divBdr>
    </w:div>
    <w:div w:id="832112003">
      <w:bodyDiv w:val="1"/>
      <w:marLeft w:val="0"/>
      <w:marRight w:val="0"/>
      <w:marTop w:val="0"/>
      <w:marBottom w:val="0"/>
      <w:divBdr>
        <w:top w:val="none" w:sz="0" w:space="0" w:color="auto"/>
        <w:left w:val="none" w:sz="0" w:space="0" w:color="auto"/>
        <w:bottom w:val="none" w:sz="0" w:space="0" w:color="auto"/>
        <w:right w:val="none" w:sz="0" w:space="0" w:color="auto"/>
      </w:divBdr>
    </w:div>
    <w:div w:id="852839435">
      <w:bodyDiv w:val="1"/>
      <w:marLeft w:val="0"/>
      <w:marRight w:val="0"/>
      <w:marTop w:val="0"/>
      <w:marBottom w:val="0"/>
      <w:divBdr>
        <w:top w:val="none" w:sz="0" w:space="0" w:color="auto"/>
        <w:left w:val="none" w:sz="0" w:space="0" w:color="auto"/>
        <w:bottom w:val="none" w:sz="0" w:space="0" w:color="auto"/>
        <w:right w:val="none" w:sz="0" w:space="0" w:color="auto"/>
      </w:divBdr>
    </w:div>
    <w:div w:id="867570409">
      <w:bodyDiv w:val="1"/>
      <w:marLeft w:val="0"/>
      <w:marRight w:val="0"/>
      <w:marTop w:val="0"/>
      <w:marBottom w:val="0"/>
      <w:divBdr>
        <w:top w:val="none" w:sz="0" w:space="0" w:color="auto"/>
        <w:left w:val="none" w:sz="0" w:space="0" w:color="auto"/>
        <w:bottom w:val="none" w:sz="0" w:space="0" w:color="auto"/>
        <w:right w:val="none" w:sz="0" w:space="0" w:color="auto"/>
      </w:divBdr>
    </w:div>
    <w:div w:id="897476789">
      <w:bodyDiv w:val="1"/>
      <w:marLeft w:val="0"/>
      <w:marRight w:val="0"/>
      <w:marTop w:val="0"/>
      <w:marBottom w:val="0"/>
      <w:divBdr>
        <w:top w:val="none" w:sz="0" w:space="0" w:color="auto"/>
        <w:left w:val="none" w:sz="0" w:space="0" w:color="auto"/>
        <w:bottom w:val="none" w:sz="0" w:space="0" w:color="auto"/>
        <w:right w:val="none" w:sz="0" w:space="0" w:color="auto"/>
      </w:divBdr>
    </w:div>
    <w:div w:id="904100349">
      <w:bodyDiv w:val="1"/>
      <w:marLeft w:val="0"/>
      <w:marRight w:val="0"/>
      <w:marTop w:val="0"/>
      <w:marBottom w:val="0"/>
      <w:divBdr>
        <w:top w:val="none" w:sz="0" w:space="0" w:color="auto"/>
        <w:left w:val="none" w:sz="0" w:space="0" w:color="auto"/>
        <w:bottom w:val="none" w:sz="0" w:space="0" w:color="auto"/>
        <w:right w:val="none" w:sz="0" w:space="0" w:color="auto"/>
      </w:divBdr>
    </w:div>
    <w:div w:id="935937615">
      <w:bodyDiv w:val="1"/>
      <w:marLeft w:val="0"/>
      <w:marRight w:val="0"/>
      <w:marTop w:val="0"/>
      <w:marBottom w:val="0"/>
      <w:divBdr>
        <w:top w:val="none" w:sz="0" w:space="0" w:color="auto"/>
        <w:left w:val="none" w:sz="0" w:space="0" w:color="auto"/>
        <w:bottom w:val="none" w:sz="0" w:space="0" w:color="auto"/>
        <w:right w:val="none" w:sz="0" w:space="0" w:color="auto"/>
      </w:divBdr>
    </w:div>
    <w:div w:id="949506004">
      <w:bodyDiv w:val="1"/>
      <w:marLeft w:val="0"/>
      <w:marRight w:val="0"/>
      <w:marTop w:val="0"/>
      <w:marBottom w:val="0"/>
      <w:divBdr>
        <w:top w:val="none" w:sz="0" w:space="0" w:color="auto"/>
        <w:left w:val="none" w:sz="0" w:space="0" w:color="auto"/>
        <w:bottom w:val="none" w:sz="0" w:space="0" w:color="auto"/>
        <w:right w:val="none" w:sz="0" w:space="0" w:color="auto"/>
      </w:divBdr>
    </w:div>
    <w:div w:id="1013073503">
      <w:bodyDiv w:val="1"/>
      <w:marLeft w:val="0"/>
      <w:marRight w:val="0"/>
      <w:marTop w:val="0"/>
      <w:marBottom w:val="0"/>
      <w:divBdr>
        <w:top w:val="none" w:sz="0" w:space="0" w:color="auto"/>
        <w:left w:val="none" w:sz="0" w:space="0" w:color="auto"/>
        <w:bottom w:val="none" w:sz="0" w:space="0" w:color="auto"/>
        <w:right w:val="none" w:sz="0" w:space="0" w:color="auto"/>
      </w:divBdr>
    </w:div>
    <w:div w:id="1063598559">
      <w:bodyDiv w:val="1"/>
      <w:marLeft w:val="0"/>
      <w:marRight w:val="0"/>
      <w:marTop w:val="0"/>
      <w:marBottom w:val="0"/>
      <w:divBdr>
        <w:top w:val="none" w:sz="0" w:space="0" w:color="auto"/>
        <w:left w:val="none" w:sz="0" w:space="0" w:color="auto"/>
        <w:bottom w:val="none" w:sz="0" w:space="0" w:color="auto"/>
        <w:right w:val="none" w:sz="0" w:space="0" w:color="auto"/>
      </w:divBdr>
    </w:div>
    <w:div w:id="1087075548">
      <w:bodyDiv w:val="1"/>
      <w:marLeft w:val="0"/>
      <w:marRight w:val="0"/>
      <w:marTop w:val="0"/>
      <w:marBottom w:val="0"/>
      <w:divBdr>
        <w:top w:val="none" w:sz="0" w:space="0" w:color="auto"/>
        <w:left w:val="none" w:sz="0" w:space="0" w:color="auto"/>
        <w:bottom w:val="none" w:sz="0" w:space="0" w:color="auto"/>
        <w:right w:val="none" w:sz="0" w:space="0" w:color="auto"/>
      </w:divBdr>
    </w:div>
    <w:div w:id="1090813851">
      <w:bodyDiv w:val="1"/>
      <w:marLeft w:val="0"/>
      <w:marRight w:val="0"/>
      <w:marTop w:val="0"/>
      <w:marBottom w:val="0"/>
      <w:divBdr>
        <w:top w:val="none" w:sz="0" w:space="0" w:color="auto"/>
        <w:left w:val="none" w:sz="0" w:space="0" w:color="auto"/>
        <w:bottom w:val="none" w:sz="0" w:space="0" w:color="auto"/>
        <w:right w:val="none" w:sz="0" w:space="0" w:color="auto"/>
      </w:divBdr>
    </w:div>
    <w:div w:id="1133522538">
      <w:bodyDiv w:val="1"/>
      <w:marLeft w:val="0"/>
      <w:marRight w:val="0"/>
      <w:marTop w:val="0"/>
      <w:marBottom w:val="0"/>
      <w:divBdr>
        <w:top w:val="none" w:sz="0" w:space="0" w:color="auto"/>
        <w:left w:val="none" w:sz="0" w:space="0" w:color="auto"/>
        <w:bottom w:val="none" w:sz="0" w:space="0" w:color="auto"/>
        <w:right w:val="none" w:sz="0" w:space="0" w:color="auto"/>
      </w:divBdr>
    </w:div>
    <w:div w:id="1143618169">
      <w:bodyDiv w:val="1"/>
      <w:marLeft w:val="0"/>
      <w:marRight w:val="0"/>
      <w:marTop w:val="0"/>
      <w:marBottom w:val="0"/>
      <w:divBdr>
        <w:top w:val="none" w:sz="0" w:space="0" w:color="auto"/>
        <w:left w:val="none" w:sz="0" w:space="0" w:color="auto"/>
        <w:bottom w:val="none" w:sz="0" w:space="0" w:color="auto"/>
        <w:right w:val="none" w:sz="0" w:space="0" w:color="auto"/>
      </w:divBdr>
    </w:div>
    <w:div w:id="1165704077">
      <w:bodyDiv w:val="1"/>
      <w:marLeft w:val="0"/>
      <w:marRight w:val="0"/>
      <w:marTop w:val="0"/>
      <w:marBottom w:val="0"/>
      <w:divBdr>
        <w:top w:val="none" w:sz="0" w:space="0" w:color="auto"/>
        <w:left w:val="none" w:sz="0" w:space="0" w:color="auto"/>
        <w:bottom w:val="none" w:sz="0" w:space="0" w:color="auto"/>
        <w:right w:val="none" w:sz="0" w:space="0" w:color="auto"/>
      </w:divBdr>
    </w:div>
    <w:div w:id="1193345651">
      <w:bodyDiv w:val="1"/>
      <w:marLeft w:val="0"/>
      <w:marRight w:val="0"/>
      <w:marTop w:val="0"/>
      <w:marBottom w:val="0"/>
      <w:divBdr>
        <w:top w:val="none" w:sz="0" w:space="0" w:color="auto"/>
        <w:left w:val="none" w:sz="0" w:space="0" w:color="auto"/>
        <w:bottom w:val="none" w:sz="0" w:space="0" w:color="auto"/>
        <w:right w:val="none" w:sz="0" w:space="0" w:color="auto"/>
      </w:divBdr>
    </w:div>
    <w:div w:id="1228415928">
      <w:bodyDiv w:val="1"/>
      <w:marLeft w:val="0"/>
      <w:marRight w:val="0"/>
      <w:marTop w:val="0"/>
      <w:marBottom w:val="0"/>
      <w:divBdr>
        <w:top w:val="none" w:sz="0" w:space="0" w:color="auto"/>
        <w:left w:val="none" w:sz="0" w:space="0" w:color="auto"/>
        <w:bottom w:val="none" w:sz="0" w:space="0" w:color="auto"/>
        <w:right w:val="none" w:sz="0" w:space="0" w:color="auto"/>
      </w:divBdr>
    </w:div>
    <w:div w:id="1247499275">
      <w:bodyDiv w:val="1"/>
      <w:marLeft w:val="0"/>
      <w:marRight w:val="0"/>
      <w:marTop w:val="0"/>
      <w:marBottom w:val="0"/>
      <w:divBdr>
        <w:top w:val="none" w:sz="0" w:space="0" w:color="auto"/>
        <w:left w:val="none" w:sz="0" w:space="0" w:color="auto"/>
        <w:bottom w:val="none" w:sz="0" w:space="0" w:color="auto"/>
        <w:right w:val="none" w:sz="0" w:space="0" w:color="auto"/>
      </w:divBdr>
    </w:div>
    <w:div w:id="1257791487">
      <w:bodyDiv w:val="1"/>
      <w:marLeft w:val="0"/>
      <w:marRight w:val="0"/>
      <w:marTop w:val="0"/>
      <w:marBottom w:val="0"/>
      <w:divBdr>
        <w:top w:val="none" w:sz="0" w:space="0" w:color="auto"/>
        <w:left w:val="none" w:sz="0" w:space="0" w:color="auto"/>
        <w:bottom w:val="none" w:sz="0" w:space="0" w:color="auto"/>
        <w:right w:val="none" w:sz="0" w:space="0" w:color="auto"/>
      </w:divBdr>
    </w:div>
    <w:div w:id="1292128504">
      <w:bodyDiv w:val="1"/>
      <w:marLeft w:val="0"/>
      <w:marRight w:val="0"/>
      <w:marTop w:val="0"/>
      <w:marBottom w:val="0"/>
      <w:divBdr>
        <w:top w:val="none" w:sz="0" w:space="0" w:color="auto"/>
        <w:left w:val="none" w:sz="0" w:space="0" w:color="auto"/>
        <w:bottom w:val="none" w:sz="0" w:space="0" w:color="auto"/>
        <w:right w:val="none" w:sz="0" w:space="0" w:color="auto"/>
      </w:divBdr>
    </w:div>
    <w:div w:id="1308893667">
      <w:bodyDiv w:val="1"/>
      <w:marLeft w:val="0"/>
      <w:marRight w:val="0"/>
      <w:marTop w:val="0"/>
      <w:marBottom w:val="0"/>
      <w:divBdr>
        <w:top w:val="none" w:sz="0" w:space="0" w:color="auto"/>
        <w:left w:val="none" w:sz="0" w:space="0" w:color="auto"/>
        <w:bottom w:val="none" w:sz="0" w:space="0" w:color="auto"/>
        <w:right w:val="none" w:sz="0" w:space="0" w:color="auto"/>
      </w:divBdr>
    </w:div>
    <w:div w:id="1362125032">
      <w:bodyDiv w:val="1"/>
      <w:marLeft w:val="0"/>
      <w:marRight w:val="0"/>
      <w:marTop w:val="0"/>
      <w:marBottom w:val="0"/>
      <w:divBdr>
        <w:top w:val="none" w:sz="0" w:space="0" w:color="auto"/>
        <w:left w:val="none" w:sz="0" w:space="0" w:color="auto"/>
        <w:bottom w:val="none" w:sz="0" w:space="0" w:color="auto"/>
        <w:right w:val="none" w:sz="0" w:space="0" w:color="auto"/>
      </w:divBdr>
    </w:div>
    <w:div w:id="1369253808">
      <w:bodyDiv w:val="1"/>
      <w:marLeft w:val="0"/>
      <w:marRight w:val="0"/>
      <w:marTop w:val="0"/>
      <w:marBottom w:val="0"/>
      <w:divBdr>
        <w:top w:val="none" w:sz="0" w:space="0" w:color="auto"/>
        <w:left w:val="none" w:sz="0" w:space="0" w:color="auto"/>
        <w:bottom w:val="none" w:sz="0" w:space="0" w:color="auto"/>
        <w:right w:val="none" w:sz="0" w:space="0" w:color="auto"/>
      </w:divBdr>
    </w:div>
    <w:div w:id="1435709440">
      <w:bodyDiv w:val="1"/>
      <w:marLeft w:val="0"/>
      <w:marRight w:val="0"/>
      <w:marTop w:val="0"/>
      <w:marBottom w:val="0"/>
      <w:divBdr>
        <w:top w:val="none" w:sz="0" w:space="0" w:color="auto"/>
        <w:left w:val="none" w:sz="0" w:space="0" w:color="auto"/>
        <w:bottom w:val="none" w:sz="0" w:space="0" w:color="auto"/>
        <w:right w:val="none" w:sz="0" w:space="0" w:color="auto"/>
      </w:divBdr>
    </w:div>
    <w:div w:id="1439258171">
      <w:bodyDiv w:val="1"/>
      <w:marLeft w:val="0"/>
      <w:marRight w:val="0"/>
      <w:marTop w:val="0"/>
      <w:marBottom w:val="0"/>
      <w:divBdr>
        <w:top w:val="none" w:sz="0" w:space="0" w:color="auto"/>
        <w:left w:val="none" w:sz="0" w:space="0" w:color="auto"/>
        <w:bottom w:val="none" w:sz="0" w:space="0" w:color="auto"/>
        <w:right w:val="none" w:sz="0" w:space="0" w:color="auto"/>
      </w:divBdr>
    </w:div>
    <w:div w:id="1474446360">
      <w:bodyDiv w:val="1"/>
      <w:marLeft w:val="0"/>
      <w:marRight w:val="0"/>
      <w:marTop w:val="0"/>
      <w:marBottom w:val="0"/>
      <w:divBdr>
        <w:top w:val="none" w:sz="0" w:space="0" w:color="auto"/>
        <w:left w:val="none" w:sz="0" w:space="0" w:color="auto"/>
        <w:bottom w:val="none" w:sz="0" w:space="0" w:color="auto"/>
        <w:right w:val="none" w:sz="0" w:space="0" w:color="auto"/>
      </w:divBdr>
    </w:div>
    <w:div w:id="1484003825">
      <w:bodyDiv w:val="1"/>
      <w:marLeft w:val="0"/>
      <w:marRight w:val="0"/>
      <w:marTop w:val="0"/>
      <w:marBottom w:val="0"/>
      <w:divBdr>
        <w:top w:val="none" w:sz="0" w:space="0" w:color="auto"/>
        <w:left w:val="none" w:sz="0" w:space="0" w:color="auto"/>
        <w:bottom w:val="none" w:sz="0" w:space="0" w:color="auto"/>
        <w:right w:val="none" w:sz="0" w:space="0" w:color="auto"/>
      </w:divBdr>
    </w:div>
    <w:div w:id="1484469845">
      <w:bodyDiv w:val="1"/>
      <w:marLeft w:val="0"/>
      <w:marRight w:val="0"/>
      <w:marTop w:val="0"/>
      <w:marBottom w:val="0"/>
      <w:divBdr>
        <w:top w:val="none" w:sz="0" w:space="0" w:color="auto"/>
        <w:left w:val="none" w:sz="0" w:space="0" w:color="auto"/>
        <w:bottom w:val="none" w:sz="0" w:space="0" w:color="auto"/>
        <w:right w:val="none" w:sz="0" w:space="0" w:color="auto"/>
      </w:divBdr>
    </w:div>
    <w:div w:id="1508904816">
      <w:bodyDiv w:val="1"/>
      <w:marLeft w:val="0"/>
      <w:marRight w:val="0"/>
      <w:marTop w:val="0"/>
      <w:marBottom w:val="0"/>
      <w:divBdr>
        <w:top w:val="none" w:sz="0" w:space="0" w:color="auto"/>
        <w:left w:val="none" w:sz="0" w:space="0" w:color="auto"/>
        <w:bottom w:val="none" w:sz="0" w:space="0" w:color="auto"/>
        <w:right w:val="none" w:sz="0" w:space="0" w:color="auto"/>
      </w:divBdr>
    </w:div>
    <w:div w:id="1516337977">
      <w:bodyDiv w:val="1"/>
      <w:marLeft w:val="0"/>
      <w:marRight w:val="0"/>
      <w:marTop w:val="0"/>
      <w:marBottom w:val="0"/>
      <w:divBdr>
        <w:top w:val="none" w:sz="0" w:space="0" w:color="auto"/>
        <w:left w:val="none" w:sz="0" w:space="0" w:color="auto"/>
        <w:bottom w:val="none" w:sz="0" w:space="0" w:color="auto"/>
        <w:right w:val="none" w:sz="0" w:space="0" w:color="auto"/>
      </w:divBdr>
    </w:div>
    <w:div w:id="1522353908">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30292706">
      <w:bodyDiv w:val="1"/>
      <w:marLeft w:val="0"/>
      <w:marRight w:val="0"/>
      <w:marTop w:val="0"/>
      <w:marBottom w:val="0"/>
      <w:divBdr>
        <w:top w:val="none" w:sz="0" w:space="0" w:color="auto"/>
        <w:left w:val="none" w:sz="0" w:space="0" w:color="auto"/>
        <w:bottom w:val="none" w:sz="0" w:space="0" w:color="auto"/>
        <w:right w:val="none" w:sz="0" w:space="0" w:color="auto"/>
      </w:divBdr>
    </w:div>
    <w:div w:id="1540438078">
      <w:bodyDiv w:val="1"/>
      <w:marLeft w:val="0"/>
      <w:marRight w:val="0"/>
      <w:marTop w:val="0"/>
      <w:marBottom w:val="0"/>
      <w:divBdr>
        <w:top w:val="none" w:sz="0" w:space="0" w:color="auto"/>
        <w:left w:val="none" w:sz="0" w:space="0" w:color="auto"/>
        <w:bottom w:val="none" w:sz="0" w:space="0" w:color="auto"/>
        <w:right w:val="none" w:sz="0" w:space="0" w:color="auto"/>
      </w:divBdr>
    </w:div>
    <w:div w:id="1620840114">
      <w:bodyDiv w:val="1"/>
      <w:marLeft w:val="0"/>
      <w:marRight w:val="0"/>
      <w:marTop w:val="0"/>
      <w:marBottom w:val="0"/>
      <w:divBdr>
        <w:top w:val="none" w:sz="0" w:space="0" w:color="auto"/>
        <w:left w:val="none" w:sz="0" w:space="0" w:color="auto"/>
        <w:bottom w:val="none" w:sz="0" w:space="0" w:color="auto"/>
        <w:right w:val="none" w:sz="0" w:space="0" w:color="auto"/>
      </w:divBdr>
    </w:div>
    <w:div w:id="1629238625">
      <w:bodyDiv w:val="1"/>
      <w:marLeft w:val="0"/>
      <w:marRight w:val="0"/>
      <w:marTop w:val="0"/>
      <w:marBottom w:val="0"/>
      <w:divBdr>
        <w:top w:val="none" w:sz="0" w:space="0" w:color="auto"/>
        <w:left w:val="none" w:sz="0" w:space="0" w:color="auto"/>
        <w:bottom w:val="none" w:sz="0" w:space="0" w:color="auto"/>
        <w:right w:val="none" w:sz="0" w:space="0" w:color="auto"/>
      </w:divBdr>
    </w:div>
    <w:div w:id="1629972568">
      <w:bodyDiv w:val="1"/>
      <w:marLeft w:val="0"/>
      <w:marRight w:val="0"/>
      <w:marTop w:val="0"/>
      <w:marBottom w:val="0"/>
      <w:divBdr>
        <w:top w:val="none" w:sz="0" w:space="0" w:color="auto"/>
        <w:left w:val="none" w:sz="0" w:space="0" w:color="auto"/>
        <w:bottom w:val="none" w:sz="0" w:space="0" w:color="auto"/>
        <w:right w:val="none" w:sz="0" w:space="0" w:color="auto"/>
      </w:divBdr>
    </w:div>
    <w:div w:id="1647122183">
      <w:bodyDiv w:val="1"/>
      <w:marLeft w:val="0"/>
      <w:marRight w:val="0"/>
      <w:marTop w:val="0"/>
      <w:marBottom w:val="0"/>
      <w:divBdr>
        <w:top w:val="none" w:sz="0" w:space="0" w:color="auto"/>
        <w:left w:val="none" w:sz="0" w:space="0" w:color="auto"/>
        <w:bottom w:val="none" w:sz="0" w:space="0" w:color="auto"/>
        <w:right w:val="none" w:sz="0" w:space="0" w:color="auto"/>
      </w:divBdr>
    </w:div>
    <w:div w:id="1682858408">
      <w:bodyDiv w:val="1"/>
      <w:marLeft w:val="0"/>
      <w:marRight w:val="0"/>
      <w:marTop w:val="0"/>
      <w:marBottom w:val="0"/>
      <w:divBdr>
        <w:top w:val="none" w:sz="0" w:space="0" w:color="auto"/>
        <w:left w:val="none" w:sz="0" w:space="0" w:color="auto"/>
        <w:bottom w:val="none" w:sz="0" w:space="0" w:color="auto"/>
        <w:right w:val="none" w:sz="0" w:space="0" w:color="auto"/>
      </w:divBdr>
    </w:div>
    <w:div w:id="1725446673">
      <w:bodyDiv w:val="1"/>
      <w:marLeft w:val="0"/>
      <w:marRight w:val="0"/>
      <w:marTop w:val="0"/>
      <w:marBottom w:val="0"/>
      <w:divBdr>
        <w:top w:val="none" w:sz="0" w:space="0" w:color="auto"/>
        <w:left w:val="none" w:sz="0" w:space="0" w:color="auto"/>
        <w:bottom w:val="none" w:sz="0" w:space="0" w:color="auto"/>
        <w:right w:val="none" w:sz="0" w:space="0" w:color="auto"/>
      </w:divBdr>
    </w:div>
    <w:div w:id="1758355944">
      <w:bodyDiv w:val="1"/>
      <w:marLeft w:val="0"/>
      <w:marRight w:val="0"/>
      <w:marTop w:val="0"/>
      <w:marBottom w:val="0"/>
      <w:divBdr>
        <w:top w:val="none" w:sz="0" w:space="0" w:color="auto"/>
        <w:left w:val="none" w:sz="0" w:space="0" w:color="auto"/>
        <w:bottom w:val="none" w:sz="0" w:space="0" w:color="auto"/>
        <w:right w:val="none" w:sz="0" w:space="0" w:color="auto"/>
      </w:divBdr>
    </w:div>
    <w:div w:id="1769888797">
      <w:bodyDiv w:val="1"/>
      <w:marLeft w:val="0"/>
      <w:marRight w:val="0"/>
      <w:marTop w:val="0"/>
      <w:marBottom w:val="0"/>
      <w:divBdr>
        <w:top w:val="none" w:sz="0" w:space="0" w:color="auto"/>
        <w:left w:val="none" w:sz="0" w:space="0" w:color="auto"/>
        <w:bottom w:val="none" w:sz="0" w:space="0" w:color="auto"/>
        <w:right w:val="none" w:sz="0" w:space="0" w:color="auto"/>
      </w:divBdr>
    </w:div>
    <w:div w:id="1776093199">
      <w:bodyDiv w:val="1"/>
      <w:marLeft w:val="0"/>
      <w:marRight w:val="0"/>
      <w:marTop w:val="0"/>
      <w:marBottom w:val="0"/>
      <w:divBdr>
        <w:top w:val="none" w:sz="0" w:space="0" w:color="auto"/>
        <w:left w:val="none" w:sz="0" w:space="0" w:color="auto"/>
        <w:bottom w:val="none" w:sz="0" w:space="0" w:color="auto"/>
        <w:right w:val="none" w:sz="0" w:space="0" w:color="auto"/>
      </w:divBdr>
    </w:div>
    <w:div w:id="1784304784">
      <w:bodyDiv w:val="1"/>
      <w:marLeft w:val="0"/>
      <w:marRight w:val="0"/>
      <w:marTop w:val="0"/>
      <w:marBottom w:val="0"/>
      <w:divBdr>
        <w:top w:val="none" w:sz="0" w:space="0" w:color="auto"/>
        <w:left w:val="none" w:sz="0" w:space="0" w:color="auto"/>
        <w:bottom w:val="none" w:sz="0" w:space="0" w:color="auto"/>
        <w:right w:val="none" w:sz="0" w:space="0" w:color="auto"/>
      </w:divBdr>
    </w:div>
    <w:div w:id="1804417981">
      <w:bodyDiv w:val="1"/>
      <w:marLeft w:val="0"/>
      <w:marRight w:val="0"/>
      <w:marTop w:val="0"/>
      <w:marBottom w:val="0"/>
      <w:divBdr>
        <w:top w:val="none" w:sz="0" w:space="0" w:color="auto"/>
        <w:left w:val="none" w:sz="0" w:space="0" w:color="auto"/>
        <w:bottom w:val="none" w:sz="0" w:space="0" w:color="auto"/>
        <w:right w:val="none" w:sz="0" w:space="0" w:color="auto"/>
      </w:divBdr>
    </w:div>
    <w:div w:id="1808619306">
      <w:bodyDiv w:val="1"/>
      <w:marLeft w:val="0"/>
      <w:marRight w:val="0"/>
      <w:marTop w:val="0"/>
      <w:marBottom w:val="0"/>
      <w:divBdr>
        <w:top w:val="none" w:sz="0" w:space="0" w:color="auto"/>
        <w:left w:val="none" w:sz="0" w:space="0" w:color="auto"/>
        <w:bottom w:val="none" w:sz="0" w:space="0" w:color="auto"/>
        <w:right w:val="none" w:sz="0" w:space="0" w:color="auto"/>
      </w:divBdr>
    </w:div>
    <w:div w:id="1852797507">
      <w:bodyDiv w:val="1"/>
      <w:marLeft w:val="0"/>
      <w:marRight w:val="0"/>
      <w:marTop w:val="0"/>
      <w:marBottom w:val="0"/>
      <w:divBdr>
        <w:top w:val="none" w:sz="0" w:space="0" w:color="auto"/>
        <w:left w:val="none" w:sz="0" w:space="0" w:color="auto"/>
        <w:bottom w:val="none" w:sz="0" w:space="0" w:color="auto"/>
        <w:right w:val="none" w:sz="0" w:space="0" w:color="auto"/>
      </w:divBdr>
    </w:div>
    <w:div w:id="1907370826">
      <w:bodyDiv w:val="1"/>
      <w:marLeft w:val="0"/>
      <w:marRight w:val="0"/>
      <w:marTop w:val="0"/>
      <w:marBottom w:val="0"/>
      <w:divBdr>
        <w:top w:val="none" w:sz="0" w:space="0" w:color="auto"/>
        <w:left w:val="none" w:sz="0" w:space="0" w:color="auto"/>
        <w:bottom w:val="none" w:sz="0" w:space="0" w:color="auto"/>
        <w:right w:val="none" w:sz="0" w:space="0" w:color="auto"/>
      </w:divBdr>
    </w:div>
    <w:div w:id="1910923850">
      <w:bodyDiv w:val="1"/>
      <w:marLeft w:val="0"/>
      <w:marRight w:val="0"/>
      <w:marTop w:val="0"/>
      <w:marBottom w:val="0"/>
      <w:divBdr>
        <w:top w:val="none" w:sz="0" w:space="0" w:color="auto"/>
        <w:left w:val="none" w:sz="0" w:space="0" w:color="auto"/>
        <w:bottom w:val="none" w:sz="0" w:space="0" w:color="auto"/>
        <w:right w:val="none" w:sz="0" w:space="0" w:color="auto"/>
      </w:divBdr>
    </w:div>
    <w:div w:id="1938830261">
      <w:bodyDiv w:val="1"/>
      <w:marLeft w:val="0"/>
      <w:marRight w:val="0"/>
      <w:marTop w:val="0"/>
      <w:marBottom w:val="0"/>
      <w:divBdr>
        <w:top w:val="none" w:sz="0" w:space="0" w:color="auto"/>
        <w:left w:val="none" w:sz="0" w:space="0" w:color="auto"/>
        <w:bottom w:val="none" w:sz="0" w:space="0" w:color="auto"/>
        <w:right w:val="none" w:sz="0" w:space="0" w:color="auto"/>
      </w:divBdr>
    </w:div>
    <w:div w:id="1991205485">
      <w:bodyDiv w:val="1"/>
      <w:marLeft w:val="0"/>
      <w:marRight w:val="0"/>
      <w:marTop w:val="0"/>
      <w:marBottom w:val="0"/>
      <w:divBdr>
        <w:top w:val="none" w:sz="0" w:space="0" w:color="auto"/>
        <w:left w:val="none" w:sz="0" w:space="0" w:color="auto"/>
        <w:bottom w:val="none" w:sz="0" w:space="0" w:color="auto"/>
        <w:right w:val="none" w:sz="0" w:space="0" w:color="auto"/>
      </w:divBdr>
    </w:div>
    <w:div w:id="2000115349">
      <w:bodyDiv w:val="1"/>
      <w:marLeft w:val="0"/>
      <w:marRight w:val="0"/>
      <w:marTop w:val="0"/>
      <w:marBottom w:val="0"/>
      <w:divBdr>
        <w:top w:val="none" w:sz="0" w:space="0" w:color="auto"/>
        <w:left w:val="none" w:sz="0" w:space="0" w:color="auto"/>
        <w:bottom w:val="none" w:sz="0" w:space="0" w:color="auto"/>
        <w:right w:val="none" w:sz="0" w:space="0" w:color="auto"/>
      </w:divBdr>
    </w:div>
    <w:div w:id="2004701400">
      <w:bodyDiv w:val="1"/>
      <w:marLeft w:val="0"/>
      <w:marRight w:val="0"/>
      <w:marTop w:val="0"/>
      <w:marBottom w:val="0"/>
      <w:divBdr>
        <w:top w:val="none" w:sz="0" w:space="0" w:color="auto"/>
        <w:left w:val="none" w:sz="0" w:space="0" w:color="auto"/>
        <w:bottom w:val="none" w:sz="0" w:space="0" w:color="auto"/>
        <w:right w:val="none" w:sz="0" w:space="0" w:color="auto"/>
      </w:divBdr>
    </w:div>
    <w:div w:id="2016767396">
      <w:bodyDiv w:val="1"/>
      <w:marLeft w:val="0"/>
      <w:marRight w:val="0"/>
      <w:marTop w:val="0"/>
      <w:marBottom w:val="0"/>
      <w:divBdr>
        <w:top w:val="none" w:sz="0" w:space="0" w:color="auto"/>
        <w:left w:val="none" w:sz="0" w:space="0" w:color="auto"/>
        <w:bottom w:val="none" w:sz="0" w:space="0" w:color="auto"/>
        <w:right w:val="none" w:sz="0" w:space="0" w:color="auto"/>
      </w:divBdr>
    </w:div>
    <w:div w:id="2046565874">
      <w:bodyDiv w:val="1"/>
      <w:marLeft w:val="0"/>
      <w:marRight w:val="0"/>
      <w:marTop w:val="0"/>
      <w:marBottom w:val="0"/>
      <w:divBdr>
        <w:top w:val="none" w:sz="0" w:space="0" w:color="auto"/>
        <w:left w:val="none" w:sz="0" w:space="0" w:color="auto"/>
        <w:bottom w:val="none" w:sz="0" w:space="0" w:color="auto"/>
        <w:right w:val="none" w:sz="0" w:space="0" w:color="auto"/>
      </w:divBdr>
    </w:div>
    <w:div w:id="2088458814">
      <w:bodyDiv w:val="1"/>
      <w:marLeft w:val="0"/>
      <w:marRight w:val="0"/>
      <w:marTop w:val="0"/>
      <w:marBottom w:val="0"/>
      <w:divBdr>
        <w:top w:val="none" w:sz="0" w:space="0" w:color="auto"/>
        <w:left w:val="none" w:sz="0" w:space="0" w:color="auto"/>
        <w:bottom w:val="none" w:sz="0" w:space="0" w:color="auto"/>
        <w:right w:val="none" w:sz="0" w:space="0" w:color="auto"/>
      </w:divBdr>
    </w:div>
    <w:div w:id="2102027896">
      <w:bodyDiv w:val="1"/>
      <w:marLeft w:val="0"/>
      <w:marRight w:val="0"/>
      <w:marTop w:val="0"/>
      <w:marBottom w:val="0"/>
      <w:divBdr>
        <w:top w:val="none" w:sz="0" w:space="0" w:color="auto"/>
        <w:left w:val="none" w:sz="0" w:space="0" w:color="auto"/>
        <w:bottom w:val="none" w:sz="0" w:space="0" w:color="auto"/>
        <w:right w:val="none" w:sz="0" w:space="0" w:color="auto"/>
      </w:divBdr>
    </w:div>
    <w:div w:id="2104839331">
      <w:bodyDiv w:val="1"/>
      <w:marLeft w:val="0"/>
      <w:marRight w:val="0"/>
      <w:marTop w:val="0"/>
      <w:marBottom w:val="0"/>
      <w:divBdr>
        <w:top w:val="none" w:sz="0" w:space="0" w:color="auto"/>
        <w:left w:val="none" w:sz="0" w:space="0" w:color="auto"/>
        <w:bottom w:val="none" w:sz="0" w:space="0" w:color="auto"/>
        <w:right w:val="none" w:sz="0" w:space="0" w:color="auto"/>
      </w:divBdr>
    </w:div>
    <w:div w:id="2123180878">
      <w:bodyDiv w:val="1"/>
      <w:marLeft w:val="0"/>
      <w:marRight w:val="0"/>
      <w:marTop w:val="0"/>
      <w:marBottom w:val="0"/>
      <w:divBdr>
        <w:top w:val="none" w:sz="0" w:space="0" w:color="auto"/>
        <w:left w:val="none" w:sz="0" w:space="0" w:color="auto"/>
        <w:bottom w:val="none" w:sz="0" w:space="0" w:color="auto"/>
        <w:right w:val="none" w:sz="0" w:space="0" w:color="auto"/>
      </w:divBdr>
    </w:div>
    <w:div w:id="212703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header" Target="header1.xml"/><Relationship Id="rId16" Type="http://schemas.openxmlformats.org/officeDocument/2006/relationships/chart" Target="charts/chart8.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chart" Target="charts/chart68.xm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chart" Target="charts/chart63.xml"/><Relationship Id="rId80" Type="http://schemas.openxmlformats.org/officeDocument/2006/relationships/chart" Target="charts/chart71.xml"/><Relationship Id="rId85" Type="http://schemas.openxmlformats.org/officeDocument/2006/relationships/chart" Target="charts/chart76.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chart" Target="charts/chart74.xml"/><Relationship Id="rId88" Type="http://schemas.openxmlformats.org/officeDocument/2006/relationships/hyperlink" Target="http://www.anpm.ro/web/apm-bistrita/dezvoltare-durabila"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 Id="rId86" Type="http://schemas.openxmlformats.org/officeDocument/2006/relationships/chart" Target="charts/chart77.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34" Type="http://schemas.openxmlformats.org/officeDocument/2006/relationships/chart" Target="charts/chart26.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7" Type="http://schemas.openxmlformats.org/officeDocument/2006/relationships/endnotes" Target="endnotes.xml"/><Relationship Id="rId71" Type="http://schemas.openxmlformats.org/officeDocument/2006/relationships/chart" Target="charts/chart62.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image" Target="media/image3.png"/><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chart" Target="charts/chart78.xml"/><Relationship Id="rId61" Type="http://schemas.openxmlformats.org/officeDocument/2006/relationships/chart" Target="charts/chart52.xml"/><Relationship Id="rId82" Type="http://schemas.openxmlformats.org/officeDocument/2006/relationships/chart" Target="charts/chart73.xml"/><Relationship Id="rId19"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H:\1.RAPOARTE%20MEDIU\Rapoarte%20mediu%202021\An%202021\date%20monitorizare_2021\AER%202021.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H:\1.RAPOARTE%20MEDIU\Rapoarte%20mediu%202021\An%202021\date%20monitorizare_2021\AER%202021.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1" Type="http://schemas.openxmlformats.org/officeDocument/2006/relationships/oleObject" Target="file:///H:\1.RAPOARTE%20MEDIU\Rapoarte%20mediu%202021\An%202021\Aer%202021\date%20monitorizare_2021\PULBERI%20%2020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1.RAPOARTE%20MEDIU\Rapoarte%20mediu%202021\An%202021\Aer%202021\date%20monitorizare_2021\PULBERI%20%202021.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H:\1.RAPOARTE%20MEDIU\Rapoarte%20mediu%202021\An%202021\Aer%202021\date%20monitorizare_2021\PULBERI%20%202021.xlsx" TargetMode="External"/><Relationship Id="rId2" Type="http://schemas.microsoft.com/office/2011/relationships/chartColorStyle" Target="colors11.xml"/><Relationship Id="rId1" Type="http://schemas.microsoft.com/office/2011/relationships/chartStyle" Target="style11.xml"/></Relationships>
</file>

<file path=word/charts/_rels/chart15.xml.rels><?xml version="1.0" encoding="UTF-8" standalone="yes"?>
<Relationships xmlns="http://schemas.openxmlformats.org/package/2006/relationships"><Relationship Id="rId3" Type="http://schemas.openxmlformats.org/officeDocument/2006/relationships/oleObject" Target="file:///H:\1.RAPOARTE%20MEDIU\Rapoarte%20mediu%202021\An%202021\Aer%202021\date%20monitorizare_2021\PULBERI%20%202021.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17.xml"/><Relationship Id="rId1" Type="http://schemas.microsoft.com/office/2011/relationships/chartStyle" Target="style17.xml"/></Relationships>
</file>

<file path=word/charts/_rels/chart21.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22.xml"/><Relationship Id="rId1" Type="http://schemas.microsoft.com/office/2011/relationships/chartStyle" Target="style22.xml"/></Relationships>
</file>

<file path=word/charts/_rels/chart2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H:\1.RAPOARTE%20MEDIU\Rapoarte%20mediu%202021\An%202021\raspunsuri\Carmen\Grafice%202021.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24.xml"/><Relationship Id="rId1" Type="http://schemas.microsoft.com/office/2011/relationships/chartStyle" Target="style24.xml"/></Relationships>
</file>

<file path=word/charts/_rels/chart28.xml.rels><?xml version="1.0" encoding="UTF-8" standalone="yes"?>
<Relationships xmlns="http://schemas.openxmlformats.org/package/2006/relationships"><Relationship Id="rId1" Type="http://schemas.openxmlformats.org/officeDocument/2006/relationships/oleObject" Target="file:///H:\1.RAPOARTE%20MEDIU\Rapoarte%20mediu%202021\An%202021\Aer%202021\date%20monitorizare_2021\AER%202021.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H:\1.RAPOARTE%20MEDIU\Rapoarte%20mediu%202021\An%202021\Aer%202021\date%20monitorizare_2021\AER%202021.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1.RAPOARTE%20MEDIU\Rapoarte%20mediu%202021\An%202021\Aer%202021\date%20monitorizare_2021\AER%202021.xlsx" TargetMode="External"/><Relationship Id="rId2" Type="http://schemas.microsoft.com/office/2011/relationships/chartColorStyle" Target="colors26.xml"/><Relationship Id="rId1" Type="http://schemas.microsoft.com/office/2011/relationships/chartStyle" Target="style26.xml"/></Relationships>
</file>

<file path=word/charts/_rels/chart31.xml.rels><?xml version="1.0" encoding="UTF-8" standalone="yes"?>
<Relationships xmlns="http://schemas.openxmlformats.org/package/2006/relationships"><Relationship Id="rId3" Type="http://schemas.openxmlformats.org/officeDocument/2006/relationships/oleObject" Target="file:///H:\1.RAPOARTE%20MEDIU\Rapoarte%20mediu%202021\An%202021\Aer%202021\date%20monitorizare_2021\AER%202021.xlsx" TargetMode="External"/><Relationship Id="rId2" Type="http://schemas.microsoft.com/office/2011/relationships/chartColorStyle" Target="colors27.xml"/><Relationship Id="rId1" Type="http://schemas.microsoft.com/office/2011/relationships/chartStyle" Target="style27.xml"/></Relationships>
</file>

<file path=word/charts/_rels/chart32.xml.rels><?xml version="1.0" encoding="UTF-8" standalone="yes"?>
<Relationships xmlns="http://schemas.openxmlformats.org/package/2006/relationships"><Relationship Id="rId3" Type="http://schemas.openxmlformats.org/officeDocument/2006/relationships/oleObject" Target="file:///H:\1.RAPOARTE%20MEDIU\Rapoarte%20mediu%202021\An%202021\Aer%202021\emisiile%20pe%20domenii%202021.xlsx" TargetMode="External"/><Relationship Id="rId2" Type="http://schemas.microsoft.com/office/2011/relationships/chartColorStyle" Target="colors28.xml"/><Relationship Id="rId1" Type="http://schemas.microsoft.com/office/2011/relationships/chartStyle" Target="style28.xml"/></Relationships>
</file>

<file path=word/charts/_rels/chart33.xml.rels><?xml version="1.0" encoding="UTF-8" standalone="yes"?>
<Relationships xmlns="http://schemas.openxmlformats.org/package/2006/relationships"><Relationship Id="rId1" Type="http://schemas.openxmlformats.org/officeDocument/2006/relationships/oleObject" Target="file:///H:\1.RAPOARTE%20MEDIU\Rapoarte%20mediu%202021\An%202021\Aer%202021\emisiile%20pe%20domenii%20202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H:\1.RAPOARTE%20MEDIU\Rapoarte%20mediu%202021\An%202021\Aer%202021\emisiile%20pe%20domenii%202021.xlsx" TargetMode="External"/></Relationships>
</file>

<file path=word/charts/_rels/chart35.xml.rels><?xml version="1.0" encoding="UTF-8" standalone="yes"?>
<Relationships xmlns="http://schemas.openxmlformats.org/package/2006/relationships"><Relationship Id="rId2" Type="http://schemas.openxmlformats.org/officeDocument/2006/relationships/oleObject" Target="file:///H:\1.RAPOARTE%20MEDIU\Rapoarte%20mediu%202021\An%202021\Aer%202021\emisiile%20pe%20domenii%202021.xlsx" TargetMode="External"/><Relationship Id="rId1" Type="http://schemas.openxmlformats.org/officeDocument/2006/relationships/image" Target="../media/image4.jpeg"/></Relationships>
</file>

<file path=word/charts/_rels/chart36.xml.rels><?xml version="1.0" encoding="UTF-8" standalone="yes"?>
<Relationships xmlns="http://schemas.openxmlformats.org/package/2006/relationships"><Relationship Id="rId2" Type="http://schemas.openxmlformats.org/officeDocument/2006/relationships/oleObject" Target="file:///H:\1.RAPOARTE%20MEDIU\Rapoarte%20mediu%202021\An%202021\Aer%202021\emisiile%20pe%20domenii%202021.xlsx" TargetMode="External"/><Relationship Id="rId1" Type="http://schemas.openxmlformats.org/officeDocument/2006/relationships/image" Target="../media/image5.jpeg"/></Relationships>
</file>

<file path=word/charts/_rels/chart37.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38.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29.xml"/><Relationship Id="rId1" Type="http://schemas.microsoft.com/office/2011/relationships/chartStyle" Target="style29.xml"/></Relationships>
</file>

<file path=word/charts/_rels/chart39.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30.xml"/><Relationship Id="rId1" Type="http://schemas.microsoft.com/office/2011/relationships/chartStyle" Target="style30.xml"/></Relationships>
</file>

<file path=word/charts/_rels/chart43.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1.RAPOARTE%20MEDIU\Rapoarte%20mediu%202021\An%202021\raspunsuri\Carmen\Grafice%202021.xlsx" TargetMode="External"/></Relationships>
</file>

<file path=word/charts/_rels/chart50.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31.xml"/><Relationship Id="rId1" Type="http://schemas.microsoft.com/office/2011/relationships/chartStyle" Target="style31.xml"/></Relationships>
</file>

<file path=word/charts/_rels/chart51.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openxmlformats.org/officeDocument/2006/relationships/image" Target="../media/image7.jpeg"/><Relationship Id="rId1" Type="http://schemas.openxmlformats.org/officeDocument/2006/relationships/image" Target="../media/image6.jpeg"/></Relationships>
</file>

<file path=word/charts/_rels/chart52.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openxmlformats.org/officeDocument/2006/relationships/image" Target="../media/image7.jpeg"/><Relationship Id="rId1" Type="http://schemas.openxmlformats.org/officeDocument/2006/relationships/image" Target="../media/image6.jpeg"/></Relationships>
</file>

<file path=word/charts/_rels/chart53.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H:\1.RAPOARTE%20MEDIU\Rapoarte%20mediu%202021\An%202021\Aer%202021\evolutii%202021.xlsx" TargetMode="External"/></Relationships>
</file>

<file path=word/charts/_rels/chart54.xml.rels><?xml version="1.0" encoding="UTF-8" standalone="yes"?>
<Relationships xmlns="http://schemas.openxmlformats.org/package/2006/relationships"><Relationship Id="rId3" Type="http://schemas.openxmlformats.org/officeDocument/2006/relationships/image" Target="../media/image7.jpeg"/><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H:\1.RAPOARTE%20MEDIU\Rapoarte%20mediu%202021\An%202021\Aer%202021\evolutii%202021.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openxmlformats.org/officeDocument/2006/relationships/image" Target="../media/image8.jpeg"/><Relationship Id="rId1" Type="http://schemas.openxmlformats.org/officeDocument/2006/relationships/image" Target="../media/image6.jpeg"/></Relationships>
</file>

<file path=word/charts/_rels/chart5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oleObject" Target="file:///H:\1.RAPOARTE%20MEDIU\Rapoarte%20mediu%202021\An%202021\Aer%202021\evolutii%202021.xlsx" TargetMode="External"/></Relationships>
</file>

<file path=word/charts/_rels/chart57.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openxmlformats.org/officeDocument/2006/relationships/image" Target="../media/image9.jpeg"/><Relationship Id="rId1" Type="http://schemas.openxmlformats.org/officeDocument/2006/relationships/image" Target="../media/image6.jpeg"/></Relationships>
</file>

<file path=word/charts/_rels/chart58.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openxmlformats.org/officeDocument/2006/relationships/image" Target="../media/image9.jpeg"/><Relationship Id="rId1" Type="http://schemas.openxmlformats.org/officeDocument/2006/relationships/image" Target="../media/image5.jpeg"/></Relationships>
</file>

<file path=word/charts/_rels/chart59.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H:\1.RAPOARTE%20MEDIU\Rapoarte%20mediu%202021\An%202021\raspunsuri\Carmen\Grafice%202021.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H:\1.RAPOARTE%20MEDIU\Rapoarte%20mediu%202021\An%202021\Aer%202021\date%20monitorizare_2021\AER%202021.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H:\1.RAPOARTE%20MEDIU\Rapoarte%20mediu%202021\An%202021\Aer%202021\evolutii%202021.xlsx" TargetMode="External"/></Relationships>
</file>

<file path=word/charts/_rels/chart72.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34.xml"/><Relationship Id="rId1" Type="http://schemas.microsoft.com/office/2011/relationships/chartStyle" Target="style34.xml"/></Relationships>
</file>

<file path=word/charts/_rels/chart73.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35.xml"/><Relationship Id="rId1" Type="http://schemas.microsoft.com/office/2011/relationships/chartStyle" Target="style35.xml"/></Relationships>
</file>

<file path=word/charts/_rels/chart74.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36.xml"/><Relationship Id="rId1" Type="http://schemas.microsoft.com/office/2011/relationships/chartStyle" Target="style36.xml"/></Relationships>
</file>

<file path=word/charts/_rels/chart75.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37.xml"/><Relationship Id="rId1" Type="http://schemas.microsoft.com/office/2011/relationships/chartStyle" Target="style37.xml"/></Relationships>
</file>

<file path=word/charts/_rels/chart76.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38.xml"/><Relationship Id="rId1" Type="http://schemas.microsoft.com/office/2011/relationships/chartStyle" Target="style38.xml"/></Relationships>
</file>

<file path=word/charts/_rels/chart77.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39.xml"/><Relationship Id="rId1" Type="http://schemas.microsoft.com/office/2011/relationships/chartStyle" Target="style39.xml"/></Relationships>
</file>

<file path=word/charts/_rels/chart78.xml.rels><?xml version="1.0" encoding="UTF-8" standalone="yes"?>
<Relationships xmlns="http://schemas.openxmlformats.org/package/2006/relationships"><Relationship Id="rId3" Type="http://schemas.openxmlformats.org/officeDocument/2006/relationships/oleObject" Target="file:///H:\1.RAPOARTE%20MEDIU\Rapoarte%20mediu%202021\An%202021\Aer%202021\evolutii%202021.xlsx" TargetMode="External"/><Relationship Id="rId2" Type="http://schemas.microsoft.com/office/2011/relationships/chartColorStyle" Target="colors40.xml"/><Relationship Id="rId1" Type="http://schemas.microsoft.com/office/2011/relationships/chartStyle" Target="style40.xml"/></Relationships>
</file>

<file path=word/charts/_rels/chart8.xml.rels><?xml version="1.0" encoding="UTF-8" standalone="yes"?>
<Relationships xmlns="http://schemas.openxmlformats.org/package/2006/relationships"><Relationship Id="rId1" Type="http://schemas.openxmlformats.org/officeDocument/2006/relationships/oleObject" Target="file:///H:\1.RAPOARTE%20MEDIU\Rapoarte%20mediu%202021\An%202021\Aer%202021\date%20monitorizare_2021\AER%202021.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H:\1.RAPOARTE%20MEDIU\Rapoarte%20mediu%202021\An%202021\date%20monitorizare_2021\AER%20202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SO2 medie lunară</a:t>
            </a:r>
          </a:p>
        </c:rich>
      </c:tx>
      <c:layout>
        <c:manualLayout>
          <c:xMode val="edge"/>
          <c:yMode val="edge"/>
          <c:x val="0.34669444444444447"/>
          <c:y val="2.7777777777777776E-2"/>
        </c:manualLayout>
      </c:layout>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056034662333875"/>
          <c:y val="0.12541666666666668"/>
          <c:w val="0.88621214014914806"/>
          <c:h val="0.72088764946048411"/>
        </c:manualLayout>
      </c:layout>
      <c:barChart>
        <c:barDir val="col"/>
        <c:grouping val="clustered"/>
        <c:varyColors val="0"/>
        <c:ser>
          <c:idx val="0"/>
          <c:order val="0"/>
          <c:spPr>
            <a:solidFill>
              <a:srgbClr val="00B050"/>
            </a:solidFill>
            <a:ln>
              <a:noFill/>
            </a:ln>
            <a:effectLst/>
            <a:scene3d>
              <a:camera prst="orthographicFront"/>
              <a:lightRig rig="threePt" dir="t"/>
            </a:scene3d>
            <a:sp3d>
              <a:bevelT w="139700" h="139700" prst="divot"/>
              <a:bevelB w="139700" prst="cross"/>
            </a:sp3d>
          </c:spPr>
          <c:invertIfNegative val="0"/>
          <c:cat>
            <c:strRef>
              <c:f>'[Grafice 2021.xlsx]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'[Grafice 2021.xlsx] grafice lunare'!$C$5:$C$16</c:f>
              <c:numCache>
                <c:formatCode>General</c:formatCode>
                <c:ptCount val="12"/>
                <c:pt idx="0">
                  <c:v>6.33</c:v>
                </c:pt>
                <c:pt idx="1">
                  <c:v>6.08</c:v>
                </c:pt>
                <c:pt idx="2">
                  <c:v>6.65</c:v>
                </c:pt>
                <c:pt idx="3">
                  <c:v>6.08</c:v>
                </c:pt>
                <c:pt idx="4">
                  <c:v>5.69</c:v>
                </c:pt>
                <c:pt idx="5">
                  <c:v>6.15</c:v>
                </c:pt>
                <c:pt idx="6">
                  <c:v>5.82</c:v>
                </c:pt>
                <c:pt idx="7">
                  <c:v>5.68</c:v>
                </c:pt>
                <c:pt idx="8">
                  <c:v>5.77</c:v>
                </c:pt>
                <c:pt idx="9">
                  <c:v>5.81</c:v>
                </c:pt>
                <c:pt idx="10">
                  <c:v>6.29</c:v>
                </c:pt>
                <c:pt idx="11">
                  <c:v>5.95</c:v>
                </c:pt>
              </c:numCache>
            </c:numRef>
          </c:val>
          <c:extLst>
            <c:ext xmlns:c16="http://schemas.microsoft.com/office/drawing/2014/chart" uri="{C3380CC4-5D6E-409C-BE32-E72D297353CC}">
              <c16:uniqueId val="{00000000-1802-4118-87D3-E3A5C741E560}"/>
            </c:ext>
          </c:extLst>
        </c:ser>
        <c:dLbls>
          <c:showLegendKey val="0"/>
          <c:showVal val="0"/>
          <c:showCatName val="0"/>
          <c:showSerName val="0"/>
          <c:showPercent val="0"/>
          <c:showBubbleSize val="0"/>
        </c:dLbls>
        <c:gapWidth val="219"/>
        <c:overlap val="-27"/>
        <c:axId val="405450920"/>
        <c:axId val="405457152"/>
      </c:barChart>
      <c:catAx>
        <c:axId val="405450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457152"/>
        <c:crosses val="autoZero"/>
        <c:auto val="0"/>
        <c:lblAlgn val="ctr"/>
        <c:lblOffset val="100"/>
        <c:noMultiLvlLbl val="0"/>
      </c:catAx>
      <c:valAx>
        <c:axId val="40545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t>concentrație µg/m3</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05450920"/>
        <c:crosses val="autoZero"/>
        <c:crossBetween val="between"/>
      </c:valAx>
      <c:spPr>
        <a:solidFill>
          <a:schemeClr val="bg1"/>
        </a:solidFill>
        <a:ln>
          <a:noFill/>
        </a:ln>
        <a:effectLst/>
      </c:spPr>
    </c:plotArea>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Dioxid de azot</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'30 min 2021'!$P$63</c:f>
              <c:strCache>
                <c:ptCount val="1"/>
                <c:pt idx="0">
                  <c:v>Bistrița  </c:v>
                </c:pt>
              </c:strCache>
            </c:strRef>
          </c:tx>
          <c:spPr>
            <a:ln w="28575" cap="rnd">
              <a:solidFill>
                <a:schemeClr val="accent1"/>
              </a:solidFill>
              <a:round/>
            </a:ln>
            <a:effectLst/>
          </c:spPr>
          <c:marker>
            <c:symbol val="none"/>
          </c:marker>
          <c:cat>
            <c:strRef>
              <c:f>'30 min 2021'!$L$64:$L$70</c:f>
              <c:strCache>
                <c:ptCount val="7"/>
                <c:pt idx="0">
                  <c:v>apr.21</c:v>
                </c:pt>
                <c:pt idx="1">
                  <c:v>mai.21</c:v>
                </c:pt>
                <c:pt idx="2">
                  <c:v>iun.21</c:v>
                </c:pt>
                <c:pt idx="3">
                  <c:v>iul.21</c:v>
                </c:pt>
                <c:pt idx="4">
                  <c:v>aug.21</c:v>
                </c:pt>
                <c:pt idx="5">
                  <c:v>sept.21</c:v>
                </c:pt>
                <c:pt idx="6">
                  <c:v>oct.21</c:v>
                </c:pt>
              </c:strCache>
            </c:strRef>
          </c:cat>
          <c:val>
            <c:numRef>
              <c:f>'30 min 2021'!$P$64:$P$70</c:f>
              <c:numCache>
                <c:formatCode>General</c:formatCode>
                <c:ptCount val="7"/>
                <c:pt idx="0">
                  <c:v>0.10563333333333332</c:v>
                </c:pt>
                <c:pt idx="1">
                  <c:v>6.196666666666667E-2</c:v>
                </c:pt>
                <c:pt idx="2">
                  <c:v>9.3799999999999994E-2</c:v>
                </c:pt>
                <c:pt idx="3">
                  <c:v>0.2104</c:v>
                </c:pt>
                <c:pt idx="4">
                  <c:v>0.19323333333333334</c:v>
                </c:pt>
                <c:pt idx="5">
                  <c:v>0.13073333333333334</c:v>
                </c:pt>
                <c:pt idx="6">
                  <c:v>0.16769999999999999</c:v>
                </c:pt>
              </c:numCache>
            </c:numRef>
          </c:val>
          <c:smooth val="0"/>
          <c:extLst>
            <c:ext xmlns:c16="http://schemas.microsoft.com/office/drawing/2014/chart" uri="{C3380CC4-5D6E-409C-BE32-E72D297353CC}">
              <c16:uniqueId val="{00000000-949B-496D-9A8A-EA2F1AC3D7B0}"/>
            </c:ext>
          </c:extLst>
        </c:ser>
        <c:ser>
          <c:idx val="1"/>
          <c:order val="1"/>
          <c:tx>
            <c:strRef>
              <c:f>'30 min 2021'!$Q$63</c:f>
              <c:strCache>
                <c:ptCount val="1"/>
                <c:pt idx="0">
                  <c:v>depozit Tărpiu</c:v>
                </c:pt>
              </c:strCache>
            </c:strRef>
          </c:tx>
          <c:spPr>
            <a:ln w="28575" cap="rnd">
              <a:solidFill>
                <a:schemeClr val="accent2"/>
              </a:solidFill>
              <a:round/>
            </a:ln>
            <a:effectLst/>
          </c:spPr>
          <c:marker>
            <c:symbol val="none"/>
          </c:marker>
          <c:cat>
            <c:strRef>
              <c:f>'30 min 2021'!$L$64:$L$70</c:f>
              <c:strCache>
                <c:ptCount val="7"/>
                <c:pt idx="0">
                  <c:v>apr.21</c:v>
                </c:pt>
                <c:pt idx="1">
                  <c:v>mai.21</c:v>
                </c:pt>
                <c:pt idx="2">
                  <c:v>iun.21</c:v>
                </c:pt>
                <c:pt idx="3">
                  <c:v>iul.21</c:v>
                </c:pt>
                <c:pt idx="4">
                  <c:v>aug.21</c:v>
                </c:pt>
                <c:pt idx="5">
                  <c:v>sept.21</c:v>
                </c:pt>
                <c:pt idx="6">
                  <c:v>oct.21</c:v>
                </c:pt>
              </c:strCache>
            </c:strRef>
          </c:cat>
          <c:val>
            <c:numRef>
              <c:f>'30 min 2021'!$Q$64:$Q$70</c:f>
              <c:numCache>
                <c:formatCode>General</c:formatCode>
                <c:ptCount val="7"/>
                <c:pt idx="0">
                  <c:v>7.0099999999999996E-2</c:v>
                </c:pt>
                <c:pt idx="1">
                  <c:v>0.1585</c:v>
                </c:pt>
                <c:pt idx="2">
                  <c:v>0.1792</c:v>
                </c:pt>
                <c:pt idx="3">
                  <c:v>0.2354</c:v>
                </c:pt>
                <c:pt idx="4">
                  <c:v>0.22309999999999999</c:v>
                </c:pt>
                <c:pt idx="5">
                  <c:v>8.8700000000000001E-2</c:v>
                </c:pt>
                <c:pt idx="6">
                  <c:v>0.1265</c:v>
                </c:pt>
              </c:numCache>
            </c:numRef>
          </c:val>
          <c:smooth val="0"/>
          <c:extLst>
            <c:ext xmlns:c16="http://schemas.microsoft.com/office/drawing/2014/chart" uri="{C3380CC4-5D6E-409C-BE32-E72D297353CC}">
              <c16:uniqueId val="{00000001-949B-496D-9A8A-EA2F1AC3D7B0}"/>
            </c:ext>
          </c:extLst>
        </c:ser>
        <c:ser>
          <c:idx val="2"/>
          <c:order val="2"/>
          <c:tx>
            <c:strRef>
              <c:f>'30 min 2021'!$R$63</c:f>
              <c:strCache>
                <c:ptCount val="1"/>
                <c:pt idx="0">
                  <c:v>Sângeorz Băi</c:v>
                </c:pt>
              </c:strCache>
            </c:strRef>
          </c:tx>
          <c:spPr>
            <a:ln w="28575" cap="rnd">
              <a:solidFill>
                <a:schemeClr val="accent3"/>
              </a:solidFill>
              <a:round/>
            </a:ln>
            <a:effectLst/>
          </c:spPr>
          <c:marker>
            <c:symbol val="none"/>
          </c:marker>
          <c:cat>
            <c:strRef>
              <c:f>'30 min 2021'!$L$64:$L$70</c:f>
              <c:strCache>
                <c:ptCount val="7"/>
                <c:pt idx="0">
                  <c:v>apr.21</c:v>
                </c:pt>
                <c:pt idx="1">
                  <c:v>mai.21</c:v>
                </c:pt>
                <c:pt idx="2">
                  <c:v>iun.21</c:v>
                </c:pt>
                <c:pt idx="3">
                  <c:v>iul.21</c:v>
                </c:pt>
                <c:pt idx="4">
                  <c:v>aug.21</c:v>
                </c:pt>
                <c:pt idx="5">
                  <c:v>sept.21</c:v>
                </c:pt>
                <c:pt idx="6">
                  <c:v>oct.21</c:v>
                </c:pt>
              </c:strCache>
            </c:strRef>
          </c:cat>
          <c:val>
            <c:numRef>
              <c:f>'30 min 2021'!$R$64:$R$70</c:f>
              <c:numCache>
                <c:formatCode>General</c:formatCode>
                <c:ptCount val="7"/>
                <c:pt idx="0">
                  <c:v>0.11650000000000001</c:v>
                </c:pt>
                <c:pt idx="1">
                  <c:v>0.03</c:v>
                </c:pt>
                <c:pt idx="2">
                  <c:v>0.16489999999999999</c:v>
                </c:pt>
                <c:pt idx="3">
                  <c:v>0.19400000000000001</c:v>
                </c:pt>
                <c:pt idx="4">
                  <c:v>0.16830000000000001</c:v>
                </c:pt>
                <c:pt idx="5">
                  <c:v>0.20080000000000001</c:v>
                </c:pt>
                <c:pt idx="6">
                  <c:v>9.6799999999999997E-2</c:v>
                </c:pt>
              </c:numCache>
            </c:numRef>
          </c:val>
          <c:smooth val="0"/>
          <c:extLst>
            <c:ext xmlns:c16="http://schemas.microsoft.com/office/drawing/2014/chart" uri="{C3380CC4-5D6E-409C-BE32-E72D297353CC}">
              <c16:uniqueId val="{00000002-949B-496D-9A8A-EA2F1AC3D7B0}"/>
            </c:ext>
          </c:extLst>
        </c:ser>
        <c:ser>
          <c:idx val="3"/>
          <c:order val="3"/>
          <c:tx>
            <c:strRef>
              <c:f>'30 min 2021'!$S$63</c:f>
              <c:strCache>
                <c:ptCount val="1"/>
                <c:pt idx="0">
                  <c:v>Năsăud</c:v>
                </c:pt>
              </c:strCache>
            </c:strRef>
          </c:tx>
          <c:spPr>
            <a:ln w="28575" cap="rnd">
              <a:solidFill>
                <a:schemeClr val="accent4"/>
              </a:solidFill>
              <a:round/>
            </a:ln>
            <a:effectLst/>
          </c:spPr>
          <c:marker>
            <c:symbol val="none"/>
          </c:marker>
          <c:cat>
            <c:strRef>
              <c:f>'30 min 2021'!$L$64:$L$70</c:f>
              <c:strCache>
                <c:ptCount val="7"/>
                <c:pt idx="0">
                  <c:v>apr.21</c:v>
                </c:pt>
                <c:pt idx="1">
                  <c:v>mai.21</c:v>
                </c:pt>
                <c:pt idx="2">
                  <c:v>iun.21</c:v>
                </c:pt>
                <c:pt idx="3">
                  <c:v>iul.21</c:v>
                </c:pt>
                <c:pt idx="4">
                  <c:v>aug.21</c:v>
                </c:pt>
                <c:pt idx="5">
                  <c:v>sept.21</c:v>
                </c:pt>
                <c:pt idx="6">
                  <c:v>oct.21</c:v>
                </c:pt>
              </c:strCache>
            </c:strRef>
          </c:cat>
          <c:val>
            <c:numRef>
              <c:f>'30 min 2021'!$S$64:$S$70</c:f>
              <c:numCache>
                <c:formatCode>General</c:formatCode>
                <c:ptCount val="7"/>
                <c:pt idx="0">
                  <c:v>0.12770000000000001</c:v>
                </c:pt>
                <c:pt idx="1">
                  <c:v>0.19520000000000001</c:v>
                </c:pt>
                <c:pt idx="2">
                  <c:v>0.1641</c:v>
                </c:pt>
                <c:pt idx="3">
                  <c:v>0.13589999999999999</c:v>
                </c:pt>
                <c:pt idx="4">
                  <c:v>0.1971</c:v>
                </c:pt>
                <c:pt idx="5">
                  <c:v>0.17180000000000001</c:v>
                </c:pt>
                <c:pt idx="6">
                  <c:v>0.19239999999999999</c:v>
                </c:pt>
              </c:numCache>
            </c:numRef>
          </c:val>
          <c:smooth val="0"/>
          <c:extLst>
            <c:ext xmlns:c16="http://schemas.microsoft.com/office/drawing/2014/chart" uri="{C3380CC4-5D6E-409C-BE32-E72D297353CC}">
              <c16:uniqueId val="{00000003-949B-496D-9A8A-EA2F1AC3D7B0}"/>
            </c:ext>
          </c:extLst>
        </c:ser>
        <c:ser>
          <c:idx val="4"/>
          <c:order val="4"/>
          <c:tx>
            <c:strRef>
              <c:f>'30 min 2021'!$T$63</c:f>
              <c:strCache>
                <c:ptCount val="1"/>
                <c:pt idx="0">
                  <c:v>Beclean</c:v>
                </c:pt>
              </c:strCache>
            </c:strRef>
          </c:tx>
          <c:spPr>
            <a:ln w="28575" cap="rnd">
              <a:solidFill>
                <a:schemeClr val="accent5"/>
              </a:solidFill>
              <a:round/>
            </a:ln>
            <a:effectLst/>
          </c:spPr>
          <c:marker>
            <c:symbol val="none"/>
          </c:marker>
          <c:cat>
            <c:strRef>
              <c:f>'30 min 2021'!$L$64:$L$70</c:f>
              <c:strCache>
                <c:ptCount val="7"/>
                <c:pt idx="0">
                  <c:v>apr.21</c:v>
                </c:pt>
                <c:pt idx="1">
                  <c:v>mai.21</c:v>
                </c:pt>
                <c:pt idx="2">
                  <c:v>iun.21</c:v>
                </c:pt>
                <c:pt idx="3">
                  <c:v>iul.21</c:v>
                </c:pt>
                <c:pt idx="4">
                  <c:v>aug.21</c:v>
                </c:pt>
                <c:pt idx="5">
                  <c:v>sept.21</c:v>
                </c:pt>
                <c:pt idx="6">
                  <c:v>oct.21</c:v>
                </c:pt>
              </c:strCache>
            </c:strRef>
          </c:cat>
          <c:val>
            <c:numRef>
              <c:f>'30 min 2021'!$T$64:$T$70</c:f>
              <c:numCache>
                <c:formatCode>General</c:formatCode>
                <c:ptCount val="7"/>
                <c:pt idx="0">
                  <c:v>4.7800000000000002E-2</c:v>
                </c:pt>
                <c:pt idx="1">
                  <c:v>0.1719</c:v>
                </c:pt>
                <c:pt idx="2">
                  <c:v>0.22359999999999999</c:v>
                </c:pt>
                <c:pt idx="3">
                  <c:v>0.12609999999999999</c:v>
                </c:pt>
                <c:pt idx="4">
                  <c:v>0.1202</c:v>
                </c:pt>
                <c:pt idx="5">
                  <c:v>0.2394</c:v>
                </c:pt>
                <c:pt idx="6">
                  <c:v>8.3299999999999999E-2</c:v>
                </c:pt>
              </c:numCache>
            </c:numRef>
          </c:val>
          <c:smooth val="0"/>
          <c:extLst>
            <c:ext xmlns:c16="http://schemas.microsoft.com/office/drawing/2014/chart" uri="{C3380CC4-5D6E-409C-BE32-E72D297353CC}">
              <c16:uniqueId val="{00000004-949B-496D-9A8A-EA2F1AC3D7B0}"/>
            </c:ext>
          </c:extLst>
        </c:ser>
        <c:dLbls>
          <c:showLegendKey val="0"/>
          <c:showVal val="0"/>
          <c:showCatName val="0"/>
          <c:showSerName val="0"/>
          <c:showPercent val="0"/>
          <c:showBubbleSize val="0"/>
        </c:dLbls>
        <c:smooth val="0"/>
        <c:axId val="920318992"/>
        <c:axId val="920319408"/>
      </c:lineChart>
      <c:catAx>
        <c:axId val="92031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20319408"/>
        <c:crosses val="autoZero"/>
        <c:auto val="1"/>
        <c:lblAlgn val="ctr"/>
        <c:lblOffset val="100"/>
        <c:noMultiLvlLbl val="0"/>
      </c:catAx>
      <c:valAx>
        <c:axId val="920319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20318992"/>
        <c:crosses val="autoZero"/>
        <c:crossBetween val="between"/>
      </c:valAx>
      <c:spPr>
        <a:solidFill>
          <a:schemeClr val="bg1"/>
        </a:solid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26000">
          <a:schemeClr val="accent3">
            <a:lumMod val="5000"/>
            <a:lumOff val="95000"/>
          </a:schemeClr>
        </a:gs>
        <a:gs pos="54000">
          <a:schemeClr val="accent3">
            <a:lumMod val="45000"/>
            <a:lumOff val="55000"/>
          </a:schemeClr>
        </a:gs>
        <a:gs pos="77000">
          <a:schemeClr val="accent3">
            <a:lumMod val="45000"/>
            <a:lumOff val="55000"/>
          </a:schemeClr>
        </a:gs>
        <a:gs pos="95000">
          <a:schemeClr val="accent3">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Amoniac</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'30 min 2021'!$Q$73</c:f>
              <c:strCache>
                <c:ptCount val="1"/>
                <c:pt idx="0">
                  <c:v>depozit Tărpiu</c:v>
                </c:pt>
              </c:strCache>
            </c:strRef>
          </c:tx>
          <c:spPr>
            <a:ln w="28575" cap="rnd">
              <a:solidFill>
                <a:schemeClr val="accent2">
                  <a:lumMod val="75000"/>
                </a:schemeClr>
              </a:solidFill>
              <a:round/>
            </a:ln>
            <a:effectLst/>
          </c:spPr>
          <c:marker>
            <c:symbol val="none"/>
          </c:marker>
          <c:cat>
            <c:strRef>
              <c:f>'30 min 2021'!$P$74:$P$80</c:f>
              <c:strCache>
                <c:ptCount val="7"/>
                <c:pt idx="0">
                  <c:v>apr.21</c:v>
                </c:pt>
                <c:pt idx="1">
                  <c:v>mai.21</c:v>
                </c:pt>
                <c:pt idx="2">
                  <c:v>iun.21</c:v>
                </c:pt>
                <c:pt idx="3">
                  <c:v>iul.21</c:v>
                </c:pt>
                <c:pt idx="4">
                  <c:v>aug.21</c:v>
                </c:pt>
                <c:pt idx="5">
                  <c:v>sept.21</c:v>
                </c:pt>
                <c:pt idx="6">
                  <c:v>oct.21</c:v>
                </c:pt>
              </c:strCache>
            </c:strRef>
          </c:cat>
          <c:val>
            <c:numRef>
              <c:f>'30 min 2021'!$Q$74:$Q$80</c:f>
              <c:numCache>
                <c:formatCode>General</c:formatCode>
                <c:ptCount val="7"/>
                <c:pt idx="0">
                  <c:v>7.2300000000000003E-2</c:v>
                </c:pt>
                <c:pt idx="1">
                  <c:v>8.6379999999999998E-2</c:v>
                </c:pt>
                <c:pt idx="2">
                  <c:v>2.07E-2</c:v>
                </c:pt>
                <c:pt idx="3">
                  <c:v>0.14729999999999999</c:v>
                </c:pt>
                <c:pt idx="4">
                  <c:v>0.2228</c:v>
                </c:pt>
                <c:pt idx="5">
                  <c:v>0.21920000000000001</c:v>
                </c:pt>
                <c:pt idx="6">
                  <c:v>0.1993</c:v>
                </c:pt>
              </c:numCache>
            </c:numRef>
          </c:val>
          <c:smooth val="0"/>
          <c:extLst>
            <c:ext xmlns:c16="http://schemas.microsoft.com/office/drawing/2014/chart" uri="{C3380CC4-5D6E-409C-BE32-E72D297353CC}">
              <c16:uniqueId val="{00000000-5CFD-4515-8D85-DA6BDDF37A1A}"/>
            </c:ext>
          </c:extLst>
        </c:ser>
        <c:ser>
          <c:idx val="1"/>
          <c:order val="1"/>
          <c:tx>
            <c:strRef>
              <c:f>'30 min 2021'!$R$73</c:f>
              <c:strCache>
                <c:ptCount val="1"/>
                <c:pt idx="0">
                  <c:v>Sângeorz Băi</c:v>
                </c:pt>
              </c:strCache>
            </c:strRef>
          </c:tx>
          <c:spPr>
            <a:ln w="28575" cap="rnd">
              <a:solidFill>
                <a:srgbClr val="92D050"/>
              </a:solidFill>
              <a:round/>
            </a:ln>
            <a:effectLst/>
          </c:spPr>
          <c:marker>
            <c:symbol val="none"/>
          </c:marker>
          <c:cat>
            <c:strRef>
              <c:f>'30 min 2021'!$P$74:$P$80</c:f>
              <c:strCache>
                <c:ptCount val="7"/>
                <c:pt idx="0">
                  <c:v>apr.21</c:v>
                </c:pt>
                <c:pt idx="1">
                  <c:v>mai.21</c:v>
                </c:pt>
                <c:pt idx="2">
                  <c:v>iun.21</c:v>
                </c:pt>
                <c:pt idx="3">
                  <c:v>iul.21</c:v>
                </c:pt>
                <c:pt idx="4">
                  <c:v>aug.21</c:v>
                </c:pt>
                <c:pt idx="5">
                  <c:v>sept.21</c:v>
                </c:pt>
                <c:pt idx="6">
                  <c:v>oct.21</c:v>
                </c:pt>
              </c:strCache>
            </c:strRef>
          </c:cat>
          <c:val>
            <c:numRef>
              <c:f>'30 min 2021'!$R$74:$R$80</c:f>
              <c:numCache>
                <c:formatCode>General</c:formatCode>
                <c:ptCount val="7"/>
                <c:pt idx="0">
                  <c:v>3.4700000000000002E-2</c:v>
                </c:pt>
                <c:pt idx="1">
                  <c:v>0.27889999999999998</c:v>
                </c:pt>
                <c:pt idx="2">
                  <c:v>5.67E-2</c:v>
                </c:pt>
                <c:pt idx="3">
                  <c:v>0.1777</c:v>
                </c:pt>
                <c:pt idx="4">
                  <c:v>0.22700000000000001</c:v>
                </c:pt>
                <c:pt idx="5">
                  <c:v>0.1976</c:v>
                </c:pt>
                <c:pt idx="6">
                  <c:v>0.23480000000000001</c:v>
                </c:pt>
              </c:numCache>
            </c:numRef>
          </c:val>
          <c:smooth val="0"/>
          <c:extLst>
            <c:ext xmlns:c16="http://schemas.microsoft.com/office/drawing/2014/chart" uri="{C3380CC4-5D6E-409C-BE32-E72D297353CC}">
              <c16:uniqueId val="{00000001-5CFD-4515-8D85-DA6BDDF37A1A}"/>
            </c:ext>
          </c:extLst>
        </c:ser>
        <c:ser>
          <c:idx val="2"/>
          <c:order val="2"/>
          <c:tx>
            <c:strRef>
              <c:f>'30 min 2021'!$S$73</c:f>
              <c:strCache>
                <c:ptCount val="1"/>
                <c:pt idx="0">
                  <c:v>Năsăud</c:v>
                </c:pt>
              </c:strCache>
            </c:strRef>
          </c:tx>
          <c:spPr>
            <a:ln w="28575" cap="rnd">
              <a:solidFill>
                <a:srgbClr val="7030A0"/>
              </a:solidFill>
              <a:round/>
            </a:ln>
            <a:effectLst/>
          </c:spPr>
          <c:marker>
            <c:symbol val="none"/>
          </c:marker>
          <c:cat>
            <c:strRef>
              <c:f>'30 min 2021'!$P$74:$P$80</c:f>
              <c:strCache>
                <c:ptCount val="7"/>
                <c:pt idx="0">
                  <c:v>apr.21</c:v>
                </c:pt>
                <c:pt idx="1">
                  <c:v>mai.21</c:v>
                </c:pt>
                <c:pt idx="2">
                  <c:v>iun.21</c:v>
                </c:pt>
                <c:pt idx="3">
                  <c:v>iul.21</c:v>
                </c:pt>
                <c:pt idx="4">
                  <c:v>aug.21</c:v>
                </c:pt>
                <c:pt idx="5">
                  <c:v>sept.21</c:v>
                </c:pt>
                <c:pt idx="6">
                  <c:v>oct.21</c:v>
                </c:pt>
              </c:strCache>
            </c:strRef>
          </c:cat>
          <c:val>
            <c:numRef>
              <c:f>'30 min 2021'!$S$74:$S$80</c:f>
              <c:numCache>
                <c:formatCode>General</c:formatCode>
                <c:ptCount val="7"/>
                <c:pt idx="0">
                  <c:v>0.1067</c:v>
                </c:pt>
                <c:pt idx="1">
                  <c:v>0.16320000000000001</c:v>
                </c:pt>
                <c:pt idx="2">
                  <c:v>9.9199999999999997E-2</c:v>
                </c:pt>
                <c:pt idx="3">
                  <c:v>0.1532</c:v>
                </c:pt>
                <c:pt idx="4">
                  <c:v>0.16880000000000001</c:v>
                </c:pt>
                <c:pt idx="5">
                  <c:v>0.18140000000000001</c:v>
                </c:pt>
                <c:pt idx="6">
                  <c:v>0.1623</c:v>
                </c:pt>
              </c:numCache>
            </c:numRef>
          </c:val>
          <c:smooth val="0"/>
          <c:extLst>
            <c:ext xmlns:c16="http://schemas.microsoft.com/office/drawing/2014/chart" uri="{C3380CC4-5D6E-409C-BE32-E72D297353CC}">
              <c16:uniqueId val="{00000002-5CFD-4515-8D85-DA6BDDF37A1A}"/>
            </c:ext>
          </c:extLst>
        </c:ser>
        <c:ser>
          <c:idx val="3"/>
          <c:order val="3"/>
          <c:tx>
            <c:strRef>
              <c:f>'30 min 2021'!$T$73</c:f>
              <c:strCache>
                <c:ptCount val="1"/>
                <c:pt idx="0">
                  <c:v>Beclean</c:v>
                </c:pt>
              </c:strCache>
            </c:strRef>
          </c:tx>
          <c:spPr>
            <a:ln w="28575" cap="rnd">
              <a:solidFill>
                <a:schemeClr val="accent5">
                  <a:lumMod val="75000"/>
                </a:schemeClr>
              </a:solidFill>
              <a:round/>
            </a:ln>
            <a:effectLst/>
          </c:spPr>
          <c:marker>
            <c:symbol val="none"/>
          </c:marker>
          <c:cat>
            <c:strRef>
              <c:f>'30 min 2021'!$P$74:$P$80</c:f>
              <c:strCache>
                <c:ptCount val="7"/>
                <c:pt idx="0">
                  <c:v>apr.21</c:v>
                </c:pt>
                <c:pt idx="1">
                  <c:v>mai.21</c:v>
                </c:pt>
                <c:pt idx="2">
                  <c:v>iun.21</c:v>
                </c:pt>
                <c:pt idx="3">
                  <c:v>iul.21</c:v>
                </c:pt>
                <c:pt idx="4">
                  <c:v>aug.21</c:v>
                </c:pt>
                <c:pt idx="5">
                  <c:v>sept.21</c:v>
                </c:pt>
                <c:pt idx="6">
                  <c:v>oct.21</c:v>
                </c:pt>
              </c:strCache>
            </c:strRef>
          </c:cat>
          <c:val>
            <c:numRef>
              <c:f>'30 min 2021'!$T$74:$T$80</c:f>
              <c:numCache>
                <c:formatCode>General</c:formatCode>
                <c:ptCount val="7"/>
                <c:pt idx="0">
                  <c:v>1.4200000000000001E-2</c:v>
                </c:pt>
                <c:pt idx="1">
                  <c:v>1.37E-2</c:v>
                </c:pt>
                <c:pt idx="2">
                  <c:v>6.9000000000000006E-2</c:v>
                </c:pt>
                <c:pt idx="3">
                  <c:v>0.1575</c:v>
                </c:pt>
                <c:pt idx="4">
                  <c:v>0.16650000000000001</c:v>
                </c:pt>
                <c:pt idx="5">
                  <c:v>0.1082</c:v>
                </c:pt>
                <c:pt idx="6">
                  <c:v>0.1963</c:v>
                </c:pt>
              </c:numCache>
            </c:numRef>
          </c:val>
          <c:smooth val="0"/>
          <c:extLst>
            <c:ext xmlns:c16="http://schemas.microsoft.com/office/drawing/2014/chart" uri="{C3380CC4-5D6E-409C-BE32-E72D297353CC}">
              <c16:uniqueId val="{00000003-5CFD-4515-8D85-DA6BDDF37A1A}"/>
            </c:ext>
          </c:extLst>
        </c:ser>
        <c:dLbls>
          <c:showLegendKey val="0"/>
          <c:showVal val="0"/>
          <c:showCatName val="0"/>
          <c:showSerName val="0"/>
          <c:showPercent val="0"/>
          <c:showBubbleSize val="0"/>
        </c:dLbls>
        <c:smooth val="0"/>
        <c:axId val="928046144"/>
        <c:axId val="928055296"/>
      </c:lineChart>
      <c:catAx>
        <c:axId val="92804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28055296"/>
        <c:crosses val="autoZero"/>
        <c:auto val="1"/>
        <c:lblAlgn val="ctr"/>
        <c:lblOffset val="100"/>
        <c:noMultiLvlLbl val="0"/>
      </c:catAx>
      <c:valAx>
        <c:axId val="92805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2804614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26000">
          <a:schemeClr val="accent3">
            <a:lumMod val="5000"/>
            <a:lumOff val="95000"/>
          </a:schemeClr>
        </a:gs>
        <a:gs pos="54000">
          <a:schemeClr val="accent3">
            <a:lumMod val="45000"/>
            <a:lumOff val="55000"/>
          </a:schemeClr>
        </a:gs>
        <a:gs pos="77000">
          <a:schemeClr val="accent3">
            <a:lumMod val="45000"/>
            <a:lumOff val="55000"/>
          </a:schemeClr>
        </a:gs>
        <a:gs pos="95000">
          <a:schemeClr val="accent3">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Evoluția concen</a:t>
            </a:r>
            <a:r>
              <a:rPr lang="ro-RO" sz="1200" b="1"/>
              <a:t>t</a:t>
            </a:r>
            <a:r>
              <a:rPr lang="en-US" sz="1200" b="1"/>
              <a:t>rațiilor medii lunare de pulberi totale în suspensie, anul 2021 </a:t>
            </a:r>
          </a:p>
        </c:rich>
      </c:tx>
      <c:overlay val="0"/>
      <c:spPr>
        <a:noFill/>
        <a:ln>
          <a:noFill/>
        </a:ln>
        <a:effectLst/>
      </c:spPr>
    </c:title>
    <c:autoTitleDeleted val="0"/>
    <c:plotArea>
      <c:layout>
        <c:manualLayout>
          <c:layoutTarget val="inner"/>
          <c:xMode val="edge"/>
          <c:yMode val="edge"/>
          <c:x val="0.11088648293963255"/>
          <c:y val="0.16517357500123805"/>
          <c:w val="0.8585579615048119"/>
          <c:h val="0.48301603808957833"/>
        </c:manualLayout>
      </c:layout>
      <c:barChart>
        <c:barDir val="col"/>
        <c:grouping val="clustered"/>
        <c:varyColors val="0"/>
        <c:ser>
          <c:idx val="0"/>
          <c:order val="0"/>
          <c:tx>
            <c:strRef>
              <c:f>Foaie2!$B$2</c:f>
              <c:strCache>
                <c:ptCount val="1"/>
                <c:pt idx="0">
                  <c:v>conc.medie TSP (mg/mc)</c:v>
                </c:pt>
              </c:strCache>
            </c:strRef>
          </c:tx>
          <c:spPr>
            <a:solidFill>
              <a:schemeClr val="accent2">
                <a:lumMod val="60000"/>
                <a:lumOff val="40000"/>
              </a:schemeClr>
            </a:solidFill>
            <a:ln>
              <a:noFill/>
            </a:ln>
            <a:effectLst/>
            <a:scene3d>
              <a:camera prst="orthographicFront"/>
              <a:lightRig rig="threePt" dir="t"/>
            </a:scene3d>
            <a:sp3d>
              <a:bevelT prst="angle"/>
            </a:sp3d>
          </c:spPr>
          <c:invertIfNegative val="0"/>
          <c:cat>
            <c:strRef>
              <c:f>Foaie2!$A$3:$A$14</c:f>
              <c:strCache>
                <c:ptCount val="12"/>
                <c:pt idx="0">
                  <c:v>ian. 2021</c:v>
                </c:pt>
                <c:pt idx="1">
                  <c:v>febr.2021</c:v>
                </c:pt>
                <c:pt idx="2">
                  <c:v>mart.2021</c:v>
                </c:pt>
                <c:pt idx="3">
                  <c:v>apr.2021</c:v>
                </c:pt>
                <c:pt idx="4">
                  <c:v>mai.2021</c:v>
                </c:pt>
                <c:pt idx="5">
                  <c:v>iun.2021</c:v>
                </c:pt>
                <c:pt idx="6">
                  <c:v>iul.2021</c:v>
                </c:pt>
                <c:pt idx="7">
                  <c:v>aug.2021</c:v>
                </c:pt>
                <c:pt idx="8">
                  <c:v>sept.2021</c:v>
                </c:pt>
                <c:pt idx="9">
                  <c:v>oct.2021</c:v>
                </c:pt>
                <c:pt idx="10">
                  <c:v>noi.2021</c:v>
                </c:pt>
                <c:pt idx="11">
                  <c:v>dec.2021</c:v>
                </c:pt>
              </c:strCache>
            </c:strRef>
          </c:cat>
          <c:val>
            <c:numRef>
              <c:f>Foaie2!$B$3:$B$14</c:f>
              <c:numCache>
                <c:formatCode>General</c:formatCode>
                <c:ptCount val="12"/>
                <c:pt idx="0">
                  <c:v>3.4599999999999999E-2</c:v>
                </c:pt>
                <c:pt idx="1">
                  <c:v>4.1500000000000002E-2</c:v>
                </c:pt>
                <c:pt idx="2">
                  <c:v>3.8699999999999998E-2</c:v>
                </c:pt>
                <c:pt idx="3">
                  <c:v>3.0499999999999999E-2</c:v>
                </c:pt>
                <c:pt idx="4">
                  <c:v>1.9890000000000001E-2</c:v>
                </c:pt>
                <c:pt idx="5">
                  <c:v>2.3400000000000001E-2</c:v>
                </c:pt>
                <c:pt idx="6">
                  <c:v>2.7028E-2</c:v>
                </c:pt>
                <c:pt idx="7">
                  <c:v>2.2592270000000001E-2</c:v>
                </c:pt>
                <c:pt idx="8">
                  <c:v>2.5240908999999999E-2</c:v>
                </c:pt>
                <c:pt idx="9">
                  <c:v>3.526E-2</c:v>
                </c:pt>
                <c:pt idx="10">
                  <c:v>4.7039999999999998E-2</c:v>
                </c:pt>
                <c:pt idx="11">
                  <c:v>3.8512999999999999E-2</c:v>
                </c:pt>
              </c:numCache>
            </c:numRef>
          </c:val>
          <c:extLst>
            <c:ext xmlns:c16="http://schemas.microsoft.com/office/drawing/2014/chart" uri="{C3380CC4-5D6E-409C-BE32-E72D297353CC}">
              <c16:uniqueId val="{00000000-C57A-4740-A57E-2F643608585B}"/>
            </c:ext>
          </c:extLst>
        </c:ser>
        <c:dLbls>
          <c:showLegendKey val="0"/>
          <c:showVal val="0"/>
          <c:showCatName val="0"/>
          <c:showSerName val="0"/>
          <c:showPercent val="0"/>
          <c:showBubbleSize val="0"/>
        </c:dLbls>
        <c:gapWidth val="94"/>
        <c:axId val="224403840"/>
        <c:axId val="224405376"/>
      </c:barChart>
      <c:lineChart>
        <c:grouping val="standard"/>
        <c:varyColors val="0"/>
        <c:ser>
          <c:idx val="1"/>
          <c:order val="1"/>
          <c:tx>
            <c:strRef>
              <c:f>Foaie2!$C$2</c:f>
              <c:strCache>
                <c:ptCount val="1"/>
                <c:pt idx="0">
                  <c:v>valoare limită admisă (mg/mc)</c:v>
                </c:pt>
              </c:strCache>
            </c:strRef>
          </c:tx>
          <c:spPr>
            <a:ln>
              <a:solidFill>
                <a:srgbClr val="FF0000"/>
              </a:solidFill>
            </a:ln>
          </c:spPr>
          <c:marker>
            <c:symbol val="none"/>
          </c:marker>
          <c:cat>
            <c:strRef>
              <c:f>Foaie2!$A$3:$A$14</c:f>
              <c:strCache>
                <c:ptCount val="12"/>
                <c:pt idx="0">
                  <c:v>ian. 2021</c:v>
                </c:pt>
                <c:pt idx="1">
                  <c:v>febr.2021</c:v>
                </c:pt>
                <c:pt idx="2">
                  <c:v>mart.2021</c:v>
                </c:pt>
                <c:pt idx="3">
                  <c:v>apr.2021</c:v>
                </c:pt>
                <c:pt idx="4">
                  <c:v>mai.2021</c:v>
                </c:pt>
                <c:pt idx="5">
                  <c:v>iun.2021</c:v>
                </c:pt>
                <c:pt idx="6">
                  <c:v>iul.2021</c:v>
                </c:pt>
                <c:pt idx="7">
                  <c:v>aug.2021</c:v>
                </c:pt>
                <c:pt idx="8">
                  <c:v>sept.2021</c:v>
                </c:pt>
                <c:pt idx="9">
                  <c:v>oct.2021</c:v>
                </c:pt>
                <c:pt idx="10">
                  <c:v>noi.2021</c:v>
                </c:pt>
                <c:pt idx="11">
                  <c:v>dec.2021</c:v>
                </c:pt>
              </c:strCache>
            </c:strRef>
          </c:cat>
          <c:val>
            <c:numRef>
              <c:f>Foaie2!$C$3:$C$14</c:f>
              <c:numCache>
                <c:formatCode>General</c:formatCode>
                <c:ptCount val="12"/>
                <c:pt idx="0">
                  <c:v>0.15</c:v>
                </c:pt>
                <c:pt idx="1">
                  <c:v>0.15</c:v>
                </c:pt>
                <c:pt idx="2">
                  <c:v>0.15</c:v>
                </c:pt>
                <c:pt idx="3">
                  <c:v>0.15</c:v>
                </c:pt>
                <c:pt idx="4">
                  <c:v>0.15</c:v>
                </c:pt>
                <c:pt idx="5">
                  <c:v>0.15</c:v>
                </c:pt>
                <c:pt idx="6">
                  <c:v>0.15</c:v>
                </c:pt>
                <c:pt idx="7">
                  <c:v>0.15</c:v>
                </c:pt>
                <c:pt idx="8">
                  <c:v>0.15</c:v>
                </c:pt>
                <c:pt idx="9">
                  <c:v>0.15</c:v>
                </c:pt>
                <c:pt idx="10">
                  <c:v>0.15</c:v>
                </c:pt>
                <c:pt idx="11">
                  <c:v>0.15</c:v>
                </c:pt>
              </c:numCache>
            </c:numRef>
          </c:val>
          <c:smooth val="0"/>
          <c:extLst>
            <c:ext xmlns:c16="http://schemas.microsoft.com/office/drawing/2014/chart" uri="{C3380CC4-5D6E-409C-BE32-E72D297353CC}">
              <c16:uniqueId val="{00000001-C57A-4740-A57E-2F643608585B}"/>
            </c:ext>
          </c:extLst>
        </c:ser>
        <c:dLbls>
          <c:showLegendKey val="0"/>
          <c:showVal val="0"/>
          <c:showCatName val="0"/>
          <c:showSerName val="0"/>
          <c:showPercent val="0"/>
          <c:showBubbleSize val="0"/>
        </c:dLbls>
        <c:marker val="1"/>
        <c:smooth val="0"/>
        <c:axId val="224403840"/>
        <c:axId val="224405376"/>
      </c:lineChart>
      <c:catAx>
        <c:axId val="2244038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4405376"/>
        <c:crosses val="autoZero"/>
        <c:auto val="1"/>
        <c:lblAlgn val="ctr"/>
        <c:lblOffset val="100"/>
        <c:noMultiLvlLbl val="0"/>
      </c:catAx>
      <c:valAx>
        <c:axId val="224405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4403840"/>
        <c:crosses val="autoZero"/>
        <c:crossBetween val="between"/>
      </c:valAx>
      <c:spPr>
        <a:solidFill>
          <a:schemeClr val="bg1"/>
        </a:solidFill>
        <a:ln>
          <a:noFill/>
        </a:ln>
        <a:effectLst/>
      </c:spPr>
    </c:plotArea>
    <c:legend>
      <c:legendPos val="b"/>
      <c:layout>
        <c:manualLayout>
          <c:xMode val="edge"/>
          <c:yMode val="edge"/>
          <c:x val="8.8871916966663328E-2"/>
          <c:y val="0.84694922922562899"/>
          <c:w val="0.85129273458304056"/>
          <c:h val="0.12042434336817194"/>
        </c:manualLayout>
      </c:layout>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1050"/>
              <a:t>punctele din municipiul Bistrița</a:t>
            </a:r>
            <a:endParaRPr lang="en-US" sz="1050"/>
          </a:p>
        </c:rich>
      </c:tx>
      <c:overlay val="0"/>
    </c:title>
    <c:autoTitleDeleted val="0"/>
    <c:plotArea>
      <c:layout>
        <c:manualLayout>
          <c:layoutTarget val="inner"/>
          <c:xMode val="edge"/>
          <c:yMode val="edge"/>
          <c:x val="5.4242811322414979E-2"/>
          <c:y val="0.1294871794871795"/>
          <c:w val="0.91874011880161788"/>
          <c:h val="0.44481351981351985"/>
        </c:manualLayout>
      </c:layout>
      <c:lineChart>
        <c:grouping val="standard"/>
        <c:varyColors val="0"/>
        <c:ser>
          <c:idx val="0"/>
          <c:order val="0"/>
          <c:tx>
            <c:strRef>
              <c:f>sedim.!$B$6</c:f>
              <c:strCache>
                <c:ptCount val="1"/>
                <c:pt idx="0">
                  <c:v>staţia METEO</c:v>
                </c:pt>
              </c:strCache>
            </c:strRef>
          </c:tx>
          <c:spPr>
            <a:ln w="38100" cap="rnd">
              <a:solidFill>
                <a:schemeClr val="accent1"/>
              </a:solidFill>
              <a:round/>
            </a:ln>
            <a:effectLst/>
          </c:spPr>
          <c:marker>
            <c:symbol val="triangle"/>
            <c:size val="6"/>
            <c:spPr>
              <a:solidFill>
                <a:schemeClr val="accent1"/>
              </a:solidFill>
              <a:ln w="9525">
                <a:solidFill>
                  <a:schemeClr val="accent1"/>
                </a:solidFill>
              </a:ln>
              <a:effectLst/>
            </c:spPr>
          </c:marker>
          <c:dPt>
            <c:idx val="8"/>
            <c:bubble3D val="0"/>
            <c:spPr>
              <a:ln w="38100" cap="rnd">
                <a:solidFill>
                  <a:schemeClr val="tx2">
                    <a:lumMod val="60000"/>
                    <a:lumOff val="40000"/>
                  </a:schemeClr>
                </a:solidFill>
                <a:round/>
              </a:ln>
              <a:effectLst/>
            </c:spPr>
            <c:extLst>
              <c:ext xmlns:c16="http://schemas.microsoft.com/office/drawing/2014/chart" uri="{C3380CC4-5D6E-409C-BE32-E72D297353CC}">
                <c16:uniqueId val="{00000001-D1B2-4FF0-8B6E-920E9F3010C0}"/>
              </c:ext>
            </c:extLst>
          </c:dPt>
          <c:cat>
            <c:numRef>
              <c:f>(sedim.!$C$5:$K$5,sedim.!$L$5)</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(sedim.!$C$6:$K$6,sedim.!$L$6)</c:f>
              <c:numCache>
                <c:formatCode>0.0000</c:formatCode>
                <c:ptCount val="10"/>
                <c:pt idx="0">
                  <c:v>2.4691000000000001</c:v>
                </c:pt>
                <c:pt idx="1">
                  <c:v>3.1581000000000001</c:v>
                </c:pt>
                <c:pt idx="2">
                  <c:v>2.4491000000000001</c:v>
                </c:pt>
                <c:pt idx="3">
                  <c:v>3.9897999999999998</c:v>
                </c:pt>
                <c:pt idx="4">
                  <c:v>5.6204999999999998</c:v>
                </c:pt>
                <c:pt idx="5">
                  <c:v>2.9355000000000002</c:v>
                </c:pt>
                <c:pt idx="6">
                  <c:v>4.1603000000000003</c:v>
                </c:pt>
                <c:pt idx="7">
                  <c:v>2.4641999999999999</c:v>
                </c:pt>
                <c:pt idx="8">
                  <c:v>3.2397</c:v>
                </c:pt>
                <c:pt idx="9">
                  <c:v>3.6432000000000002</c:v>
                </c:pt>
              </c:numCache>
            </c:numRef>
          </c:val>
          <c:smooth val="0"/>
          <c:extLst>
            <c:ext xmlns:c16="http://schemas.microsoft.com/office/drawing/2014/chart" uri="{C3380CC4-5D6E-409C-BE32-E72D297353CC}">
              <c16:uniqueId val="{00000002-D1B2-4FF0-8B6E-920E9F3010C0}"/>
            </c:ext>
          </c:extLst>
        </c:ser>
        <c:ser>
          <c:idx val="1"/>
          <c:order val="1"/>
          <c:tx>
            <c:strRef>
              <c:f>sedim.!$B$7</c:f>
              <c:strCache>
                <c:ptCount val="1"/>
                <c:pt idx="0">
                  <c:v>zona SV </c:v>
                </c:pt>
              </c:strCache>
            </c:strRef>
          </c:tx>
          <c:spPr>
            <a:ln w="38100" cap="rnd">
              <a:solidFill>
                <a:schemeClr val="accent2"/>
              </a:solidFill>
              <a:round/>
            </a:ln>
            <a:effectLst/>
          </c:spPr>
          <c:marker>
            <c:symbol val="diamond"/>
            <c:size val="7"/>
            <c:spPr>
              <a:solidFill>
                <a:schemeClr val="accent2">
                  <a:lumMod val="75000"/>
                </a:schemeClr>
              </a:solidFill>
              <a:ln w="9525">
                <a:solidFill>
                  <a:schemeClr val="accent2"/>
                </a:solidFill>
              </a:ln>
              <a:effectLst/>
            </c:spPr>
          </c:marker>
          <c:cat>
            <c:numRef>
              <c:f>(sedim.!$C$5:$K$5,sedim.!$L$5)</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(sedim.!$C$7:$K$7,sedim.!$L$7)</c:f>
              <c:numCache>
                <c:formatCode>0.0000</c:formatCode>
                <c:ptCount val="10"/>
                <c:pt idx="0">
                  <c:v>2.6193</c:v>
                </c:pt>
                <c:pt idx="1">
                  <c:v>5.2718999999999996</c:v>
                </c:pt>
                <c:pt idx="2">
                  <c:v>2.5123000000000002</c:v>
                </c:pt>
                <c:pt idx="3">
                  <c:v>5.4036</c:v>
                </c:pt>
                <c:pt idx="4">
                  <c:v>4.0984999999999996</c:v>
                </c:pt>
                <c:pt idx="5">
                  <c:v>5.8692000000000002</c:v>
                </c:pt>
                <c:pt idx="6">
                  <c:v>3.4512</c:v>
                </c:pt>
                <c:pt idx="7">
                  <c:v>2.2490999999999999</c:v>
                </c:pt>
                <c:pt idx="8">
                  <c:v>3.3595999999999999</c:v>
                </c:pt>
                <c:pt idx="9">
                  <c:v>4.891</c:v>
                </c:pt>
              </c:numCache>
            </c:numRef>
          </c:val>
          <c:smooth val="0"/>
          <c:extLst>
            <c:ext xmlns:c16="http://schemas.microsoft.com/office/drawing/2014/chart" uri="{C3380CC4-5D6E-409C-BE32-E72D297353CC}">
              <c16:uniqueId val="{00000003-D1B2-4FF0-8B6E-920E9F3010C0}"/>
            </c:ext>
          </c:extLst>
        </c:ser>
        <c:ser>
          <c:idx val="2"/>
          <c:order val="2"/>
          <c:tx>
            <c:strRef>
              <c:f>sedim.!$B$8</c:f>
              <c:strCache>
                <c:ptCount val="1"/>
                <c:pt idx="0">
                  <c:v>zona industriala</c:v>
                </c:pt>
              </c:strCache>
            </c:strRef>
          </c:tx>
          <c:spPr>
            <a:ln w="34925" cap="rnd">
              <a:solidFill>
                <a:schemeClr val="accent3">
                  <a:lumMod val="75000"/>
                </a:schemeClr>
              </a:solidFill>
              <a:round/>
            </a:ln>
            <a:effectLst/>
          </c:spPr>
          <c:marker>
            <c:symbol val="diamond"/>
            <c:size val="7"/>
            <c:spPr>
              <a:solidFill>
                <a:schemeClr val="accent3">
                  <a:lumMod val="75000"/>
                </a:schemeClr>
              </a:solidFill>
              <a:ln w="9525">
                <a:solidFill>
                  <a:schemeClr val="accent3"/>
                </a:solidFill>
              </a:ln>
              <a:effectLst/>
            </c:spPr>
          </c:marker>
          <c:cat>
            <c:numRef>
              <c:f>(sedim.!$C$5:$K$5,sedim.!$L$5)</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(sedim.!$C$8:$K$8,sedim.!$L$8)</c:f>
              <c:numCache>
                <c:formatCode>0.0000</c:formatCode>
                <c:ptCount val="10"/>
                <c:pt idx="0">
                  <c:v>2.7305999999999999</c:v>
                </c:pt>
                <c:pt idx="1">
                  <c:v>3.0097</c:v>
                </c:pt>
                <c:pt idx="2">
                  <c:v>3.0131000000000001</c:v>
                </c:pt>
                <c:pt idx="3">
                  <c:v>4.8718000000000004</c:v>
                </c:pt>
                <c:pt idx="4">
                  <c:v>3.5512999999999999</c:v>
                </c:pt>
                <c:pt idx="5">
                  <c:v>5.7423000000000002</c:v>
                </c:pt>
                <c:pt idx="6">
                  <c:v>5.1965000000000003</c:v>
                </c:pt>
                <c:pt idx="7">
                  <c:v>4.4317000000000002</c:v>
                </c:pt>
                <c:pt idx="8">
                  <c:v>4.0553999999999997</c:v>
                </c:pt>
                <c:pt idx="9">
                  <c:v>6.1878000000000002</c:v>
                </c:pt>
              </c:numCache>
            </c:numRef>
          </c:val>
          <c:smooth val="0"/>
          <c:extLst>
            <c:ext xmlns:c16="http://schemas.microsoft.com/office/drawing/2014/chart" uri="{C3380CC4-5D6E-409C-BE32-E72D297353CC}">
              <c16:uniqueId val="{00000004-D1B2-4FF0-8B6E-920E9F3010C0}"/>
            </c:ext>
          </c:extLst>
        </c:ser>
        <c:ser>
          <c:idx val="3"/>
          <c:order val="3"/>
          <c:tx>
            <c:strRef>
              <c:f>sedim.!$B$9</c:f>
              <c:strCache>
                <c:ptCount val="1"/>
                <c:pt idx="0">
                  <c:v>sediu APM</c:v>
                </c:pt>
              </c:strCache>
            </c:strRef>
          </c:tx>
          <c:spPr>
            <a:ln w="38100" cap="rnd">
              <a:solidFill>
                <a:schemeClr val="accent4"/>
              </a:solidFill>
              <a:round/>
            </a:ln>
            <a:effectLst/>
          </c:spPr>
          <c:marker>
            <c:symbol val="square"/>
            <c:size val="7"/>
            <c:spPr>
              <a:solidFill>
                <a:schemeClr val="accent4"/>
              </a:solidFill>
              <a:ln w="9525">
                <a:solidFill>
                  <a:schemeClr val="accent4"/>
                </a:solidFill>
              </a:ln>
              <a:effectLst/>
            </c:spPr>
          </c:marker>
          <c:cat>
            <c:numRef>
              <c:f>(sedim.!$C$5:$K$5,sedim.!$L$5)</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(sedim.!$C$9:$K$9,sedim.!$L$9)</c:f>
              <c:numCache>
                <c:formatCode>0.0000</c:formatCode>
                <c:ptCount val="10"/>
                <c:pt idx="0">
                  <c:v>2.2524000000000002</c:v>
                </c:pt>
                <c:pt idx="1">
                  <c:v>4.0910000000000002</c:v>
                </c:pt>
                <c:pt idx="2">
                  <c:v>1.7981</c:v>
                </c:pt>
                <c:pt idx="3">
                  <c:v>3.9026999999999998</c:v>
                </c:pt>
                <c:pt idx="4">
                  <c:v>4.2074999999999996</c:v>
                </c:pt>
                <c:pt idx="5">
                  <c:v>2.5666000000000002</c:v>
                </c:pt>
                <c:pt idx="6">
                  <c:v>3.2280000000000002</c:v>
                </c:pt>
                <c:pt idx="7">
                  <c:v>2.5295999999999998</c:v>
                </c:pt>
                <c:pt idx="8">
                  <c:v>2.9716</c:v>
                </c:pt>
                <c:pt idx="9">
                  <c:v>3.2907000000000002</c:v>
                </c:pt>
              </c:numCache>
            </c:numRef>
          </c:val>
          <c:smooth val="0"/>
          <c:extLst>
            <c:ext xmlns:c16="http://schemas.microsoft.com/office/drawing/2014/chart" uri="{C3380CC4-5D6E-409C-BE32-E72D297353CC}">
              <c16:uniqueId val="{00000005-D1B2-4FF0-8B6E-920E9F3010C0}"/>
            </c:ext>
          </c:extLst>
        </c:ser>
        <c:dLbls>
          <c:showLegendKey val="0"/>
          <c:showVal val="0"/>
          <c:showCatName val="0"/>
          <c:showSerName val="0"/>
          <c:showPercent val="0"/>
          <c:showBubbleSize val="0"/>
        </c:dLbls>
        <c:marker val="1"/>
        <c:smooth val="0"/>
        <c:axId val="222989696"/>
        <c:axId val="222991872"/>
      </c:lineChart>
      <c:dateAx>
        <c:axId val="22298969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2991872"/>
        <c:crosses val="autoZero"/>
        <c:auto val="1"/>
        <c:lblOffset val="100"/>
        <c:baseTimeUnit val="months"/>
      </c:dateAx>
      <c:valAx>
        <c:axId val="222991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22989696"/>
        <c:crosses val="autoZero"/>
        <c:crossBetween val="between"/>
      </c:valAx>
      <c:spPr>
        <a:solidFill>
          <a:schemeClr val="bg1"/>
        </a:solidFill>
        <a:ln>
          <a:noFill/>
        </a:ln>
        <a:effectLst/>
      </c:spPr>
    </c:plotArea>
    <c:legend>
      <c:legendPos val="b"/>
      <c:legendEntry>
        <c:idx val="2"/>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overlay val="0"/>
      <c:spPr>
        <a:solidFill>
          <a:schemeClr val="bg1"/>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sedim.!$B$43</c:f>
              <c:strCache>
                <c:ptCount val="1"/>
                <c:pt idx="0">
                  <c:v>Bistriţa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sedim.!$C$42:$L$42</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sedim.!$C$43:$L$43</c:f>
              <c:numCache>
                <c:formatCode>0.0000</c:formatCode>
                <c:ptCount val="10"/>
                <c:pt idx="0">
                  <c:v>2.5178500000000001</c:v>
                </c:pt>
                <c:pt idx="1">
                  <c:v>3.8826749999999999</c:v>
                </c:pt>
                <c:pt idx="2">
                  <c:v>2.4431500000000002</c:v>
                </c:pt>
                <c:pt idx="3">
                  <c:v>4.5419749999999999</c:v>
                </c:pt>
                <c:pt idx="4">
                  <c:v>4.3694499999999996</c:v>
                </c:pt>
                <c:pt idx="5">
                  <c:v>4.2784000000000004</c:v>
                </c:pt>
                <c:pt idx="6">
                  <c:v>4.0090000000000003</c:v>
                </c:pt>
                <c:pt idx="7">
                  <c:v>2.91865</c:v>
                </c:pt>
                <c:pt idx="8">
                  <c:v>3.4065749999999997</c:v>
                </c:pt>
                <c:pt idx="9">
                  <c:v>4.5031750000000006</c:v>
                </c:pt>
              </c:numCache>
            </c:numRef>
          </c:val>
          <c:smooth val="0"/>
          <c:extLst>
            <c:ext xmlns:c16="http://schemas.microsoft.com/office/drawing/2014/chart" uri="{C3380CC4-5D6E-409C-BE32-E72D297353CC}">
              <c16:uniqueId val="{00000000-B400-41D9-83C6-6EF15D62379A}"/>
            </c:ext>
          </c:extLst>
        </c:ser>
        <c:ser>
          <c:idx val="1"/>
          <c:order val="1"/>
          <c:tx>
            <c:strRef>
              <c:f>sedim.!$B$44</c:f>
              <c:strCache>
                <c:ptCount val="1"/>
                <c:pt idx="0">
                  <c:v>Beclean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sedim.!$C$42:$L$42</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sedim.!$C$44:$L$44</c:f>
              <c:numCache>
                <c:formatCode>0.0000</c:formatCode>
                <c:ptCount val="10"/>
                <c:pt idx="0">
                  <c:v>3.24335</c:v>
                </c:pt>
                <c:pt idx="1">
                  <c:v>4.9782500000000001</c:v>
                </c:pt>
                <c:pt idx="2">
                  <c:v>3.8353000000000002</c:v>
                </c:pt>
                <c:pt idx="3">
                  <c:v>3.9630000000000001</c:v>
                </c:pt>
                <c:pt idx="4">
                  <c:v>3.5973000000000002</c:v>
                </c:pt>
                <c:pt idx="5">
                  <c:v>3.8331499999999998</c:v>
                </c:pt>
                <c:pt idx="6">
                  <c:v>4.4527999999999999</c:v>
                </c:pt>
                <c:pt idx="7">
                  <c:v>4.3103999999999996</c:v>
                </c:pt>
                <c:pt idx="8">
                  <c:v>3.3914499999999999</c:v>
                </c:pt>
                <c:pt idx="9">
                  <c:v>4.4870999999999999</c:v>
                </c:pt>
              </c:numCache>
            </c:numRef>
          </c:val>
          <c:smooth val="0"/>
          <c:extLst>
            <c:ext xmlns:c16="http://schemas.microsoft.com/office/drawing/2014/chart" uri="{C3380CC4-5D6E-409C-BE32-E72D297353CC}">
              <c16:uniqueId val="{00000001-B400-41D9-83C6-6EF15D62379A}"/>
            </c:ext>
          </c:extLst>
        </c:ser>
        <c:ser>
          <c:idx val="2"/>
          <c:order val="2"/>
          <c:tx>
            <c:strRef>
              <c:f>sedim.!$B$45</c:f>
              <c:strCache>
                <c:ptCount val="1"/>
                <c:pt idx="0">
                  <c:v>Năsăud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sedim.!$C$42:$L$42</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sedim.!$C$45:$L$45</c:f>
              <c:numCache>
                <c:formatCode>0.0000</c:formatCode>
                <c:ptCount val="10"/>
                <c:pt idx="0">
                  <c:v>1.8623000000000001</c:v>
                </c:pt>
                <c:pt idx="1">
                  <c:v>3.5377000000000001</c:v>
                </c:pt>
                <c:pt idx="2">
                  <c:v>2.0436000000000001</c:v>
                </c:pt>
                <c:pt idx="3">
                  <c:v>2.9929999999999999</c:v>
                </c:pt>
                <c:pt idx="4">
                  <c:v>3.9695</c:v>
                </c:pt>
                <c:pt idx="5">
                  <c:v>3.2961999999999998</c:v>
                </c:pt>
                <c:pt idx="6">
                  <c:v>3.7391000000000001</c:v>
                </c:pt>
                <c:pt idx="7">
                  <c:v>2.4904999999999999</c:v>
                </c:pt>
                <c:pt idx="8">
                  <c:v>3.6846999999999999</c:v>
                </c:pt>
                <c:pt idx="9">
                  <c:v>3.0771000000000002</c:v>
                </c:pt>
              </c:numCache>
            </c:numRef>
          </c:val>
          <c:smooth val="0"/>
          <c:extLst>
            <c:ext xmlns:c16="http://schemas.microsoft.com/office/drawing/2014/chart" uri="{C3380CC4-5D6E-409C-BE32-E72D297353CC}">
              <c16:uniqueId val="{00000002-B400-41D9-83C6-6EF15D62379A}"/>
            </c:ext>
          </c:extLst>
        </c:ser>
        <c:ser>
          <c:idx val="3"/>
          <c:order val="3"/>
          <c:tx>
            <c:strRef>
              <c:f>sedim.!$B$46</c:f>
              <c:strCache>
                <c:ptCount val="1"/>
                <c:pt idx="0">
                  <c:v>Sîngeorz-Băi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sedim.!$C$42:$L$42</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sedim.!$C$46:$L$46</c:f>
              <c:numCache>
                <c:formatCode>0.0000</c:formatCode>
                <c:ptCount val="10"/>
                <c:pt idx="0">
                  <c:v>2.9735999999999998</c:v>
                </c:pt>
                <c:pt idx="1">
                  <c:v>2.1810999999999998</c:v>
                </c:pt>
                <c:pt idx="2">
                  <c:v>2.9615999999999998</c:v>
                </c:pt>
                <c:pt idx="3">
                  <c:v>3.3553999999999999</c:v>
                </c:pt>
                <c:pt idx="4">
                  <c:v>3.5714999999999999</c:v>
                </c:pt>
                <c:pt idx="5">
                  <c:v>3.5867</c:v>
                </c:pt>
                <c:pt idx="6">
                  <c:v>4.1369999999999996</c:v>
                </c:pt>
                <c:pt idx="7">
                  <c:v>4.7027000000000001</c:v>
                </c:pt>
                <c:pt idx="8">
                  <c:v>3.1515</c:v>
                </c:pt>
                <c:pt idx="9">
                  <c:v>5.1765999999999996</c:v>
                </c:pt>
              </c:numCache>
            </c:numRef>
          </c:val>
          <c:smooth val="0"/>
          <c:extLst>
            <c:ext xmlns:c16="http://schemas.microsoft.com/office/drawing/2014/chart" uri="{C3380CC4-5D6E-409C-BE32-E72D297353CC}">
              <c16:uniqueId val="{00000003-B400-41D9-83C6-6EF15D62379A}"/>
            </c:ext>
          </c:extLst>
        </c:ser>
        <c:dLbls>
          <c:showLegendKey val="0"/>
          <c:showVal val="0"/>
          <c:showCatName val="0"/>
          <c:showSerName val="0"/>
          <c:showPercent val="0"/>
          <c:showBubbleSize val="0"/>
        </c:dLbls>
        <c:marker val="1"/>
        <c:smooth val="0"/>
        <c:axId val="952040736"/>
        <c:axId val="952044896"/>
      </c:lineChart>
      <c:dateAx>
        <c:axId val="95204073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52044896"/>
        <c:crosses val="autoZero"/>
        <c:auto val="1"/>
        <c:lblOffset val="100"/>
        <c:baseTimeUnit val="months"/>
      </c:dateAx>
      <c:valAx>
        <c:axId val="95204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52040736"/>
        <c:crosses val="autoZero"/>
        <c:crossBetween val="between"/>
      </c:valAx>
      <c:spPr>
        <a:solidFill>
          <a:schemeClr val="bg1"/>
        </a:solid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sedim.!$B$47</c:f>
              <c:strCache>
                <c:ptCount val="1"/>
                <c:pt idx="0">
                  <c:v>Lechinţa</c:v>
                </c:pt>
              </c:strCache>
            </c:strRef>
          </c:tx>
          <c:spPr>
            <a:ln w="28575" cap="rnd">
              <a:solidFill>
                <a:schemeClr val="bg2">
                  <a:lumMod val="50000"/>
                </a:schemeClr>
              </a:solidFill>
              <a:round/>
            </a:ln>
            <a:effectLst/>
          </c:spPr>
          <c:marker>
            <c:symbol val="circle"/>
            <c:size val="5"/>
            <c:spPr>
              <a:solidFill>
                <a:schemeClr val="accent1"/>
              </a:solidFill>
              <a:ln w="9525">
                <a:solidFill>
                  <a:schemeClr val="accent1"/>
                </a:solidFill>
              </a:ln>
              <a:effectLst/>
            </c:spPr>
          </c:marker>
          <c:cat>
            <c:numRef>
              <c:f>sedim.!$C$42:$L$42</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sedim.!$C$47:$L$47</c:f>
              <c:numCache>
                <c:formatCode>0.0000</c:formatCode>
                <c:ptCount val="10"/>
                <c:pt idx="0">
                  <c:v>1.8943000000000001</c:v>
                </c:pt>
                <c:pt idx="1">
                  <c:v>3.7867000000000002</c:v>
                </c:pt>
                <c:pt idx="2">
                  <c:v>2.3693</c:v>
                </c:pt>
                <c:pt idx="3">
                  <c:v>5.0247000000000002</c:v>
                </c:pt>
                <c:pt idx="4">
                  <c:v>4.2190000000000003</c:v>
                </c:pt>
                <c:pt idx="5">
                  <c:v>4.5532000000000004</c:v>
                </c:pt>
                <c:pt idx="6">
                  <c:v>3.3003</c:v>
                </c:pt>
                <c:pt idx="7">
                  <c:v>2.5188999999999999</c:v>
                </c:pt>
                <c:pt idx="8">
                  <c:v>5.6276999999999999</c:v>
                </c:pt>
                <c:pt idx="9">
                  <c:v>4.2427000000000001</c:v>
                </c:pt>
              </c:numCache>
            </c:numRef>
          </c:val>
          <c:smooth val="0"/>
          <c:extLst>
            <c:ext xmlns:c16="http://schemas.microsoft.com/office/drawing/2014/chart" uri="{C3380CC4-5D6E-409C-BE32-E72D297353CC}">
              <c16:uniqueId val="{00000000-B6DB-4F2B-8A4E-5A60AC493110}"/>
            </c:ext>
          </c:extLst>
        </c:ser>
        <c:ser>
          <c:idx val="1"/>
          <c:order val="1"/>
          <c:tx>
            <c:strRef>
              <c:f>sedim.!$B$48</c:f>
              <c:strCache>
                <c:ptCount val="1"/>
                <c:pt idx="0">
                  <c:v>Bârgău</c:v>
                </c:pt>
              </c:strCache>
            </c:strRef>
          </c:tx>
          <c:spPr>
            <a:ln w="28575" cap="rnd">
              <a:solidFill>
                <a:schemeClr val="accent6">
                  <a:lumMod val="75000"/>
                </a:schemeClr>
              </a:solidFill>
              <a:round/>
            </a:ln>
            <a:effectLst/>
          </c:spPr>
          <c:marker>
            <c:symbol val="circle"/>
            <c:size val="5"/>
            <c:spPr>
              <a:solidFill>
                <a:schemeClr val="accent2"/>
              </a:solidFill>
              <a:ln w="9525">
                <a:solidFill>
                  <a:schemeClr val="accent2"/>
                </a:solidFill>
              </a:ln>
              <a:effectLst/>
            </c:spPr>
          </c:marker>
          <c:cat>
            <c:numRef>
              <c:f>sedim.!$C$42:$L$42</c:f>
              <c:numCache>
                <c:formatCode>mmm\-yy</c:formatCode>
                <c:ptCount val="10"/>
                <c:pt idx="0">
                  <c:v>44256</c:v>
                </c:pt>
                <c:pt idx="1">
                  <c:v>44287</c:v>
                </c:pt>
                <c:pt idx="2">
                  <c:v>44317</c:v>
                </c:pt>
                <c:pt idx="3">
                  <c:v>44348</c:v>
                </c:pt>
                <c:pt idx="4">
                  <c:v>44378</c:v>
                </c:pt>
                <c:pt idx="5">
                  <c:v>44409</c:v>
                </c:pt>
                <c:pt idx="6">
                  <c:v>44440</c:v>
                </c:pt>
                <c:pt idx="7">
                  <c:v>44470</c:v>
                </c:pt>
                <c:pt idx="8">
                  <c:v>44501</c:v>
                </c:pt>
                <c:pt idx="9">
                  <c:v>44531</c:v>
                </c:pt>
              </c:numCache>
            </c:numRef>
          </c:cat>
          <c:val>
            <c:numRef>
              <c:f>sedim.!$C$48:$L$48</c:f>
              <c:numCache>
                <c:formatCode>0.0000</c:formatCode>
                <c:ptCount val="10"/>
                <c:pt idx="0">
                  <c:v>2.7463000000000002</c:v>
                </c:pt>
                <c:pt idx="1">
                  <c:v>3.7885</c:v>
                </c:pt>
                <c:pt idx="2">
                  <c:v>2.9881000000000002</c:v>
                </c:pt>
                <c:pt idx="3">
                  <c:v>4.5128000000000004</c:v>
                </c:pt>
                <c:pt idx="4">
                  <c:v>3.9173</c:v>
                </c:pt>
                <c:pt idx="5">
                  <c:v>3.7976999999999999</c:v>
                </c:pt>
                <c:pt idx="6">
                  <c:v>2.5188000000000001</c:v>
                </c:pt>
                <c:pt idx="7">
                  <c:v>4.0678999999999998</c:v>
                </c:pt>
                <c:pt idx="8">
                  <c:v>2.3656999999999999</c:v>
                </c:pt>
                <c:pt idx="9">
                  <c:v>6.2084000000000001</c:v>
                </c:pt>
              </c:numCache>
            </c:numRef>
          </c:val>
          <c:smooth val="0"/>
          <c:extLst>
            <c:ext xmlns:c16="http://schemas.microsoft.com/office/drawing/2014/chart" uri="{C3380CC4-5D6E-409C-BE32-E72D297353CC}">
              <c16:uniqueId val="{00000001-B6DB-4F2B-8A4E-5A60AC493110}"/>
            </c:ext>
          </c:extLst>
        </c:ser>
        <c:dLbls>
          <c:showLegendKey val="0"/>
          <c:showVal val="0"/>
          <c:showCatName val="0"/>
          <c:showSerName val="0"/>
          <c:showPercent val="0"/>
          <c:showBubbleSize val="0"/>
        </c:dLbls>
        <c:marker val="1"/>
        <c:smooth val="0"/>
        <c:axId val="944258096"/>
        <c:axId val="944278896"/>
      </c:lineChart>
      <c:dateAx>
        <c:axId val="94425809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278896"/>
        <c:crosses val="autoZero"/>
        <c:auto val="1"/>
        <c:lblOffset val="100"/>
        <c:baseTimeUnit val="months"/>
      </c:dateAx>
      <c:valAx>
        <c:axId val="94427889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258096"/>
        <c:crosses val="autoZero"/>
        <c:crossBetween val="between"/>
      </c:valAx>
      <c:spPr>
        <a:solidFill>
          <a:schemeClr val="bg1"/>
        </a:solid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SO</a:t>
            </a:r>
            <a:r>
              <a:rPr lang="ro-RO" sz="1200" b="1"/>
              <a:t>2</a:t>
            </a:r>
            <a:r>
              <a:rPr lang="en-US" sz="1200" b="1"/>
              <a:t> - medi</a:t>
            </a:r>
            <a:r>
              <a:rPr lang="ro-RO" sz="1200" b="1"/>
              <a:t>i</a:t>
            </a:r>
            <a:r>
              <a:rPr lang="en-US" sz="1200" b="1"/>
              <a:t> anual</a:t>
            </a:r>
            <a:r>
              <a:rPr lang="ro-RO" sz="1200" b="1"/>
              <a:t>e</a:t>
            </a:r>
            <a:r>
              <a:rPr lang="en-US" sz="1200" b="1"/>
              <a:t> (µg/mc)</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760709762678265"/>
          <c:y val="6.8085908321512026E-2"/>
          <c:w val="0.86278518069856658"/>
          <c:h val="0.79041206663788433"/>
        </c:manualLayout>
      </c:layout>
      <c:barChart>
        <c:barDir val="col"/>
        <c:grouping val="clustered"/>
        <c:varyColors val="0"/>
        <c:ser>
          <c:idx val="0"/>
          <c:order val="0"/>
          <c:tx>
            <c:strRef>
              <c:f>'[Grafice 2021.xlsx]grafice evolutie'!$B$3</c:f>
              <c:strCache>
                <c:ptCount val="1"/>
                <c:pt idx="0">
                  <c:v>SO2 - medie anuală (µg/mc)</c:v>
                </c:pt>
              </c:strCache>
            </c:strRef>
          </c:tx>
          <c:spPr>
            <a:solidFill>
              <a:srgbClr val="00B050"/>
            </a:solidFill>
            <a:ln>
              <a:noFill/>
            </a:ln>
            <a:effectLst/>
            <a:scene3d>
              <a:camera prst="orthographicFront"/>
              <a:lightRig rig="threePt" dir="t"/>
            </a:scene3d>
            <a:sp3d>
              <a:bevelT/>
            </a:sp3d>
          </c:spPr>
          <c:invertIfNegative val="0"/>
          <c:dLbls>
            <c:spPr>
              <a:solidFill>
                <a:schemeClr val="bg1"/>
              </a:solidFill>
              <a:ln w="15875">
                <a:solidFill>
                  <a:srgbClr val="00B050"/>
                </a:solid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00B050"/>
                </a:solidFill>
                <a:prstDash val="dash"/>
              </a:ln>
              <a:effectLst/>
            </c:spPr>
            <c:trendlineType val="linear"/>
            <c:dispRSqr val="0"/>
            <c:dispEq val="0"/>
          </c:trendline>
          <c:cat>
            <c:numRef>
              <c:f>'[Grafice 2021.xlsx]grafice evolutie'!$A$4:$A$8</c:f>
              <c:numCache>
                <c:formatCode>General</c:formatCode>
                <c:ptCount val="5"/>
                <c:pt idx="0">
                  <c:v>2017</c:v>
                </c:pt>
                <c:pt idx="1">
                  <c:v>2018</c:v>
                </c:pt>
                <c:pt idx="2">
                  <c:v>2019</c:v>
                </c:pt>
                <c:pt idx="3">
                  <c:v>2020</c:v>
                </c:pt>
                <c:pt idx="4">
                  <c:v>2021</c:v>
                </c:pt>
              </c:numCache>
            </c:numRef>
          </c:cat>
          <c:val>
            <c:numRef>
              <c:f>'[Grafice 2021.xlsx]grafice evolutie'!$B$4:$B$8</c:f>
              <c:numCache>
                <c:formatCode>General</c:formatCode>
                <c:ptCount val="5"/>
                <c:pt idx="0">
                  <c:v>5.98</c:v>
                </c:pt>
                <c:pt idx="1">
                  <c:v>4.25</c:v>
                </c:pt>
                <c:pt idx="2">
                  <c:v>3.62</c:v>
                </c:pt>
                <c:pt idx="3">
                  <c:v>4.26</c:v>
                </c:pt>
                <c:pt idx="4">
                  <c:v>6.02</c:v>
                </c:pt>
              </c:numCache>
            </c:numRef>
          </c:val>
          <c:extLst>
            <c:ext xmlns:c16="http://schemas.microsoft.com/office/drawing/2014/chart" uri="{C3380CC4-5D6E-409C-BE32-E72D297353CC}">
              <c16:uniqueId val="{00000000-259B-44C7-B46E-5CC8E3C7CD8A}"/>
            </c:ext>
          </c:extLst>
        </c:ser>
        <c:dLbls>
          <c:showLegendKey val="0"/>
          <c:showVal val="0"/>
          <c:showCatName val="0"/>
          <c:showSerName val="0"/>
          <c:showPercent val="0"/>
          <c:showBubbleSize val="0"/>
        </c:dLbls>
        <c:gapWidth val="219"/>
        <c:overlap val="-27"/>
        <c:axId val="501304352"/>
        <c:axId val="501304680"/>
      </c:barChart>
      <c:catAx>
        <c:axId val="50130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1304680"/>
        <c:crosses val="autoZero"/>
        <c:auto val="1"/>
        <c:lblAlgn val="ctr"/>
        <c:lblOffset val="100"/>
        <c:noMultiLvlLbl val="0"/>
      </c:catAx>
      <c:valAx>
        <c:axId val="501304680"/>
        <c:scaling>
          <c:orientation val="minMax"/>
          <c:max val="8"/>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1304352"/>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SO2- captură anuală</a:t>
            </a:r>
            <a:r>
              <a:rPr lang="ro-RO" sz="1200" b="1"/>
              <a:t> de date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'[Grafice 2021.xlsx]grafice evolutie'!$C$3</c:f>
              <c:strCache>
                <c:ptCount val="1"/>
                <c:pt idx="0">
                  <c:v>SO2- captură anuală</c:v>
                </c:pt>
              </c:strCache>
            </c:strRef>
          </c:tx>
          <c:spPr>
            <a:pattFill prst="diagBrick">
              <a:fgClr>
                <a:srgbClr val="92D050"/>
              </a:fgClr>
              <a:bgClr>
                <a:schemeClr val="bg1"/>
              </a:bgClr>
            </a:pattFill>
            <a:ln>
              <a:noFill/>
            </a:ln>
            <a:effectLst/>
            <a:scene3d>
              <a:camera prst="orthographicFront"/>
              <a:lightRig rig="threePt" dir="t"/>
            </a:scene3d>
            <a:sp3d>
              <a:bevelT/>
            </a:sp3d>
          </c:spPr>
          <c:invertIfNegative val="0"/>
          <c:dLbls>
            <c:spPr>
              <a:solidFill>
                <a:schemeClr val="bg1"/>
              </a:solidFill>
              <a:ln w="19050">
                <a:solidFill>
                  <a:schemeClr val="bg1">
                    <a:lumMod val="65000"/>
                  </a:schemeClr>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2021.xlsx]grafice evolutie'!$A$4:$A$8</c:f>
              <c:numCache>
                <c:formatCode>General</c:formatCode>
                <c:ptCount val="5"/>
                <c:pt idx="0">
                  <c:v>2017</c:v>
                </c:pt>
                <c:pt idx="1">
                  <c:v>2018</c:v>
                </c:pt>
                <c:pt idx="2">
                  <c:v>2019</c:v>
                </c:pt>
                <c:pt idx="3">
                  <c:v>2020</c:v>
                </c:pt>
                <c:pt idx="4">
                  <c:v>2021</c:v>
                </c:pt>
              </c:numCache>
            </c:numRef>
          </c:cat>
          <c:val>
            <c:numRef>
              <c:f>'[Grafice 2021.xlsx]grafice evolutie'!$C$4:$C$8</c:f>
              <c:numCache>
                <c:formatCode>General</c:formatCode>
                <c:ptCount val="5"/>
                <c:pt idx="0">
                  <c:v>87.8</c:v>
                </c:pt>
                <c:pt idx="1">
                  <c:v>92.57</c:v>
                </c:pt>
                <c:pt idx="2">
                  <c:v>93.06</c:v>
                </c:pt>
                <c:pt idx="3">
                  <c:v>95.05</c:v>
                </c:pt>
                <c:pt idx="4">
                  <c:v>95.09</c:v>
                </c:pt>
              </c:numCache>
            </c:numRef>
          </c:val>
          <c:extLst>
            <c:ext xmlns:c16="http://schemas.microsoft.com/office/drawing/2014/chart" uri="{C3380CC4-5D6E-409C-BE32-E72D297353CC}">
              <c16:uniqueId val="{00000000-EA99-42B9-A0F1-2861447A3685}"/>
            </c:ext>
          </c:extLst>
        </c:ser>
        <c:dLbls>
          <c:showLegendKey val="0"/>
          <c:showVal val="0"/>
          <c:showCatName val="0"/>
          <c:showSerName val="0"/>
          <c:showPercent val="0"/>
          <c:showBubbleSize val="0"/>
        </c:dLbls>
        <c:gapWidth val="219"/>
        <c:overlap val="-27"/>
        <c:axId val="1818301631"/>
        <c:axId val="1818293311"/>
      </c:barChart>
      <c:catAx>
        <c:axId val="181830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8293311"/>
        <c:crosses val="autoZero"/>
        <c:auto val="1"/>
        <c:lblAlgn val="ctr"/>
        <c:lblOffset val="100"/>
        <c:noMultiLvlLbl val="0"/>
      </c:catAx>
      <c:valAx>
        <c:axId val="1818293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830163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NO2 - medi</a:t>
            </a:r>
            <a:r>
              <a:rPr lang="ro-RO" sz="1200" b="1"/>
              <a:t>i</a:t>
            </a:r>
            <a:r>
              <a:rPr lang="en-US" sz="1200" b="1"/>
              <a:t> anual</a:t>
            </a:r>
            <a:r>
              <a:rPr lang="ro-RO" sz="1200" b="1"/>
              <a:t>e</a:t>
            </a:r>
            <a:r>
              <a:rPr lang="en-US" sz="1200" b="1"/>
              <a:t> (µg/mc</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3943198493266665E-2"/>
          <c:y val="4.9213258111241817E-2"/>
          <c:w val="0.89931456409675414"/>
          <c:h val="0.64108156463141064"/>
        </c:manualLayout>
      </c:layout>
      <c:barChart>
        <c:barDir val="col"/>
        <c:grouping val="clustered"/>
        <c:varyColors val="0"/>
        <c:ser>
          <c:idx val="0"/>
          <c:order val="0"/>
          <c:tx>
            <c:strRef>
              <c:f>'[Grafice 2021.xlsx]grafice evolutie'!$E$3</c:f>
              <c:strCache>
                <c:ptCount val="1"/>
                <c:pt idx="0">
                  <c:v>NO2 - medie anuală (µg/mc)</c:v>
                </c:pt>
              </c:strCache>
            </c:strRef>
          </c:tx>
          <c:spPr>
            <a:solidFill>
              <a:srgbClr val="C00000"/>
            </a:solidFill>
            <a:ln>
              <a:noFill/>
            </a:ln>
            <a:effectLst/>
            <a:scene3d>
              <a:camera prst="orthographicFront"/>
              <a:lightRig rig="threePt" dir="t"/>
            </a:scene3d>
            <a:sp3d>
              <a:bevelT/>
            </a:sp3d>
          </c:spPr>
          <c:invertIfNegative val="0"/>
          <c:dLbls>
            <c:spPr>
              <a:solidFill>
                <a:schemeClr val="bg1"/>
              </a:solidFill>
              <a:ln w="19050">
                <a:solidFill>
                  <a:srgbClr val="C00000"/>
                </a:solid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C00000"/>
                </a:solidFill>
                <a:prstDash val="dash"/>
              </a:ln>
              <a:effectLst/>
            </c:spPr>
            <c:trendlineType val="linear"/>
            <c:dispRSqr val="0"/>
            <c:dispEq val="0"/>
          </c:trendline>
          <c:cat>
            <c:numRef>
              <c:f>'[Grafice 2021.xlsx]grafice evolutie'!$D$4:$D$8</c:f>
              <c:numCache>
                <c:formatCode>General</c:formatCode>
                <c:ptCount val="5"/>
                <c:pt idx="0">
                  <c:v>2017</c:v>
                </c:pt>
                <c:pt idx="1">
                  <c:v>2018</c:v>
                </c:pt>
                <c:pt idx="2">
                  <c:v>2019</c:v>
                </c:pt>
                <c:pt idx="3">
                  <c:v>2020</c:v>
                </c:pt>
                <c:pt idx="4">
                  <c:v>2021</c:v>
                </c:pt>
              </c:numCache>
            </c:numRef>
          </c:cat>
          <c:val>
            <c:numRef>
              <c:f>'[Grafice 2021.xlsx]grafice evolutie'!$E$4:$E$8</c:f>
              <c:numCache>
                <c:formatCode>General</c:formatCode>
                <c:ptCount val="5"/>
                <c:pt idx="0">
                  <c:v>23.44</c:v>
                </c:pt>
                <c:pt idx="1">
                  <c:v>24.58</c:v>
                </c:pt>
                <c:pt idx="2">
                  <c:v>26.27</c:v>
                </c:pt>
                <c:pt idx="3">
                  <c:v>23.19</c:v>
                </c:pt>
                <c:pt idx="4">
                  <c:v>25.72</c:v>
                </c:pt>
              </c:numCache>
            </c:numRef>
          </c:val>
          <c:extLst>
            <c:ext xmlns:c16="http://schemas.microsoft.com/office/drawing/2014/chart" uri="{C3380CC4-5D6E-409C-BE32-E72D297353CC}">
              <c16:uniqueId val="{00000000-E78A-4098-BF61-593D082BCEFC}"/>
            </c:ext>
          </c:extLst>
        </c:ser>
        <c:dLbls>
          <c:showLegendKey val="0"/>
          <c:showVal val="0"/>
          <c:showCatName val="0"/>
          <c:showSerName val="0"/>
          <c:showPercent val="0"/>
          <c:showBubbleSize val="0"/>
        </c:dLbls>
        <c:gapWidth val="219"/>
        <c:axId val="610535128"/>
        <c:axId val="610535456"/>
      </c:barChart>
      <c:lineChart>
        <c:grouping val="standard"/>
        <c:varyColors val="0"/>
        <c:ser>
          <c:idx val="2"/>
          <c:order val="1"/>
          <c:tx>
            <c:strRef>
              <c:f>'[Grafice 2021.xlsx]grafice evolutie'!$G$3</c:f>
              <c:strCache>
                <c:ptCount val="1"/>
                <c:pt idx="0">
                  <c:v>NO2 - limită anuală</c:v>
                </c:pt>
              </c:strCache>
            </c:strRef>
          </c:tx>
          <c:spPr>
            <a:ln w="28575" cap="rnd">
              <a:solidFill>
                <a:srgbClr val="FF0000"/>
              </a:solidFill>
              <a:round/>
            </a:ln>
            <a:effectLst/>
          </c:spPr>
          <c:marker>
            <c:symbol val="none"/>
          </c:marker>
          <c:cat>
            <c:numRef>
              <c:f>'[Grafice 2021.xlsx]grafice evolutie'!$D$4:$D$8</c:f>
              <c:numCache>
                <c:formatCode>General</c:formatCode>
                <c:ptCount val="5"/>
                <c:pt idx="0">
                  <c:v>2017</c:v>
                </c:pt>
                <c:pt idx="1">
                  <c:v>2018</c:v>
                </c:pt>
                <c:pt idx="2">
                  <c:v>2019</c:v>
                </c:pt>
                <c:pt idx="3">
                  <c:v>2020</c:v>
                </c:pt>
                <c:pt idx="4">
                  <c:v>2021</c:v>
                </c:pt>
              </c:numCache>
            </c:numRef>
          </c:cat>
          <c:val>
            <c:numRef>
              <c:f>'[Grafice 2021.xlsx]grafice evolutie'!$G$4:$G$8</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1-E78A-4098-BF61-593D082BCEFC}"/>
            </c:ext>
          </c:extLst>
        </c:ser>
        <c:dLbls>
          <c:showLegendKey val="0"/>
          <c:showVal val="0"/>
          <c:showCatName val="0"/>
          <c:showSerName val="0"/>
          <c:showPercent val="0"/>
          <c:showBubbleSize val="0"/>
        </c:dLbls>
        <c:marker val="1"/>
        <c:smooth val="0"/>
        <c:axId val="610535128"/>
        <c:axId val="610535456"/>
      </c:lineChart>
      <c:catAx>
        <c:axId val="61053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0535456"/>
        <c:crosses val="autoZero"/>
        <c:auto val="1"/>
        <c:lblAlgn val="ctr"/>
        <c:lblOffset val="100"/>
        <c:noMultiLvlLbl val="0"/>
      </c:catAx>
      <c:valAx>
        <c:axId val="610535456"/>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0535128"/>
        <c:crosses val="autoZero"/>
        <c:crossBetween val="between"/>
        <c:majorUnit val="10"/>
      </c:valAx>
      <c:spPr>
        <a:noFill/>
        <a:ln>
          <a:noFill/>
        </a:ln>
        <a:effectLst/>
      </c:spPr>
    </c:plotArea>
    <c:legend>
      <c:legendPos val="b"/>
      <c:legendEntry>
        <c:idx val="2"/>
        <c:delete val="1"/>
      </c:legendEntry>
      <c:layout>
        <c:manualLayout>
          <c:xMode val="edge"/>
          <c:yMode val="edge"/>
          <c:x val="0.12023475456525383"/>
          <c:y val="0.81184281030615113"/>
          <c:w val="0.82601950354609932"/>
          <c:h val="0.15355511356928134"/>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NO2- captură anuală</a:t>
            </a:r>
            <a:r>
              <a:rPr lang="ro-RO" sz="1200" b="1"/>
              <a:t> de date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109539630174388"/>
          <c:y val="0.21761481316615575"/>
          <c:w val="0.84713244763604578"/>
          <c:h val="0.65749116729420964"/>
        </c:manualLayout>
      </c:layout>
      <c:barChart>
        <c:barDir val="col"/>
        <c:grouping val="clustered"/>
        <c:varyColors val="0"/>
        <c:ser>
          <c:idx val="0"/>
          <c:order val="0"/>
          <c:tx>
            <c:strRef>
              <c:f>'[Grafice 2021.xlsx]grafice evolutie'!$F$3</c:f>
              <c:strCache>
                <c:ptCount val="1"/>
                <c:pt idx="0">
                  <c:v>NO2- captură anuală</c:v>
                </c:pt>
              </c:strCache>
            </c:strRef>
          </c:tx>
          <c:spPr>
            <a:pattFill prst="diagBrick">
              <a:fgClr>
                <a:srgbClr val="C00000"/>
              </a:fgClr>
              <a:bgClr>
                <a:schemeClr val="bg1"/>
              </a:bgClr>
            </a:pattFill>
            <a:ln>
              <a:noFill/>
            </a:ln>
            <a:effectLst/>
            <a:scene3d>
              <a:camera prst="orthographicFront"/>
              <a:lightRig rig="threePt" dir="t"/>
            </a:scene3d>
            <a:sp3d>
              <a:bevelT/>
            </a:sp3d>
          </c:spPr>
          <c:invertIfNegative val="0"/>
          <c:dLbls>
            <c:spPr>
              <a:solidFill>
                <a:schemeClr val="bg1"/>
              </a:solidFill>
              <a:ln w="19050">
                <a:solidFill>
                  <a:schemeClr val="bg1">
                    <a:lumMod val="65000"/>
                  </a:schemeClr>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2021.xlsx]grafice evolutie'!$D$4:$D$8</c:f>
              <c:numCache>
                <c:formatCode>General</c:formatCode>
                <c:ptCount val="5"/>
                <c:pt idx="0">
                  <c:v>2017</c:v>
                </c:pt>
                <c:pt idx="1">
                  <c:v>2018</c:v>
                </c:pt>
                <c:pt idx="2">
                  <c:v>2019</c:v>
                </c:pt>
                <c:pt idx="3">
                  <c:v>2020</c:v>
                </c:pt>
                <c:pt idx="4">
                  <c:v>2021</c:v>
                </c:pt>
              </c:numCache>
            </c:numRef>
          </c:cat>
          <c:val>
            <c:numRef>
              <c:f>'[Grafice 2021.xlsx]grafice evolutie'!$F$4:$F$8</c:f>
              <c:numCache>
                <c:formatCode>General</c:formatCode>
                <c:ptCount val="5"/>
                <c:pt idx="0">
                  <c:v>88.23</c:v>
                </c:pt>
                <c:pt idx="1">
                  <c:v>91.19</c:v>
                </c:pt>
                <c:pt idx="2">
                  <c:v>95.48</c:v>
                </c:pt>
                <c:pt idx="3">
                  <c:v>92.78</c:v>
                </c:pt>
                <c:pt idx="4">
                  <c:v>90.97</c:v>
                </c:pt>
              </c:numCache>
            </c:numRef>
          </c:val>
          <c:extLst>
            <c:ext xmlns:c16="http://schemas.microsoft.com/office/drawing/2014/chart" uri="{C3380CC4-5D6E-409C-BE32-E72D297353CC}">
              <c16:uniqueId val="{00000000-D029-4395-AE03-2BAD041D65B2}"/>
            </c:ext>
          </c:extLst>
        </c:ser>
        <c:dLbls>
          <c:showLegendKey val="0"/>
          <c:showVal val="0"/>
          <c:showCatName val="0"/>
          <c:showSerName val="0"/>
          <c:showPercent val="0"/>
          <c:showBubbleSize val="0"/>
        </c:dLbls>
        <c:gapWidth val="219"/>
        <c:overlap val="-27"/>
        <c:axId val="1829981583"/>
        <c:axId val="1829969103"/>
      </c:barChart>
      <c:catAx>
        <c:axId val="1829981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969103"/>
        <c:crosses val="autoZero"/>
        <c:auto val="1"/>
        <c:lblAlgn val="ctr"/>
        <c:lblOffset val="100"/>
        <c:noMultiLvlLbl val="0"/>
      </c:catAx>
      <c:valAx>
        <c:axId val="1829969103"/>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981583"/>
        <c:crosses val="autoZero"/>
        <c:crossBetween val="between"/>
        <c:majorUnit val="20"/>
      </c:valAx>
      <c:spPr>
        <a:noFill/>
        <a:ln>
          <a:solidFill>
            <a:schemeClr val="tx1">
              <a:lumMod val="15000"/>
              <a:lumOff val="85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o-RO" sz="1200"/>
              <a:t>N</a:t>
            </a:r>
            <a:r>
              <a:rPr lang="en-US" sz="1200"/>
              <a:t>O2 medie lunară</a:t>
            </a:r>
            <a:endParaRPr lang="ro-RO" sz="1200"/>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rgbClr val="C00000"/>
            </a:solidFill>
            <a:ln>
              <a:noFill/>
            </a:ln>
            <a:effectLst/>
            <a:scene3d>
              <a:camera prst="orthographicFront"/>
              <a:lightRig rig="threePt" dir="t"/>
            </a:scene3d>
            <a:sp3d>
              <a:bevelT/>
            </a:sp3d>
          </c:spPr>
          <c:invertIfNegative val="0"/>
          <c:cat>
            <c:strRef>
              <c:f>'[Grafice 2021.xlsx]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'[Grafice 2021.xlsx] grafice lunare'!$D$5:$D$16</c:f>
              <c:numCache>
                <c:formatCode>General</c:formatCode>
                <c:ptCount val="12"/>
                <c:pt idx="0">
                  <c:v>37.42</c:v>
                </c:pt>
                <c:pt idx="1">
                  <c:v>40.659999999999997</c:v>
                </c:pt>
                <c:pt idx="2">
                  <c:v>31.07</c:v>
                </c:pt>
                <c:pt idx="3">
                  <c:v>14.82</c:v>
                </c:pt>
                <c:pt idx="4">
                  <c:v>9.82</c:v>
                </c:pt>
                <c:pt idx="5">
                  <c:v>16.79</c:v>
                </c:pt>
                <c:pt idx="6">
                  <c:v>20.190000000000001</c:v>
                </c:pt>
                <c:pt idx="7">
                  <c:v>21.92</c:v>
                </c:pt>
                <c:pt idx="8">
                  <c:v>22.61</c:v>
                </c:pt>
                <c:pt idx="9">
                  <c:v>28.52</c:v>
                </c:pt>
                <c:pt idx="10">
                  <c:v>34.51</c:v>
                </c:pt>
                <c:pt idx="11">
                  <c:v>32.18</c:v>
                </c:pt>
              </c:numCache>
            </c:numRef>
          </c:val>
          <c:extLst>
            <c:ext xmlns:c16="http://schemas.microsoft.com/office/drawing/2014/chart" uri="{C3380CC4-5D6E-409C-BE32-E72D297353CC}">
              <c16:uniqueId val="{00000000-E2F6-4AE6-8645-89643FDE07D0}"/>
            </c:ext>
          </c:extLst>
        </c:ser>
        <c:dLbls>
          <c:showLegendKey val="0"/>
          <c:showVal val="0"/>
          <c:showCatName val="0"/>
          <c:showSerName val="0"/>
          <c:showPercent val="0"/>
          <c:showBubbleSize val="0"/>
        </c:dLbls>
        <c:gapWidth val="219"/>
        <c:overlap val="-27"/>
        <c:axId val="410084792"/>
        <c:axId val="410085120"/>
      </c:barChart>
      <c:catAx>
        <c:axId val="41008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0085120"/>
        <c:crosses val="autoZero"/>
        <c:auto val="1"/>
        <c:lblAlgn val="ctr"/>
        <c:lblOffset val="100"/>
        <c:noMultiLvlLbl val="0"/>
      </c:catAx>
      <c:valAx>
        <c:axId val="41008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a:t>concentrație µg/m3</a:t>
                </a:r>
              </a:p>
            </c:rich>
          </c:tx>
          <c:layout>
            <c:manualLayout>
              <c:xMode val="edge"/>
              <c:yMode val="edge"/>
              <c:x val="2.1987686895338612E-2"/>
              <c:y val="0.2909973753280840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10084792"/>
        <c:crosses val="autoZero"/>
        <c:crossBetween val="between"/>
      </c:valAx>
      <c:spPr>
        <a:solidFill>
          <a:schemeClr val="bg1"/>
        </a:solidFill>
        <a:ln>
          <a:noFill/>
        </a:ln>
        <a:effectLst/>
      </c:spPr>
    </c:plotArea>
    <c:plotVisOnly val="1"/>
    <c:dispBlanksAs val="gap"/>
    <c:showDLblsOverMax val="0"/>
  </c:chart>
  <c:spPr>
    <a:solidFill>
      <a:schemeClr val="tx2">
        <a:lumMod val="20000"/>
        <a:lumOff val="80000"/>
      </a:schemeClr>
    </a:solidFill>
    <a:ln w="12700" cap="flat" cmpd="sng" algn="ctr">
      <a:noFill/>
      <a:round/>
    </a:ln>
    <a:effectLst/>
  </c:spPr>
  <c:txPr>
    <a:bodyPr/>
    <a:lstStyle/>
    <a:p>
      <a:pPr>
        <a:defRPr b="1" i="0" baseline="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CO - medi</a:t>
            </a:r>
            <a:r>
              <a:rPr lang="ro-RO" sz="1200" b="1"/>
              <a:t>i</a:t>
            </a:r>
            <a:r>
              <a:rPr lang="en-US" sz="1200" b="1"/>
              <a:t> anual</a:t>
            </a:r>
            <a:r>
              <a:rPr lang="ro-RO" sz="1200" b="1"/>
              <a:t>e</a:t>
            </a:r>
            <a:r>
              <a:rPr lang="en-US" sz="1200" b="1"/>
              <a:t> (mg/mc)</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4303937559855492E-2"/>
          <c:y val="4.5242541503827914E-2"/>
          <c:w val="0.92641810940824831"/>
          <c:h val="0.79652792589658428"/>
        </c:manualLayout>
      </c:layout>
      <c:barChart>
        <c:barDir val="col"/>
        <c:grouping val="clustered"/>
        <c:varyColors val="0"/>
        <c:ser>
          <c:idx val="1"/>
          <c:order val="0"/>
          <c:tx>
            <c:strRef>
              <c:f>'[Grafice 2021.xlsx]grafice evolutie'!$M$3</c:f>
              <c:strCache>
                <c:ptCount val="1"/>
                <c:pt idx="0">
                  <c:v>CO - medie anuală (mg/mc)</c:v>
                </c:pt>
              </c:strCache>
            </c:strRef>
          </c:tx>
          <c:spPr>
            <a:solidFill>
              <a:srgbClr val="FCF600"/>
            </a:solidFill>
            <a:ln>
              <a:noFill/>
            </a:ln>
            <a:effectLst/>
            <a:scene3d>
              <a:camera prst="orthographicFront"/>
              <a:lightRig rig="threePt" dir="t"/>
            </a:scene3d>
            <a:sp3d>
              <a:bevelT/>
            </a:sp3d>
          </c:spPr>
          <c:invertIfNegative val="0"/>
          <c:dLbls>
            <c:spPr>
              <a:solidFill>
                <a:schemeClr val="bg1"/>
              </a:solidFill>
              <a:ln w="22225">
                <a:solidFill>
                  <a:srgbClr val="E1E100"/>
                </a:solid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E1E100"/>
                </a:solidFill>
                <a:prstDash val="dash"/>
              </a:ln>
              <a:effectLst/>
            </c:spPr>
            <c:trendlineType val="linear"/>
            <c:dispRSqr val="0"/>
            <c:dispEq val="0"/>
          </c:trendline>
          <c:cat>
            <c:numRef>
              <c:f>'[Grafice 2021.xlsx]grafice evolutie'!$K$4:$K$8</c:f>
              <c:numCache>
                <c:formatCode>General</c:formatCode>
                <c:ptCount val="5"/>
                <c:pt idx="0">
                  <c:v>2017</c:v>
                </c:pt>
                <c:pt idx="1">
                  <c:v>2018</c:v>
                </c:pt>
                <c:pt idx="2">
                  <c:v>2019</c:v>
                </c:pt>
                <c:pt idx="3">
                  <c:v>2020</c:v>
                </c:pt>
                <c:pt idx="4">
                  <c:v>2021</c:v>
                </c:pt>
              </c:numCache>
            </c:numRef>
          </c:cat>
          <c:val>
            <c:numRef>
              <c:f>'[Grafice 2021.xlsx]grafice evolutie'!$M$4:$M$8</c:f>
              <c:numCache>
                <c:formatCode>General</c:formatCode>
                <c:ptCount val="5"/>
                <c:pt idx="0">
                  <c:v>0.55000000000000004</c:v>
                </c:pt>
                <c:pt idx="1">
                  <c:v>0.7</c:v>
                </c:pt>
                <c:pt idx="2">
                  <c:v>0.56000000000000005</c:v>
                </c:pt>
                <c:pt idx="3">
                  <c:v>0.53</c:v>
                </c:pt>
                <c:pt idx="4">
                  <c:v>0.36</c:v>
                </c:pt>
              </c:numCache>
            </c:numRef>
          </c:val>
          <c:extLst>
            <c:ext xmlns:c16="http://schemas.microsoft.com/office/drawing/2014/chart" uri="{C3380CC4-5D6E-409C-BE32-E72D297353CC}">
              <c16:uniqueId val="{00000000-881C-4637-8796-1D4B85F05E53}"/>
            </c:ext>
          </c:extLst>
        </c:ser>
        <c:dLbls>
          <c:showLegendKey val="0"/>
          <c:showVal val="0"/>
          <c:showCatName val="0"/>
          <c:showSerName val="0"/>
          <c:showPercent val="0"/>
          <c:showBubbleSize val="0"/>
        </c:dLbls>
        <c:gapWidth val="150"/>
        <c:axId val="700774912"/>
        <c:axId val="700770320"/>
      </c:barChart>
      <c:catAx>
        <c:axId val="70077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0770320"/>
        <c:crosses val="autoZero"/>
        <c:auto val="1"/>
        <c:lblAlgn val="ctr"/>
        <c:lblOffset val="100"/>
        <c:noMultiLvlLbl val="0"/>
      </c:catAx>
      <c:valAx>
        <c:axId val="7007703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07749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CO- captură anuală </a:t>
            </a:r>
            <a:r>
              <a:rPr lang="ro-RO" sz="1200" b="1"/>
              <a:t>de date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'[Grafice 2021.xlsx]grafice evolutie'!$L$3</c:f>
              <c:strCache>
                <c:ptCount val="1"/>
                <c:pt idx="0">
                  <c:v>CO- captură anuală (µg/mc)</c:v>
                </c:pt>
              </c:strCache>
            </c:strRef>
          </c:tx>
          <c:spPr>
            <a:pattFill prst="diagBrick">
              <a:fgClr>
                <a:srgbClr val="E1E100"/>
              </a:fgClr>
              <a:bgClr>
                <a:schemeClr val="bg1"/>
              </a:bgClr>
            </a:pattFill>
            <a:ln>
              <a:noFill/>
            </a:ln>
            <a:effectLst/>
            <a:scene3d>
              <a:camera prst="orthographicFront"/>
              <a:lightRig rig="threePt" dir="t"/>
            </a:scene3d>
            <a:sp3d>
              <a:bevelT/>
            </a:sp3d>
          </c:spPr>
          <c:invertIfNegative val="0"/>
          <c:dLbls>
            <c:spPr>
              <a:solidFill>
                <a:schemeClr val="bg1"/>
              </a:solidFill>
              <a:ln w="19050">
                <a:solidFill>
                  <a:schemeClr val="bg1">
                    <a:lumMod val="75000"/>
                  </a:schemeClr>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2021.xlsx]grafice evolutie'!$K$4:$K$8</c:f>
              <c:numCache>
                <c:formatCode>General</c:formatCode>
                <c:ptCount val="5"/>
                <c:pt idx="0">
                  <c:v>2017</c:v>
                </c:pt>
                <c:pt idx="1">
                  <c:v>2018</c:v>
                </c:pt>
                <c:pt idx="2">
                  <c:v>2019</c:v>
                </c:pt>
                <c:pt idx="3">
                  <c:v>2020</c:v>
                </c:pt>
                <c:pt idx="4">
                  <c:v>2021</c:v>
                </c:pt>
              </c:numCache>
            </c:numRef>
          </c:cat>
          <c:val>
            <c:numRef>
              <c:f>'[Grafice 2021.xlsx]grafice evolutie'!$L$4:$L$8</c:f>
              <c:numCache>
                <c:formatCode>General</c:formatCode>
                <c:ptCount val="5"/>
                <c:pt idx="0">
                  <c:v>94.47</c:v>
                </c:pt>
                <c:pt idx="1">
                  <c:v>95.23</c:v>
                </c:pt>
                <c:pt idx="2">
                  <c:v>95.64</c:v>
                </c:pt>
                <c:pt idx="3">
                  <c:v>78.349999999999994</c:v>
                </c:pt>
                <c:pt idx="4">
                  <c:v>94.89</c:v>
                </c:pt>
              </c:numCache>
            </c:numRef>
          </c:val>
          <c:extLst>
            <c:ext xmlns:c16="http://schemas.microsoft.com/office/drawing/2014/chart" uri="{C3380CC4-5D6E-409C-BE32-E72D297353CC}">
              <c16:uniqueId val="{00000000-82FF-48AB-9B27-7896F1308ABD}"/>
            </c:ext>
          </c:extLst>
        </c:ser>
        <c:dLbls>
          <c:dLblPos val="outEnd"/>
          <c:showLegendKey val="0"/>
          <c:showVal val="1"/>
          <c:showCatName val="0"/>
          <c:showSerName val="0"/>
          <c:showPercent val="0"/>
          <c:showBubbleSize val="0"/>
        </c:dLbls>
        <c:gapWidth val="219"/>
        <c:overlap val="-27"/>
        <c:axId val="1829983663"/>
        <c:axId val="1829986991"/>
      </c:barChart>
      <c:catAx>
        <c:axId val="182998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986991"/>
        <c:crosses val="autoZero"/>
        <c:auto val="1"/>
        <c:lblAlgn val="ctr"/>
        <c:lblOffset val="100"/>
        <c:noMultiLvlLbl val="0"/>
      </c:catAx>
      <c:valAx>
        <c:axId val="1829986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9836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58713713417399E-2"/>
          <c:y val="0.11172983396290727"/>
          <c:w val="0.90486120379020418"/>
          <c:h val="0.74829132696192924"/>
        </c:manualLayout>
      </c:layout>
      <c:barChart>
        <c:barDir val="col"/>
        <c:grouping val="clustered"/>
        <c:varyColors val="0"/>
        <c:ser>
          <c:idx val="0"/>
          <c:order val="0"/>
          <c:tx>
            <c:strRef>
              <c:f>'[Grafice 2021.xlsx]grafice evolutie'!$I$3</c:f>
              <c:strCache>
                <c:ptCount val="1"/>
                <c:pt idx="0">
                  <c:v>O3 - medie anuală (µg/mc)</c:v>
                </c:pt>
              </c:strCache>
            </c:strRef>
          </c:tx>
          <c:spPr>
            <a:solidFill>
              <a:schemeClr val="tx2">
                <a:lumMod val="20000"/>
                <a:lumOff val="80000"/>
              </a:schemeClr>
            </a:solidFill>
            <a:ln>
              <a:noFill/>
            </a:ln>
            <a:effectLst/>
            <a:scene3d>
              <a:camera prst="orthographicFront"/>
              <a:lightRig rig="threePt" dir="t"/>
            </a:scene3d>
            <a:sp3d>
              <a:bevelT/>
            </a:sp3d>
          </c:spPr>
          <c:invertIfNegative val="0"/>
          <c:dLbls>
            <c:spPr>
              <a:solidFill>
                <a:schemeClr val="bg1"/>
              </a:solidFill>
              <a:ln w="22225">
                <a:solidFill>
                  <a:schemeClr val="accent1">
                    <a:lumMod val="60000"/>
                    <a:lumOff val="40000"/>
                  </a:schemeClr>
                </a:solid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'[Grafice 2021.xlsx]grafice evolutie'!$H$4:$H$8</c:f>
              <c:numCache>
                <c:formatCode>General</c:formatCode>
                <c:ptCount val="5"/>
                <c:pt idx="0">
                  <c:v>2017</c:v>
                </c:pt>
                <c:pt idx="1">
                  <c:v>2018</c:v>
                </c:pt>
                <c:pt idx="2">
                  <c:v>2019</c:v>
                </c:pt>
                <c:pt idx="3">
                  <c:v>2020</c:v>
                </c:pt>
                <c:pt idx="4">
                  <c:v>2021</c:v>
                </c:pt>
              </c:numCache>
            </c:numRef>
          </c:cat>
          <c:val>
            <c:numRef>
              <c:f>'[Grafice 2021.xlsx]grafice evolutie'!$I$4:$I$8</c:f>
              <c:numCache>
                <c:formatCode>General</c:formatCode>
                <c:ptCount val="5"/>
                <c:pt idx="0">
                  <c:v>38.64</c:v>
                </c:pt>
                <c:pt idx="1">
                  <c:v>31.09</c:v>
                </c:pt>
                <c:pt idx="2">
                  <c:v>35.14</c:v>
                </c:pt>
                <c:pt idx="3">
                  <c:v>41.77</c:v>
                </c:pt>
                <c:pt idx="4">
                  <c:v>47.5</c:v>
                </c:pt>
              </c:numCache>
            </c:numRef>
          </c:val>
          <c:extLst>
            <c:ext xmlns:c16="http://schemas.microsoft.com/office/drawing/2014/chart" uri="{C3380CC4-5D6E-409C-BE32-E72D297353CC}">
              <c16:uniqueId val="{00000000-0A2F-4AFD-A21C-CA29B8C7AA85}"/>
            </c:ext>
          </c:extLst>
        </c:ser>
        <c:dLbls>
          <c:showLegendKey val="0"/>
          <c:showVal val="0"/>
          <c:showCatName val="0"/>
          <c:showSerName val="0"/>
          <c:showPercent val="0"/>
          <c:showBubbleSize val="0"/>
        </c:dLbls>
        <c:gapWidth val="219"/>
        <c:overlap val="-27"/>
        <c:axId val="700594200"/>
        <c:axId val="700597480"/>
      </c:barChart>
      <c:catAx>
        <c:axId val="70059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0597480"/>
        <c:crosses val="autoZero"/>
        <c:auto val="1"/>
        <c:lblAlgn val="ctr"/>
        <c:lblOffset val="100"/>
        <c:noMultiLvlLbl val="0"/>
      </c:catAx>
      <c:valAx>
        <c:axId val="700597480"/>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0594200"/>
        <c:crosses val="autoZero"/>
        <c:crossBetween val="between"/>
        <c:majorUnit val="10"/>
      </c:valAx>
      <c:spPr>
        <a:noFill/>
        <a:ln>
          <a:noFill/>
        </a:ln>
        <a:effectLst/>
      </c:spPr>
    </c:plotArea>
    <c:legend>
      <c:legendPos val="b"/>
      <c:legendEntry>
        <c:idx val="1"/>
        <c:delete val="1"/>
      </c:legendEntry>
      <c:layout>
        <c:manualLayout>
          <c:xMode val="edge"/>
          <c:yMode val="edge"/>
          <c:x val="0.20047668433126317"/>
          <c:y val="4.1629934186959705E-2"/>
          <c:w val="0.60221861536739962"/>
          <c:h val="7.0115851309277472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O3- captură anuală</a:t>
            </a:r>
            <a:r>
              <a:rPr lang="ro-RO" sz="1200" b="1"/>
              <a:t> de date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'[Grafice 2021.xlsx]grafice evolutie'!$J$3</c:f>
              <c:strCache>
                <c:ptCount val="1"/>
                <c:pt idx="0">
                  <c:v>O3- captură anuală</c:v>
                </c:pt>
              </c:strCache>
            </c:strRef>
          </c:tx>
          <c:spPr>
            <a:pattFill prst="diagBrick">
              <a:fgClr>
                <a:schemeClr val="accent1">
                  <a:lumMod val="60000"/>
                  <a:lumOff val="40000"/>
                </a:schemeClr>
              </a:fgClr>
              <a:bgClr>
                <a:schemeClr val="bg1"/>
              </a:bgClr>
            </a:pattFill>
            <a:ln>
              <a:noFill/>
            </a:ln>
            <a:effectLst/>
            <a:scene3d>
              <a:camera prst="orthographicFront"/>
              <a:lightRig rig="threePt" dir="t"/>
            </a:scene3d>
            <a:sp3d>
              <a:bevelT/>
            </a:sp3d>
          </c:spPr>
          <c:invertIfNegative val="0"/>
          <c:dLbls>
            <c:spPr>
              <a:solidFill>
                <a:schemeClr val="bg1"/>
              </a:solidFill>
              <a:ln w="19050">
                <a:solidFill>
                  <a:schemeClr val="bg1">
                    <a:lumMod val="65000"/>
                  </a:schemeClr>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2021.xlsx]grafice evolutie'!$H$4:$H$8</c:f>
              <c:numCache>
                <c:formatCode>General</c:formatCode>
                <c:ptCount val="5"/>
                <c:pt idx="0">
                  <c:v>2017</c:v>
                </c:pt>
                <c:pt idx="1">
                  <c:v>2018</c:v>
                </c:pt>
                <c:pt idx="2">
                  <c:v>2019</c:v>
                </c:pt>
                <c:pt idx="3">
                  <c:v>2020</c:v>
                </c:pt>
                <c:pt idx="4">
                  <c:v>2021</c:v>
                </c:pt>
              </c:numCache>
            </c:numRef>
          </c:cat>
          <c:val>
            <c:numRef>
              <c:f>'[Grafice 2021.xlsx]grafice evolutie'!$J$4:$J$8</c:f>
              <c:numCache>
                <c:formatCode>General</c:formatCode>
                <c:ptCount val="5"/>
                <c:pt idx="0">
                  <c:v>80.88</c:v>
                </c:pt>
                <c:pt idx="1">
                  <c:v>94.43</c:v>
                </c:pt>
                <c:pt idx="2">
                  <c:v>79.06</c:v>
                </c:pt>
                <c:pt idx="3">
                  <c:v>80.08</c:v>
                </c:pt>
                <c:pt idx="4">
                  <c:v>94.84</c:v>
                </c:pt>
              </c:numCache>
            </c:numRef>
          </c:val>
          <c:extLst>
            <c:ext xmlns:c16="http://schemas.microsoft.com/office/drawing/2014/chart" uri="{C3380CC4-5D6E-409C-BE32-E72D297353CC}">
              <c16:uniqueId val="{00000000-D2AE-4216-AF30-92C8A645D651}"/>
            </c:ext>
          </c:extLst>
        </c:ser>
        <c:dLbls>
          <c:dLblPos val="outEnd"/>
          <c:showLegendKey val="0"/>
          <c:showVal val="1"/>
          <c:showCatName val="0"/>
          <c:showSerName val="0"/>
          <c:showPercent val="0"/>
          <c:showBubbleSize val="0"/>
        </c:dLbls>
        <c:gapWidth val="219"/>
        <c:overlap val="-27"/>
        <c:axId val="1829981999"/>
        <c:axId val="1829984911"/>
      </c:barChart>
      <c:catAx>
        <c:axId val="182998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984911"/>
        <c:crosses val="autoZero"/>
        <c:auto val="1"/>
        <c:lblAlgn val="ctr"/>
        <c:lblOffset val="100"/>
        <c:noMultiLvlLbl val="0"/>
      </c:catAx>
      <c:valAx>
        <c:axId val="1829984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9819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Arial" panose="020B0604020202020204" pitchFamily="34" charset="0"/>
                <a:cs typeface="Arial" panose="020B0604020202020204" pitchFamily="34" charset="0"/>
              </a:rPr>
              <a:t>C6H6 - medie anuală (µg/mc)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1988407699037624E-2"/>
          <c:y val="0.14105976773067797"/>
          <c:w val="0.89745603674540686"/>
          <c:h val="0.55723345188653906"/>
        </c:manualLayout>
      </c:layout>
      <c:barChart>
        <c:barDir val="col"/>
        <c:grouping val="clustered"/>
        <c:varyColors val="0"/>
        <c:ser>
          <c:idx val="0"/>
          <c:order val="0"/>
          <c:tx>
            <c:strRef>
              <c:f>'[Grafice 2021.xlsx]grafice evolutie'!$O$3</c:f>
              <c:strCache>
                <c:ptCount val="1"/>
                <c:pt idx="0">
                  <c:v>C6H6 - medie anuală (µg/mc)</c:v>
                </c:pt>
              </c:strCache>
            </c:strRef>
          </c:tx>
          <c:spPr>
            <a:solidFill>
              <a:srgbClr val="646402"/>
            </a:solidFill>
            <a:ln>
              <a:noFill/>
            </a:ln>
            <a:effectLst/>
            <a:scene3d>
              <a:camera prst="orthographicFront"/>
              <a:lightRig rig="threePt" dir="t"/>
            </a:scene3d>
            <a:sp3d>
              <a:bevelT/>
            </a:sp3d>
          </c:spPr>
          <c:invertIfNegative val="0"/>
          <c:dLbls>
            <c:spPr>
              <a:solidFill>
                <a:schemeClr val="bg1"/>
              </a:solidFill>
              <a:ln w="19050">
                <a:solidFill>
                  <a:srgbClr val="646402"/>
                </a:solid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2225" cap="rnd">
                <a:solidFill>
                  <a:srgbClr val="646402"/>
                </a:solidFill>
                <a:prstDash val="dash"/>
              </a:ln>
              <a:effectLst/>
            </c:spPr>
            <c:trendlineType val="linear"/>
            <c:dispRSqr val="0"/>
            <c:dispEq val="0"/>
          </c:trendline>
          <c:cat>
            <c:numRef>
              <c:f>'[Grafice 2021.xlsx]grafice evolutie'!$N$4:$N$8</c:f>
              <c:numCache>
                <c:formatCode>General</c:formatCode>
                <c:ptCount val="5"/>
                <c:pt idx="0">
                  <c:v>2017</c:v>
                </c:pt>
                <c:pt idx="1">
                  <c:v>2018</c:v>
                </c:pt>
                <c:pt idx="2">
                  <c:v>2019</c:v>
                </c:pt>
                <c:pt idx="3">
                  <c:v>2020</c:v>
                </c:pt>
                <c:pt idx="4">
                  <c:v>2021</c:v>
                </c:pt>
              </c:numCache>
            </c:numRef>
          </c:cat>
          <c:val>
            <c:numRef>
              <c:f>'[Grafice 2021.xlsx]grafice evolutie'!$O$4:$O$8</c:f>
              <c:numCache>
                <c:formatCode>General</c:formatCode>
                <c:ptCount val="5"/>
                <c:pt idx="0">
                  <c:v>2.36</c:v>
                </c:pt>
                <c:pt idx="1">
                  <c:v>3.41</c:v>
                </c:pt>
                <c:pt idx="2">
                  <c:v>2.4</c:v>
                </c:pt>
                <c:pt idx="3">
                  <c:v>2.23</c:v>
                </c:pt>
                <c:pt idx="4">
                  <c:v>1.94</c:v>
                </c:pt>
              </c:numCache>
            </c:numRef>
          </c:val>
          <c:extLst>
            <c:ext xmlns:c16="http://schemas.microsoft.com/office/drawing/2014/chart" uri="{C3380CC4-5D6E-409C-BE32-E72D297353CC}">
              <c16:uniqueId val="{00000000-FF01-43AC-A083-B5B06F6C1ACF}"/>
            </c:ext>
          </c:extLst>
        </c:ser>
        <c:dLbls>
          <c:showLegendKey val="0"/>
          <c:showVal val="0"/>
          <c:showCatName val="0"/>
          <c:showSerName val="0"/>
          <c:showPercent val="0"/>
          <c:showBubbleSize val="0"/>
        </c:dLbls>
        <c:gapWidth val="219"/>
        <c:axId val="610528240"/>
        <c:axId val="610536768"/>
      </c:barChart>
      <c:lineChart>
        <c:grouping val="standard"/>
        <c:varyColors val="0"/>
        <c:ser>
          <c:idx val="2"/>
          <c:order val="1"/>
          <c:tx>
            <c:strRef>
              <c:f>'[Grafice 2021.xlsx]grafice evolutie'!$Q$3</c:f>
              <c:strCache>
                <c:ptCount val="1"/>
                <c:pt idx="0">
                  <c:v>C6H6 - limită anuală</c:v>
                </c:pt>
              </c:strCache>
            </c:strRef>
          </c:tx>
          <c:spPr>
            <a:ln w="38100" cap="rnd">
              <a:solidFill>
                <a:srgbClr val="C00000"/>
              </a:solidFill>
              <a:round/>
            </a:ln>
            <a:effectLst/>
          </c:spPr>
          <c:marker>
            <c:symbol val="none"/>
          </c:marker>
          <c:cat>
            <c:numRef>
              <c:f>'[Grafice 2021.xlsx]grafice evolutie'!$N$4:$N$8</c:f>
              <c:numCache>
                <c:formatCode>General</c:formatCode>
                <c:ptCount val="5"/>
                <c:pt idx="0">
                  <c:v>2017</c:v>
                </c:pt>
                <c:pt idx="1">
                  <c:v>2018</c:v>
                </c:pt>
                <c:pt idx="2">
                  <c:v>2019</c:v>
                </c:pt>
                <c:pt idx="3">
                  <c:v>2020</c:v>
                </c:pt>
                <c:pt idx="4">
                  <c:v>2021</c:v>
                </c:pt>
              </c:numCache>
            </c:numRef>
          </c:cat>
          <c:val>
            <c:numRef>
              <c:f>'[Grafice 2021.xlsx]grafice evolutie'!$Q$4:$Q$8</c:f>
              <c:numCache>
                <c:formatCode>General</c:formatCode>
                <c:ptCount val="5"/>
                <c:pt idx="0">
                  <c:v>5</c:v>
                </c:pt>
                <c:pt idx="1">
                  <c:v>5</c:v>
                </c:pt>
                <c:pt idx="2">
                  <c:v>5</c:v>
                </c:pt>
                <c:pt idx="3">
                  <c:v>5</c:v>
                </c:pt>
                <c:pt idx="4">
                  <c:v>5</c:v>
                </c:pt>
              </c:numCache>
            </c:numRef>
          </c:val>
          <c:smooth val="0"/>
          <c:extLst>
            <c:ext xmlns:c16="http://schemas.microsoft.com/office/drawing/2014/chart" uri="{C3380CC4-5D6E-409C-BE32-E72D297353CC}">
              <c16:uniqueId val="{00000001-FF01-43AC-A083-B5B06F6C1ACF}"/>
            </c:ext>
          </c:extLst>
        </c:ser>
        <c:dLbls>
          <c:showLegendKey val="0"/>
          <c:showVal val="0"/>
          <c:showCatName val="0"/>
          <c:showSerName val="0"/>
          <c:showPercent val="0"/>
          <c:showBubbleSize val="0"/>
        </c:dLbls>
        <c:marker val="1"/>
        <c:smooth val="0"/>
        <c:axId val="610528240"/>
        <c:axId val="610536768"/>
      </c:lineChart>
      <c:catAx>
        <c:axId val="61052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mn-cs"/>
              </a:defRPr>
            </a:pPr>
            <a:endParaRPr lang="en-US"/>
          </a:p>
        </c:txPr>
        <c:crossAx val="610536768"/>
        <c:crosses val="autoZero"/>
        <c:auto val="1"/>
        <c:lblAlgn val="ctr"/>
        <c:lblOffset val="100"/>
        <c:noMultiLvlLbl val="0"/>
      </c:catAx>
      <c:valAx>
        <c:axId val="610536768"/>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528240"/>
        <c:crosses val="autoZero"/>
        <c:crossBetween val="between"/>
        <c:majorUnit val="1"/>
      </c:valAx>
      <c:spPr>
        <a:noFill/>
        <a:ln>
          <a:noFill/>
        </a:ln>
        <a:effectLst/>
      </c:spPr>
    </c:plotArea>
    <c:legend>
      <c:legendPos val="b"/>
      <c:legendEntry>
        <c:idx val="2"/>
        <c:delete val="1"/>
      </c:legendEntry>
      <c:layout>
        <c:manualLayout>
          <c:xMode val="edge"/>
          <c:yMode val="edge"/>
          <c:x val="5.6125243806795184E-2"/>
          <c:y val="0.84112089904578768"/>
          <c:w val="0.90656037459783134"/>
          <c:h val="0.1306132865649097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C6H6 - captură anuală</a:t>
            </a:r>
            <a:r>
              <a:rPr lang="ro-RO" sz="1200" b="1"/>
              <a:t> de date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'[Grafice 2021.xlsx]grafice evolutie'!$P$3</c:f>
              <c:strCache>
                <c:ptCount val="1"/>
                <c:pt idx="0">
                  <c:v>C6H6 - captură anuală</c:v>
                </c:pt>
              </c:strCache>
            </c:strRef>
          </c:tx>
          <c:spPr>
            <a:pattFill prst="diagBrick">
              <a:fgClr>
                <a:srgbClr val="646402"/>
              </a:fgClr>
              <a:bgClr>
                <a:schemeClr val="bg1"/>
              </a:bgClr>
            </a:pattFill>
            <a:ln>
              <a:noFill/>
            </a:ln>
            <a:effectLst/>
            <a:scene3d>
              <a:camera prst="orthographicFront"/>
              <a:lightRig rig="threePt" dir="t"/>
            </a:scene3d>
            <a:sp3d>
              <a:bevelT/>
            </a:sp3d>
          </c:spPr>
          <c:invertIfNegative val="0"/>
          <c:dLbls>
            <c:spPr>
              <a:solidFill>
                <a:schemeClr val="bg1"/>
              </a:solidFill>
              <a:ln w="19050">
                <a:solidFill>
                  <a:schemeClr val="bg1">
                    <a:lumMod val="65000"/>
                  </a:schemeClr>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2021.xlsx]grafice evolutie'!$N$4:$N$8</c:f>
              <c:numCache>
                <c:formatCode>General</c:formatCode>
                <c:ptCount val="5"/>
                <c:pt idx="0">
                  <c:v>2017</c:v>
                </c:pt>
                <c:pt idx="1">
                  <c:v>2018</c:v>
                </c:pt>
                <c:pt idx="2">
                  <c:v>2019</c:v>
                </c:pt>
                <c:pt idx="3">
                  <c:v>2020</c:v>
                </c:pt>
                <c:pt idx="4">
                  <c:v>2021</c:v>
                </c:pt>
              </c:numCache>
            </c:numRef>
          </c:cat>
          <c:val>
            <c:numRef>
              <c:f>'[Grafice 2021.xlsx]grafice evolutie'!$P$4:$P$8</c:f>
              <c:numCache>
                <c:formatCode>General</c:formatCode>
                <c:ptCount val="5"/>
                <c:pt idx="0">
                  <c:v>28.33</c:v>
                </c:pt>
                <c:pt idx="1">
                  <c:v>78.61</c:v>
                </c:pt>
                <c:pt idx="2">
                  <c:v>90.87</c:v>
                </c:pt>
                <c:pt idx="3">
                  <c:v>84.85</c:v>
                </c:pt>
                <c:pt idx="4">
                  <c:v>77.150000000000006</c:v>
                </c:pt>
              </c:numCache>
            </c:numRef>
          </c:val>
          <c:extLst>
            <c:ext xmlns:c16="http://schemas.microsoft.com/office/drawing/2014/chart" uri="{C3380CC4-5D6E-409C-BE32-E72D297353CC}">
              <c16:uniqueId val="{00000000-AF4B-48F1-8F2E-1028A5748AD0}"/>
            </c:ext>
          </c:extLst>
        </c:ser>
        <c:dLbls>
          <c:showLegendKey val="0"/>
          <c:showVal val="0"/>
          <c:showCatName val="0"/>
          <c:showSerName val="0"/>
          <c:showPercent val="0"/>
          <c:showBubbleSize val="0"/>
        </c:dLbls>
        <c:gapWidth val="219"/>
        <c:overlap val="-27"/>
        <c:axId val="1818299135"/>
        <c:axId val="1818302047"/>
      </c:barChart>
      <c:catAx>
        <c:axId val="1818299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8302047"/>
        <c:crosses val="autoZero"/>
        <c:auto val="1"/>
        <c:lblAlgn val="ctr"/>
        <c:lblOffset val="100"/>
        <c:noMultiLvlLbl val="0"/>
      </c:catAx>
      <c:valAx>
        <c:axId val="18183020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18299135"/>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PM10 - medii anuale (µg/mc</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8.5000259436592035E-2"/>
          <c:y val="2.4761062997579301E-2"/>
          <c:w val="0.876443047044134"/>
          <c:h val="0.64647245949380006"/>
        </c:manualLayout>
      </c:layout>
      <c:barChart>
        <c:barDir val="col"/>
        <c:grouping val="clustered"/>
        <c:varyColors val="0"/>
        <c:ser>
          <c:idx val="0"/>
          <c:order val="0"/>
          <c:tx>
            <c:strRef>
              <c:f>'[Grafice 2021.xlsx]grafice evolutie'!$S$3</c:f>
              <c:strCache>
                <c:ptCount val="1"/>
                <c:pt idx="0">
                  <c:v>PM10 - medie anuală (µg/mc)</c:v>
                </c:pt>
              </c:strCache>
            </c:strRef>
          </c:tx>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invertIfNegative val="0"/>
          <c:dLbls>
            <c:spPr>
              <a:solidFill>
                <a:schemeClr val="bg1"/>
              </a:solidFill>
              <a:ln w="19050">
                <a:solidFill>
                  <a:schemeClr val="bg1">
                    <a:lumMod val="65000"/>
                  </a:schemeClr>
                </a:solid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bg1">
                    <a:lumMod val="65000"/>
                  </a:schemeClr>
                </a:solidFill>
                <a:prstDash val="dash"/>
              </a:ln>
              <a:effectLst/>
            </c:spPr>
            <c:trendlineType val="linear"/>
            <c:dispRSqr val="0"/>
            <c:dispEq val="0"/>
          </c:trendline>
          <c:cat>
            <c:numRef>
              <c:f>'[Grafice 2021.xlsx]grafice evolutie'!$R$4:$R$8</c:f>
              <c:numCache>
                <c:formatCode>General</c:formatCode>
                <c:ptCount val="5"/>
                <c:pt idx="0">
                  <c:v>2017</c:v>
                </c:pt>
                <c:pt idx="1">
                  <c:v>2018</c:v>
                </c:pt>
                <c:pt idx="2">
                  <c:v>2019</c:v>
                </c:pt>
                <c:pt idx="3">
                  <c:v>2020</c:v>
                </c:pt>
                <c:pt idx="4">
                  <c:v>2021</c:v>
                </c:pt>
              </c:numCache>
            </c:numRef>
          </c:cat>
          <c:val>
            <c:numRef>
              <c:f>'[Grafice 2021.xlsx]grafice evolutie'!$S$4:$S$8</c:f>
              <c:numCache>
                <c:formatCode>General</c:formatCode>
                <c:ptCount val="5"/>
                <c:pt idx="0">
                  <c:v>25.88</c:v>
                </c:pt>
                <c:pt idx="1">
                  <c:v>16.97</c:v>
                </c:pt>
                <c:pt idx="2">
                  <c:v>11.08</c:v>
                </c:pt>
                <c:pt idx="3">
                  <c:v>14.25</c:v>
                </c:pt>
                <c:pt idx="4">
                  <c:v>20.47</c:v>
                </c:pt>
              </c:numCache>
            </c:numRef>
          </c:val>
          <c:extLst>
            <c:ext xmlns:c16="http://schemas.microsoft.com/office/drawing/2014/chart" uri="{C3380CC4-5D6E-409C-BE32-E72D297353CC}">
              <c16:uniqueId val="{00000000-348C-445F-BCDF-4F5C2C497835}"/>
            </c:ext>
          </c:extLst>
        </c:ser>
        <c:dLbls>
          <c:showLegendKey val="0"/>
          <c:showVal val="0"/>
          <c:showCatName val="0"/>
          <c:showSerName val="0"/>
          <c:showPercent val="0"/>
          <c:showBubbleSize val="0"/>
        </c:dLbls>
        <c:gapWidth val="219"/>
        <c:overlap val="-27"/>
        <c:axId val="514257768"/>
        <c:axId val="514258096"/>
      </c:barChart>
      <c:lineChart>
        <c:grouping val="standard"/>
        <c:varyColors val="0"/>
        <c:ser>
          <c:idx val="2"/>
          <c:order val="1"/>
          <c:tx>
            <c:strRef>
              <c:f>'[Grafice 2021.xlsx]grafice evolutie'!$U$3</c:f>
              <c:strCache>
                <c:ptCount val="1"/>
                <c:pt idx="0">
                  <c:v>PM10 - valoare limită anuală</c:v>
                </c:pt>
              </c:strCache>
            </c:strRef>
          </c:tx>
          <c:spPr>
            <a:ln w="28575" cap="rnd">
              <a:solidFill>
                <a:srgbClr val="C00000"/>
              </a:solidFill>
              <a:round/>
            </a:ln>
            <a:effectLst/>
          </c:spPr>
          <c:marker>
            <c:symbol val="none"/>
          </c:marker>
          <c:cat>
            <c:numRef>
              <c:f>'[Grafice 2021.xlsx]grafice evolutie'!$R$4:$R$8</c:f>
              <c:numCache>
                <c:formatCode>General</c:formatCode>
                <c:ptCount val="5"/>
                <c:pt idx="0">
                  <c:v>2017</c:v>
                </c:pt>
                <c:pt idx="1">
                  <c:v>2018</c:v>
                </c:pt>
                <c:pt idx="2">
                  <c:v>2019</c:v>
                </c:pt>
                <c:pt idx="3">
                  <c:v>2020</c:v>
                </c:pt>
                <c:pt idx="4">
                  <c:v>2021</c:v>
                </c:pt>
              </c:numCache>
            </c:numRef>
          </c:cat>
          <c:val>
            <c:numRef>
              <c:f>'[Grafice 2021.xlsx]grafice evolutie'!$U$4:$U$8</c:f>
              <c:numCache>
                <c:formatCode>General</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1-348C-445F-BCDF-4F5C2C497835}"/>
            </c:ext>
          </c:extLst>
        </c:ser>
        <c:dLbls>
          <c:showLegendKey val="0"/>
          <c:showVal val="0"/>
          <c:showCatName val="0"/>
          <c:showSerName val="0"/>
          <c:showPercent val="0"/>
          <c:showBubbleSize val="0"/>
        </c:dLbls>
        <c:marker val="1"/>
        <c:smooth val="0"/>
        <c:axId val="514257768"/>
        <c:axId val="514258096"/>
      </c:lineChart>
      <c:catAx>
        <c:axId val="51425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4258096"/>
        <c:crosses val="autoZero"/>
        <c:auto val="1"/>
        <c:lblAlgn val="ctr"/>
        <c:lblOffset val="100"/>
        <c:noMultiLvlLbl val="0"/>
      </c:catAx>
      <c:valAx>
        <c:axId val="514258096"/>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14257768"/>
        <c:crosses val="autoZero"/>
        <c:crossBetween val="between"/>
        <c:majorUnit val="10"/>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PM10 - captură anuală</a:t>
            </a:r>
            <a:r>
              <a:rPr lang="ro-RO" sz="1200" b="1"/>
              <a:t> de date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406810253173223"/>
          <c:y val="0.22236932247875796"/>
          <c:w val="0.84304199618258391"/>
          <c:h val="0.66220694870768271"/>
        </c:manualLayout>
      </c:layout>
      <c:barChart>
        <c:barDir val="col"/>
        <c:grouping val="clustered"/>
        <c:varyColors val="0"/>
        <c:ser>
          <c:idx val="0"/>
          <c:order val="0"/>
          <c:tx>
            <c:strRef>
              <c:f>'[Grafice 2021.xlsx]grafice evolutie'!$T$3</c:f>
              <c:strCache>
                <c:ptCount val="1"/>
                <c:pt idx="0">
                  <c:v>PM10 - captură anuală</c:v>
                </c:pt>
              </c:strCache>
            </c:strRef>
          </c:tx>
          <c:spPr>
            <a:pattFill prst="diagBrick">
              <a:fgClr>
                <a:schemeClr val="bg1">
                  <a:lumMod val="75000"/>
                </a:schemeClr>
              </a:fgClr>
              <a:bgClr>
                <a:schemeClr val="bg1"/>
              </a:bgClr>
            </a:pattFill>
            <a:ln>
              <a:noFill/>
            </a:ln>
            <a:effectLst/>
            <a:scene3d>
              <a:camera prst="orthographicFront"/>
              <a:lightRig rig="threePt" dir="t"/>
            </a:scene3d>
            <a:sp3d>
              <a:bevelT/>
            </a:sp3d>
          </c:spPr>
          <c:invertIfNegative val="0"/>
          <c:dLbls>
            <c:spPr>
              <a:solidFill>
                <a:schemeClr val="bg1"/>
              </a:solidFill>
              <a:ln w="19050">
                <a:solidFill>
                  <a:schemeClr val="bg1">
                    <a:lumMod val="65000"/>
                  </a:schemeClr>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 2021.xlsx]grafice evolutie'!$R$4:$R$8</c:f>
              <c:numCache>
                <c:formatCode>General</c:formatCode>
                <c:ptCount val="5"/>
                <c:pt idx="0">
                  <c:v>2017</c:v>
                </c:pt>
                <c:pt idx="1">
                  <c:v>2018</c:v>
                </c:pt>
                <c:pt idx="2">
                  <c:v>2019</c:v>
                </c:pt>
                <c:pt idx="3">
                  <c:v>2020</c:v>
                </c:pt>
                <c:pt idx="4">
                  <c:v>2021</c:v>
                </c:pt>
              </c:numCache>
            </c:numRef>
          </c:cat>
          <c:val>
            <c:numRef>
              <c:f>'[Grafice 2021.xlsx]grafice evolutie'!$T$4:$T$8</c:f>
              <c:numCache>
                <c:formatCode>General</c:formatCode>
                <c:ptCount val="5"/>
                <c:pt idx="0">
                  <c:v>36.44</c:v>
                </c:pt>
                <c:pt idx="1">
                  <c:v>78.900000000000006</c:v>
                </c:pt>
                <c:pt idx="2">
                  <c:v>84.38</c:v>
                </c:pt>
                <c:pt idx="3">
                  <c:v>73.77</c:v>
                </c:pt>
                <c:pt idx="4">
                  <c:v>98.9</c:v>
                </c:pt>
              </c:numCache>
            </c:numRef>
          </c:val>
          <c:extLst>
            <c:ext xmlns:c16="http://schemas.microsoft.com/office/drawing/2014/chart" uri="{C3380CC4-5D6E-409C-BE32-E72D297353CC}">
              <c16:uniqueId val="{00000000-6FC4-40FE-9241-373EBDA065BD}"/>
            </c:ext>
          </c:extLst>
        </c:ser>
        <c:dLbls>
          <c:dLblPos val="outEnd"/>
          <c:showLegendKey val="0"/>
          <c:showVal val="1"/>
          <c:showCatName val="0"/>
          <c:showSerName val="0"/>
          <c:showPercent val="0"/>
          <c:showBubbleSize val="0"/>
        </c:dLbls>
        <c:gapWidth val="219"/>
        <c:overlap val="-27"/>
        <c:axId val="1829976591"/>
        <c:axId val="1829977007"/>
      </c:barChart>
      <c:catAx>
        <c:axId val="1829976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977007"/>
        <c:crosses val="autoZero"/>
        <c:auto val="1"/>
        <c:lblAlgn val="ctr"/>
        <c:lblOffset val="100"/>
        <c:noMultiLvlLbl val="0"/>
      </c:catAx>
      <c:valAx>
        <c:axId val="182997700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997659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192167525821994E-2"/>
          <c:y val="4.5408583703573369E-2"/>
          <c:w val="0.89745603674540686"/>
          <c:h val="0.783410313934222"/>
        </c:manualLayout>
      </c:layout>
      <c:barChart>
        <c:barDir val="col"/>
        <c:grouping val="clustered"/>
        <c:varyColors val="0"/>
        <c:ser>
          <c:idx val="2"/>
          <c:order val="0"/>
          <c:tx>
            <c:strRef>
              <c:f>evolutii!$D$3</c:f>
              <c:strCache>
                <c:ptCount val="1"/>
                <c:pt idx="0">
                  <c:v>NH3</c:v>
                </c:pt>
              </c:strCache>
            </c:strRef>
          </c:tx>
          <c:spPr>
            <a:solidFill>
              <a:srgbClr val="9BBB59"/>
            </a:solidFill>
            <a:ln w="34925">
              <a:solidFill>
                <a:srgbClr val="9BBB59"/>
              </a:solidFill>
            </a:ln>
            <a:scene3d>
              <a:camera prst="orthographicFront"/>
              <a:lightRig rig="threePt" dir="t"/>
            </a:scene3d>
            <a:sp3d>
              <a:bevelT prst="angle"/>
            </a:sp3d>
          </c:spPr>
          <c:invertIfNegative val="0"/>
          <c:trendline>
            <c:spPr>
              <a:ln w="28575">
                <a:solidFill>
                  <a:srgbClr val="9BBB59"/>
                </a:solidFill>
                <a:prstDash val="dash"/>
              </a:ln>
            </c:spPr>
            <c:trendlineType val="linear"/>
            <c:dispRSqr val="0"/>
            <c:dispEq val="0"/>
          </c:trendline>
          <c:cat>
            <c:numRef>
              <c:f>evolutii!$A$13:$A$18</c:f>
              <c:numCache>
                <c:formatCode>General</c:formatCode>
                <c:ptCount val="6"/>
                <c:pt idx="0">
                  <c:v>2016</c:v>
                </c:pt>
                <c:pt idx="1">
                  <c:v>2017</c:v>
                </c:pt>
                <c:pt idx="2">
                  <c:v>2018</c:v>
                </c:pt>
                <c:pt idx="3">
                  <c:v>2019</c:v>
                </c:pt>
                <c:pt idx="4">
                  <c:v>2020</c:v>
                </c:pt>
                <c:pt idx="5">
                  <c:v>2021</c:v>
                </c:pt>
              </c:numCache>
            </c:numRef>
          </c:cat>
          <c:val>
            <c:numRef>
              <c:f>evolutii!$D$13:$D$18</c:f>
              <c:numCache>
                <c:formatCode>0.000</c:formatCode>
                <c:ptCount val="6"/>
                <c:pt idx="0">
                  <c:v>29.776262626262579</c:v>
                </c:pt>
                <c:pt idx="1">
                  <c:v>28.968578878748385</c:v>
                </c:pt>
                <c:pt idx="2">
                  <c:v>32.912283044058775</c:v>
                </c:pt>
                <c:pt idx="3">
                  <c:v>28.239296875000012</c:v>
                </c:pt>
                <c:pt idx="4">
                  <c:v>44.112000000000002</c:v>
                </c:pt>
                <c:pt idx="5">
                  <c:v>37.119999999999997</c:v>
                </c:pt>
              </c:numCache>
            </c:numRef>
          </c:val>
          <c:extLst>
            <c:ext xmlns:c16="http://schemas.microsoft.com/office/drawing/2014/chart" uri="{C3380CC4-5D6E-409C-BE32-E72D297353CC}">
              <c16:uniqueId val="{00000000-9F89-48A6-B4B9-926611AD4609}"/>
            </c:ext>
          </c:extLst>
        </c:ser>
        <c:dLbls>
          <c:showLegendKey val="0"/>
          <c:showVal val="0"/>
          <c:showCatName val="0"/>
          <c:showSerName val="0"/>
          <c:showPercent val="0"/>
          <c:showBubbleSize val="0"/>
        </c:dLbls>
        <c:gapWidth val="210"/>
        <c:overlap val="-10"/>
        <c:axId val="44775680"/>
        <c:axId val="44789760"/>
      </c:barChart>
      <c:catAx>
        <c:axId val="44775680"/>
        <c:scaling>
          <c:orientation val="minMax"/>
        </c:scaling>
        <c:delete val="0"/>
        <c:axPos val="b"/>
        <c:numFmt formatCode="General" sourceLinked="1"/>
        <c:majorTickMark val="none"/>
        <c:minorTickMark val="none"/>
        <c:tickLblPos val="nextTo"/>
        <c:txPr>
          <a:bodyPr/>
          <a:lstStyle/>
          <a:p>
            <a:pPr>
              <a:defRPr sz="1200" b="1"/>
            </a:pPr>
            <a:endParaRPr lang="en-US"/>
          </a:p>
        </c:txPr>
        <c:crossAx val="44789760"/>
        <c:crosses val="autoZero"/>
        <c:auto val="1"/>
        <c:lblAlgn val="ctr"/>
        <c:lblOffset val="100"/>
        <c:noMultiLvlLbl val="0"/>
      </c:catAx>
      <c:valAx>
        <c:axId val="44789760"/>
        <c:scaling>
          <c:orientation val="minMax"/>
        </c:scaling>
        <c:delete val="0"/>
        <c:axPos val="l"/>
        <c:majorGridlines>
          <c:spPr>
            <a:ln>
              <a:solidFill>
                <a:schemeClr val="bg1">
                  <a:lumMod val="85000"/>
                </a:schemeClr>
              </a:solidFill>
            </a:ln>
          </c:spPr>
        </c:majorGridlines>
        <c:numFmt formatCode="0" sourceLinked="0"/>
        <c:majorTickMark val="none"/>
        <c:minorTickMark val="none"/>
        <c:tickLblPos val="nextTo"/>
        <c:spPr>
          <a:ln w="9525">
            <a:noFill/>
          </a:ln>
          <a:effectLst>
            <a:outerShdw blurRad="50800" dist="50800" dir="5400000" algn="ctr" rotWithShape="0">
              <a:schemeClr val="bg1"/>
            </a:outerShdw>
          </a:effectLst>
        </c:spPr>
        <c:txPr>
          <a:bodyPr/>
          <a:lstStyle/>
          <a:p>
            <a:pPr>
              <a:defRPr sz="1100"/>
            </a:pPr>
            <a:endParaRPr lang="en-US"/>
          </a:p>
        </c:txPr>
        <c:crossAx val="44775680"/>
        <c:crosses val="autoZero"/>
        <c:crossBetween val="between"/>
        <c:majorUnit val="10"/>
      </c:valAx>
      <c:spPr>
        <a:noFill/>
      </c:spPr>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o-RO" sz="1200" b="1"/>
              <a:t>Dioxid de azot</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94183284833961E-2"/>
          <c:y val="0.13930555555555554"/>
          <c:w val="0.91567225122674878"/>
          <c:h val="0.537297878748763"/>
        </c:manualLayout>
      </c:layout>
      <c:barChart>
        <c:barDir val="col"/>
        <c:grouping val="clustered"/>
        <c:varyColors val="0"/>
        <c:ser>
          <c:idx val="0"/>
          <c:order val="0"/>
          <c:tx>
            <c:strRef>
              <c:f>evolutii!$A$33</c:f>
              <c:strCache>
                <c:ptCount val="1"/>
                <c:pt idx="0">
                  <c:v>apr.</c:v>
                </c:pt>
              </c:strCache>
            </c:strRef>
          </c:tx>
          <c:spPr>
            <a:solidFill>
              <a:schemeClr val="accent1"/>
            </a:solidFill>
            <a:ln>
              <a:noFill/>
            </a:ln>
            <a:effectLst/>
          </c:spPr>
          <c:invertIfNegative val="0"/>
          <c:cat>
            <c:multiLvlStrRef>
              <c:f>evolutii!$F$31:$O$32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evolutii!$F$33:$O$33</c:f>
              <c:numCache>
                <c:formatCode>General</c:formatCode>
                <c:ptCount val="10"/>
                <c:pt idx="1">
                  <c:v>0.10563333333333332</c:v>
                </c:pt>
                <c:pt idx="3">
                  <c:v>7.0099999999999996E-2</c:v>
                </c:pt>
                <c:pt idx="5">
                  <c:v>0.11650000000000001</c:v>
                </c:pt>
                <c:pt idx="7">
                  <c:v>0.12770000000000001</c:v>
                </c:pt>
                <c:pt idx="9">
                  <c:v>4.7800000000000002E-2</c:v>
                </c:pt>
              </c:numCache>
            </c:numRef>
          </c:val>
          <c:extLst>
            <c:ext xmlns:c16="http://schemas.microsoft.com/office/drawing/2014/chart" uri="{C3380CC4-5D6E-409C-BE32-E72D297353CC}">
              <c16:uniqueId val="{00000000-C36E-4AAF-BDFB-C5228CB032A9}"/>
            </c:ext>
          </c:extLst>
        </c:ser>
        <c:ser>
          <c:idx val="1"/>
          <c:order val="1"/>
          <c:tx>
            <c:strRef>
              <c:f>evolutii!$A$34</c:f>
              <c:strCache>
                <c:ptCount val="1"/>
                <c:pt idx="0">
                  <c:v>mai.</c:v>
                </c:pt>
              </c:strCache>
            </c:strRef>
          </c:tx>
          <c:spPr>
            <a:solidFill>
              <a:schemeClr val="accent2"/>
            </a:solidFill>
            <a:ln>
              <a:noFill/>
            </a:ln>
            <a:effectLst/>
          </c:spPr>
          <c:invertIfNegative val="0"/>
          <c:cat>
            <c:multiLvlStrRef>
              <c:f>evolutii!$F$31:$O$32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evolutii!$F$34:$O$34</c:f>
              <c:numCache>
                <c:formatCode>General</c:formatCode>
                <c:ptCount val="10"/>
                <c:pt idx="1">
                  <c:v>6.196666666666667E-2</c:v>
                </c:pt>
                <c:pt idx="3">
                  <c:v>0.1585</c:v>
                </c:pt>
                <c:pt idx="5">
                  <c:v>0.03</c:v>
                </c:pt>
                <c:pt idx="7">
                  <c:v>0.19520000000000001</c:v>
                </c:pt>
                <c:pt idx="9">
                  <c:v>0.1719</c:v>
                </c:pt>
              </c:numCache>
            </c:numRef>
          </c:val>
          <c:extLst>
            <c:ext xmlns:c16="http://schemas.microsoft.com/office/drawing/2014/chart" uri="{C3380CC4-5D6E-409C-BE32-E72D297353CC}">
              <c16:uniqueId val="{00000001-C36E-4AAF-BDFB-C5228CB032A9}"/>
            </c:ext>
          </c:extLst>
        </c:ser>
        <c:ser>
          <c:idx val="2"/>
          <c:order val="2"/>
          <c:tx>
            <c:strRef>
              <c:f>evolutii!$A$35</c:f>
              <c:strCache>
                <c:ptCount val="1"/>
                <c:pt idx="0">
                  <c:v>iun.</c:v>
                </c:pt>
              </c:strCache>
            </c:strRef>
          </c:tx>
          <c:spPr>
            <a:solidFill>
              <a:schemeClr val="accent3"/>
            </a:solidFill>
            <a:ln>
              <a:noFill/>
            </a:ln>
            <a:effectLst/>
          </c:spPr>
          <c:invertIfNegative val="0"/>
          <c:cat>
            <c:multiLvlStrRef>
              <c:f>evolutii!$F$31:$O$32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evolutii!$F$35:$O$35</c:f>
              <c:numCache>
                <c:formatCode>General</c:formatCode>
                <c:ptCount val="10"/>
                <c:pt idx="1">
                  <c:v>9.3799999999999994E-2</c:v>
                </c:pt>
                <c:pt idx="3">
                  <c:v>0.1792</c:v>
                </c:pt>
                <c:pt idx="5">
                  <c:v>0.16489999999999999</c:v>
                </c:pt>
                <c:pt idx="7">
                  <c:v>0.1641</c:v>
                </c:pt>
                <c:pt idx="9">
                  <c:v>0.22359999999999999</c:v>
                </c:pt>
              </c:numCache>
            </c:numRef>
          </c:val>
          <c:extLst>
            <c:ext xmlns:c16="http://schemas.microsoft.com/office/drawing/2014/chart" uri="{C3380CC4-5D6E-409C-BE32-E72D297353CC}">
              <c16:uniqueId val="{00000002-C36E-4AAF-BDFB-C5228CB032A9}"/>
            </c:ext>
          </c:extLst>
        </c:ser>
        <c:ser>
          <c:idx val="3"/>
          <c:order val="3"/>
          <c:tx>
            <c:strRef>
              <c:f>evolutii!$A$36</c:f>
              <c:strCache>
                <c:ptCount val="1"/>
                <c:pt idx="0">
                  <c:v>iul.</c:v>
                </c:pt>
              </c:strCache>
            </c:strRef>
          </c:tx>
          <c:spPr>
            <a:solidFill>
              <a:schemeClr val="accent4"/>
            </a:solidFill>
            <a:ln>
              <a:noFill/>
            </a:ln>
            <a:effectLst/>
          </c:spPr>
          <c:invertIfNegative val="0"/>
          <c:cat>
            <c:multiLvlStrRef>
              <c:f>evolutii!$F$31:$O$32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evolutii!$F$36:$O$36</c:f>
              <c:numCache>
                <c:formatCode>General</c:formatCode>
                <c:ptCount val="10"/>
                <c:pt idx="1">
                  <c:v>0.2104</c:v>
                </c:pt>
                <c:pt idx="2">
                  <c:v>0.26619999999999999</c:v>
                </c:pt>
                <c:pt idx="3">
                  <c:v>0.2354</c:v>
                </c:pt>
                <c:pt idx="4">
                  <c:v>0.23649999999999999</c:v>
                </c:pt>
                <c:pt idx="5">
                  <c:v>0.19400000000000001</c:v>
                </c:pt>
                <c:pt idx="6">
                  <c:v>0.11940000000000001</c:v>
                </c:pt>
                <c:pt idx="7">
                  <c:v>0.13589999999999999</c:v>
                </c:pt>
                <c:pt idx="8">
                  <c:v>0.26450000000000001</c:v>
                </c:pt>
                <c:pt idx="9">
                  <c:v>0.12609999999999999</c:v>
                </c:pt>
              </c:numCache>
            </c:numRef>
          </c:val>
          <c:extLst>
            <c:ext xmlns:c16="http://schemas.microsoft.com/office/drawing/2014/chart" uri="{C3380CC4-5D6E-409C-BE32-E72D297353CC}">
              <c16:uniqueId val="{00000003-C36E-4AAF-BDFB-C5228CB032A9}"/>
            </c:ext>
          </c:extLst>
        </c:ser>
        <c:ser>
          <c:idx val="4"/>
          <c:order val="4"/>
          <c:tx>
            <c:strRef>
              <c:f>evolutii!$A$37</c:f>
              <c:strCache>
                <c:ptCount val="1"/>
                <c:pt idx="0">
                  <c:v>aug.</c:v>
                </c:pt>
              </c:strCache>
            </c:strRef>
          </c:tx>
          <c:spPr>
            <a:solidFill>
              <a:schemeClr val="accent5"/>
            </a:solidFill>
            <a:ln>
              <a:noFill/>
            </a:ln>
            <a:effectLst/>
          </c:spPr>
          <c:invertIfNegative val="0"/>
          <c:cat>
            <c:multiLvlStrRef>
              <c:f>evolutii!$F$31:$O$32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evolutii!$F$37:$O$37</c:f>
              <c:numCache>
                <c:formatCode>General</c:formatCode>
                <c:ptCount val="10"/>
                <c:pt idx="0">
                  <c:v>0.11923333333333334</c:v>
                </c:pt>
                <c:pt idx="1">
                  <c:v>0.19323333333333334</c:v>
                </c:pt>
                <c:pt idx="2">
                  <c:v>0.1978</c:v>
                </c:pt>
                <c:pt idx="3">
                  <c:v>0.22309999999999999</c:v>
                </c:pt>
                <c:pt idx="4">
                  <c:v>6.2199999999999998E-2</c:v>
                </c:pt>
                <c:pt idx="5">
                  <c:v>0.16830000000000001</c:v>
                </c:pt>
                <c:pt idx="6">
                  <c:v>0.97309999999999997</c:v>
                </c:pt>
                <c:pt idx="7">
                  <c:v>0.1971</c:v>
                </c:pt>
                <c:pt idx="8">
                  <c:v>2.5999999999999999E-3</c:v>
                </c:pt>
                <c:pt idx="9">
                  <c:v>0.1202</c:v>
                </c:pt>
              </c:numCache>
            </c:numRef>
          </c:val>
          <c:extLst>
            <c:ext xmlns:c16="http://schemas.microsoft.com/office/drawing/2014/chart" uri="{C3380CC4-5D6E-409C-BE32-E72D297353CC}">
              <c16:uniqueId val="{00000004-C36E-4AAF-BDFB-C5228CB032A9}"/>
            </c:ext>
          </c:extLst>
        </c:ser>
        <c:ser>
          <c:idx val="5"/>
          <c:order val="5"/>
          <c:tx>
            <c:strRef>
              <c:f>evolutii!$A$38</c:f>
              <c:strCache>
                <c:ptCount val="1"/>
                <c:pt idx="0">
                  <c:v>sept.</c:v>
                </c:pt>
              </c:strCache>
            </c:strRef>
          </c:tx>
          <c:spPr>
            <a:solidFill>
              <a:schemeClr val="accent6"/>
            </a:solidFill>
            <a:ln>
              <a:noFill/>
            </a:ln>
            <a:effectLst/>
          </c:spPr>
          <c:invertIfNegative val="0"/>
          <c:cat>
            <c:multiLvlStrRef>
              <c:f>evolutii!$F$31:$O$32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evolutii!$F$38:$O$38</c:f>
              <c:numCache>
                <c:formatCode>General</c:formatCode>
                <c:ptCount val="10"/>
                <c:pt idx="0">
                  <c:v>6.4233333333333323E-2</c:v>
                </c:pt>
                <c:pt idx="1">
                  <c:v>0.13073333333333334</c:v>
                </c:pt>
                <c:pt idx="2">
                  <c:v>0.24210000000000001</c:v>
                </c:pt>
                <c:pt idx="3">
                  <c:v>8.8700000000000001E-2</c:v>
                </c:pt>
                <c:pt idx="4">
                  <c:v>0.18279999999999999</c:v>
                </c:pt>
                <c:pt idx="5">
                  <c:v>0.20080000000000001</c:v>
                </c:pt>
                <c:pt idx="6">
                  <c:v>0.2074</c:v>
                </c:pt>
                <c:pt idx="7">
                  <c:v>0.17180000000000001</c:v>
                </c:pt>
                <c:pt idx="8">
                  <c:v>0.13400000000000001</c:v>
                </c:pt>
                <c:pt idx="9">
                  <c:v>0.2394</c:v>
                </c:pt>
              </c:numCache>
            </c:numRef>
          </c:val>
          <c:extLst>
            <c:ext xmlns:c16="http://schemas.microsoft.com/office/drawing/2014/chart" uri="{C3380CC4-5D6E-409C-BE32-E72D297353CC}">
              <c16:uniqueId val="{00000005-C36E-4AAF-BDFB-C5228CB032A9}"/>
            </c:ext>
          </c:extLst>
        </c:ser>
        <c:ser>
          <c:idx val="6"/>
          <c:order val="6"/>
          <c:tx>
            <c:strRef>
              <c:f>evolutii!$A$39</c:f>
              <c:strCache>
                <c:ptCount val="1"/>
                <c:pt idx="0">
                  <c:v>oct.</c:v>
                </c:pt>
              </c:strCache>
            </c:strRef>
          </c:tx>
          <c:spPr>
            <a:solidFill>
              <a:schemeClr val="accent1">
                <a:lumMod val="60000"/>
              </a:schemeClr>
            </a:solidFill>
            <a:ln>
              <a:noFill/>
            </a:ln>
            <a:effectLst/>
          </c:spPr>
          <c:invertIfNegative val="0"/>
          <c:cat>
            <c:multiLvlStrRef>
              <c:f>evolutii!$F$31:$O$32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evolutii!$F$39:$O$39</c:f>
              <c:numCache>
                <c:formatCode>General</c:formatCode>
                <c:ptCount val="10"/>
                <c:pt idx="0">
                  <c:v>0.11896666666666667</c:v>
                </c:pt>
                <c:pt idx="1">
                  <c:v>0.16769999999999999</c:v>
                </c:pt>
                <c:pt idx="2">
                  <c:v>0.11940000000000001</c:v>
                </c:pt>
                <c:pt idx="3">
                  <c:v>0.1265</c:v>
                </c:pt>
                <c:pt idx="4">
                  <c:v>0.15679999999999999</c:v>
                </c:pt>
                <c:pt idx="5">
                  <c:v>9.6799999999999997E-2</c:v>
                </c:pt>
                <c:pt idx="6">
                  <c:v>8.0199999999999994E-2</c:v>
                </c:pt>
                <c:pt idx="7">
                  <c:v>0.19239999999999999</c:v>
                </c:pt>
                <c:pt idx="8">
                  <c:v>0.1115</c:v>
                </c:pt>
                <c:pt idx="9">
                  <c:v>8.3299999999999999E-2</c:v>
                </c:pt>
              </c:numCache>
            </c:numRef>
          </c:val>
          <c:extLst>
            <c:ext xmlns:c16="http://schemas.microsoft.com/office/drawing/2014/chart" uri="{C3380CC4-5D6E-409C-BE32-E72D297353CC}">
              <c16:uniqueId val="{00000006-C36E-4AAF-BDFB-C5228CB032A9}"/>
            </c:ext>
          </c:extLst>
        </c:ser>
        <c:dLbls>
          <c:showLegendKey val="0"/>
          <c:showVal val="0"/>
          <c:showCatName val="0"/>
          <c:showSerName val="0"/>
          <c:showPercent val="0"/>
          <c:showBubbleSize val="0"/>
        </c:dLbls>
        <c:gapWidth val="219"/>
        <c:overlap val="-27"/>
        <c:axId val="1048033504"/>
        <c:axId val="1048042240"/>
      </c:barChart>
      <c:catAx>
        <c:axId val="104803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8042240"/>
        <c:crosses val="autoZero"/>
        <c:auto val="1"/>
        <c:lblAlgn val="ctr"/>
        <c:lblOffset val="100"/>
        <c:noMultiLvlLbl val="0"/>
      </c:catAx>
      <c:valAx>
        <c:axId val="104804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803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'[Grafice 2021.xlsx] grafice lunare'!$H$4</c:f>
              <c:strCache>
                <c:ptCount val="1"/>
                <c:pt idx="0">
                  <c:v>CO - maxim lunar medie mobilă</c:v>
                </c:pt>
              </c:strCache>
            </c:strRef>
          </c:tx>
          <c:spPr>
            <a:solidFill>
              <a:srgbClr val="E1E100"/>
            </a:solidFill>
            <a:ln>
              <a:noFill/>
            </a:ln>
            <a:effectLst/>
            <a:scene3d>
              <a:camera prst="orthographicFront"/>
              <a:lightRig rig="threePt" dir="t"/>
            </a:scene3d>
            <a:sp3d>
              <a:bevelT/>
            </a:sp3d>
          </c:spPr>
          <c:invertIfNegative val="0"/>
          <c:cat>
            <c:strRef>
              <c:f>'[Grafice 2021.xlsx]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'[Grafice 2021.xlsx] grafice lunare'!$H$5:$H$16</c:f>
              <c:numCache>
                <c:formatCode>General</c:formatCode>
                <c:ptCount val="12"/>
                <c:pt idx="0">
                  <c:v>2.17</c:v>
                </c:pt>
                <c:pt idx="1">
                  <c:v>2.37</c:v>
                </c:pt>
                <c:pt idx="2">
                  <c:v>1.92</c:v>
                </c:pt>
                <c:pt idx="3">
                  <c:v>1.61</c:v>
                </c:pt>
                <c:pt idx="4">
                  <c:v>1.02</c:v>
                </c:pt>
                <c:pt idx="5">
                  <c:v>0.54</c:v>
                </c:pt>
                <c:pt idx="6">
                  <c:v>0.98</c:v>
                </c:pt>
                <c:pt idx="7">
                  <c:v>0.67</c:v>
                </c:pt>
                <c:pt idx="8">
                  <c:v>1.17</c:v>
                </c:pt>
                <c:pt idx="9">
                  <c:v>2.56</c:v>
                </c:pt>
                <c:pt idx="10">
                  <c:v>1.45</c:v>
                </c:pt>
                <c:pt idx="11">
                  <c:v>2.88</c:v>
                </c:pt>
              </c:numCache>
            </c:numRef>
          </c:val>
          <c:extLst>
            <c:ext xmlns:c16="http://schemas.microsoft.com/office/drawing/2014/chart" uri="{C3380CC4-5D6E-409C-BE32-E72D297353CC}">
              <c16:uniqueId val="{00000000-23CA-4CA0-975A-391F73D4ABA4}"/>
            </c:ext>
          </c:extLst>
        </c:ser>
        <c:dLbls>
          <c:showLegendKey val="0"/>
          <c:showVal val="0"/>
          <c:showCatName val="0"/>
          <c:showSerName val="0"/>
          <c:showPercent val="0"/>
          <c:showBubbleSize val="0"/>
        </c:dLbls>
        <c:gapWidth val="150"/>
        <c:axId val="450448952"/>
        <c:axId val="450446000"/>
      </c:barChart>
      <c:catAx>
        <c:axId val="45044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0446000"/>
        <c:crosses val="autoZero"/>
        <c:auto val="1"/>
        <c:lblAlgn val="ctr"/>
        <c:lblOffset val="100"/>
        <c:noMultiLvlLbl val="0"/>
      </c:catAx>
      <c:valAx>
        <c:axId val="45044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b="1"/>
                  <a:t>concentrație µg/m3</a:t>
                </a:r>
              </a:p>
            </c:rich>
          </c:tx>
          <c:layout>
            <c:manualLayout>
              <c:xMode val="edge"/>
              <c:yMode val="edge"/>
              <c:x val="2.2075055187637971E-2"/>
              <c:y val="0.3722224377125273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0448952"/>
        <c:crosses val="autoZero"/>
        <c:crossBetween val="between"/>
      </c:valAx>
      <c:spPr>
        <a:solidFill>
          <a:schemeClr val="bg1"/>
        </a:solidFill>
        <a:ln>
          <a:noFill/>
        </a:ln>
        <a:effectLst/>
      </c:spPr>
    </c:plotArea>
    <c:plotVisOnly val="1"/>
    <c:dispBlanksAs val="gap"/>
    <c:showDLblsOverMax val="0"/>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o-RO" sz="1200" b="1"/>
              <a:t>Dioxid de sulf</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evolutii!$A$23</c:f>
              <c:strCache>
                <c:ptCount val="1"/>
                <c:pt idx="0">
                  <c:v>apr.</c:v>
                </c:pt>
              </c:strCache>
            </c:strRef>
          </c:tx>
          <c:spPr>
            <a:solidFill>
              <a:schemeClr val="accent1"/>
            </a:solidFill>
            <a:ln>
              <a:noFill/>
            </a:ln>
            <a:effectLst/>
          </c:spPr>
          <c:invertIfNegative val="0"/>
          <c:cat>
            <c:multiLvlStrRef>
              <c:f>evolutii!$F$21:$O$22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evolutii!$F$23:$O$23</c:f>
              <c:numCache>
                <c:formatCode>General</c:formatCode>
                <c:ptCount val="10"/>
                <c:pt idx="1">
                  <c:v>0.11120000000000001</c:v>
                </c:pt>
                <c:pt idx="3">
                  <c:v>9.8100000000000007E-2</c:v>
                </c:pt>
                <c:pt idx="5">
                  <c:v>0.13009999999999999</c:v>
                </c:pt>
                <c:pt idx="7">
                  <c:v>0.11169999999999999</c:v>
                </c:pt>
                <c:pt idx="9">
                  <c:v>0.16689999999999999</c:v>
                </c:pt>
              </c:numCache>
            </c:numRef>
          </c:val>
          <c:extLst>
            <c:ext xmlns:c16="http://schemas.microsoft.com/office/drawing/2014/chart" uri="{C3380CC4-5D6E-409C-BE32-E72D297353CC}">
              <c16:uniqueId val="{00000000-32C1-45B5-8E23-439EDD916C55}"/>
            </c:ext>
          </c:extLst>
        </c:ser>
        <c:ser>
          <c:idx val="1"/>
          <c:order val="1"/>
          <c:tx>
            <c:strRef>
              <c:f>evolutii!$A$24</c:f>
              <c:strCache>
                <c:ptCount val="1"/>
                <c:pt idx="0">
                  <c:v>mai.</c:v>
                </c:pt>
              </c:strCache>
            </c:strRef>
          </c:tx>
          <c:spPr>
            <a:solidFill>
              <a:schemeClr val="accent2"/>
            </a:solidFill>
            <a:ln>
              <a:noFill/>
            </a:ln>
            <a:effectLst/>
          </c:spPr>
          <c:invertIfNegative val="0"/>
          <c:cat>
            <c:multiLvlStrRef>
              <c:f>evolutii!$F$21:$O$22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evolutii!$F$24:$O$24</c:f>
              <c:numCache>
                <c:formatCode>General</c:formatCode>
                <c:ptCount val="10"/>
                <c:pt idx="1">
                  <c:v>0.15213333333333334</c:v>
                </c:pt>
                <c:pt idx="3">
                  <c:v>0.64259999999999995</c:v>
                </c:pt>
                <c:pt idx="5">
                  <c:v>0.23</c:v>
                </c:pt>
                <c:pt idx="7">
                  <c:v>9.7900000000000001E-2</c:v>
                </c:pt>
                <c:pt idx="9">
                  <c:v>0.18160000000000001</c:v>
                </c:pt>
              </c:numCache>
            </c:numRef>
          </c:val>
          <c:extLst>
            <c:ext xmlns:c16="http://schemas.microsoft.com/office/drawing/2014/chart" uri="{C3380CC4-5D6E-409C-BE32-E72D297353CC}">
              <c16:uniqueId val="{00000001-32C1-45B5-8E23-439EDD916C55}"/>
            </c:ext>
          </c:extLst>
        </c:ser>
        <c:ser>
          <c:idx val="2"/>
          <c:order val="2"/>
          <c:tx>
            <c:strRef>
              <c:f>evolutii!$A$25</c:f>
              <c:strCache>
                <c:ptCount val="1"/>
                <c:pt idx="0">
                  <c:v>iun.</c:v>
                </c:pt>
              </c:strCache>
            </c:strRef>
          </c:tx>
          <c:spPr>
            <a:solidFill>
              <a:schemeClr val="accent3"/>
            </a:solidFill>
            <a:ln>
              <a:noFill/>
            </a:ln>
            <a:effectLst/>
          </c:spPr>
          <c:invertIfNegative val="0"/>
          <c:cat>
            <c:multiLvlStrRef>
              <c:f>evolutii!$F$21:$O$22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evolutii!$F$25:$O$25</c:f>
              <c:numCache>
                <c:formatCode>General</c:formatCode>
                <c:ptCount val="10"/>
                <c:pt idx="1">
                  <c:v>0.26459666666666665</c:v>
                </c:pt>
                <c:pt idx="3">
                  <c:v>0.73780000000000001</c:v>
                </c:pt>
                <c:pt idx="5">
                  <c:v>0.63660000000000005</c:v>
                </c:pt>
                <c:pt idx="7">
                  <c:v>0.47960000000000003</c:v>
                </c:pt>
                <c:pt idx="9">
                  <c:v>0.41289999999999999</c:v>
                </c:pt>
              </c:numCache>
            </c:numRef>
          </c:val>
          <c:extLst>
            <c:ext xmlns:c16="http://schemas.microsoft.com/office/drawing/2014/chart" uri="{C3380CC4-5D6E-409C-BE32-E72D297353CC}">
              <c16:uniqueId val="{00000002-32C1-45B5-8E23-439EDD916C55}"/>
            </c:ext>
          </c:extLst>
        </c:ser>
        <c:ser>
          <c:idx val="3"/>
          <c:order val="3"/>
          <c:tx>
            <c:strRef>
              <c:f>evolutii!$A$26</c:f>
              <c:strCache>
                <c:ptCount val="1"/>
                <c:pt idx="0">
                  <c:v>iul.</c:v>
                </c:pt>
              </c:strCache>
            </c:strRef>
          </c:tx>
          <c:spPr>
            <a:solidFill>
              <a:schemeClr val="accent4"/>
            </a:solidFill>
            <a:ln>
              <a:noFill/>
            </a:ln>
            <a:effectLst/>
          </c:spPr>
          <c:invertIfNegative val="0"/>
          <c:cat>
            <c:multiLvlStrRef>
              <c:f>evolutii!$F$21:$O$22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evolutii!$F$26:$O$26</c:f>
              <c:numCache>
                <c:formatCode>General</c:formatCode>
                <c:ptCount val="10"/>
                <c:pt idx="1">
                  <c:v>0.52523333333333333</c:v>
                </c:pt>
                <c:pt idx="2">
                  <c:v>9.0999999999999998E-2</c:v>
                </c:pt>
                <c:pt idx="3">
                  <c:v>0.5343</c:v>
                </c:pt>
                <c:pt idx="4">
                  <c:v>0.1215</c:v>
                </c:pt>
                <c:pt idx="5">
                  <c:v>0.5262</c:v>
                </c:pt>
                <c:pt idx="6">
                  <c:v>0.1045</c:v>
                </c:pt>
                <c:pt idx="7">
                  <c:v>0.36349999999999999</c:v>
                </c:pt>
                <c:pt idx="8">
                  <c:v>4.7600000000000003E-2</c:v>
                </c:pt>
                <c:pt idx="9">
                  <c:v>0.32800000000000001</c:v>
                </c:pt>
              </c:numCache>
            </c:numRef>
          </c:val>
          <c:extLst>
            <c:ext xmlns:c16="http://schemas.microsoft.com/office/drawing/2014/chart" uri="{C3380CC4-5D6E-409C-BE32-E72D297353CC}">
              <c16:uniqueId val="{00000003-32C1-45B5-8E23-439EDD916C55}"/>
            </c:ext>
          </c:extLst>
        </c:ser>
        <c:ser>
          <c:idx val="4"/>
          <c:order val="4"/>
          <c:tx>
            <c:strRef>
              <c:f>evolutii!$A$27</c:f>
              <c:strCache>
                <c:ptCount val="1"/>
                <c:pt idx="0">
                  <c:v>aug.</c:v>
                </c:pt>
              </c:strCache>
            </c:strRef>
          </c:tx>
          <c:spPr>
            <a:solidFill>
              <a:schemeClr val="accent5"/>
            </a:solidFill>
            <a:ln>
              <a:noFill/>
            </a:ln>
            <a:effectLst/>
          </c:spPr>
          <c:invertIfNegative val="0"/>
          <c:cat>
            <c:multiLvlStrRef>
              <c:f>evolutii!$F$21:$O$22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evolutii!$F$27:$O$27</c:f>
              <c:numCache>
                <c:formatCode>General</c:formatCode>
                <c:ptCount val="10"/>
                <c:pt idx="0">
                  <c:v>9.8333333333333342E-2</c:v>
                </c:pt>
                <c:pt idx="1">
                  <c:v>0.4181333333333333</c:v>
                </c:pt>
                <c:pt idx="2">
                  <c:v>8.4699999999999998E-2</c:v>
                </c:pt>
                <c:pt idx="3">
                  <c:v>0.14330000000000001</c:v>
                </c:pt>
                <c:pt idx="4">
                  <c:v>0.1012</c:v>
                </c:pt>
                <c:pt idx="5">
                  <c:v>0.51060000000000005</c:v>
                </c:pt>
                <c:pt idx="6">
                  <c:v>0.1103</c:v>
                </c:pt>
                <c:pt idx="7">
                  <c:v>0.25740000000000002</c:v>
                </c:pt>
                <c:pt idx="8">
                  <c:v>8.2000000000000003E-2</c:v>
                </c:pt>
                <c:pt idx="9">
                  <c:v>0.34</c:v>
                </c:pt>
              </c:numCache>
            </c:numRef>
          </c:val>
          <c:extLst>
            <c:ext xmlns:c16="http://schemas.microsoft.com/office/drawing/2014/chart" uri="{C3380CC4-5D6E-409C-BE32-E72D297353CC}">
              <c16:uniqueId val="{00000004-32C1-45B5-8E23-439EDD916C55}"/>
            </c:ext>
          </c:extLst>
        </c:ser>
        <c:ser>
          <c:idx val="5"/>
          <c:order val="5"/>
          <c:tx>
            <c:strRef>
              <c:f>evolutii!$A$28</c:f>
              <c:strCache>
                <c:ptCount val="1"/>
                <c:pt idx="0">
                  <c:v>sept.</c:v>
                </c:pt>
              </c:strCache>
            </c:strRef>
          </c:tx>
          <c:spPr>
            <a:solidFill>
              <a:schemeClr val="accent6"/>
            </a:solidFill>
            <a:ln>
              <a:noFill/>
            </a:ln>
            <a:effectLst/>
          </c:spPr>
          <c:invertIfNegative val="0"/>
          <c:cat>
            <c:multiLvlStrRef>
              <c:f>evolutii!$F$21:$O$22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evolutii!$F$28:$O$28</c:f>
              <c:numCache>
                <c:formatCode>General</c:formatCode>
                <c:ptCount val="10"/>
                <c:pt idx="0">
                  <c:v>0.17663333333333334</c:v>
                </c:pt>
                <c:pt idx="1">
                  <c:v>0.2056</c:v>
                </c:pt>
                <c:pt idx="2">
                  <c:v>0.15340000000000001</c:v>
                </c:pt>
                <c:pt idx="3">
                  <c:v>0.30570000000000003</c:v>
                </c:pt>
                <c:pt idx="4">
                  <c:v>0.1041</c:v>
                </c:pt>
                <c:pt idx="5">
                  <c:v>0.123</c:v>
                </c:pt>
                <c:pt idx="6">
                  <c:v>0.1852</c:v>
                </c:pt>
                <c:pt idx="7">
                  <c:v>0.26819999999999999</c:v>
                </c:pt>
                <c:pt idx="8">
                  <c:v>8.1699999999999995E-2</c:v>
                </c:pt>
                <c:pt idx="9">
                  <c:v>4.5900000000000003E-2</c:v>
                </c:pt>
              </c:numCache>
            </c:numRef>
          </c:val>
          <c:extLst>
            <c:ext xmlns:c16="http://schemas.microsoft.com/office/drawing/2014/chart" uri="{C3380CC4-5D6E-409C-BE32-E72D297353CC}">
              <c16:uniqueId val="{00000005-32C1-45B5-8E23-439EDD916C55}"/>
            </c:ext>
          </c:extLst>
        </c:ser>
        <c:ser>
          <c:idx val="6"/>
          <c:order val="6"/>
          <c:tx>
            <c:strRef>
              <c:f>evolutii!$A$29</c:f>
              <c:strCache>
                <c:ptCount val="1"/>
                <c:pt idx="0">
                  <c:v>oct.</c:v>
                </c:pt>
              </c:strCache>
            </c:strRef>
          </c:tx>
          <c:spPr>
            <a:solidFill>
              <a:schemeClr val="accent1">
                <a:lumMod val="60000"/>
              </a:schemeClr>
            </a:solidFill>
            <a:ln>
              <a:noFill/>
            </a:ln>
            <a:effectLst/>
          </c:spPr>
          <c:invertIfNegative val="0"/>
          <c:cat>
            <c:multiLvlStrRef>
              <c:f>evolutii!$F$21:$O$22</c:f>
              <c:multiLvlStrCache>
                <c:ptCount val="10"/>
                <c:lvl>
                  <c:pt idx="0">
                    <c:v>2020</c:v>
                  </c:pt>
                  <c:pt idx="1">
                    <c:v>2021</c:v>
                  </c:pt>
                  <c:pt idx="2">
                    <c:v>2020</c:v>
                  </c:pt>
                  <c:pt idx="3">
                    <c:v>2021</c:v>
                  </c:pt>
                  <c:pt idx="4">
                    <c:v>2020</c:v>
                  </c:pt>
                  <c:pt idx="5">
                    <c:v>2021</c:v>
                  </c:pt>
                  <c:pt idx="6">
                    <c:v>2020</c:v>
                  </c:pt>
                  <c:pt idx="7">
                    <c:v>2021</c:v>
                  </c:pt>
                  <c:pt idx="8">
                    <c:v>2020</c:v>
                  </c:pt>
                  <c:pt idx="9">
                    <c:v>2021</c:v>
                  </c:pt>
                </c:lvl>
                <c:lvl>
                  <c:pt idx="0">
                    <c:v>Bistrița  </c:v>
                  </c:pt>
                  <c:pt idx="2">
                    <c:v>depozit Tărpiu</c:v>
                  </c:pt>
                  <c:pt idx="4">
                    <c:v>Sângeorz Băi</c:v>
                  </c:pt>
                  <c:pt idx="6">
                    <c:v>Năsăud</c:v>
                  </c:pt>
                  <c:pt idx="8">
                    <c:v>Beclean</c:v>
                  </c:pt>
                </c:lvl>
              </c:multiLvlStrCache>
            </c:multiLvlStrRef>
          </c:cat>
          <c:val>
            <c:numRef>
              <c:f>evolutii!$F$29:$O$29</c:f>
              <c:numCache>
                <c:formatCode>General</c:formatCode>
                <c:ptCount val="10"/>
                <c:pt idx="0">
                  <c:v>0.13549999999999998</c:v>
                </c:pt>
                <c:pt idx="1">
                  <c:v>0.26619999999999999</c:v>
                </c:pt>
                <c:pt idx="2">
                  <c:v>0.12670000000000001</c:v>
                </c:pt>
                <c:pt idx="3">
                  <c:v>0.37819999999999998</c:v>
                </c:pt>
                <c:pt idx="4">
                  <c:v>0.1381</c:v>
                </c:pt>
                <c:pt idx="5">
                  <c:v>0.25169999999999998</c:v>
                </c:pt>
                <c:pt idx="6">
                  <c:v>0.152</c:v>
                </c:pt>
                <c:pt idx="7">
                  <c:v>0.3165</c:v>
                </c:pt>
                <c:pt idx="8">
                  <c:v>7.3200000000000001E-2</c:v>
                </c:pt>
                <c:pt idx="9">
                  <c:v>0.32179999999999997</c:v>
                </c:pt>
              </c:numCache>
            </c:numRef>
          </c:val>
          <c:extLst>
            <c:ext xmlns:c16="http://schemas.microsoft.com/office/drawing/2014/chart" uri="{C3380CC4-5D6E-409C-BE32-E72D297353CC}">
              <c16:uniqueId val="{00000006-32C1-45B5-8E23-439EDD916C55}"/>
            </c:ext>
          </c:extLst>
        </c:ser>
        <c:dLbls>
          <c:showLegendKey val="0"/>
          <c:showVal val="0"/>
          <c:showCatName val="0"/>
          <c:showSerName val="0"/>
          <c:showPercent val="0"/>
          <c:showBubbleSize val="0"/>
        </c:dLbls>
        <c:gapWidth val="219"/>
        <c:overlap val="-27"/>
        <c:axId val="823056016"/>
        <c:axId val="823058512"/>
      </c:barChart>
      <c:catAx>
        <c:axId val="82305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3058512"/>
        <c:crosses val="autoZero"/>
        <c:auto val="1"/>
        <c:lblAlgn val="ctr"/>
        <c:lblOffset val="100"/>
        <c:noMultiLvlLbl val="0"/>
      </c:catAx>
      <c:valAx>
        <c:axId val="82305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305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ro-RO" sz="1200" b="1"/>
              <a:t>Amoniac</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evolutii!$E$43</c:f>
              <c:strCache>
                <c:ptCount val="1"/>
                <c:pt idx="0">
                  <c:v>apr.</c:v>
                </c:pt>
              </c:strCache>
            </c:strRef>
          </c:tx>
          <c:spPr>
            <a:solidFill>
              <a:schemeClr val="accent1"/>
            </a:solidFill>
            <a:ln>
              <a:noFill/>
            </a:ln>
            <a:effectLst/>
          </c:spPr>
          <c:invertIfNegative val="0"/>
          <c:cat>
            <c:multiLvlStrRef>
              <c:f>evolutii!$G$41:$N$42</c:f>
              <c:multiLvlStrCache>
                <c:ptCount val="8"/>
                <c:lvl>
                  <c:pt idx="0">
                    <c:v>2020</c:v>
                  </c:pt>
                  <c:pt idx="1">
                    <c:v>2021</c:v>
                  </c:pt>
                  <c:pt idx="2">
                    <c:v>2020</c:v>
                  </c:pt>
                  <c:pt idx="3">
                    <c:v>2021</c:v>
                  </c:pt>
                  <c:pt idx="4">
                    <c:v>2020</c:v>
                  </c:pt>
                  <c:pt idx="5">
                    <c:v>2021</c:v>
                  </c:pt>
                  <c:pt idx="6">
                    <c:v>2020</c:v>
                  </c:pt>
                  <c:pt idx="7">
                    <c:v>2021</c:v>
                  </c:pt>
                </c:lvl>
                <c:lvl>
                  <c:pt idx="0">
                    <c:v>depozit Tărpiu</c:v>
                  </c:pt>
                  <c:pt idx="2">
                    <c:v>Sângeorz Băi</c:v>
                  </c:pt>
                  <c:pt idx="4">
                    <c:v>Năsăud</c:v>
                  </c:pt>
                  <c:pt idx="6">
                    <c:v>Beclean</c:v>
                  </c:pt>
                </c:lvl>
              </c:multiLvlStrCache>
            </c:multiLvlStrRef>
          </c:cat>
          <c:val>
            <c:numRef>
              <c:f>evolutii!$G$43:$N$43</c:f>
              <c:numCache>
                <c:formatCode>General</c:formatCode>
                <c:ptCount val="8"/>
                <c:pt idx="1">
                  <c:v>7.2300000000000003E-2</c:v>
                </c:pt>
                <c:pt idx="3">
                  <c:v>3.4700000000000002E-2</c:v>
                </c:pt>
                <c:pt idx="5">
                  <c:v>0.1067</c:v>
                </c:pt>
                <c:pt idx="7">
                  <c:v>1.4200000000000001E-2</c:v>
                </c:pt>
              </c:numCache>
            </c:numRef>
          </c:val>
          <c:extLst>
            <c:ext xmlns:c16="http://schemas.microsoft.com/office/drawing/2014/chart" uri="{C3380CC4-5D6E-409C-BE32-E72D297353CC}">
              <c16:uniqueId val="{00000000-714B-4D43-B263-B83D64BE621D}"/>
            </c:ext>
          </c:extLst>
        </c:ser>
        <c:ser>
          <c:idx val="1"/>
          <c:order val="1"/>
          <c:tx>
            <c:strRef>
              <c:f>evolutii!$E$44</c:f>
              <c:strCache>
                <c:ptCount val="1"/>
                <c:pt idx="0">
                  <c:v>mai.</c:v>
                </c:pt>
              </c:strCache>
            </c:strRef>
          </c:tx>
          <c:spPr>
            <a:solidFill>
              <a:schemeClr val="accent2"/>
            </a:solidFill>
            <a:ln>
              <a:noFill/>
            </a:ln>
            <a:effectLst/>
          </c:spPr>
          <c:invertIfNegative val="0"/>
          <c:cat>
            <c:multiLvlStrRef>
              <c:f>evolutii!$G$41:$N$42</c:f>
              <c:multiLvlStrCache>
                <c:ptCount val="8"/>
                <c:lvl>
                  <c:pt idx="0">
                    <c:v>2020</c:v>
                  </c:pt>
                  <c:pt idx="1">
                    <c:v>2021</c:v>
                  </c:pt>
                  <c:pt idx="2">
                    <c:v>2020</c:v>
                  </c:pt>
                  <c:pt idx="3">
                    <c:v>2021</c:v>
                  </c:pt>
                  <c:pt idx="4">
                    <c:v>2020</c:v>
                  </c:pt>
                  <c:pt idx="5">
                    <c:v>2021</c:v>
                  </c:pt>
                  <c:pt idx="6">
                    <c:v>2020</c:v>
                  </c:pt>
                  <c:pt idx="7">
                    <c:v>2021</c:v>
                  </c:pt>
                </c:lvl>
                <c:lvl>
                  <c:pt idx="0">
                    <c:v>depozit Tărpiu</c:v>
                  </c:pt>
                  <c:pt idx="2">
                    <c:v>Sângeorz Băi</c:v>
                  </c:pt>
                  <c:pt idx="4">
                    <c:v>Năsăud</c:v>
                  </c:pt>
                  <c:pt idx="6">
                    <c:v>Beclean</c:v>
                  </c:pt>
                </c:lvl>
              </c:multiLvlStrCache>
            </c:multiLvlStrRef>
          </c:cat>
          <c:val>
            <c:numRef>
              <c:f>evolutii!$G$44:$N$44</c:f>
              <c:numCache>
                <c:formatCode>General</c:formatCode>
                <c:ptCount val="8"/>
                <c:pt idx="1">
                  <c:v>8.6379999999999998E-2</c:v>
                </c:pt>
                <c:pt idx="3">
                  <c:v>0.27889999999999998</c:v>
                </c:pt>
                <c:pt idx="5">
                  <c:v>0.16320000000000001</c:v>
                </c:pt>
                <c:pt idx="7">
                  <c:v>1.37E-2</c:v>
                </c:pt>
              </c:numCache>
            </c:numRef>
          </c:val>
          <c:extLst>
            <c:ext xmlns:c16="http://schemas.microsoft.com/office/drawing/2014/chart" uri="{C3380CC4-5D6E-409C-BE32-E72D297353CC}">
              <c16:uniqueId val="{00000001-714B-4D43-B263-B83D64BE621D}"/>
            </c:ext>
          </c:extLst>
        </c:ser>
        <c:ser>
          <c:idx val="2"/>
          <c:order val="2"/>
          <c:tx>
            <c:strRef>
              <c:f>evolutii!$E$45</c:f>
              <c:strCache>
                <c:ptCount val="1"/>
                <c:pt idx="0">
                  <c:v>iun.</c:v>
                </c:pt>
              </c:strCache>
            </c:strRef>
          </c:tx>
          <c:spPr>
            <a:solidFill>
              <a:schemeClr val="accent3"/>
            </a:solidFill>
            <a:ln>
              <a:noFill/>
            </a:ln>
            <a:effectLst/>
          </c:spPr>
          <c:invertIfNegative val="0"/>
          <c:cat>
            <c:multiLvlStrRef>
              <c:f>evolutii!$G$41:$N$42</c:f>
              <c:multiLvlStrCache>
                <c:ptCount val="8"/>
                <c:lvl>
                  <c:pt idx="0">
                    <c:v>2020</c:v>
                  </c:pt>
                  <c:pt idx="1">
                    <c:v>2021</c:v>
                  </c:pt>
                  <c:pt idx="2">
                    <c:v>2020</c:v>
                  </c:pt>
                  <c:pt idx="3">
                    <c:v>2021</c:v>
                  </c:pt>
                  <c:pt idx="4">
                    <c:v>2020</c:v>
                  </c:pt>
                  <c:pt idx="5">
                    <c:v>2021</c:v>
                  </c:pt>
                  <c:pt idx="6">
                    <c:v>2020</c:v>
                  </c:pt>
                  <c:pt idx="7">
                    <c:v>2021</c:v>
                  </c:pt>
                </c:lvl>
                <c:lvl>
                  <c:pt idx="0">
                    <c:v>depozit Tărpiu</c:v>
                  </c:pt>
                  <c:pt idx="2">
                    <c:v>Sângeorz Băi</c:v>
                  </c:pt>
                  <c:pt idx="4">
                    <c:v>Năsăud</c:v>
                  </c:pt>
                  <c:pt idx="6">
                    <c:v>Beclean</c:v>
                  </c:pt>
                </c:lvl>
              </c:multiLvlStrCache>
            </c:multiLvlStrRef>
          </c:cat>
          <c:val>
            <c:numRef>
              <c:f>evolutii!$G$45:$N$45</c:f>
              <c:numCache>
                <c:formatCode>General</c:formatCode>
                <c:ptCount val="8"/>
                <c:pt idx="1">
                  <c:v>2.07E-2</c:v>
                </c:pt>
                <c:pt idx="3">
                  <c:v>5.67E-2</c:v>
                </c:pt>
                <c:pt idx="5">
                  <c:v>9.9199999999999997E-2</c:v>
                </c:pt>
                <c:pt idx="7">
                  <c:v>6.9000000000000006E-2</c:v>
                </c:pt>
              </c:numCache>
            </c:numRef>
          </c:val>
          <c:extLst>
            <c:ext xmlns:c16="http://schemas.microsoft.com/office/drawing/2014/chart" uri="{C3380CC4-5D6E-409C-BE32-E72D297353CC}">
              <c16:uniqueId val="{00000002-714B-4D43-B263-B83D64BE621D}"/>
            </c:ext>
          </c:extLst>
        </c:ser>
        <c:ser>
          <c:idx val="3"/>
          <c:order val="3"/>
          <c:tx>
            <c:strRef>
              <c:f>evolutii!$E$46</c:f>
              <c:strCache>
                <c:ptCount val="1"/>
                <c:pt idx="0">
                  <c:v>iul.</c:v>
                </c:pt>
              </c:strCache>
            </c:strRef>
          </c:tx>
          <c:spPr>
            <a:solidFill>
              <a:schemeClr val="accent4"/>
            </a:solidFill>
            <a:ln>
              <a:noFill/>
            </a:ln>
            <a:effectLst/>
          </c:spPr>
          <c:invertIfNegative val="0"/>
          <c:cat>
            <c:multiLvlStrRef>
              <c:f>evolutii!$G$41:$N$42</c:f>
              <c:multiLvlStrCache>
                <c:ptCount val="8"/>
                <c:lvl>
                  <c:pt idx="0">
                    <c:v>2020</c:v>
                  </c:pt>
                  <c:pt idx="1">
                    <c:v>2021</c:v>
                  </c:pt>
                  <c:pt idx="2">
                    <c:v>2020</c:v>
                  </c:pt>
                  <c:pt idx="3">
                    <c:v>2021</c:v>
                  </c:pt>
                  <c:pt idx="4">
                    <c:v>2020</c:v>
                  </c:pt>
                  <c:pt idx="5">
                    <c:v>2021</c:v>
                  </c:pt>
                  <c:pt idx="6">
                    <c:v>2020</c:v>
                  </c:pt>
                  <c:pt idx="7">
                    <c:v>2021</c:v>
                  </c:pt>
                </c:lvl>
                <c:lvl>
                  <c:pt idx="0">
                    <c:v>depozit Tărpiu</c:v>
                  </c:pt>
                  <c:pt idx="2">
                    <c:v>Sângeorz Băi</c:v>
                  </c:pt>
                  <c:pt idx="4">
                    <c:v>Năsăud</c:v>
                  </c:pt>
                  <c:pt idx="6">
                    <c:v>Beclean</c:v>
                  </c:pt>
                </c:lvl>
              </c:multiLvlStrCache>
            </c:multiLvlStrRef>
          </c:cat>
          <c:val>
            <c:numRef>
              <c:f>evolutii!$G$46:$N$46</c:f>
              <c:numCache>
                <c:formatCode>General</c:formatCode>
                <c:ptCount val="8"/>
                <c:pt idx="0">
                  <c:v>0.128</c:v>
                </c:pt>
                <c:pt idx="1">
                  <c:v>0.14729999999999999</c:v>
                </c:pt>
                <c:pt idx="2">
                  <c:v>0.2258</c:v>
                </c:pt>
                <c:pt idx="3">
                  <c:v>0.1777</c:v>
                </c:pt>
                <c:pt idx="4">
                  <c:v>1.6799999999999999E-2</c:v>
                </c:pt>
                <c:pt idx="5">
                  <c:v>0.1532</c:v>
                </c:pt>
                <c:pt idx="6">
                  <c:v>0.2757</c:v>
                </c:pt>
                <c:pt idx="7">
                  <c:v>0.1575</c:v>
                </c:pt>
              </c:numCache>
            </c:numRef>
          </c:val>
          <c:extLst>
            <c:ext xmlns:c16="http://schemas.microsoft.com/office/drawing/2014/chart" uri="{C3380CC4-5D6E-409C-BE32-E72D297353CC}">
              <c16:uniqueId val="{00000003-714B-4D43-B263-B83D64BE621D}"/>
            </c:ext>
          </c:extLst>
        </c:ser>
        <c:ser>
          <c:idx val="4"/>
          <c:order val="4"/>
          <c:tx>
            <c:strRef>
              <c:f>evolutii!$E$47</c:f>
              <c:strCache>
                <c:ptCount val="1"/>
                <c:pt idx="0">
                  <c:v>aug.</c:v>
                </c:pt>
              </c:strCache>
            </c:strRef>
          </c:tx>
          <c:spPr>
            <a:solidFill>
              <a:schemeClr val="accent5"/>
            </a:solidFill>
            <a:ln>
              <a:noFill/>
            </a:ln>
            <a:effectLst/>
          </c:spPr>
          <c:invertIfNegative val="0"/>
          <c:cat>
            <c:multiLvlStrRef>
              <c:f>evolutii!$G$41:$N$42</c:f>
              <c:multiLvlStrCache>
                <c:ptCount val="8"/>
                <c:lvl>
                  <c:pt idx="0">
                    <c:v>2020</c:v>
                  </c:pt>
                  <c:pt idx="1">
                    <c:v>2021</c:v>
                  </c:pt>
                  <c:pt idx="2">
                    <c:v>2020</c:v>
                  </c:pt>
                  <c:pt idx="3">
                    <c:v>2021</c:v>
                  </c:pt>
                  <c:pt idx="4">
                    <c:v>2020</c:v>
                  </c:pt>
                  <c:pt idx="5">
                    <c:v>2021</c:v>
                  </c:pt>
                  <c:pt idx="6">
                    <c:v>2020</c:v>
                  </c:pt>
                  <c:pt idx="7">
                    <c:v>2021</c:v>
                  </c:pt>
                </c:lvl>
                <c:lvl>
                  <c:pt idx="0">
                    <c:v>depozit Tărpiu</c:v>
                  </c:pt>
                  <c:pt idx="2">
                    <c:v>Sângeorz Băi</c:v>
                  </c:pt>
                  <c:pt idx="4">
                    <c:v>Năsăud</c:v>
                  </c:pt>
                  <c:pt idx="6">
                    <c:v>Beclean</c:v>
                  </c:pt>
                </c:lvl>
              </c:multiLvlStrCache>
            </c:multiLvlStrRef>
          </c:cat>
          <c:val>
            <c:numRef>
              <c:f>evolutii!$G$47:$N$47</c:f>
              <c:numCache>
                <c:formatCode>General</c:formatCode>
                <c:ptCount val="8"/>
                <c:pt idx="0">
                  <c:v>9.9199999999999997E-2</c:v>
                </c:pt>
                <c:pt idx="1">
                  <c:v>0.2228</c:v>
                </c:pt>
                <c:pt idx="2">
                  <c:v>8.3099999999999993E-2</c:v>
                </c:pt>
                <c:pt idx="3">
                  <c:v>0.22700000000000001</c:v>
                </c:pt>
                <c:pt idx="4">
                  <c:v>5.2699999999999997E-2</c:v>
                </c:pt>
                <c:pt idx="5">
                  <c:v>0.16880000000000001</c:v>
                </c:pt>
                <c:pt idx="6">
                  <c:v>9.1300000000000006E-2</c:v>
                </c:pt>
                <c:pt idx="7">
                  <c:v>0.16650000000000001</c:v>
                </c:pt>
              </c:numCache>
            </c:numRef>
          </c:val>
          <c:extLst>
            <c:ext xmlns:c16="http://schemas.microsoft.com/office/drawing/2014/chart" uri="{C3380CC4-5D6E-409C-BE32-E72D297353CC}">
              <c16:uniqueId val="{00000004-714B-4D43-B263-B83D64BE621D}"/>
            </c:ext>
          </c:extLst>
        </c:ser>
        <c:ser>
          <c:idx val="5"/>
          <c:order val="5"/>
          <c:tx>
            <c:strRef>
              <c:f>evolutii!$E$48</c:f>
              <c:strCache>
                <c:ptCount val="1"/>
                <c:pt idx="0">
                  <c:v>sept.</c:v>
                </c:pt>
              </c:strCache>
            </c:strRef>
          </c:tx>
          <c:spPr>
            <a:solidFill>
              <a:schemeClr val="accent6"/>
            </a:solidFill>
            <a:ln>
              <a:noFill/>
            </a:ln>
            <a:effectLst/>
          </c:spPr>
          <c:invertIfNegative val="0"/>
          <c:cat>
            <c:multiLvlStrRef>
              <c:f>evolutii!$G$41:$N$42</c:f>
              <c:multiLvlStrCache>
                <c:ptCount val="8"/>
                <c:lvl>
                  <c:pt idx="0">
                    <c:v>2020</c:v>
                  </c:pt>
                  <c:pt idx="1">
                    <c:v>2021</c:v>
                  </c:pt>
                  <c:pt idx="2">
                    <c:v>2020</c:v>
                  </c:pt>
                  <c:pt idx="3">
                    <c:v>2021</c:v>
                  </c:pt>
                  <c:pt idx="4">
                    <c:v>2020</c:v>
                  </c:pt>
                  <c:pt idx="5">
                    <c:v>2021</c:v>
                  </c:pt>
                  <c:pt idx="6">
                    <c:v>2020</c:v>
                  </c:pt>
                  <c:pt idx="7">
                    <c:v>2021</c:v>
                  </c:pt>
                </c:lvl>
                <c:lvl>
                  <c:pt idx="0">
                    <c:v>depozit Tărpiu</c:v>
                  </c:pt>
                  <c:pt idx="2">
                    <c:v>Sângeorz Băi</c:v>
                  </c:pt>
                  <c:pt idx="4">
                    <c:v>Năsăud</c:v>
                  </c:pt>
                  <c:pt idx="6">
                    <c:v>Beclean</c:v>
                  </c:pt>
                </c:lvl>
              </c:multiLvlStrCache>
            </c:multiLvlStrRef>
          </c:cat>
          <c:val>
            <c:numRef>
              <c:f>evolutii!$G$48:$N$48</c:f>
              <c:numCache>
                <c:formatCode>General</c:formatCode>
                <c:ptCount val="8"/>
                <c:pt idx="0">
                  <c:v>0.29420000000000002</c:v>
                </c:pt>
                <c:pt idx="1">
                  <c:v>0.21920000000000001</c:v>
                </c:pt>
                <c:pt idx="2">
                  <c:v>5.4199999999999998E-2</c:v>
                </c:pt>
                <c:pt idx="3">
                  <c:v>0.1976</c:v>
                </c:pt>
                <c:pt idx="4">
                  <c:v>0</c:v>
                </c:pt>
                <c:pt idx="5">
                  <c:v>0.18140000000000001</c:v>
                </c:pt>
                <c:pt idx="6">
                  <c:v>0</c:v>
                </c:pt>
                <c:pt idx="7">
                  <c:v>0.1082</c:v>
                </c:pt>
              </c:numCache>
            </c:numRef>
          </c:val>
          <c:extLst>
            <c:ext xmlns:c16="http://schemas.microsoft.com/office/drawing/2014/chart" uri="{C3380CC4-5D6E-409C-BE32-E72D297353CC}">
              <c16:uniqueId val="{00000005-714B-4D43-B263-B83D64BE621D}"/>
            </c:ext>
          </c:extLst>
        </c:ser>
        <c:ser>
          <c:idx val="6"/>
          <c:order val="6"/>
          <c:tx>
            <c:strRef>
              <c:f>evolutii!$E$49</c:f>
              <c:strCache>
                <c:ptCount val="1"/>
                <c:pt idx="0">
                  <c:v>oct.</c:v>
                </c:pt>
              </c:strCache>
            </c:strRef>
          </c:tx>
          <c:spPr>
            <a:solidFill>
              <a:schemeClr val="accent1">
                <a:lumMod val="60000"/>
              </a:schemeClr>
            </a:solidFill>
            <a:ln>
              <a:noFill/>
            </a:ln>
            <a:effectLst/>
          </c:spPr>
          <c:invertIfNegative val="0"/>
          <c:cat>
            <c:multiLvlStrRef>
              <c:f>evolutii!$G$41:$N$42</c:f>
              <c:multiLvlStrCache>
                <c:ptCount val="8"/>
                <c:lvl>
                  <c:pt idx="0">
                    <c:v>2020</c:v>
                  </c:pt>
                  <c:pt idx="1">
                    <c:v>2021</c:v>
                  </c:pt>
                  <c:pt idx="2">
                    <c:v>2020</c:v>
                  </c:pt>
                  <c:pt idx="3">
                    <c:v>2021</c:v>
                  </c:pt>
                  <c:pt idx="4">
                    <c:v>2020</c:v>
                  </c:pt>
                  <c:pt idx="5">
                    <c:v>2021</c:v>
                  </c:pt>
                  <c:pt idx="6">
                    <c:v>2020</c:v>
                  </c:pt>
                  <c:pt idx="7">
                    <c:v>2021</c:v>
                  </c:pt>
                </c:lvl>
                <c:lvl>
                  <c:pt idx="0">
                    <c:v>depozit Tărpiu</c:v>
                  </c:pt>
                  <c:pt idx="2">
                    <c:v>Sângeorz Băi</c:v>
                  </c:pt>
                  <c:pt idx="4">
                    <c:v>Năsăud</c:v>
                  </c:pt>
                  <c:pt idx="6">
                    <c:v>Beclean</c:v>
                  </c:pt>
                </c:lvl>
              </c:multiLvlStrCache>
            </c:multiLvlStrRef>
          </c:cat>
          <c:val>
            <c:numRef>
              <c:f>evolutii!$G$49:$N$49</c:f>
              <c:numCache>
                <c:formatCode>General</c:formatCode>
                <c:ptCount val="8"/>
                <c:pt idx="0">
                  <c:v>0.14230000000000001</c:v>
                </c:pt>
                <c:pt idx="1">
                  <c:v>0.1993</c:v>
                </c:pt>
                <c:pt idx="2">
                  <c:v>0.1013</c:v>
                </c:pt>
                <c:pt idx="3">
                  <c:v>0.23480000000000001</c:v>
                </c:pt>
                <c:pt idx="4">
                  <c:v>0.1043</c:v>
                </c:pt>
                <c:pt idx="5">
                  <c:v>0.1623</c:v>
                </c:pt>
                <c:pt idx="6">
                  <c:v>9.5799999999999996E-2</c:v>
                </c:pt>
                <c:pt idx="7">
                  <c:v>0.1963</c:v>
                </c:pt>
              </c:numCache>
            </c:numRef>
          </c:val>
          <c:extLst>
            <c:ext xmlns:c16="http://schemas.microsoft.com/office/drawing/2014/chart" uri="{C3380CC4-5D6E-409C-BE32-E72D297353CC}">
              <c16:uniqueId val="{00000006-714B-4D43-B263-B83D64BE621D}"/>
            </c:ext>
          </c:extLst>
        </c:ser>
        <c:dLbls>
          <c:showLegendKey val="0"/>
          <c:showVal val="0"/>
          <c:showCatName val="0"/>
          <c:showSerName val="0"/>
          <c:showPercent val="0"/>
          <c:showBubbleSize val="0"/>
        </c:dLbls>
        <c:gapWidth val="219"/>
        <c:overlap val="-27"/>
        <c:axId val="1048031840"/>
        <c:axId val="1048032256"/>
      </c:barChart>
      <c:catAx>
        <c:axId val="104803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8032256"/>
        <c:crosses val="autoZero"/>
        <c:auto val="1"/>
        <c:lblAlgn val="ctr"/>
        <c:lblOffset val="100"/>
        <c:noMultiLvlLbl val="0"/>
      </c:catAx>
      <c:valAx>
        <c:axId val="104803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803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65"/>
      <c:rotY val="12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803386300159376E-2"/>
          <c:y val="9.3855500048434196E-2"/>
          <c:w val="0.74283581088321471"/>
          <c:h val="0.70636283698903313"/>
        </c:manualLayout>
      </c:layout>
      <c:pie3DChart>
        <c:varyColors val="1"/>
        <c:ser>
          <c:idx val="0"/>
          <c:order val="0"/>
          <c:tx>
            <c:strRef>
              <c:f>'precursori O3'!$D$85</c:f>
              <c:strCache>
                <c:ptCount val="1"/>
                <c:pt idx="0">
                  <c:v>NMVOC - Mg</c:v>
                </c:pt>
              </c:strCache>
            </c:strRef>
          </c:tx>
          <c:dPt>
            <c:idx val="0"/>
            <c:bubble3D val="0"/>
            <c:explosion val="2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8A0-484E-948E-A9F1C14C009D}"/>
              </c:ext>
            </c:extLst>
          </c:dPt>
          <c:dPt>
            <c:idx val="1"/>
            <c:bubble3D val="0"/>
            <c:explosion val="7"/>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8A0-484E-948E-A9F1C14C009D}"/>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8A0-484E-948E-A9F1C14C009D}"/>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8A0-484E-948E-A9F1C14C009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8A0-484E-948E-A9F1C14C009D}"/>
              </c:ext>
            </c:extLst>
          </c:dPt>
          <c:dPt>
            <c:idx val="5"/>
            <c:bubble3D val="0"/>
            <c:explosion val="4"/>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8A0-484E-948E-A9F1C14C009D}"/>
              </c:ext>
            </c:extLst>
          </c:dPt>
          <c:dPt>
            <c:idx val="6"/>
            <c:bubble3D val="0"/>
            <c:explosion val="8"/>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8A0-484E-948E-A9F1C14C009D}"/>
              </c:ext>
            </c:extLst>
          </c:dPt>
          <c:dPt>
            <c:idx val="7"/>
            <c:bubble3D val="0"/>
            <c:explosion val="8"/>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A8A0-484E-948E-A9F1C14C009D}"/>
              </c:ext>
            </c:extLst>
          </c:dPt>
          <c:dPt>
            <c:idx val="8"/>
            <c:bubble3D val="0"/>
            <c:explosion val="15"/>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A8A0-484E-948E-A9F1C14C009D}"/>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A8A0-484E-948E-A9F1C14C009D}"/>
              </c:ext>
            </c:extLst>
          </c:dPt>
          <c:dLbls>
            <c:dLbl>
              <c:idx val="0"/>
              <c:layout>
                <c:manualLayout>
                  <c:x val="1.7719701596301232E-2"/>
                  <c:y val="3.8784456460662316E-2"/>
                </c:manualLayout>
              </c:layout>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8A0-484E-948E-A9F1C14C009D}"/>
                </c:ext>
              </c:extLst>
            </c:dLbl>
            <c:dLbl>
              <c:idx val="1"/>
              <c:layout>
                <c:manualLayout>
                  <c:x val="0.16758161993277895"/>
                  <c:y val="7.8557629769038101E-2"/>
                </c:manualLayout>
              </c:layout>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100" b="1" i="0" u="none" strike="noStrike" kern="1200" spc="0" baseline="0">
                      <a:solidFill>
                        <a:schemeClr val="accent2"/>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858990872938982"/>
                      <c:h val="0.11612157365633508"/>
                    </c:manualLayout>
                  </c15:layout>
                </c:ext>
                <c:ext xmlns:c16="http://schemas.microsoft.com/office/drawing/2014/chart" uri="{C3380CC4-5D6E-409C-BE32-E72D297353CC}">
                  <c16:uniqueId val="{00000003-A8A0-484E-948E-A9F1C14C009D}"/>
                </c:ext>
              </c:extLst>
            </c:dLbl>
            <c:dLbl>
              <c:idx val="2"/>
              <c:layout>
                <c:manualLayout>
                  <c:x val="0.31045059748292975"/>
                  <c:y val="0.1534541881737542"/>
                </c:manualLayout>
              </c:layout>
              <c:tx>
                <c:rich>
                  <a:bodyPr rot="0" spcFirstLastPara="1" vertOverflow="ellipsis" vert="horz" wrap="square" lIns="38100" tIns="19050" rIns="38100" bIns="19050" anchor="ctr" anchorCtr="1">
                    <a:spAutoFit/>
                  </a:bodyPr>
                  <a:lstStyle/>
                  <a:p>
                    <a:pPr>
                      <a:defRPr sz="1100" b="1" i="0" u="none" strike="noStrike" kern="1200" spc="0" baseline="0">
                        <a:solidFill>
                          <a:srgbClr val="00B050"/>
                        </a:solidFill>
                        <a:latin typeface="Arial Narrow" panose="020B0606020202030204" pitchFamily="34" charset="0"/>
                        <a:ea typeface="+mn-ea"/>
                        <a:cs typeface="+mn-cs"/>
                      </a:defRPr>
                    </a:pPr>
                    <a:fld id="{2BF1F944-D6BD-4180-8399-8CE89AD6731C}" type="CATEGORYNAME">
                      <a:rPr lang="en-US" sz="1100">
                        <a:solidFill>
                          <a:srgbClr val="00B050"/>
                        </a:solidFill>
                        <a:latin typeface="Arial Narrow" panose="020B0606020202030204" pitchFamily="34" charset="0"/>
                      </a:rPr>
                      <a:pPr>
                        <a:defRPr sz="1100">
                          <a:solidFill>
                            <a:srgbClr val="00B050"/>
                          </a:solidFill>
                          <a:latin typeface="Arial Narrow" panose="020B0606020202030204" pitchFamily="34" charset="0"/>
                        </a:defRPr>
                      </a:pPr>
                      <a:t>[NUME CATEGORIE]</a:t>
                    </a:fld>
                    <a:r>
                      <a:rPr lang="en-US" sz="1100" baseline="0">
                        <a:solidFill>
                          <a:srgbClr val="00B050"/>
                        </a:solidFill>
                        <a:latin typeface="Arial Narrow" panose="020B0606020202030204" pitchFamily="34" charset="0"/>
                      </a:rPr>
                      <a:t> </a:t>
                    </a:r>
                    <a:fld id="{A071D670-DB1C-4BA2-9F2C-6EEF3DE71252}" type="VALUE">
                      <a:rPr lang="en-US" sz="1100" baseline="0">
                        <a:solidFill>
                          <a:srgbClr val="00B050"/>
                        </a:solidFill>
                        <a:latin typeface="Arial Narrow" panose="020B0606020202030204" pitchFamily="34" charset="0"/>
                      </a:rPr>
                      <a:pPr>
                        <a:defRPr sz="1100">
                          <a:solidFill>
                            <a:srgbClr val="00B050"/>
                          </a:solidFill>
                          <a:latin typeface="Arial Narrow" panose="020B0606020202030204" pitchFamily="34" charset="0"/>
                        </a:defRPr>
                      </a:pPr>
                      <a:t>[VALOARE]</a:t>
                    </a:fld>
                    <a:endParaRPr lang="en-US" sz="1100" baseline="0">
                      <a:solidFill>
                        <a:srgbClr val="00B050"/>
                      </a:solidFill>
                      <a:latin typeface="Arial Narrow" panose="020B0606020202030204" pitchFamily="34" charset="0"/>
                    </a:endParaRPr>
                  </a:p>
                </c:rich>
              </c:tx>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rgbClr val="00B050"/>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A8A0-484E-948E-A9F1C14C009D}"/>
                </c:ext>
              </c:extLst>
            </c:dLbl>
            <c:dLbl>
              <c:idx val="3"/>
              <c:layout>
                <c:manualLayout>
                  <c:x val="7.1238709961130728E-2"/>
                  <c:y val="0.12977308294209702"/>
                </c:manualLayout>
              </c:layout>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4"/>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8A0-484E-948E-A9F1C14C009D}"/>
                </c:ext>
              </c:extLst>
            </c:dLbl>
            <c:dLbl>
              <c:idx val="4"/>
              <c:layout>
                <c:manualLayout>
                  <c:x val="-0.13112896298354912"/>
                  <c:y val="4.7227439297462891E-2"/>
                </c:manualLayout>
              </c:layout>
              <c:numFmt formatCode="0.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5"/>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A8A0-484E-948E-A9F1C14C009D}"/>
                </c:ext>
              </c:extLst>
            </c:dLbl>
            <c:dLbl>
              <c:idx val="5"/>
              <c:layout>
                <c:manualLayout>
                  <c:x val="-0.12993489516405146"/>
                  <c:y val="-3.6533854010392164E-2"/>
                </c:manualLayout>
              </c:layout>
              <c:numFmt formatCode="0.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6"/>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A8A0-484E-948E-A9F1C14C009D}"/>
                </c:ext>
              </c:extLst>
            </c:dLbl>
            <c:dLbl>
              <c:idx val="6"/>
              <c:layout>
                <c:manualLayout>
                  <c:x val="0.14804472047957862"/>
                  <c:y val="-0.11535899787189619"/>
                </c:manualLayout>
              </c:layout>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lumMod val="60000"/>
                        </a:schemeClr>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8A0-484E-948E-A9F1C14C009D}"/>
                </c:ext>
              </c:extLst>
            </c:dLbl>
            <c:dLbl>
              <c:idx val="7"/>
              <c:layout>
                <c:manualLayout>
                  <c:x val="3.111104097959699E-2"/>
                  <c:y val="-0.2876777880796535"/>
                </c:manualLayout>
              </c:layout>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2">
                          <a:lumMod val="60000"/>
                        </a:schemeClr>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A8A0-484E-948E-A9F1C14C009D}"/>
                </c:ext>
              </c:extLst>
            </c:dLbl>
            <c:dLbl>
              <c:idx val="8"/>
              <c:layout>
                <c:manualLayout>
                  <c:x val="9.1074161821956517E-2"/>
                  <c:y val="-0.15294438370950561"/>
                </c:manualLayout>
              </c:layout>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3">
                          <a:lumMod val="60000"/>
                        </a:schemeClr>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A8A0-484E-948E-A9F1C14C009D}"/>
                </c:ext>
              </c:extLst>
            </c:dLbl>
            <c:dLbl>
              <c:idx val="9"/>
              <c:layout>
                <c:manualLayout>
                  <c:x val="9.4352787864853946E-2"/>
                  <c:y val="-0.23641226320212519"/>
                </c:manualLayout>
              </c:layout>
              <c:numFmt formatCode="0.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4">
                          <a:lumMod val="60000"/>
                        </a:schemeClr>
                      </a:solidFill>
                      <a:latin typeface="Arial Narrow" panose="020B0606020202030204" pitchFamily="34" charset="0"/>
                      <a:ea typeface="+mn-ea"/>
                      <a:cs typeface="+mn-cs"/>
                    </a:defRPr>
                  </a:pPr>
                  <a:endParaRPr lang="en-US"/>
                </a:p>
              </c:txPr>
              <c:dLblPos val="bestFi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A8A0-484E-948E-A9F1C14C009D}"/>
                </c:ext>
              </c:extLst>
            </c:dLbl>
            <c:numFmt formatCode="0.000" sourceLinked="0"/>
            <c:spPr>
              <a:solidFill>
                <a:schemeClr val="bg1"/>
              </a:solidFill>
              <a:ln>
                <a:solidFill>
                  <a:schemeClr val="tx1"/>
                </a:solidFill>
              </a:ln>
            </c:spPr>
            <c:txPr>
              <a:bodyPr rot="0" spcFirstLastPara="1" vertOverflow="ellipsis" vert="horz" wrap="square" lIns="38100" tIns="19050" rIns="38100" bIns="19050" anchor="ctr" anchorCtr="1">
                <a:spAutoFit/>
              </a:bodyPr>
              <a:lstStyle/>
              <a:p>
                <a:pPr>
                  <a:defRPr sz="1100" b="1" i="0" u="none" strike="noStrike" kern="1200" spc="0" baseline="0">
                    <a:solidFill>
                      <a:schemeClr val="accent1"/>
                    </a:solidFill>
                    <a:latin typeface="Arial Narrow" panose="020B0606020202030204" pitchFamily="34" charset="0"/>
                    <a:ea typeface="+mn-ea"/>
                    <a:cs typeface="+mn-cs"/>
                  </a:defRPr>
                </a:pPr>
                <a:endParaRPr lang="en-US"/>
              </a:p>
            </c:txPr>
            <c:dLblPos val="outEnd"/>
            <c:showLegendKey val="1"/>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'precursori O3'!$B$86:$B$94</c:f>
              <c:strCache>
                <c:ptCount val="9"/>
                <c:pt idx="0">
                  <c:v>Asfaltare drumuri</c:v>
                </c:pt>
                <c:pt idx="1">
                  <c:v>Acoperire suprafețe</c:v>
                </c:pt>
                <c:pt idx="2">
                  <c:v>Degresare</c:v>
                </c:pt>
                <c:pt idx="3">
                  <c:v>Curatarea chimica (uscata)</c:v>
                </c:pt>
                <c:pt idx="4">
                  <c:v>Panouri cu spumă poliuretanică</c:v>
                </c:pt>
                <c:pt idx="5">
                  <c:v>PAFS</c:v>
                </c:pt>
                <c:pt idx="6">
                  <c:v>Tipărire</c:v>
                </c:pt>
                <c:pt idx="7">
                  <c:v>Industrie alimentară și a băuturilor</c:v>
                </c:pt>
                <c:pt idx="8">
                  <c:v>Distribuire produse petroliere</c:v>
                </c:pt>
              </c:strCache>
            </c:strRef>
          </c:cat>
          <c:val>
            <c:numRef>
              <c:f>'precursori O3'!$D$86:$D$94</c:f>
              <c:numCache>
                <c:formatCode>General</c:formatCode>
                <c:ptCount val="9"/>
                <c:pt idx="0">
                  <c:v>3.1894630399999997</c:v>
                </c:pt>
                <c:pt idx="1">
                  <c:v>39.2636915</c:v>
                </c:pt>
                <c:pt idx="2">
                  <c:v>0.55402399999999996</c:v>
                </c:pt>
                <c:pt idx="3">
                  <c:v>0.34584600000000004</c:v>
                </c:pt>
                <c:pt idx="4">
                  <c:v>0.23874799999999999</c:v>
                </c:pt>
                <c:pt idx="5">
                  <c:v>13.881589999999999</c:v>
                </c:pt>
                <c:pt idx="6">
                  <c:v>162.59882899999999</c:v>
                </c:pt>
                <c:pt idx="7">
                  <c:v>27.202696339999999</c:v>
                </c:pt>
                <c:pt idx="8">
                  <c:v>2.8986239999999999</c:v>
                </c:pt>
              </c:numCache>
            </c:numRef>
          </c:val>
          <c:extLst>
            <c:ext xmlns:c16="http://schemas.microsoft.com/office/drawing/2014/chart" uri="{C3380CC4-5D6E-409C-BE32-E72D297353CC}">
              <c16:uniqueId val="{00000014-A8A0-484E-948E-A9F1C14C009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40"/>
      <c:rotY val="170"/>
      <c:rAngAx val="0"/>
    </c:view3D>
    <c:floor>
      <c:thickness val="0"/>
    </c:floor>
    <c:sideWall>
      <c:thickness val="0"/>
    </c:sideWall>
    <c:backWall>
      <c:thickness val="0"/>
    </c:backWall>
    <c:plotArea>
      <c:layout>
        <c:manualLayout>
          <c:layoutTarget val="inner"/>
          <c:xMode val="edge"/>
          <c:yMode val="edge"/>
          <c:x val="0.1093814985781392"/>
          <c:y val="0.10598276508539881"/>
          <c:w val="0.69614732982354366"/>
          <c:h val="0.66533429011028788"/>
        </c:manualLayout>
      </c:layout>
      <c:pie3DChart>
        <c:varyColors val="1"/>
        <c:ser>
          <c:idx val="0"/>
          <c:order val="0"/>
          <c:spPr>
            <a:scene3d>
              <a:camera prst="orthographicFront"/>
              <a:lightRig rig="threePt" dir="t"/>
            </a:scene3d>
            <a:sp3d>
              <a:bevelT/>
            </a:sp3d>
          </c:spPr>
          <c:explosion val="13"/>
          <c:dPt>
            <c:idx val="0"/>
            <c:bubble3D val="0"/>
            <c:explosion val="4"/>
            <c:extLst>
              <c:ext xmlns:c16="http://schemas.microsoft.com/office/drawing/2014/chart" uri="{C3380CC4-5D6E-409C-BE32-E72D297353CC}">
                <c16:uniqueId val="{00000001-7093-4287-9F65-E889FD3AFB3A}"/>
              </c:ext>
            </c:extLst>
          </c:dPt>
          <c:dLbls>
            <c:dLbl>
              <c:idx val="0"/>
              <c:layout>
                <c:manualLayout>
                  <c:x val="2.9882776311796564E-2"/>
                  <c:y val="-0.22132059773036741"/>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093-4287-9F65-E889FD3AFB3A}"/>
                </c:ext>
              </c:extLst>
            </c:dLbl>
            <c:dLbl>
              <c:idx val="1"/>
              <c:layout>
                <c:manualLayout>
                  <c:x val="-0.12275651556876037"/>
                  <c:y val="1.8067892375522022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093-4287-9F65-E889FD3AFB3A}"/>
                </c:ext>
              </c:extLst>
            </c:dLbl>
            <c:dLbl>
              <c:idx val="2"/>
              <c:layout>
                <c:manualLayout>
                  <c:x val="0.10007095925568761"/>
                  <c:y val="-6.2508888975085011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093-4287-9F65-E889FD3AFB3A}"/>
                </c:ext>
              </c:extLst>
            </c:dLbl>
            <c:dLbl>
              <c:idx val="3"/>
              <c:layout>
                <c:manualLayout>
                  <c:x val="6.9778099811738561E-2"/>
                  <c:y val="-0.25143290278370378"/>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093-4287-9F65-E889FD3AFB3A}"/>
                </c:ext>
              </c:extLst>
            </c:dLbl>
            <c:dLbl>
              <c:idx val="4"/>
              <c:layout>
                <c:manualLayout>
                  <c:x val="0.14307098387202075"/>
                  <c:y val="-0.20747352701601954"/>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093-4287-9F65-E889FD3AFB3A}"/>
                </c:ext>
              </c:extLst>
            </c:dLbl>
            <c:dLbl>
              <c:idx val="5"/>
              <c:layout>
                <c:manualLayout>
                  <c:x val="0.14804883452365791"/>
                  <c:y val="-8.6186855953350738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093-4287-9F65-E889FD3AFB3A}"/>
                </c:ext>
              </c:extLst>
            </c:dLbl>
            <c:dLbl>
              <c:idx val="6"/>
              <c:layout>
                <c:manualLayout>
                  <c:x val="0.18781512919828885"/>
                  <c:y val="2.1032931228424034E-3"/>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7093-4287-9F65-E889FD3AFB3A}"/>
                </c:ext>
              </c:extLst>
            </c:dLbl>
            <c:dLbl>
              <c:idx val="7"/>
              <c:layout>
                <c:manualLayout>
                  <c:x val="0.13108625456071082"/>
                  <c:y val="9.9243305793672187E-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7093-4287-9F65-E889FD3AFB3A}"/>
                </c:ext>
              </c:extLst>
            </c:dLbl>
            <c:dLbl>
              <c:idx val="8"/>
              <c:layout>
                <c:manualLayout>
                  <c:x val="1.5767510507428247E-2"/>
                  <c:y val="0.10011895064841017"/>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7093-4287-9F65-E889FD3AFB3A}"/>
                </c:ext>
              </c:extLst>
            </c:dLbl>
            <c:dLbl>
              <c:idx val="9"/>
              <c:layout>
                <c:manualLayout>
                  <c:x val="-0.19037366779249501"/>
                  <c:y val="0.12081138297352779"/>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7093-4287-9F65-E889FD3AFB3A}"/>
                </c:ext>
              </c:extLst>
            </c:dLbl>
            <c:dLbl>
              <c:idx val="10"/>
              <c:layout>
                <c:manualLayout>
                  <c:x val="-0.313601380227091"/>
                  <c:y val="0.10080033099310862"/>
                </c:manualLayout>
              </c:layou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7093-4287-9F65-E889FD3AFB3A}"/>
                </c:ext>
              </c:extLst>
            </c:dLbl>
            <c:dLbl>
              <c:idx val="11"/>
              <c:layout>
                <c:manualLayout>
                  <c:x val="-0.50306815834509744"/>
                  <c:y val="6.4912791073529458E-2"/>
                </c:manualLayout>
              </c:layout>
              <c:tx>
                <c:rich>
                  <a:bodyPr/>
                  <a:lstStyle/>
                  <a:p>
                    <a:fld id="{FDA5230B-34DF-4D94-A21F-C3C11691E60C}" type="CATEGORYNAME">
                      <a:rPr lang="en-US"/>
                      <a:pPr/>
                      <a:t>[NUME CATEGORIE]</a:t>
                    </a:fld>
                    <a:r>
                      <a:rPr lang="en-US" baseline="0"/>
                      <a:t>
</a:t>
                    </a:r>
                    <a:fld id="{4FAFBC62-6E09-4C28-BE9E-832748926168}" type="VALUE">
                      <a:rPr lang="en-US" baseline="0"/>
                      <a:pPr/>
                      <a:t>[VALOARE]</a:t>
                    </a:fld>
                    <a:endParaRPr lang="en-US" baseline="0"/>
                  </a:p>
                </c:rich>
              </c:tx>
              <c:showLegendKey val="1"/>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C-7093-4287-9F65-E889FD3AFB3A}"/>
                </c:ext>
              </c:extLst>
            </c:dLbl>
            <c:numFmt formatCode="#,##0.0000" sourceLinked="0"/>
            <c:spPr>
              <a:solidFill>
                <a:schemeClr val="bg1"/>
              </a:solidFill>
              <a:ln w="9525">
                <a:solidFill>
                  <a:schemeClr val="tx1"/>
                </a:solidFill>
              </a:ln>
            </c:spPr>
            <c:txPr>
              <a:bodyPr/>
              <a:lstStyle/>
              <a:p>
                <a:pPr>
                  <a:defRPr sz="1000" b="1" i="0" baseline="0"/>
                </a:pPr>
                <a:endParaRPr lang="en-US"/>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'acidif 2021'!$B$118:$B$129</c:f>
              <c:strCache>
                <c:ptCount val="12"/>
                <c:pt idx="0">
                  <c:v>Vaci de lapte</c:v>
                </c:pt>
                <c:pt idx="1">
                  <c:v> Alte bovine</c:v>
                </c:pt>
                <c:pt idx="2">
                  <c:v>Ovine</c:v>
                </c:pt>
                <c:pt idx="3">
                  <c:v>Porci</c:v>
                </c:pt>
                <c:pt idx="4">
                  <c:v>Bivoli</c:v>
                </c:pt>
                <c:pt idx="5">
                  <c:v>Capre</c:v>
                </c:pt>
                <c:pt idx="6">
                  <c:v>Cai</c:v>
                </c:pt>
                <c:pt idx="7">
                  <c:v>Găini</c:v>
                </c:pt>
                <c:pt idx="8">
                  <c:v>Pui</c:v>
                </c:pt>
                <c:pt idx="9">
                  <c:v>Curcani</c:v>
                </c:pt>
                <c:pt idx="10">
                  <c:v>Alți pui</c:v>
                </c:pt>
                <c:pt idx="11">
                  <c:v>Alte animale</c:v>
                </c:pt>
              </c:strCache>
            </c:strRef>
          </c:cat>
          <c:val>
            <c:numRef>
              <c:f>'acidif 2021'!$D$118:$D$129</c:f>
              <c:numCache>
                <c:formatCode>0.0000</c:formatCode>
                <c:ptCount val="12"/>
                <c:pt idx="0">
                  <c:v>45.090921412074671</c:v>
                </c:pt>
                <c:pt idx="1">
                  <c:v>8.881347256730086</c:v>
                </c:pt>
                <c:pt idx="2">
                  <c:v>19.887791324038769</c:v>
                </c:pt>
                <c:pt idx="3">
                  <c:v>10.241368828816732</c:v>
                </c:pt>
                <c:pt idx="4">
                  <c:v>0.10566797153206618</c:v>
                </c:pt>
                <c:pt idx="5">
                  <c:v>1.0501799834199139</c:v>
                </c:pt>
                <c:pt idx="6">
                  <c:v>3.520015001511009</c:v>
                </c:pt>
                <c:pt idx="7">
                  <c:v>3.4815845478454204</c:v>
                </c:pt>
                <c:pt idx="8">
                  <c:v>0.15025108403574178</c:v>
                </c:pt>
                <c:pt idx="9">
                  <c:v>0.16173604720017062</c:v>
                </c:pt>
                <c:pt idx="10">
                  <c:v>0.18363320224443871</c:v>
                </c:pt>
                <c:pt idx="11">
                  <c:v>1.4829485404619619E-3</c:v>
                </c:pt>
              </c:numCache>
            </c:numRef>
          </c:val>
          <c:extLst>
            <c:ext xmlns:c16="http://schemas.microsoft.com/office/drawing/2014/chart" uri="{C3380CC4-5D6E-409C-BE32-E72D297353CC}">
              <c16:uniqueId val="{0000000D-7093-4287-9F65-E889FD3AFB3A}"/>
            </c:ext>
          </c:extLst>
        </c:ser>
        <c:dLbls>
          <c:showLegendKey val="0"/>
          <c:showVal val="1"/>
          <c:showCatName val="1"/>
          <c:showSerName val="0"/>
          <c:showPercent val="0"/>
          <c:showBubbleSize val="0"/>
          <c:showLeaderLines val="1"/>
        </c:dLbls>
      </c:pie3DChart>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241829165300748"/>
          <c:y val="0.28969967122680423"/>
          <c:w val="0.71111958037355572"/>
          <c:h val="0.67288973924948614"/>
        </c:manualLayout>
      </c:layout>
      <c:pie3DChart>
        <c:varyColors val="1"/>
        <c:ser>
          <c:idx val="0"/>
          <c:order val="0"/>
          <c:tx>
            <c:strRef>
              <c:f>'precursori O3'!$B$128</c:f>
              <c:strCache>
                <c:ptCount val="1"/>
                <c:pt idx="0">
                  <c:v>NMVOC - Gg</c:v>
                </c:pt>
              </c:strCache>
            </c:strRef>
          </c:tx>
          <c:spPr>
            <a:scene3d>
              <a:camera prst="orthographicFront"/>
              <a:lightRig rig="threePt" dir="t"/>
            </a:scene3d>
            <a:sp3d>
              <a:bevelT/>
            </a:sp3d>
          </c:spPr>
          <c:explosion val="13"/>
          <c:dPt>
            <c:idx val="0"/>
            <c:bubble3D val="0"/>
            <c:explosion val="7"/>
            <c:extLst>
              <c:ext xmlns:c16="http://schemas.microsoft.com/office/drawing/2014/chart" uri="{C3380CC4-5D6E-409C-BE32-E72D297353CC}">
                <c16:uniqueId val="{00000001-90C6-4FE8-BEBB-5345FE882A62}"/>
              </c:ext>
            </c:extLst>
          </c:dPt>
          <c:dLbls>
            <c:dLbl>
              <c:idx val="0"/>
              <c:layout>
                <c:manualLayout>
                  <c:x val="-2.3126115553829651E-2"/>
                  <c:y val="5.939993223689094E-2"/>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0C6-4FE8-BEBB-5345FE882A62}"/>
                </c:ext>
              </c:extLst>
            </c:dLbl>
            <c:dLbl>
              <c:idx val="1"/>
              <c:layout>
                <c:manualLayout>
                  <c:x val="3.6750243558970955E-2"/>
                  <c:y val="-2.5822721068452865E-2"/>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90C6-4FE8-BEBB-5345FE882A62}"/>
                </c:ext>
              </c:extLst>
            </c:dLbl>
            <c:dLbl>
              <c:idx val="2"/>
              <c:layout>
                <c:manualLayout>
                  <c:x val="-8.7748117971396686E-2"/>
                  <c:y val="7.0945426769276315E-2"/>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0C6-4FE8-BEBB-5345FE882A62}"/>
                </c:ext>
              </c:extLst>
            </c:dLbl>
            <c:dLbl>
              <c:idx val="3"/>
              <c:layout>
                <c:manualLayout>
                  <c:x val="-0.16772609624294826"/>
                  <c:y val="2.9118255326074444E-2"/>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90C6-4FE8-BEBB-5345FE882A62}"/>
                </c:ext>
              </c:extLst>
            </c:dLbl>
            <c:dLbl>
              <c:idx val="4"/>
              <c:layout>
                <c:manualLayout>
                  <c:x val="-0.19041413633484267"/>
                  <c:y val="-6.7848934501575642E-2"/>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90C6-4FE8-BEBB-5345FE882A62}"/>
                </c:ext>
              </c:extLst>
            </c:dLbl>
            <c:dLbl>
              <c:idx val="5"/>
              <c:layout>
                <c:manualLayout>
                  <c:x val="-0.21486066922861219"/>
                  <c:y val="-0.18999493605421655"/>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90C6-4FE8-BEBB-5345FE882A62}"/>
                </c:ext>
              </c:extLst>
            </c:dLbl>
            <c:dLbl>
              <c:idx val="6"/>
              <c:layout>
                <c:manualLayout>
                  <c:x val="-0.10181429713448256"/>
                  <c:y val="-0.16969591557793895"/>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90C6-4FE8-BEBB-5345FE882A62}"/>
                </c:ext>
              </c:extLst>
            </c:dLbl>
            <c:dLbl>
              <c:idx val="7"/>
              <c:layout>
                <c:manualLayout>
                  <c:x val="-5.4778257936420771E-2"/>
                  <c:y val="-0.17882902066237319"/>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90C6-4FE8-BEBB-5345FE882A62}"/>
                </c:ext>
              </c:extLst>
            </c:dLbl>
            <c:dLbl>
              <c:idx val="8"/>
              <c:layout>
                <c:manualLayout>
                  <c:x val="8.3840092329777356E-3"/>
                  <c:y val="-0.18593555689510374"/>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90C6-4FE8-BEBB-5345FE882A62}"/>
                </c:ext>
              </c:extLst>
            </c:dLbl>
            <c:dLbl>
              <c:idx val="9"/>
              <c:layout>
                <c:manualLayout>
                  <c:x val="0.14096459049341298"/>
                  <c:y val="-0.19706262790999673"/>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A-90C6-4FE8-BEBB-5345FE882A62}"/>
                </c:ext>
              </c:extLst>
            </c:dLbl>
            <c:dLbl>
              <c:idx val="10"/>
              <c:layout>
                <c:manualLayout>
                  <c:x val="0.28039074715363027"/>
                  <c:y val="-0.12680052193232913"/>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90C6-4FE8-BEBB-5345FE882A62}"/>
                </c:ext>
              </c:extLst>
            </c:dLbl>
            <c:dLbl>
              <c:idx val="11"/>
              <c:layout>
                <c:manualLayout>
                  <c:x val="0.25202451282763694"/>
                  <c:y val="-9.4275586394147372E-3"/>
                </c:manualLayout>
              </c:layout>
              <c:showLegendKey val="1"/>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C-90C6-4FE8-BEBB-5345FE882A62}"/>
                </c:ext>
              </c:extLst>
            </c:dLbl>
            <c:numFmt formatCode="#,##0.000" sourceLinked="0"/>
            <c:spPr>
              <a:solidFill>
                <a:sysClr val="window" lastClr="FFFFFF"/>
              </a:solidFill>
              <a:ln>
                <a:solidFill>
                  <a:sysClr val="windowText" lastClr="000000"/>
                </a:solidFill>
              </a:ln>
            </c:spPr>
            <c:txPr>
              <a:bodyPr/>
              <a:lstStyle/>
              <a:p>
                <a:pPr>
                  <a:defRPr b="1"/>
                </a:pPr>
                <a:endParaRPr lang="en-US"/>
              </a:p>
            </c:txPr>
            <c:showLegendKey val="1"/>
            <c:showVal val="0"/>
            <c:showCatName val="1"/>
            <c:showSerName val="0"/>
            <c:showPercent val="1"/>
            <c:showBubbleSize val="0"/>
            <c:separator>
</c:separator>
            <c:showLeaderLines val="1"/>
            <c:extLst>
              <c:ext xmlns:c15="http://schemas.microsoft.com/office/drawing/2012/chart" uri="{CE6537A1-D6FC-4f65-9D91-7224C49458BB}"/>
            </c:extLst>
          </c:dLbls>
          <c:cat>
            <c:strRef>
              <c:f>'precursori O3'!$A$129:$A$140</c:f>
              <c:strCache>
                <c:ptCount val="12"/>
                <c:pt idx="0">
                  <c:v>Vaci de lapte</c:v>
                </c:pt>
                <c:pt idx="1">
                  <c:v> Alte bovine</c:v>
                </c:pt>
                <c:pt idx="2">
                  <c:v>Ovine</c:v>
                </c:pt>
                <c:pt idx="3">
                  <c:v>Porci</c:v>
                </c:pt>
                <c:pt idx="4">
                  <c:v>Bivoli</c:v>
                </c:pt>
                <c:pt idx="5">
                  <c:v>Capre</c:v>
                </c:pt>
                <c:pt idx="6">
                  <c:v>Cai</c:v>
                </c:pt>
                <c:pt idx="7">
                  <c:v>Găini</c:v>
                </c:pt>
                <c:pt idx="8">
                  <c:v>Pui</c:v>
                </c:pt>
                <c:pt idx="9">
                  <c:v>Curcani</c:v>
                </c:pt>
                <c:pt idx="10">
                  <c:v>Alți pui</c:v>
                </c:pt>
                <c:pt idx="11">
                  <c:v>Alte animale</c:v>
                </c:pt>
              </c:strCache>
            </c:strRef>
          </c:cat>
          <c:val>
            <c:numRef>
              <c:f>'precursori O3'!$B$129:$B$140</c:f>
              <c:numCache>
                <c:formatCode>#0.00000000000000</c:formatCode>
                <c:ptCount val="12"/>
                <c:pt idx="0">
                  <c:v>0.42906692400000002</c:v>
                </c:pt>
                <c:pt idx="1">
                  <c:v>0.123533646</c:v>
                </c:pt>
                <c:pt idx="2">
                  <c:v>7.6088000000000003E-2</c:v>
                </c:pt>
                <c:pt idx="3">
                  <c:v>2.7831999999999999E-2</c:v>
                </c:pt>
                <c:pt idx="4">
                  <c:v>1.3110000000000001E-3</c:v>
                </c:pt>
                <c:pt idx="5">
                  <c:v>1.2886E-2</c:v>
                </c:pt>
                <c:pt idx="6">
                  <c:v>3.3781199999999997E-2</c:v>
                </c:pt>
                <c:pt idx="7">
                  <c:v>3.8777499999999999E-2</c:v>
                </c:pt>
                <c:pt idx="8">
                  <c:v>5.9500000000000004E-4</c:v>
                </c:pt>
                <c:pt idx="9">
                  <c:v>2.7850000000000001E-3</c:v>
                </c:pt>
                <c:pt idx="10">
                  <c:v>4.3790000000000001E-3</c:v>
                </c:pt>
                <c:pt idx="11">
                  <c:v>4.561E-3</c:v>
                </c:pt>
              </c:numCache>
            </c:numRef>
          </c:val>
          <c:extLst>
            <c:ext xmlns:c16="http://schemas.microsoft.com/office/drawing/2014/chart" uri="{C3380CC4-5D6E-409C-BE32-E72D297353CC}">
              <c16:uniqueId val="{0000000D-90C6-4FE8-BEBB-5345FE882A62}"/>
            </c:ext>
          </c:extLst>
        </c:ser>
        <c:dLbls>
          <c:showLegendKey val="0"/>
          <c:showVal val="1"/>
          <c:showCatName val="1"/>
          <c:showSerName val="0"/>
          <c:showPercent val="0"/>
          <c:showBubbleSize val="0"/>
          <c:showLeaderLines val="1"/>
        </c:dLbls>
      </c:pie3DChart>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'particule precurs sec'!$F$123</c:f>
              <c:strCache>
                <c:ptCount val="1"/>
                <c:pt idx="0">
                  <c:v>PM10</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dLbls>
            <c:numFmt formatCode="#,##0.00" sourceLinked="0"/>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'particule precurs sec'!$B$124:$B$136</c:f>
              <c:strCache>
                <c:ptCount val="13"/>
                <c:pt idx="0">
                  <c:v>Vaci de lapte</c:v>
                </c:pt>
                <c:pt idx="1">
                  <c:v>Alte bovine</c:v>
                </c:pt>
                <c:pt idx="2">
                  <c:v>Ovine</c:v>
                </c:pt>
                <c:pt idx="3">
                  <c:v>Porci</c:v>
                </c:pt>
                <c:pt idx="4">
                  <c:v>Bivoli</c:v>
                </c:pt>
                <c:pt idx="5">
                  <c:v>Capre</c:v>
                </c:pt>
                <c:pt idx="6">
                  <c:v>Cai</c:v>
                </c:pt>
                <c:pt idx="7">
                  <c:v>Găini de ouă</c:v>
                </c:pt>
                <c:pt idx="8">
                  <c:v>Pui de carne</c:v>
                </c:pt>
                <c:pt idx="9">
                  <c:v>Curcani</c:v>
                </c:pt>
                <c:pt idx="10">
                  <c:v>Alte păsări</c:v>
                </c:pt>
                <c:pt idx="11">
                  <c:v>Animale de blană</c:v>
                </c:pt>
                <c:pt idx="12">
                  <c:v>Operațiuni agricole </c:v>
                </c:pt>
              </c:strCache>
            </c:strRef>
          </c:cat>
          <c:val>
            <c:numRef>
              <c:f>'particule precurs sec'!$F$124:$F$136</c:f>
              <c:numCache>
                <c:formatCode>0.000</c:formatCode>
                <c:ptCount val="13"/>
                <c:pt idx="0">
                  <c:v>29.612448213064436</c:v>
                </c:pt>
                <c:pt idx="1">
                  <c:v>7.7202963926001287</c:v>
                </c:pt>
                <c:pt idx="2">
                  <c:v>25.201599266957551</c:v>
                </c:pt>
                <c:pt idx="3">
                  <c:v>6.1152174130046175</c:v>
                </c:pt>
                <c:pt idx="4">
                  <c:v>9.142506582371511E-2</c:v>
                </c:pt>
                <c:pt idx="5">
                  <c:v>1.3303279986185486</c:v>
                </c:pt>
                <c:pt idx="6">
                  <c:v>1.5878108370608481</c:v>
                </c:pt>
                <c:pt idx="7">
                  <c:v>8.7702759572320996</c:v>
                </c:pt>
                <c:pt idx="8">
                  <c:v>0.61198819571792984</c:v>
                </c:pt>
                <c:pt idx="10">
                  <c:v>1.169867679009579</c:v>
                </c:pt>
                <c:pt idx="11">
                  <c:v>1.7725267863781504E-2</c:v>
                </c:pt>
                <c:pt idx="12">
                  <c:v>17.186083873541968</c:v>
                </c:pt>
              </c:numCache>
            </c:numRef>
          </c:val>
          <c:extLst>
            <c:ext xmlns:c16="http://schemas.microsoft.com/office/drawing/2014/chart" uri="{C3380CC4-5D6E-409C-BE32-E72D297353CC}">
              <c16:uniqueId val="{00000000-B441-4B3A-8210-DAB05E737AFF}"/>
            </c:ext>
          </c:extLst>
        </c:ser>
        <c:dLbls>
          <c:dLblPos val="outEnd"/>
          <c:showLegendKey val="0"/>
          <c:showVal val="1"/>
          <c:showCatName val="0"/>
          <c:showSerName val="0"/>
          <c:showPercent val="0"/>
          <c:showBubbleSize val="0"/>
        </c:dLbls>
        <c:gapWidth val="85"/>
        <c:axId val="80777600"/>
        <c:axId val="80779136"/>
      </c:barChart>
      <c:catAx>
        <c:axId val="80777600"/>
        <c:scaling>
          <c:orientation val="minMax"/>
        </c:scaling>
        <c:delete val="0"/>
        <c:axPos val="b"/>
        <c:numFmt formatCode="General" sourceLinked="0"/>
        <c:majorTickMark val="out"/>
        <c:minorTickMark val="none"/>
        <c:tickLblPos val="nextTo"/>
        <c:crossAx val="80779136"/>
        <c:crosses val="autoZero"/>
        <c:auto val="1"/>
        <c:lblAlgn val="ctr"/>
        <c:lblOffset val="100"/>
        <c:noMultiLvlLbl val="0"/>
      </c:catAx>
      <c:valAx>
        <c:axId val="80779136"/>
        <c:scaling>
          <c:orientation val="minMax"/>
        </c:scaling>
        <c:delete val="0"/>
        <c:axPos val="l"/>
        <c:majorGridlines>
          <c:spPr>
            <a:ln>
              <a:solidFill>
                <a:sysClr val="window" lastClr="FFFFFF">
                  <a:lumMod val="85000"/>
                </a:sysClr>
              </a:solidFill>
            </a:ln>
          </c:spPr>
        </c:majorGridlines>
        <c:numFmt formatCode="0.0" sourceLinked="0"/>
        <c:majorTickMark val="out"/>
        <c:minorTickMark val="none"/>
        <c:tickLblPos val="nextTo"/>
        <c:spPr>
          <a:ln>
            <a:solidFill>
              <a:schemeClr val="accent1"/>
            </a:solidFill>
          </a:ln>
        </c:spPr>
        <c:crossAx val="80777600"/>
        <c:crosses val="autoZero"/>
        <c:crossBetween val="between"/>
      </c:valAx>
    </c:plotArea>
    <c:plotVisOnly val="1"/>
    <c:dispBlanksAs val="gap"/>
    <c:showDLblsOverMax val="0"/>
  </c:chart>
  <c:spPr>
    <a:ln>
      <a:solidFill>
        <a:sysClr val="window" lastClr="FFFFFF">
          <a:lumMod val="85000"/>
        </a:sysClr>
      </a:solidFill>
    </a:ln>
  </c:spPr>
  <c:txPr>
    <a:bodyPr/>
    <a:lstStyle/>
    <a:p>
      <a:pPr algn="just">
        <a:defRPr b="1">
          <a:latin typeface="Arial Narrow"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'particule precurs sec'!$E$123</c:f>
              <c:strCache>
                <c:ptCount val="1"/>
                <c:pt idx="0">
                  <c:v>PM 2,5</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dLbls>
            <c:dLbl>
              <c:idx val="3"/>
              <c:layout>
                <c:manualLayout>
                  <c:x val="-4.7214353163361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38-4C47-877E-8648FDE0940F}"/>
                </c:ext>
              </c:extLst>
            </c:dLbl>
            <c:dLbl>
              <c:idx val="4"/>
              <c:layout>
                <c:manualLayout>
                  <c:x val="4.7214353163362094E-3"/>
                  <c:y val="-5.44959128065395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38-4C47-877E-8648FDE0940F}"/>
                </c:ext>
              </c:extLst>
            </c:dLbl>
            <c:dLbl>
              <c:idx val="6"/>
              <c:layout>
                <c:manualLayout>
                  <c:x val="-4.7214353163362527E-3"/>
                  <c:y val="-3.17892824704814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38-4C47-877E-8648FDE0940F}"/>
                </c:ext>
              </c:extLst>
            </c:dLbl>
            <c:dLbl>
              <c:idx val="7"/>
              <c:layout>
                <c:manualLayout>
                  <c:x val="1.4164305949008412E-2"/>
                  <c:y val="-3.17892824704813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38-4C47-877E-8648FDE0940F}"/>
                </c:ext>
              </c:extLst>
            </c:dLbl>
            <c:dLbl>
              <c:idx val="8"/>
              <c:layout>
                <c:manualLayout>
                  <c:x val="1.4164305949008499E-2"/>
                  <c:y val="4.54132606721162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38-4C47-877E-8648FDE0940F}"/>
                </c:ext>
              </c:extLst>
            </c:dLbl>
            <c:dLbl>
              <c:idx val="10"/>
              <c:layout>
                <c:manualLayout>
                  <c:x val="-2.8328611898016911E-2"/>
                  <c:y val="1.81653042688465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38-4C47-877E-8648FDE0940F}"/>
                </c:ext>
              </c:extLst>
            </c:dLbl>
            <c:dLbl>
              <c:idx val="12"/>
              <c:layout>
                <c:manualLayout>
                  <c:x val="-1.7311729506656081E-16"/>
                  <c:y val="-4.08719346049046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38-4C47-877E-8648FDE0940F}"/>
                </c:ext>
              </c:extLst>
            </c:dLbl>
            <c:numFmt formatCode="#,##0.00" sourceLinked="0"/>
            <c:spPr>
              <a:noFill/>
              <a:ln>
                <a:noFill/>
              </a:ln>
              <a:effectLst/>
            </c:spPr>
            <c:txPr>
              <a:bodyPr wrap="square" lIns="38100" tIns="19050" rIns="38100" bIns="19050" anchor="ctr">
                <a:spAutoFit/>
              </a:bodyPr>
              <a:lstStyle/>
              <a:p>
                <a:pPr>
                  <a:defRPr sz="9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'particule precurs sec'!$B$124:$B$136</c:f>
              <c:strCache>
                <c:ptCount val="13"/>
                <c:pt idx="0">
                  <c:v>Vaci de lapte</c:v>
                </c:pt>
                <c:pt idx="1">
                  <c:v>Alte bovine</c:v>
                </c:pt>
                <c:pt idx="2">
                  <c:v>Ovine</c:v>
                </c:pt>
                <c:pt idx="3">
                  <c:v>Porci</c:v>
                </c:pt>
                <c:pt idx="4">
                  <c:v>Bivoli</c:v>
                </c:pt>
                <c:pt idx="5">
                  <c:v>Capre</c:v>
                </c:pt>
                <c:pt idx="6">
                  <c:v>Cai</c:v>
                </c:pt>
                <c:pt idx="7">
                  <c:v>Găini de ouă</c:v>
                </c:pt>
                <c:pt idx="8">
                  <c:v>Pui de carne</c:v>
                </c:pt>
                <c:pt idx="9">
                  <c:v>Curcani</c:v>
                </c:pt>
                <c:pt idx="10">
                  <c:v>Alte păsări</c:v>
                </c:pt>
                <c:pt idx="11">
                  <c:v>Animale de blană</c:v>
                </c:pt>
                <c:pt idx="12">
                  <c:v>Operațiuni agricole </c:v>
                </c:pt>
              </c:strCache>
            </c:strRef>
          </c:cat>
          <c:val>
            <c:numRef>
              <c:f>'particule precurs sec'!$E$124:$E$136</c:f>
              <c:numCache>
                <c:formatCode>0.000</c:formatCode>
                <c:ptCount val="13"/>
                <c:pt idx="0">
                  <c:v>53.1427057286039</c:v>
                </c:pt>
                <c:pt idx="1">
                  <c:v>14.191697794791056</c:v>
                </c:pt>
                <c:pt idx="2">
                  <c:v>23.166013233311723</c:v>
                </c:pt>
                <c:pt idx="3">
                  <c:v>0.7383282396402514</c:v>
                </c:pt>
                <c:pt idx="4">
                  <c:v>0.16978976939462229</c:v>
                </c:pt>
                <c:pt idx="5">
                  <c:v>1.2219718251885694</c:v>
                </c:pt>
                <c:pt idx="6">
                  <c:v>2.7860957614299378</c:v>
                </c:pt>
                <c:pt idx="7">
                  <c:v>1.8149497319379699</c:v>
                </c:pt>
                <c:pt idx="8">
                  <c:v>0.16876074048920031</c:v>
                </c:pt>
                <c:pt idx="10">
                  <c:v>0.46049043517632399</c:v>
                </c:pt>
                <c:pt idx="11">
                  <c:v>2.3153150371993943E-2</c:v>
                </c:pt>
                <c:pt idx="12">
                  <c:v>1.8227703516191767</c:v>
                </c:pt>
              </c:numCache>
            </c:numRef>
          </c:val>
          <c:extLst>
            <c:ext xmlns:c16="http://schemas.microsoft.com/office/drawing/2014/chart" uri="{C3380CC4-5D6E-409C-BE32-E72D297353CC}">
              <c16:uniqueId val="{00000000-FE38-4C47-877E-8648FDE0940F}"/>
            </c:ext>
          </c:extLst>
        </c:ser>
        <c:dLbls>
          <c:dLblPos val="outEnd"/>
          <c:showLegendKey val="0"/>
          <c:showVal val="1"/>
          <c:showCatName val="0"/>
          <c:showSerName val="0"/>
          <c:showPercent val="0"/>
          <c:showBubbleSize val="0"/>
        </c:dLbls>
        <c:gapWidth val="97"/>
        <c:axId val="80807040"/>
        <c:axId val="80808576"/>
      </c:barChart>
      <c:catAx>
        <c:axId val="80807040"/>
        <c:scaling>
          <c:orientation val="minMax"/>
        </c:scaling>
        <c:delete val="0"/>
        <c:axPos val="b"/>
        <c:numFmt formatCode="General" sourceLinked="1"/>
        <c:majorTickMark val="out"/>
        <c:minorTickMark val="none"/>
        <c:tickLblPos val="nextTo"/>
        <c:crossAx val="80808576"/>
        <c:crosses val="autoZero"/>
        <c:auto val="1"/>
        <c:lblAlgn val="ctr"/>
        <c:lblOffset val="100"/>
        <c:noMultiLvlLbl val="0"/>
      </c:catAx>
      <c:valAx>
        <c:axId val="80808576"/>
        <c:scaling>
          <c:orientation val="minMax"/>
        </c:scaling>
        <c:delete val="0"/>
        <c:axPos val="l"/>
        <c:majorGridlines>
          <c:spPr>
            <a:ln>
              <a:solidFill>
                <a:sysClr val="window" lastClr="FFFFFF">
                  <a:lumMod val="85000"/>
                </a:sysClr>
              </a:solidFill>
            </a:ln>
          </c:spPr>
        </c:majorGridlines>
        <c:numFmt formatCode="0.0" sourceLinked="0"/>
        <c:majorTickMark val="out"/>
        <c:minorTickMark val="none"/>
        <c:tickLblPos val="nextTo"/>
        <c:crossAx val="80807040"/>
        <c:crosses val="autoZero"/>
        <c:crossBetween val="between"/>
      </c:valAx>
    </c:plotArea>
    <c:plotVisOnly val="1"/>
    <c:dispBlanksAs val="gap"/>
    <c:showDLblsOverMax val="0"/>
  </c:chart>
  <c:spPr>
    <a:ln>
      <a:solidFill>
        <a:sysClr val="window" lastClr="FFFFFF">
          <a:lumMod val="85000"/>
        </a:sysClr>
      </a:solidFill>
    </a:ln>
  </c:spPr>
  <c:txPr>
    <a:bodyPr/>
    <a:lstStyle/>
    <a:p>
      <a:pPr>
        <a:defRPr b="1">
          <a:latin typeface="Arial Narrow" pitchFamily="34"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31192418265897"/>
          <c:y val="6.577240509509176E-2"/>
          <c:w val="0.81032682428728808"/>
          <c:h val="0.7048702024160638"/>
        </c:manualLayout>
      </c:layout>
      <c:barChart>
        <c:barDir val="col"/>
        <c:grouping val="clustered"/>
        <c:varyColors val="0"/>
        <c:ser>
          <c:idx val="0"/>
          <c:order val="0"/>
          <c:tx>
            <c:strRef>
              <c:f>acidif!$C$2</c:f>
              <c:strCache>
                <c:ptCount val="1"/>
                <c:pt idx="0">
                  <c:v>NH3 - Gg</c:v>
                </c:pt>
              </c:strCache>
            </c:strRef>
          </c:tx>
          <c:spPr>
            <a:solidFill>
              <a:srgbClr val="4F81BD"/>
            </a:solidFill>
            <a:scene3d>
              <a:camera prst="orthographicFront"/>
              <a:lightRig rig="threePt" dir="t"/>
            </a:scene3d>
            <a:sp3d>
              <a:bevelT/>
            </a:sp3d>
          </c:spPr>
          <c:invertIfNegative val="0"/>
          <c:trendline>
            <c:spPr>
              <a:ln w="19050">
                <a:solidFill>
                  <a:schemeClr val="tx2">
                    <a:lumMod val="60000"/>
                    <a:lumOff val="40000"/>
                  </a:schemeClr>
                </a:solidFill>
                <a:prstDash val="dash"/>
              </a:ln>
            </c:spPr>
            <c:trendlineType val="linear"/>
            <c:dispRSqr val="0"/>
            <c:dispEq val="0"/>
          </c:trendline>
          <c:cat>
            <c:numRef>
              <c:f>(acidif!$B$5:$B$9,acidif!$B$10,acidif!$B$11)</c:f>
              <c:numCache>
                <c:formatCode>General</c:formatCode>
                <c:ptCount val="7"/>
                <c:pt idx="0">
                  <c:v>2015</c:v>
                </c:pt>
                <c:pt idx="1">
                  <c:v>2016</c:v>
                </c:pt>
                <c:pt idx="2">
                  <c:v>2017</c:v>
                </c:pt>
                <c:pt idx="3">
                  <c:v>2018</c:v>
                </c:pt>
                <c:pt idx="4">
                  <c:v>2019</c:v>
                </c:pt>
                <c:pt idx="5">
                  <c:v>2020</c:v>
                </c:pt>
                <c:pt idx="6">
                  <c:v>2021</c:v>
                </c:pt>
              </c:numCache>
            </c:numRef>
          </c:cat>
          <c:val>
            <c:numRef>
              <c:f>(acidif!$C$5:$C$9,acidif!$C$10,acidif!$C$11)</c:f>
              <c:numCache>
                <c:formatCode>0.000</c:formatCode>
                <c:ptCount val="7"/>
                <c:pt idx="0">
                  <c:v>3.7752812987869193</c:v>
                </c:pt>
                <c:pt idx="1">
                  <c:v>3.8542727425458101</c:v>
                </c:pt>
                <c:pt idx="2">
                  <c:v>3.1458208178013747</c:v>
                </c:pt>
                <c:pt idx="3" formatCode="0.0000">
                  <c:v>3.0195221768099225</c:v>
                </c:pt>
                <c:pt idx="4" formatCode="General">
                  <c:v>3.9379438342556639</c:v>
                </c:pt>
                <c:pt idx="5" formatCode="General">
                  <c:v>3.0358248558645111</c:v>
                </c:pt>
                <c:pt idx="6" formatCode="General">
                  <c:v>3.1693614928376914</c:v>
                </c:pt>
              </c:numCache>
            </c:numRef>
          </c:val>
          <c:extLst>
            <c:ext xmlns:c16="http://schemas.microsoft.com/office/drawing/2014/chart" uri="{C3380CC4-5D6E-409C-BE32-E72D297353CC}">
              <c16:uniqueId val="{00000000-8356-408A-B71E-6E0D0B553331}"/>
            </c:ext>
          </c:extLst>
        </c:ser>
        <c:ser>
          <c:idx val="1"/>
          <c:order val="1"/>
          <c:tx>
            <c:strRef>
              <c:f>acidif!$D$2</c:f>
              <c:strCache>
                <c:ptCount val="1"/>
                <c:pt idx="0">
                  <c:v>NOX - Gg</c:v>
                </c:pt>
              </c:strCache>
            </c:strRef>
          </c:tx>
          <c:spPr>
            <a:solidFill>
              <a:srgbClr val="C00000"/>
            </a:solidFill>
            <a:scene3d>
              <a:camera prst="orthographicFront"/>
              <a:lightRig rig="threePt" dir="t"/>
            </a:scene3d>
            <a:sp3d>
              <a:bevelT/>
            </a:sp3d>
          </c:spPr>
          <c:invertIfNegative val="0"/>
          <c:trendline>
            <c:spPr>
              <a:ln w="22225">
                <a:solidFill>
                  <a:srgbClr val="C00000"/>
                </a:solidFill>
                <a:prstDash val="lgDash"/>
              </a:ln>
            </c:spPr>
            <c:trendlineType val="linear"/>
            <c:dispRSqr val="0"/>
            <c:dispEq val="0"/>
          </c:trendline>
          <c:cat>
            <c:numRef>
              <c:f>(acidif!$B$5:$B$9,acidif!$B$10,acidif!$B$11)</c:f>
              <c:numCache>
                <c:formatCode>General</c:formatCode>
                <c:ptCount val="7"/>
                <c:pt idx="0">
                  <c:v>2015</c:v>
                </c:pt>
                <c:pt idx="1">
                  <c:v>2016</c:v>
                </c:pt>
                <c:pt idx="2">
                  <c:v>2017</c:v>
                </c:pt>
                <c:pt idx="3">
                  <c:v>2018</c:v>
                </c:pt>
                <c:pt idx="4">
                  <c:v>2019</c:v>
                </c:pt>
                <c:pt idx="5">
                  <c:v>2020</c:v>
                </c:pt>
                <c:pt idx="6">
                  <c:v>2021</c:v>
                </c:pt>
              </c:numCache>
            </c:numRef>
          </c:cat>
          <c:val>
            <c:numRef>
              <c:f>(acidif!$D$5:$D$9,acidif!$D$10,acidif!$D$11)</c:f>
              <c:numCache>
                <c:formatCode>0.000</c:formatCode>
                <c:ptCount val="7"/>
                <c:pt idx="0">
                  <c:v>2.1497451707965252</c:v>
                </c:pt>
                <c:pt idx="1">
                  <c:v>2.2223695502236538</c:v>
                </c:pt>
                <c:pt idx="2">
                  <c:v>2.8924974229245457</c:v>
                </c:pt>
                <c:pt idx="3" formatCode="0.0000">
                  <c:v>2.8437402799048703</c:v>
                </c:pt>
                <c:pt idx="4" formatCode="General">
                  <c:v>1.9656645769108856</c:v>
                </c:pt>
                <c:pt idx="5" formatCode="0.0000000000000">
                  <c:v>2.2902613885044385</c:v>
                </c:pt>
                <c:pt idx="6" formatCode="General">
                  <c:v>1.9353416663404663</c:v>
                </c:pt>
              </c:numCache>
            </c:numRef>
          </c:val>
          <c:extLst>
            <c:ext xmlns:c16="http://schemas.microsoft.com/office/drawing/2014/chart" uri="{C3380CC4-5D6E-409C-BE32-E72D297353CC}">
              <c16:uniqueId val="{00000001-8356-408A-B71E-6E0D0B553331}"/>
            </c:ext>
          </c:extLst>
        </c:ser>
        <c:ser>
          <c:idx val="2"/>
          <c:order val="2"/>
          <c:tx>
            <c:strRef>
              <c:f>acidif!$F$2</c:f>
              <c:strCache>
                <c:ptCount val="1"/>
                <c:pt idx="0">
                  <c:v>Echivalent acidifiere</c:v>
                </c:pt>
              </c:strCache>
            </c:strRef>
          </c:tx>
          <c:spPr>
            <a:solidFill>
              <a:srgbClr val="EBDF99"/>
            </a:solidFill>
            <a:scene3d>
              <a:camera prst="orthographicFront"/>
              <a:lightRig rig="threePt" dir="t"/>
            </a:scene3d>
            <a:sp3d>
              <a:bevelT/>
            </a:sp3d>
          </c:spPr>
          <c:invertIfNegative val="0"/>
          <c:trendline>
            <c:spPr>
              <a:ln w="19050">
                <a:solidFill>
                  <a:srgbClr val="EBDF99"/>
                </a:solidFill>
                <a:prstDash val="lgDash"/>
              </a:ln>
            </c:spPr>
            <c:trendlineType val="linear"/>
            <c:dispRSqr val="0"/>
            <c:dispEq val="0"/>
          </c:trendline>
          <c:cat>
            <c:numRef>
              <c:f>(acidif!$B$5:$B$9,acidif!$B$10,acidif!$B$11)</c:f>
              <c:numCache>
                <c:formatCode>General</c:formatCode>
                <c:ptCount val="7"/>
                <c:pt idx="0">
                  <c:v>2015</c:v>
                </c:pt>
                <c:pt idx="1">
                  <c:v>2016</c:v>
                </c:pt>
                <c:pt idx="2">
                  <c:v>2017</c:v>
                </c:pt>
                <c:pt idx="3">
                  <c:v>2018</c:v>
                </c:pt>
                <c:pt idx="4">
                  <c:v>2019</c:v>
                </c:pt>
                <c:pt idx="5">
                  <c:v>2020</c:v>
                </c:pt>
                <c:pt idx="6">
                  <c:v>2021</c:v>
                </c:pt>
              </c:numCache>
            </c:numRef>
          </c:cat>
          <c:val>
            <c:numRef>
              <c:f>(acidif!$F$5:$F$9,acidif!$F$10,acidif!$F$11)</c:f>
              <c:numCache>
                <c:formatCode>0.000</c:formatCode>
                <c:ptCount val="7"/>
                <c:pt idx="0">
                  <c:v>0.2659855866370755</c:v>
                </c:pt>
                <c:pt idx="1">
                  <c:v>0.27215691073316528</c:v>
                </c:pt>
                <c:pt idx="2">
                  <c:v>0.24448941797675508</c:v>
                </c:pt>
                <c:pt idx="3" formatCode="0.0000">
                  <c:v>0.23604833971132744</c:v>
                </c:pt>
                <c:pt idx="4" formatCode="0.0000">
                  <c:v>0.27076576556650328</c:v>
                </c:pt>
                <c:pt idx="5" formatCode="0.0000">
                  <c:v>0.22426007631933487</c:v>
                </c:pt>
                <c:pt idx="6" formatCode="0.0000">
                  <c:v>0.22451719424193589</c:v>
                </c:pt>
              </c:numCache>
            </c:numRef>
          </c:val>
          <c:extLst>
            <c:ext xmlns:c16="http://schemas.microsoft.com/office/drawing/2014/chart" uri="{C3380CC4-5D6E-409C-BE32-E72D297353CC}">
              <c16:uniqueId val="{00000002-8356-408A-B71E-6E0D0B553331}"/>
            </c:ext>
          </c:extLst>
        </c:ser>
        <c:dLbls>
          <c:showLegendKey val="0"/>
          <c:showVal val="0"/>
          <c:showCatName val="0"/>
          <c:showSerName val="0"/>
          <c:showPercent val="0"/>
          <c:showBubbleSize val="0"/>
        </c:dLbls>
        <c:gapWidth val="28"/>
        <c:overlap val="-50"/>
        <c:axId val="128645376"/>
        <c:axId val="128331776"/>
      </c:barChart>
      <c:catAx>
        <c:axId val="128645376"/>
        <c:scaling>
          <c:orientation val="minMax"/>
        </c:scaling>
        <c:delete val="0"/>
        <c:axPos val="b"/>
        <c:numFmt formatCode="General" sourceLinked="1"/>
        <c:majorTickMark val="out"/>
        <c:minorTickMark val="none"/>
        <c:tickLblPos val="nextTo"/>
        <c:txPr>
          <a:bodyPr/>
          <a:lstStyle/>
          <a:p>
            <a:pPr>
              <a:defRPr b="1"/>
            </a:pPr>
            <a:endParaRPr lang="en-US"/>
          </a:p>
        </c:txPr>
        <c:crossAx val="128331776"/>
        <c:crosses val="autoZero"/>
        <c:auto val="1"/>
        <c:lblAlgn val="ctr"/>
        <c:lblOffset val="100"/>
        <c:noMultiLvlLbl val="0"/>
      </c:catAx>
      <c:valAx>
        <c:axId val="128331776"/>
        <c:scaling>
          <c:orientation val="minMax"/>
        </c:scaling>
        <c:delete val="0"/>
        <c:axPos val="l"/>
        <c:majorGridlines>
          <c:spPr>
            <a:ln>
              <a:solidFill>
                <a:schemeClr val="bg1">
                  <a:lumMod val="85000"/>
                </a:schemeClr>
              </a:solidFill>
            </a:ln>
          </c:spPr>
        </c:majorGridlines>
        <c:numFmt formatCode="0.000" sourceLinked="1"/>
        <c:majorTickMark val="out"/>
        <c:minorTickMark val="none"/>
        <c:tickLblPos val="nextTo"/>
        <c:txPr>
          <a:bodyPr/>
          <a:lstStyle/>
          <a:p>
            <a:pPr>
              <a:defRPr sz="800"/>
            </a:pPr>
            <a:endParaRPr lang="en-US"/>
          </a:p>
        </c:txPr>
        <c:crossAx val="128645376"/>
        <c:crosses val="autoZero"/>
        <c:crossBetween val="between"/>
      </c:valAx>
    </c:plotArea>
    <c:legend>
      <c:legendPos val="b"/>
      <c:legendEntry>
        <c:idx val="3"/>
        <c:delete val="1"/>
      </c:legendEntry>
      <c:legendEntry>
        <c:idx val="4"/>
        <c:delete val="1"/>
      </c:legendEntry>
      <c:legendEntry>
        <c:idx val="5"/>
        <c:delete val="1"/>
      </c:legendEntry>
      <c:layout>
        <c:manualLayout>
          <c:xMode val="edge"/>
          <c:yMode val="edge"/>
          <c:x val="2.6990436807552858E-2"/>
          <c:y val="0.86421880203280876"/>
          <c:w val="0.93455887616697475"/>
          <c:h val="0.11638013851806255"/>
        </c:manualLayout>
      </c:layout>
      <c:overlay val="0"/>
      <c:txPr>
        <a:bodyPr/>
        <a:lstStyle/>
        <a:p>
          <a:pPr>
            <a:defRPr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64214812654591"/>
          <c:y val="5.0091074681238613E-2"/>
          <c:w val="0.71791203568689721"/>
          <c:h val="0.72140506002323468"/>
        </c:manualLayout>
      </c:layout>
      <c:barChart>
        <c:barDir val="col"/>
        <c:grouping val="clustered"/>
        <c:varyColors val="0"/>
        <c:ser>
          <c:idx val="0"/>
          <c:order val="0"/>
          <c:tx>
            <c:strRef>
              <c:f>acidif!$E$13</c:f>
              <c:strCache>
                <c:ptCount val="1"/>
                <c:pt idx="0">
                  <c:v>SO2 - Mg</c:v>
                </c:pt>
              </c:strCache>
            </c:strRef>
          </c:tx>
          <c:spPr>
            <a:solidFill>
              <a:srgbClr val="00B050"/>
            </a:solidFill>
            <a:ln>
              <a:noFill/>
            </a:ln>
            <a:effectLst/>
            <a:scene3d>
              <a:camera prst="orthographicFront"/>
              <a:lightRig rig="threePt" dir="t"/>
            </a:scene3d>
            <a:sp3d>
              <a:bevelT/>
            </a:sp3d>
          </c:spPr>
          <c:invertIfNegative val="0"/>
          <c:cat>
            <c:numRef>
              <c:f>acidif!$B$14:$B$15</c:f>
              <c:numCache>
                <c:formatCode>General</c:formatCode>
                <c:ptCount val="2"/>
                <c:pt idx="0">
                  <c:v>2020</c:v>
                </c:pt>
                <c:pt idx="1">
                  <c:v>2021</c:v>
                </c:pt>
              </c:numCache>
            </c:numRef>
          </c:cat>
          <c:val>
            <c:numRef>
              <c:f>acidif!$E$14:$E$15</c:f>
              <c:numCache>
                <c:formatCode>General</c:formatCode>
                <c:ptCount val="2"/>
                <c:pt idx="0">
                  <c:v>2.7982426</c:v>
                </c:pt>
                <c:pt idx="1">
                  <c:v>1.6791182</c:v>
                </c:pt>
              </c:numCache>
            </c:numRef>
          </c:val>
          <c:extLst>
            <c:ext xmlns:c16="http://schemas.microsoft.com/office/drawing/2014/chart" uri="{C3380CC4-5D6E-409C-BE32-E72D297353CC}">
              <c16:uniqueId val="{00000000-AA07-4469-A8E9-84E49F4484EC}"/>
            </c:ext>
          </c:extLst>
        </c:ser>
        <c:ser>
          <c:idx val="1"/>
          <c:order val="1"/>
          <c:tx>
            <c:strRef>
              <c:f>acidif!$G$13</c:f>
              <c:strCache>
                <c:ptCount val="1"/>
                <c:pt idx="0">
                  <c:v>SOX - Gg</c:v>
                </c:pt>
              </c:strCache>
            </c:strRef>
          </c:tx>
          <c:spPr>
            <a:solidFill>
              <a:srgbClr val="7030A0"/>
            </a:solidFill>
            <a:ln>
              <a:noFill/>
            </a:ln>
            <a:effectLst/>
            <a:scene3d>
              <a:camera prst="orthographicFront"/>
              <a:lightRig rig="threePt" dir="t"/>
            </a:scene3d>
            <a:sp3d>
              <a:bevelT/>
            </a:sp3d>
          </c:spPr>
          <c:invertIfNegative val="0"/>
          <c:cat>
            <c:numRef>
              <c:f>acidif!$B$14:$B$15</c:f>
              <c:numCache>
                <c:formatCode>General</c:formatCode>
                <c:ptCount val="2"/>
                <c:pt idx="0">
                  <c:v>2020</c:v>
                </c:pt>
                <c:pt idx="1">
                  <c:v>2021</c:v>
                </c:pt>
              </c:numCache>
            </c:numRef>
          </c:cat>
          <c:val>
            <c:numRef>
              <c:f>acidif!$G$14:$G$15</c:f>
              <c:numCache>
                <c:formatCode>0.0000</c:formatCode>
                <c:ptCount val="2"/>
                <c:pt idx="0">
                  <c:v>2.01866772217112</c:v>
                </c:pt>
                <c:pt idx="1">
                  <c:v>3.01866772217112</c:v>
                </c:pt>
              </c:numCache>
            </c:numRef>
          </c:val>
          <c:extLst>
            <c:ext xmlns:c16="http://schemas.microsoft.com/office/drawing/2014/chart" uri="{C3380CC4-5D6E-409C-BE32-E72D297353CC}">
              <c16:uniqueId val="{00000001-AA07-4469-A8E9-84E49F4484EC}"/>
            </c:ext>
          </c:extLst>
        </c:ser>
        <c:dLbls>
          <c:showLegendKey val="0"/>
          <c:showVal val="0"/>
          <c:showCatName val="0"/>
          <c:showSerName val="0"/>
          <c:showPercent val="0"/>
          <c:showBubbleSize val="0"/>
        </c:dLbls>
        <c:gapWidth val="219"/>
        <c:overlap val="-27"/>
        <c:axId val="965250144"/>
        <c:axId val="965242240"/>
      </c:barChart>
      <c:catAx>
        <c:axId val="9652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5242240"/>
        <c:crosses val="autoZero"/>
        <c:auto val="1"/>
        <c:lblAlgn val="ctr"/>
        <c:lblOffset val="100"/>
        <c:noMultiLvlLbl val="0"/>
      </c:catAx>
      <c:valAx>
        <c:axId val="965242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5250144"/>
        <c:crosses val="autoZero"/>
        <c:crossBetween val="between"/>
      </c:valAx>
      <c:spPr>
        <a:noFill/>
        <a:ln>
          <a:noFill/>
        </a:ln>
        <a:effectLst/>
      </c:spPr>
    </c:plotArea>
    <c:legend>
      <c:legendPos val="b"/>
      <c:layout>
        <c:manualLayout>
          <c:xMode val="edge"/>
          <c:yMode val="edge"/>
          <c:x val="0.05"/>
          <c:y val="0.87425921145102781"/>
          <c:w val="0.9"/>
          <c:h val="8.020344792966452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b="1">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acidif!$C$181</c:f>
              <c:strCache>
                <c:ptCount val="1"/>
                <c:pt idx="0">
                  <c:v>NH3 - Gg</c:v>
                </c:pt>
              </c:strCache>
            </c:strRef>
          </c:tx>
          <c:spPr>
            <a:solidFill>
              <a:srgbClr val="4F81BD"/>
            </a:solidFill>
            <a:scene3d>
              <a:camera prst="orthographicFront"/>
              <a:lightRig rig="threePt" dir="t"/>
            </a:scene3d>
            <a:sp3d>
              <a:bevelT/>
            </a:sp3d>
          </c:spPr>
          <c:invertIfNegative val="0"/>
          <c:cat>
            <c:numRef>
              <c:f>acidif!$B$186:$B$191</c:f>
              <c:numCache>
                <c:formatCode>General</c:formatCode>
                <c:ptCount val="6"/>
                <c:pt idx="0">
                  <c:v>2016</c:v>
                </c:pt>
                <c:pt idx="1">
                  <c:v>2017</c:v>
                </c:pt>
                <c:pt idx="2">
                  <c:v>2018</c:v>
                </c:pt>
                <c:pt idx="3">
                  <c:v>2019</c:v>
                </c:pt>
                <c:pt idx="4">
                  <c:v>2020</c:v>
                </c:pt>
                <c:pt idx="5">
                  <c:v>2021</c:v>
                </c:pt>
              </c:numCache>
            </c:numRef>
          </c:cat>
          <c:val>
            <c:numRef>
              <c:f>acidif!$C$186:$C$191</c:f>
              <c:numCache>
                <c:formatCode>0.0000</c:formatCode>
                <c:ptCount val="6"/>
                <c:pt idx="0">
                  <c:v>0.36476557077846089</c:v>
                </c:pt>
                <c:pt idx="1">
                  <c:v>0.25254609946140549</c:v>
                </c:pt>
                <c:pt idx="2">
                  <c:v>0.22142278994112244</c:v>
                </c:pt>
                <c:pt idx="3">
                  <c:v>0.20801855211706466</c:v>
                </c:pt>
                <c:pt idx="4">
                  <c:v>0.15562325606751118</c:v>
                </c:pt>
                <c:pt idx="5">
                  <c:v>0.21258239915269111</c:v>
                </c:pt>
              </c:numCache>
            </c:numRef>
          </c:val>
          <c:extLst>
            <c:ext xmlns:c16="http://schemas.microsoft.com/office/drawing/2014/chart" uri="{C3380CC4-5D6E-409C-BE32-E72D297353CC}">
              <c16:uniqueId val="{00000000-2B0F-49C2-A7CE-6869614623E8}"/>
            </c:ext>
          </c:extLst>
        </c:ser>
        <c:ser>
          <c:idx val="2"/>
          <c:order val="1"/>
          <c:tx>
            <c:strRef>
              <c:f>acidif!$D$181</c:f>
              <c:strCache>
                <c:ptCount val="1"/>
                <c:pt idx="0">
                  <c:v>NOX - Gg</c:v>
                </c:pt>
              </c:strCache>
            </c:strRef>
          </c:tx>
          <c:spPr>
            <a:solidFill>
              <a:srgbClr val="C00000"/>
            </a:solidFill>
            <a:scene3d>
              <a:camera prst="orthographicFront"/>
              <a:lightRig rig="threePt" dir="t"/>
            </a:scene3d>
            <a:sp3d>
              <a:bevelT/>
            </a:sp3d>
          </c:spPr>
          <c:invertIfNegative val="0"/>
          <c:cat>
            <c:numRef>
              <c:f>acidif!$B$186:$B$191</c:f>
              <c:numCache>
                <c:formatCode>General</c:formatCode>
                <c:ptCount val="6"/>
                <c:pt idx="0">
                  <c:v>2016</c:v>
                </c:pt>
                <c:pt idx="1">
                  <c:v>2017</c:v>
                </c:pt>
                <c:pt idx="2">
                  <c:v>2018</c:v>
                </c:pt>
                <c:pt idx="3">
                  <c:v>2019</c:v>
                </c:pt>
                <c:pt idx="4">
                  <c:v>2020</c:v>
                </c:pt>
                <c:pt idx="5">
                  <c:v>2021</c:v>
                </c:pt>
              </c:numCache>
            </c:numRef>
          </c:cat>
          <c:val>
            <c:numRef>
              <c:f>acidif!$D$186:$D$191</c:f>
              <c:numCache>
                <c:formatCode>0.0000</c:formatCode>
                <c:ptCount val="6"/>
                <c:pt idx="0">
                  <c:v>0.42793761854022128</c:v>
                </c:pt>
                <c:pt idx="1">
                  <c:v>0.61867930346663746</c:v>
                </c:pt>
                <c:pt idx="2">
                  <c:v>0.83268369219527028</c:v>
                </c:pt>
                <c:pt idx="3">
                  <c:v>0.3274651283334854</c:v>
                </c:pt>
                <c:pt idx="4">
                  <c:v>0.28898107128593858</c:v>
                </c:pt>
                <c:pt idx="5">
                  <c:v>0.3134253429923663</c:v>
                </c:pt>
              </c:numCache>
            </c:numRef>
          </c:val>
          <c:extLst>
            <c:ext xmlns:c16="http://schemas.microsoft.com/office/drawing/2014/chart" uri="{C3380CC4-5D6E-409C-BE32-E72D297353CC}">
              <c16:uniqueId val="{00000001-2B0F-49C2-A7CE-6869614623E8}"/>
            </c:ext>
          </c:extLst>
        </c:ser>
        <c:ser>
          <c:idx val="3"/>
          <c:order val="2"/>
          <c:tx>
            <c:strRef>
              <c:f>acidif!$E$181</c:f>
              <c:strCache>
                <c:ptCount val="1"/>
                <c:pt idx="0">
                  <c:v>SO2 - Gg</c:v>
                </c:pt>
              </c:strCache>
            </c:strRef>
          </c:tx>
          <c:spPr>
            <a:solidFill>
              <a:srgbClr val="00B050"/>
            </a:solidFill>
            <a:scene3d>
              <a:camera prst="orthographicFront"/>
              <a:lightRig rig="threePt" dir="t"/>
            </a:scene3d>
            <a:sp3d>
              <a:bevelT/>
            </a:sp3d>
          </c:spPr>
          <c:invertIfNegative val="0"/>
          <c:cat>
            <c:numRef>
              <c:f>acidif!$B$186:$B$191</c:f>
              <c:numCache>
                <c:formatCode>General</c:formatCode>
                <c:ptCount val="6"/>
                <c:pt idx="0">
                  <c:v>2016</c:v>
                </c:pt>
                <c:pt idx="1">
                  <c:v>2017</c:v>
                </c:pt>
                <c:pt idx="2">
                  <c:v>2018</c:v>
                </c:pt>
                <c:pt idx="3">
                  <c:v>2019</c:v>
                </c:pt>
                <c:pt idx="4">
                  <c:v>2020</c:v>
                </c:pt>
                <c:pt idx="5">
                  <c:v>2021</c:v>
                </c:pt>
              </c:numCache>
            </c:numRef>
          </c:cat>
          <c:val>
            <c:numRef>
              <c:f>acidif!$E$186:$E$191</c:f>
              <c:numCache>
                <c:formatCode>0.0000</c:formatCode>
                <c:ptCount val="6"/>
                <c:pt idx="0">
                  <c:v>5.7760599979244327E-2</c:v>
                </c:pt>
                <c:pt idx="1">
                  <c:v>3.9696241564205113E-2</c:v>
                </c:pt>
                <c:pt idx="2">
                  <c:v>3.4995595784955535E-2</c:v>
                </c:pt>
                <c:pt idx="3">
                  <c:v>3.2731116836973981E-2</c:v>
                </c:pt>
                <c:pt idx="4">
                  <c:v>0</c:v>
                </c:pt>
                <c:pt idx="5">
                  <c:v>0</c:v>
                </c:pt>
              </c:numCache>
            </c:numRef>
          </c:val>
          <c:extLst>
            <c:ext xmlns:c16="http://schemas.microsoft.com/office/drawing/2014/chart" uri="{C3380CC4-5D6E-409C-BE32-E72D297353CC}">
              <c16:uniqueId val="{00000002-2B0F-49C2-A7CE-6869614623E8}"/>
            </c:ext>
          </c:extLst>
        </c:ser>
        <c:dLbls>
          <c:showLegendKey val="0"/>
          <c:showVal val="0"/>
          <c:showCatName val="0"/>
          <c:showSerName val="0"/>
          <c:showPercent val="0"/>
          <c:showBubbleSize val="0"/>
        </c:dLbls>
        <c:gapWidth val="130"/>
        <c:overlap val="-20"/>
        <c:axId val="128116224"/>
        <c:axId val="128117760"/>
        <c:extLst/>
      </c:barChart>
      <c:catAx>
        <c:axId val="128116224"/>
        <c:scaling>
          <c:orientation val="minMax"/>
        </c:scaling>
        <c:delete val="0"/>
        <c:axPos val="b"/>
        <c:numFmt formatCode="General" sourceLinked="1"/>
        <c:majorTickMark val="out"/>
        <c:minorTickMark val="none"/>
        <c:tickLblPos val="nextTo"/>
        <c:txPr>
          <a:bodyPr/>
          <a:lstStyle/>
          <a:p>
            <a:pPr>
              <a:defRPr sz="900" b="1"/>
            </a:pPr>
            <a:endParaRPr lang="en-US"/>
          </a:p>
        </c:txPr>
        <c:crossAx val="128117760"/>
        <c:crosses val="autoZero"/>
        <c:auto val="1"/>
        <c:lblAlgn val="ctr"/>
        <c:lblOffset val="100"/>
        <c:noMultiLvlLbl val="0"/>
      </c:catAx>
      <c:valAx>
        <c:axId val="128117760"/>
        <c:scaling>
          <c:orientation val="minMax"/>
        </c:scaling>
        <c:delete val="0"/>
        <c:axPos val="l"/>
        <c:majorGridlines>
          <c:spPr>
            <a:ln>
              <a:solidFill>
                <a:schemeClr val="bg1">
                  <a:lumMod val="85000"/>
                </a:schemeClr>
              </a:solidFill>
            </a:ln>
          </c:spPr>
        </c:majorGridlines>
        <c:numFmt formatCode="0.00" sourceLinked="0"/>
        <c:majorTickMark val="out"/>
        <c:minorTickMark val="none"/>
        <c:tickLblPos val="nextTo"/>
        <c:txPr>
          <a:bodyPr/>
          <a:lstStyle/>
          <a:p>
            <a:pPr>
              <a:defRPr sz="900"/>
            </a:pPr>
            <a:endParaRPr lang="en-US"/>
          </a:p>
        </c:txPr>
        <c:crossAx val="128116224"/>
        <c:crosses val="autoZero"/>
        <c:crossBetween val="between"/>
      </c:valAx>
    </c:plotArea>
    <c:legend>
      <c:legendPos val="b"/>
      <c:overlay val="0"/>
      <c:txPr>
        <a:bodyPr/>
        <a:lstStyle/>
        <a:p>
          <a:pPr>
            <a:defRPr sz="1100" b="1"/>
          </a:pPr>
          <a:endParaRPr lang="en-US"/>
        </a:p>
      </c:txPr>
    </c:legend>
    <c:plotVisOnly val="1"/>
    <c:dispBlanksAs val="gap"/>
    <c:showDLblsOverMax val="0"/>
  </c:chart>
  <c:spPr>
    <a:ln>
      <a:noFill/>
    </a:ln>
  </c:spPr>
  <c:txPr>
    <a:bodyPr/>
    <a:lstStyle/>
    <a:p>
      <a:pPr algn="just">
        <a:defRPr>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O3 - maxim lunar medie mobilă</a:t>
            </a:r>
          </a:p>
        </c:rich>
      </c:tx>
      <c:layout>
        <c:manualLayout>
          <c:xMode val="edge"/>
          <c:yMode val="edge"/>
          <c:x val="0.30417194472312581"/>
          <c:y val="2.777777777777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'[Grafice 2021.xlsx] grafice lunare'!$F$4</c:f>
              <c:strCache>
                <c:ptCount val="1"/>
                <c:pt idx="0">
                  <c:v>O3 - maxim lunar medie mobilă</c:v>
                </c:pt>
              </c:strCache>
            </c:strRef>
          </c:tx>
          <c:spPr>
            <a:solidFill>
              <a:schemeClr val="tx2">
                <a:lumMod val="20000"/>
                <a:lumOff val="80000"/>
              </a:schemeClr>
            </a:solidFill>
            <a:ln>
              <a:noFill/>
            </a:ln>
            <a:effectLst/>
            <a:scene3d>
              <a:camera prst="orthographicFront"/>
              <a:lightRig rig="threePt" dir="t"/>
            </a:scene3d>
            <a:sp3d>
              <a:bevelT/>
            </a:sp3d>
          </c:spPr>
          <c:invertIfNegative val="0"/>
          <c:cat>
            <c:strRef>
              <c:f>'[Grafice 2021.xlsx]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'[Grafice 2021.xlsx] grafice lunare'!$F$5:$F$16</c:f>
              <c:numCache>
                <c:formatCode>General</c:formatCode>
                <c:ptCount val="12"/>
                <c:pt idx="0">
                  <c:v>74.38</c:v>
                </c:pt>
                <c:pt idx="1">
                  <c:v>90.97</c:v>
                </c:pt>
                <c:pt idx="2">
                  <c:v>119.44</c:v>
                </c:pt>
                <c:pt idx="3">
                  <c:v>132.69</c:v>
                </c:pt>
                <c:pt idx="4">
                  <c:v>114.11</c:v>
                </c:pt>
                <c:pt idx="5">
                  <c:v>113.59</c:v>
                </c:pt>
                <c:pt idx="6">
                  <c:v>115.61</c:v>
                </c:pt>
                <c:pt idx="7">
                  <c:v>115.4</c:v>
                </c:pt>
                <c:pt idx="8">
                  <c:v>92.34</c:v>
                </c:pt>
                <c:pt idx="9">
                  <c:v>76.010000000000005</c:v>
                </c:pt>
                <c:pt idx="10">
                  <c:v>60.07</c:v>
                </c:pt>
                <c:pt idx="11">
                  <c:v>57.9</c:v>
                </c:pt>
              </c:numCache>
            </c:numRef>
          </c:val>
          <c:extLst>
            <c:ext xmlns:c16="http://schemas.microsoft.com/office/drawing/2014/chart" uri="{C3380CC4-5D6E-409C-BE32-E72D297353CC}">
              <c16:uniqueId val="{00000000-04AB-4162-8A3B-341BD7C4E830}"/>
            </c:ext>
          </c:extLst>
        </c:ser>
        <c:dLbls>
          <c:showLegendKey val="0"/>
          <c:showVal val="0"/>
          <c:showCatName val="0"/>
          <c:showSerName val="0"/>
          <c:showPercent val="0"/>
          <c:showBubbleSize val="0"/>
        </c:dLbls>
        <c:gapWidth val="219"/>
        <c:overlap val="-27"/>
        <c:axId val="505535504"/>
        <c:axId val="505543704"/>
      </c:barChart>
      <c:catAx>
        <c:axId val="50553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5543704"/>
        <c:crosses val="autoZero"/>
        <c:auto val="1"/>
        <c:lblAlgn val="ctr"/>
        <c:lblOffset val="100"/>
        <c:noMultiLvlLbl val="0"/>
      </c:catAx>
      <c:valAx>
        <c:axId val="505543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b="1"/>
                  <a:t>concentraţie µg/m3</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5535504"/>
        <c:crosses val="autoZero"/>
        <c:crossBetween val="between"/>
      </c:valAx>
      <c:spPr>
        <a:solidFill>
          <a:schemeClr val="bg1"/>
        </a:solidFill>
        <a:ln>
          <a:noFill/>
        </a:ln>
        <a:effectLst/>
      </c:spPr>
    </c:plotArea>
    <c:plotVisOnly val="1"/>
    <c:dispBlanksAs val="gap"/>
    <c:showDLblsOverMax val="0"/>
  </c:chart>
  <c:spPr>
    <a:solidFill>
      <a:schemeClr val="tx2">
        <a:lumMod val="20000"/>
        <a:lumOff val="80000"/>
      </a:schemeClr>
    </a:solidFill>
    <a:ln w="12700"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0150322118826"/>
          <c:y val="3.5323383084577116E-2"/>
          <c:w val="0.80013183011214506"/>
          <c:h val="0.75582089552238807"/>
        </c:manualLayout>
      </c:layout>
      <c:barChart>
        <c:barDir val="col"/>
        <c:grouping val="clustered"/>
        <c:varyColors val="0"/>
        <c:ser>
          <c:idx val="0"/>
          <c:order val="0"/>
          <c:tx>
            <c:strRef>
              <c:f>acidif!$F$181</c:f>
              <c:strCache>
                <c:ptCount val="1"/>
                <c:pt idx="0">
                  <c:v>SOX - Gg</c:v>
                </c:pt>
              </c:strCache>
            </c:strRef>
          </c:tx>
          <c:spPr>
            <a:solidFill>
              <a:srgbClr val="8A3CC4"/>
            </a:solidFill>
            <a:ln>
              <a:noFill/>
            </a:ln>
            <a:effectLst/>
            <a:scene3d>
              <a:camera prst="orthographicFront"/>
              <a:lightRig rig="threePt" dir="t"/>
            </a:scene3d>
            <a:sp3d>
              <a:bevelT/>
            </a:sp3d>
          </c:spPr>
          <c:invertIfNegative val="0"/>
          <c:cat>
            <c:numRef>
              <c:f>(acidif!$B$185:$B$189,acidif!$B$190,acidif!$B$191)</c:f>
              <c:numCache>
                <c:formatCode>General</c:formatCode>
                <c:ptCount val="7"/>
                <c:pt idx="0">
                  <c:v>2015</c:v>
                </c:pt>
                <c:pt idx="1">
                  <c:v>2016</c:v>
                </c:pt>
                <c:pt idx="2">
                  <c:v>2017</c:v>
                </c:pt>
                <c:pt idx="3">
                  <c:v>2018</c:v>
                </c:pt>
                <c:pt idx="4">
                  <c:v>2019</c:v>
                </c:pt>
                <c:pt idx="5">
                  <c:v>2020</c:v>
                </c:pt>
                <c:pt idx="6">
                  <c:v>2021</c:v>
                </c:pt>
              </c:numCache>
            </c:numRef>
          </c:cat>
          <c:val>
            <c:numRef>
              <c:f>(acidif!$F$185:$F$189,acidif!$F$190,acidif!$F$191)</c:f>
              <c:numCache>
                <c:formatCode>0.0000</c:formatCode>
                <c:ptCount val="7"/>
                <c:pt idx="0">
                  <c:v>8.3543766123144129E-3</c:v>
                </c:pt>
                <c:pt idx="1">
                  <c:v>1.0657505152898983E-2</c:v>
                </c:pt>
                <c:pt idx="2">
                  <c:v>8.4329607181406717E-3</c:v>
                </c:pt>
                <c:pt idx="3">
                  <c:v>1.8667722171116528E-2</c:v>
                </c:pt>
                <c:pt idx="4">
                  <c:v>9.1325336746813039E-3</c:v>
                </c:pt>
                <c:pt idx="5">
                  <c:v>3.6631414394185144E-2</c:v>
                </c:pt>
                <c:pt idx="6">
                  <c:v>4.0234565705609293E-2</c:v>
                </c:pt>
              </c:numCache>
            </c:numRef>
          </c:val>
          <c:extLst>
            <c:ext xmlns:c16="http://schemas.microsoft.com/office/drawing/2014/chart" uri="{C3380CC4-5D6E-409C-BE32-E72D297353CC}">
              <c16:uniqueId val="{00000000-2552-4F1C-9724-1FFFC1C3CC0C}"/>
            </c:ext>
          </c:extLst>
        </c:ser>
        <c:dLbls>
          <c:showLegendKey val="0"/>
          <c:showVal val="0"/>
          <c:showCatName val="0"/>
          <c:showSerName val="0"/>
          <c:showPercent val="0"/>
          <c:showBubbleSize val="0"/>
        </c:dLbls>
        <c:gapWidth val="219"/>
        <c:overlap val="-27"/>
        <c:axId val="128444288"/>
        <c:axId val="128445824"/>
      </c:barChart>
      <c:catAx>
        <c:axId val="12844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445824"/>
        <c:crosses val="autoZero"/>
        <c:auto val="1"/>
        <c:lblAlgn val="ctr"/>
        <c:lblOffset val="100"/>
        <c:noMultiLvlLbl val="0"/>
      </c:catAx>
      <c:valAx>
        <c:axId val="12844582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444288"/>
        <c:crosses val="autoZero"/>
        <c:crossBetween val="between"/>
        <c:majorUnit val="5.000000000000001E-3"/>
      </c:valAx>
      <c:spPr>
        <a:noFill/>
        <a:ln>
          <a:noFill/>
        </a:ln>
        <a:effectLst/>
      </c:spPr>
    </c:plotArea>
    <c:legend>
      <c:legendPos val="b"/>
      <c:overlay val="0"/>
      <c:txPr>
        <a:bodyPr/>
        <a:lstStyle/>
        <a:p>
          <a:pPr>
            <a:defRPr sz="1100" b="1"/>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61831492407322"/>
          <c:y val="5.1400554097404488E-2"/>
          <c:w val="0.75183298004329768"/>
          <c:h val="0.73109762452978577"/>
        </c:manualLayout>
      </c:layout>
      <c:barChart>
        <c:barDir val="col"/>
        <c:grouping val="clustered"/>
        <c:varyColors val="0"/>
        <c:ser>
          <c:idx val="0"/>
          <c:order val="0"/>
          <c:tx>
            <c:strRef>
              <c:f>acidif!$C$203</c:f>
              <c:strCache>
                <c:ptCount val="1"/>
                <c:pt idx="0">
                  <c:v>NH3-Mg</c:v>
                </c:pt>
              </c:strCache>
            </c:strRef>
          </c:tx>
          <c:spPr>
            <a:scene3d>
              <a:camera prst="orthographicFront"/>
              <a:lightRig rig="threePt" dir="t"/>
            </a:scene3d>
            <a:sp3d>
              <a:bevelT/>
            </a:sp3d>
          </c:spPr>
          <c:invertIfNegative val="0"/>
          <c:cat>
            <c:numRef>
              <c:f>(acidif!$B$204:$B$207,acidif!$B$208:$B$210)</c:f>
              <c:numCache>
                <c:formatCode>General</c:formatCode>
                <c:ptCount val="7"/>
                <c:pt idx="0">
                  <c:v>2015</c:v>
                </c:pt>
                <c:pt idx="1">
                  <c:v>2016</c:v>
                </c:pt>
                <c:pt idx="2">
                  <c:v>2017</c:v>
                </c:pt>
                <c:pt idx="3">
                  <c:v>2018</c:v>
                </c:pt>
                <c:pt idx="4">
                  <c:v>2019</c:v>
                </c:pt>
                <c:pt idx="5">
                  <c:v>2020</c:v>
                </c:pt>
                <c:pt idx="6">
                  <c:v>2021</c:v>
                </c:pt>
              </c:numCache>
            </c:numRef>
          </c:cat>
          <c:val>
            <c:numRef>
              <c:f>(acidif!$C$204:$C$207,acidif!$C$208:$C$210)</c:f>
              <c:numCache>
                <c:formatCode>General</c:formatCode>
                <c:ptCount val="7"/>
                <c:pt idx="0">
                  <c:v>1.7819999999999999E-3</c:v>
                </c:pt>
                <c:pt idx="1">
                  <c:v>1.9700000000000004E-3</c:v>
                </c:pt>
                <c:pt idx="2">
                  <c:v>3.8399999999999997E-3</c:v>
                </c:pt>
                <c:pt idx="3">
                  <c:v>0</c:v>
                </c:pt>
                <c:pt idx="4">
                  <c:v>0</c:v>
                </c:pt>
                <c:pt idx="5">
                  <c:v>0.17450000000000002</c:v>
                </c:pt>
                <c:pt idx="6">
                  <c:v>9.8799999999999999E-2</c:v>
                </c:pt>
              </c:numCache>
            </c:numRef>
          </c:val>
          <c:extLst>
            <c:ext xmlns:c16="http://schemas.microsoft.com/office/drawing/2014/chart" uri="{C3380CC4-5D6E-409C-BE32-E72D297353CC}">
              <c16:uniqueId val="{00000000-A9C5-4190-8A8C-4E2726B02F4A}"/>
            </c:ext>
          </c:extLst>
        </c:ser>
        <c:ser>
          <c:idx val="1"/>
          <c:order val="1"/>
          <c:tx>
            <c:strRef>
              <c:f>acidif!$E$203</c:f>
              <c:strCache>
                <c:ptCount val="1"/>
                <c:pt idx="0">
                  <c:v>SO2- Mg</c:v>
                </c:pt>
              </c:strCache>
            </c:strRef>
          </c:tx>
          <c:spPr>
            <a:solidFill>
              <a:srgbClr val="00B050"/>
            </a:solidFill>
            <a:scene3d>
              <a:camera prst="orthographicFront"/>
              <a:lightRig rig="threePt" dir="t"/>
            </a:scene3d>
            <a:sp3d>
              <a:bevelT/>
            </a:sp3d>
          </c:spPr>
          <c:invertIfNegative val="0"/>
          <c:cat>
            <c:numRef>
              <c:f>(acidif!$B$204:$B$207,acidif!$B$208:$B$210)</c:f>
              <c:numCache>
                <c:formatCode>General</c:formatCode>
                <c:ptCount val="7"/>
                <c:pt idx="0">
                  <c:v>2015</c:v>
                </c:pt>
                <c:pt idx="1">
                  <c:v>2016</c:v>
                </c:pt>
                <c:pt idx="2">
                  <c:v>2017</c:v>
                </c:pt>
                <c:pt idx="3">
                  <c:v>2018</c:v>
                </c:pt>
                <c:pt idx="4">
                  <c:v>2019</c:v>
                </c:pt>
                <c:pt idx="5">
                  <c:v>2020</c:v>
                </c:pt>
                <c:pt idx="6">
                  <c:v>2021</c:v>
                </c:pt>
              </c:numCache>
            </c:numRef>
          </c:cat>
          <c:val>
            <c:numRef>
              <c:f>(acidif!$E$204:$E$207,acidif!$E$208:$E$210)</c:f>
              <c:numCache>
                <c:formatCode>General</c:formatCode>
                <c:ptCount val="7"/>
                <c:pt idx="0">
                  <c:v>5.5765060000000002</c:v>
                </c:pt>
                <c:pt idx="1">
                  <c:v>1.3680325</c:v>
                </c:pt>
                <c:pt idx="2">
                  <c:v>0.67776190000000003</c:v>
                </c:pt>
                <c:pt idx="3">
                  <c:v>3.3661409360000003</c:v>
                </c:pt>
                <c:pt idx="4">
                  <c:v>2.0287646000000001</c:v>
                </c:pt>
                <c:pt idx="5">
                  <c:v>2.7982426</c:v>
                </c:pt>
                <c:pt idx="6">
                  <c:v>1.6791180000000001</c:v>
                </c:pt>
              </c:numCache>
            </c:numRef>
          </c:val>
          <c:extLst>
            <c:ext xmlns:c16="http://schemas.microsoft.com/office/drawing/2014/chart" uri="{C3380CC4-5D6E-409C-BE32-E72D297353CC}">
              <c16:uniqueId val="{00000001-A9C5-4190-8A8C-4E2726B02F4A}"/>
            </c:ext>
          </c:extLst>
        </c:ser>
        <c:dLbls>
          <c:showLegendKey val="0"/>
          <c:showVal val="0"/>
          <c:showCatName val="0"/>
          <c:showSerName val="0"/>
          <c:showPercent val="0"/>
          <c:showBubbleSize val="0"/>
        </c:dLbls>
        <c:gapWidth val="7"/>
        <c:overlap val="-70"/>
        <c:axId val="128182912"/>
        <c:axId val="128192896"/>
      </c:barChart>
      <c:barChart>
        <c:barDir val="col"/>
        <c:grouping val="clustered"/>
        <c:varyColors val="0"/>
        <c:ser>
          <c:idx val="2"/>
          <c:order val="2"/>
          <c:tx>
            <c:strRef>
              <c:f>acidif!$G$203</c:f>
              <c:strCache>
                <c:ptCount val="1"/>
                <c:pt idx="0">
                  <c:v>Echivalent acidifiere</c:v>
                </c:pt>
              </c:strCache>
            </c:strRef>
          </c:tx>
          <c:spPr>
            <a:solidFill>
              <a:srgbClr val="EBDF99"/>
            </a:solidFill>
            <a:scene3d>
              <a:camera prst="orthographicFront"/>
              <a:lightRig rig="threePt" dir="t"/>
            </a:scene3d>
            <a:sp3d>
              <a:bevelT/>
            </a:sp3d>
          </c:spPr>
          <c:invertIfNegative val="0"/>
          <c:cat>
            <c:numRef>
              <c:f>(acidif!$B$204:$B$207,acidif!$B$208:$B$210)</c:f>
              <c:numCache>
                <c:formatCode>General</c:formatCode>
                <c:ptCount val="7"/>
                <c:pt idx="0">
                  <c:v>2015</c:v>
                </c:pt>
                <c:pt idx="1">
                  <c:v>2016</c:v>
                </c:pt>
                <c:pt idx="2">
                  <c:v>2017</c:v>
                </c:pt>
                <c:pt idx="3">
                  <c:v>2018</c:v>
                </c:pt>
                <c:pt idx="4">
                  <c:v>2019</c:v>
                </c:pt>
                <c:pt idx="5">
                  <c:v>2020</c:v>
                </c:pt>
                <c:pt idx="6">
                  <c:v>2021</c:v>
                </c:pt>
              </c:numCache>
            </c:numRef>
          </c:cat>
          <c:val>
            <c:numRef>
              <c:f>(acidif!$G$204:$G$207,acidif!$G$208:$G$210)</c:f>
              <c:numCache>
                <c:formatCode>General</c:formatCode>
                <c:ptCount val="7"/>
                <c:pt idx="0">
                  <c:v>0.17464941940000001</c:v>
                </c:pt>
                <c:pt idx="1">
                  <c:v>4.2935253249999999E-2</c:v>
                </c:pt>
                <c:pt idx="2">
                  <c:v>2.143973947E-2</c:v>
                </c:pt>
                <c:pt idx="3">
                  <c:v>0.10536021129680001</c:v>
                </c:pt>
                <c:pt idx="4">
                  <c:v>6.3500331980000005E-2</c:v>
                </c:pt>
                <c:pt idx="5">
                  <c:v>9.7845593379999998E-2</c:v>
                </c:pt>
                <c:pt idx="6">
                  <c:v>8.0075833400000004E-2</c:v>
                </c:pt>
              </c:numCache>
            </c:numRef>
          </c:val>
          <c:extLst>
            <c:ext xmlns:c16="http://schemas.microsoft.com/office/drawing/2014/chart" uri="{C3380CC4-5D6E-409C-BE32-E72D297353CC}">
              <c16:uniqueId val="{00000002-A9C5-4190-8A8C-4E2726B02F4A}"/>
            </c:ext>
          </c:extLst>
        </c:ser>
        <c:dLbls>
          <c:showLegendKey val="0"/>
          <c:showVal val="0"/>
          <c:showCatName val="0"/>
          <c:showSerName val="0"/>
          <c:showPercent val="0"/>
          <c:showBubbleSize val="0"/>
        </c:dLbls>
        <c:gapWidth val="227"/>
        <c:axId val="128201088"/>
        <c:axId val="128194816"/>
      </c:barChart>
      <c:catAx>
        <c:axId val="128182912"/>
        <c:scaling>
          <c:orientation val="minMax"/>
        </c:scaling>
        <c:delete val="0"/>
        <c:axPos val="b"/>
        <c:numFmt formatCode="General" sourceLinked="1"/>
        <c:majorTickMark val="out"/>
        <c:minorTickMark val="none"/>
        <c:tickLblPos val="nextTo"/>
        <c:txPr>
          <a:bodyPr/>
          <a:lstStyle/>
          <a:p>
            <a:pPr>
              <a:defRPr b="1"/>
            </a:pPr>
            <a:endParaRPr lang="en-US"/>
          </a:p>
        </c:txPr>
        <c:crossAx val="128192896"/>
        <c:crosses val="autoZero"/>
        <c:auto val="1"/>
        <c:lblAlgn val="ctr"/>
        <c:lblOffset val="100"/>
        <c:noMultiLvlLbl val="0"/>
      </c:catAx>
      <c:valAx>
        <c:axId val="128192896"/>
        <c:scaling>
          <c:orientation val="minMax"/>
          <c:max val="6"/>
          <c:min val="0"/>
        </c:scaling>
        <c:delete val="0"/>
        <c:axPos val="l"/>
        <c:majorGridlines>
          <c:spPr>
            <a:ln>
              <a:solidFill>
                <a:schemeClr val="bg1">
                  <a:lumMod val="85000"/>
                </a:schemeClr>
              </a:solidFill>
            </a:ln>
          </c:spPr>
        </c:majorGridlines>
        <c:title>
          <c:tx>
            <c:rich>
              <a:bodyPr rot="-5400000" vert="horz"/>
              <a:lstStyle/>
              <a:p>
                <a:pPr>
                  <a:defRPr sz="900"/>
                </a:pPr>
                <a:r>
                  <a:rPr lang="en-US" sz="900"/>
                  <a:t>S</a:t>
                </a:r>
                <a:r>
                  <a:rPr lang="ro-RO" sz="900"/>
                  <a:t>O2</a:t>
                </a:r>
                <a:endParaRPr lang="en-US" sz="900"/>
              </a:p>
            </c:rich>
          </c:tx>
          <c:layout>
            <c:manualLayout>
              <c:xMode val="edge"/>
              <c:yMode val="edge"/>
              <c:x val="1.7622399314994285E-2"/>
              <c:y val="0.35151261122611899"/>
            </c:manualLayout>
          </c:layout>
          <c:overlay val="0"/>
        </c:title>
        <c:numFmt formatCode="General" sourceLinked="1"/>
        <c:majorTickMark val="out"/>
        <c:minorTickMark val="none"/>
        <c:tickLblPos val="nextTo"/>
        <c:txPr>
          <a:bodyPr/>
          <a:lstStyle/>
          <a:p>
            <a:pPr>
              <a:defRPr sz="900"/>
            </a:pPr>
            <a:endParaRPr lang="en-US"/>
          </a:p>
        </c:txPr>
        <c:crossAx val="128182912"/>
        <c:crosses val="autoZero"/>
        <c:crossBetween val="between"/>
        <c:majorUnit val="0.5"/>
      </c:valAx>
      <c:valAx>
        <c:axId val="128194816"/>
        <c:scaling>
          <c:orientation val="minMax"/>
        </c:scaling>
        <c:delete val="0"/>
        <c:axPos val="r"/>
        <c:title>
          <c:tx>
            <c:rich>
              <a:bodyPr/>
              <a:lstStyle/>
              <a:p>
                <a:pPr>
                  <a:defRPr sz="900"/>
                </a:pPr>
                <a:r>
                  <a:rPr lang="en-US" sz="900"/>
                  <a:t>echivalent acidifiere</a:t>
                </a:r>
              </a:p>
            </c:rich>
          </c:tx>
          <c:layout>
            <c:manualLayout>
              <c:xMode val="edge"/>
              <c:yMode val="edge"/>
              <c:x val="0.95068665402458197"/>
              <c:y val="0.19351341646987336"/>
            </c:manualLayout>
          </c:layout>
          <c:overlay val="0"/>
        </c:title>
        <c:numFmt formatCode="General" sourceLinked="1"/>
        <c:majorTickMark val="out"/>
        <c:minorTickMark val="none"/>
        <c:tickLblPos val="nextTo"/>
        <c:txPr>
          <a:bodyPr/>
          <a:lstStyle/>
          <a:p>
            <a:pPr>
              <a:defRPr sz="900"/>
            </a:pPr>
            <a:endParaRPr lang="en-US"/>
          </a:p>
        </c:txPr>
        <c:crossAx val="128201088"/>
        <c:crosses val="max"/>
        <c:crossBetween val="between"/>
      </c:valAx>
      <c:catAx>
        <c:axId val="128201088"/>
        <c:scaling>
          <c:orientation val="minMax"/>
        </c:scaling>
        <c:delete val="1"/>
        <c:axPos val="b"/>
        <c:numFmt formatCode="General" sourceLinked="1"/>
        <c:majorTickMark val="out"/>
        <c:minorTickMark val="none"/>
        <c:tickLblPos val="nextTo"/>
        <c:crossAx val="128194816"/>
        <c:crosses val="autoZero"/>
        <c:auto val="1"/>
        <c:lblAlgn val="ctr"/>
        <c:lblOffset val="100"/>
        <c:noMultiLvlLbl val="0"/>
      </c:catAx>
    </c:plotArea>
    <c:legend>
      <c:legendPos val="b"/>
      <c:legendEntry>
        <c:idx val="0"/>
        <c:delete val="1"/>
      </c:legendEntry>
      <c:layout>
        <c:manualLayout>
          <c:xMode val="edge"/>
          <c:yMode val="edge"/>
          <c:x val="0.20831786084215356"/>
          <c:y val="0.9014576174059995"/>
          <c:w val="0.47357997999308277"/>
          <c:h val="8.1290716952716544E-2"/>
        </c:manualLayout>
      </c:layout>
      <c:overlay val="0"/>
      <c:txPr>
        <a:bodyPr/>
        <a:lstStyle/>
        <a:p>
          <a:pPr>
            <a:defRPr sz="1050" b="1"/>
          </a:pPr>
          <a:endParaRPr lang="en-US"/>
        </a:p>
      </c:txPr>
    </c:legend>
    <c:plotVisOnly val="1"/>
    <c:dispBlanksAs val="gap"/>
    <c:showDLblsOverMax val="0"/>
  </c:chart>
  <c:spPr>
    <a:solidFill>
      <a:schemeClr val="bg1"/>
    </a:solidFill>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acidif!$C$260</c:f>
              <c:strCache>
                <c:ptCount val="1"/>
                <c:pt idx="0">
                  <c:v>NH3 - Mg</c:v>
                </c:pt>
              </c:strCache>
            </c:strRef>
          </c:tx>
          <c:spPr>
            <a:solidFill>
              <a:schemeClr val="accent1"/>
            </a:solidFill>
            <a:ln>
              <a:noFill/>
            </a:ln>
            <a:effectLst/>
            <a:scene3d>
              <a:camera prst="orthographicFront"/>
              <a:lightRig rig="threePt" dir="t"/>
            </a:scene3d>
            <a:sp3d>
              <a:bevelT/>
            </a:sp3d>
          </c:spPr>
          <c:invertIfNegative val="0"/>
          <c:trendline>
            <c:spPr>
              <a:ln w="28575" cap="rnd">
                <a:solidFill>
                  <a:schemeClr val="accent1"/>
                </a:solidFill>
                <a:prstDash val="dash"/>
              </a:ln>
              <a:effectLst/>
            </c:spPr>
            <c:trendlineType val="linear"/>
            <c:dispRSqr val="0"/>
            <c:dispEq val="0"/>
          </c:trendline>
          <c:cat>
            <c:numRef>
              <c:f>acidif!$B$261:$B$269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acidif!$C$261:$C$269</c:f>
              <c:numCache>
                <c:formatCode>General</c:formatCode>
                <c:ptCount val="9"/>
                <c:pt idx="0">
                  <c:v>10.548903561329999</c:v>
                </c:pt>
                <c:pt idx="1">
                  <c:v>11.3193029132</c:v>
                </c:pt>
                <c:pt idx="2">
                  <c:v>10.981780275699998</c:v>
                </c:pt>
                <c:pt idx="3">
                  <c:v>13.425989605229999</c:v>
                </c:pt>
                <c:pt idx="4">
                  <c:v>14.485199446999998</c:v>
                </c:pt>
                <c:pt idx="5">
                  <c:v>15.338686868800002</c:v>
                </c:pt>
                <c:pt idx="6">
                  <c:v>16.282882138600002</c:v>
                </c:pt>
                <c:pt idx="7">
                  <c:v>17.219425797</c:v>
                </c:pt>
                <c:pt idx="8" formatCode="0.000000000">
                  <c:v>16.908000000000001</c:v>
                </c:pt>
              </c:numCache>
            </c:numRef>
          </c:val>
          <c:extLst>
            <c:ext xmlns:c16="http://schemas.microsoft.com/office/drawing/2014/chart" uri="{C3380CC4-5D6E-409C-BE32-E72D297353CC}">
              <c16:uniqueId val="{00000000-DAD4-42B4-BF24-8184D841A6BC}"/>
            </c:ext>
          </c:extLst>
        </c:ser>
        <c:ser>
          <c:idx val="1"/>
          <c:order val="1"/>
          <c:tx>
            <c:strRef>
              <c:f>acidif!$D$260</c:f>
              <c:strCache>
                <c:ptCount val="1"/>
                <c:pt idx="0">
                  <c:v>NOX - Gg</c:v>
                </c:pt>
              </c:strCache>
            </c:strRef>
          </c:tx>
          <c:spPr>
            <a:solidFill>
              <a:schemeClr val="accent2"/>
            </a:solidFill>
            <a:ln>
              <a:noFill/>
            </a:ln>
            <a:effectLst/>
            <a:scene3d>
              <a:camera prst="orthographicFront"/>
              <a:lightRig rig="threePt" dir="t"/>
            </a:scene3d>
            <a:sp3d>
              <a:bevelT/>
            </a:sp3d>
          </c:spPr>
          <c:invertIfNegative val="0"/>
          <c:trendline>
            <c:spPr>
              <a:ln w="28575" cap="rnd">
                <a:solidFill>
                  <a:schemeClr val="accent2"/>
                </a:solidFill>
                <a:prstDash val="dash"/>
              </a:ln>
              <a:effectLst/>
            </c:spPr>
            <c:trendlineType val="linear"/>
            <c:dispRSqr val="0"/>
            <c:dispEq val="0"/>
          </c:trendline>
          <c:cat>
            <c:numRef>
              <c:f>acidif!$B$261:$B$269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acidif!$D$261:$D$269</c:f>
              <c:numCache>
                <c:formatCode>General</c:formatCode>
                <c:ptCount val="9"/>
                <c:pt idx="0">
                  <c:v>1.8477701636466051</c:v>
                </c:pt>
                <c:pt idx="1">
                  <c:v>1.9625387502693941</c:v>
                </c:pt>
                <c:pt idx="2">
                  <c:v>1.6636415727331999</c:v>
                </c:pt>
                <c:pt idx="3">
                  <c:v>1.7824241147386002</c:v>
                </c:pt>
                <c:pt idx="4">
                  <c:v>2.0403302349629997</c:v>
                </c:pt>
                <c:pt idx="5">
                  <c:v>2.0110088127096</c:v>
                </c:pt>
                <c:pt idx="6">
                  <c:v>1.6381504235774</c:v>
                </c:pt>
                <c:pt idx="7">
                  <c:v>2.0012630216184997</c:v>
                </c:pt>
                <c:pt idx="8">
                  <c:v>1.6213458000000001</c:v>
                </c:pt>
              </c:numCache>
            </c:numRef>
          </c:val>
          <c:extLst>
            <c:ext xmlns:c16="http://schemas.microsoft.com/office/drawing/2014/chart" uri="{C3380CC4-5D6E-409C-BE32-E72D297353CC}">
              <c16:uniqueId val="{00000001-DAD4-42B4-BF24-8184D841A6BC}"/>
            </c:ext>
          </c:extLst>
        </c:ser>
        <c:dLbls>
          <c:showLegendKey val="0"/>
          <c:showVal val="0"/>
          <c:showCatName val="0"/>
          <c:showSerName val="0"/>
          <c:showPercent val="0"/>
          <c:showBubbleSize val="0"/>
        </c:dLbls>
        <c:gapWidth val="106"/>
        <c:overlap val="-27"/>
        <c:axId val="124142944"/>
        <c:axId val="124149600"/>
      </c:barChart>
      <c:catAx>
        <c:axId val="12414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149600"/>
        <c:crosses val="autoZero"/>
        <c:auto val="1"/>
        <c:lblAlgn val="ctr"/>
        <c:lblOffset val="100"/>
        <c:noMultiLvlLbl val="0"/>
      </c:catAx>
      <c:valAx>
        <c:axId val="12414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142944"/>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acidif!$C$276</c:f>
              <c:strCache>
                <c:ptCount val="1"/>
                <c:pt idx="0">
                  <c:v>NH3 - Gg</c:v>
                </c:pt>
              </c:strCache>
            </c:strRef>
          </c:tx>
          <c:spPr>
            <a:scene3d>
              <a:camera prst="orthographicFront"/>
              <a:lightRig rig="threePt" dir="t"/>
            </a:scene3d>
            <a:sp3d>
              <a:bevelT/>
            </a:sp3d>
          </c:spPr>
          <c:invertIfNegative val="0"/>
          <c:cat>
            <c:numRef>
              <c:f>(acidif!$A$277:$A$280,acidif!$A$281:$A$282,acidif!$A$283,acidif!$A$284,acidif!$A$285,acidif!$A$286)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(acidif!$C$277:$C$280,acidif!$C$281:$C$282,acidif!$C$283,acidif!$C$284,acidif!$C$285,acidif!$C$286)</c:f>
              <c:numCache>
                <c:formatCode>General</c:formatCode>
                <c:ptCount val="10"/>
                <c:pt idx="0">
                  <c:v>3.1301779599999997</c:v>
                </c:pt>
                <c:pt idx="1">
                  <c:v>3.1357906500000001</c:v>
                </c:pt>
                <c:pt idx="2">
                  <c:v>3.3548028199999993</c:v>
                </c:pt>
                <c:pt idx="3">
                  <c:v>3.4214503999999994</c:v>
                </c:pt>
                <c:pt idx="4">
                  <c:v>3.4603206599999998</c:v>
                </c:pt>
                <c:pt idx="5">
                  <c:v>2.8730953599999998</c:v>
                </c:pt>
                <c:pt idx="6">
                  <c:v>2.7827606999999999</c:v>
                </c:pt>
                <c:pt idx="7">
                  <c:v>3.713642399999999</c:v>
                </c:pt>
                <c:pt idx="8">
                  <c:v>2.8628076739999999</c:v>
                </c:pt>
                <c:pt idx="9">
                  <c:v>2.9397723000000004</c:v>
                </c:pt>
              </c:numCache>
            </c:numRef>
          </c:val>
          <c:extLst>
            <c:ext xmlns:c16="http://schemas.microsoft.com/office/drawing/2014/chart" uri="{C3380CC4-5D6E-409C-BE32-E72D297353CC}">
              <c16:uniqueId val="{00000000-3CA7-441C-B69C-199754C3DCF2}"/>
            </c:ext>
          </c:extLst>
        </c:ser>
        <c:dLbls>
          <c:showLegendKey val="0"/>
          <c:showVal val="0"/>
          <c:showCatName val="0"/>
          <c:showSerName val="0"/>
          <c:showPercent val="0"/>
          <c:showBubbleSize val="0"/>
        </c:dLbls>
        <c:gapWidth val="150"/>
        <c:axId val="128230144"/>
        <c:axId val="128231680"/>
      </c:barChart>
      <c:catAx>
        <c:axId val="128230144"/>
        <c:scaling>
          <c:orientation val="minMax"/>
        </c:scaling>
        <c:delete val="0"/>
        <c:axPos val="l"/>
        <c:numFmt formatCode="General" sourceLinked="1"/>
        <c:majorTickMark val="out"/>
        <c:minorTickMark val="none"/>
        <c:tickLblPos val="nextTo"/>
        <c:txPr>
          <a:bodyPr/>
          <a:lstStyle/>
          <a:p>
            <a:pPr>
              <a:defRPr b="1"/>
            </a:pPr>
            <a:endParaRPr lang="en-US"/>
          </a:p>
        </c:txPr>
        <c:crossAx val="128231680"/>
        <c:crosses val="autoZero"/>
        <c:auto val="1"/>
        <c:lblAlgn val="ctr"/>
        <c:lblOffset val="100"/>
        <c:noMultiLvlLbl val="0"/>
      </c:catAx>
      <c:valAx>
        <c:axId val="128231680"/>
        <c:scaling>
          <c:orientation val="minMax"/>
        </c:scaling>
        <c:delete val="0"/>
        <c:axPos val="b"/>
        <c:majorGridlines>
          <c:spPr>
            <a:ln>
              <a:solidFill>
                <a:sysClr val="window" lastClr="FFFFFF">
                  <a:lumMod val="85000"/>
                </a:sysClr>
              </a:solidFill>
            </a:ln>
          </c:spPr>
        </c:majorGridlines>
        <c:numFmt formatCode="General" sourceLinked="1"/>
        <c:majorTickMark val="out"/>
        <c:minorTickMark val="none"/>
        <c:tickLblPos val="nextTo"/>
        <c:crossAx val="12823014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acidif!$C$292</c:f>
              <c:strCache>
                <c:ptCount val="1"/>
                <c:pt idx="0">
                  <c:v>NH3 - Gg</c:v>
                </c:pt>
              </c:strCache>
            </c:strRef>
          </c:tx>
          <c:spPr>
            <a:solidFill>
              <a:srgbClr val="4F81BD"/>
            </a:solidFill>
            <a:ln>
              <a:noFill/>
            </a:ln>
            <a:effectLst/>
            <a:scene3d>
              <a:camera prst="orthographicFront"/>
              <a:lightRig rig="threePt" dir="t"/>
            </a:scene3d>
            <a:sp3d>
              <a:bevelT/>
            </a:sp3d>
          </c:spPr>
          <c:invertIfNegative val="0"/>
          <c:cat>
            <c:numRef>
              <c:f>(acidif!$A$295:$A$297,acidif!$A$298,acidif!$A$299,acidif!$A$300,acidif!$A$301)</c:f>
              <c:numCache>
                <c:formatCode>General</c:formatCode>
                <c:ptCount val="7"/>
                <c:pt idx="0">
                  <c:v>2015</c:v>
                </c:pt>
                <c:pt idx="1">
                  <c:v>2016</c:v>
                </c:pt>
                <c:pt idx="2">
                  <c:v>2017</c:v>
                </c:pt>
                <c:pt idx="3">
                  <c:v>2018</c:v>
                </c:pt>
                <c:pt idx="4">
                  <c:v>2019</c:v>
                </c:pt>
                <c:pt idx="5">
                  <c:v>2020</c:v>
                </c:pt>
                <c:pt idx="6">
                  <c:v>2021</c:v>
                </c:pt>
              </c:numCache>
            </c:numRef>
          </c:cat>
          <c:val>
            <c:numRef>
              <c:f>(acidif!$C$295:$C$297,acidif!$C$298,acidif!$C$299,acidif!$C$300,acidif!$C$301)</c:f>
              <c:numCache>
                <c:formatCode>General</c:formatCode>
                <c:ptCount val="7"/>
                <c:pt idx="0">
                  <c:v>0</c:v>
                </c:pt>
                <c:pt idx="1">
                  <c:v>0</c:v>
                </c:pt>
                <c:pt idx="2">
                  <c:v>0</c:v>
                </c:pt>
                <c:pt idx="3">
                  <c:v>0</c:v>
                </c:pt>
                <c:pt idx="4">
                  <c:v>0</c:v>
                </c:pt>
                <c:pt idx="5">
                  <c:v>0</c:v>
                </c:pt>
              </c:numCache>
            </c:numRef>
          </c:val>
          <c:extLst>
            <c:ext xmlns:c16="http://schemas.microsoft.com/office/drawing/2014/chart" uri="{C3380CC4-5D6E-409C-BE32-E72D297353CC}">
              <c16:uniqueId val="{00000000-AD08-4E04-B1F9-AEEBF18F786F}"/>
            </c:ext>
          </c:extLst>
        </c:ser>
        <c:ser>
          <c:idx val="1"/>
          <c:order val="1"/>
          <c:tx>
            <c:strRef>
              <c:f>acidif!$D$292</c:f>
              <c:strCache>
                <c:ptCount val="1"/>
                <c:pt idx="0">
                  <c:v>NOX - Gg</c:v>
                </c:pt>
              </c:strCache>
            </c:strRef>
          </c:tx>
          <c:spPr>
            <a:solidFill>
              <a:srgbClr val="C00000"/>
            </a:solidFill>
            <a:ln>
              <a:noFill/>
            </a:ln>
            <a:effectLst/>
            <a:scene3d>
              <a:camera prst="orthographicFront"/>
              <a:lightRig rig="threePt" dir="t"/>
            </a:scene3d>
            <a:sp3d>
              <a:bevelT/>
            </a:sp3d>
          </c:spPr>
          <c:invertIfNegative val="0"/>
          <c:trendline>
            <c:spPr>
              <a:ln w="22225" cap="rnd">
                <a:solidFill>
                  <a:srgbClr val="C00000"/>
                </a:solidFill>
                <a:prstDash val="lgDash"/>
              </a:ln>
              <a:effectLst/>
            </c:spPr>
            <c:trendlineType val="linear"/>
            <c:dispRSqr val="0"/>
            <c:dispEq val="0"/>
          </c:trendline>
          <c:cat>
            <c:numRef>
              <c:f>(acidif!$A$295:$A$297,acidif!$A$298,acidif!$A$299,acidif!$A$300,acidif!$A$301)</c:f>
              <c:numCache>
                <c:formatCode>General</c:formatCode>
                <c:ptCount val="7"/>
                <c:pt idx="0">
                  <c:v>2015</c:v>
                </c:pt>
                <c:pt idx="1">
                  <c:v>2016</c:v>
                </c:pt>
                <c:pt idx="2">
                  <c:v>2017</c:v>
                </c:pt>
                <c:pt idx="3">
                  <c:v>2018</c:v>
                </c:pt>
                <c:pt idx="4">
                  <c:v>2019</c:v>
                </c:pt>
                <c:pt idx="5">
                  <c:v>2020</c:v>
                </c:pt>
                <c:pt idx="6">
                  <c:v>2021</c:v>
                </c:pt>
              </c:numCache>
            </c:numRef>
          </c:cat>
          <c:val>
            <c:numRef>
              <c:f>(acidif!$D$295:$D$297,acidif!$D$298,acidif!$D$299,acidif!$D$300,acidif!$D$301)</c:f>
              <c:numCache>
                <c:formatCode>General</c:formatCode>
                <c:ptCount val="7"/>
                <c:pt idx="0">
                  <c:v>5.7500000000000002E-5</c:v>
                </c:pt>
                <c:pt idx="1">
                  <c:v>7.1190000000000001E-5</c:v>
                </c:pt>
                <c:pt idx="2">
                  <c:v>4.2500000000000003E-5</c:v>
                </c:pt>
                <c:pt idx="3">
                  <c:v>4.7775000000000003E-5</c:v>
                </c:pt>
                <c:pt idx="4">
                  <c:v>4.9024999999999999E-5</c:v>
                </c:pt>
                <c:pt idx="5" formatCode="0.000000000">
                  <c:v>1.7295600000000001E-5</c:v>
                </c:pt>
                <c:pt idx="6">
                  <c:v>1.7025899999999999E-5</c:v>
                </c:pt>
              </c:numCache>
            </c:numRef>
          </c:val>
          <c:extLst>
            <c:ext xmlns:c16="http://schemas.microsoft.com/office/drawing/2014/chart" uri="{C3380CC4-5D6E-409C-BE32-E72D297353CC}">
              <c16:uniqueId val="{00000001-AD08-4E04-B1F9-AEEBF18F786F}"/>
            </c:ext>
          </c:extLst>
        </c:ser>
        <c:ser>
          <c:idx val="2"/>
          <c:order val="2"/>
          <c:tx>
            <c:strRef>
              <c:f>acidif!$E$292</c:f>
              <c:strCache>
                <c:ptCount val="1"/>
                <c:pt idx="0">
                  <c:v>SO2 - Gg</c:v>
                </c:pt>
              </c:strCache>
            </c:strRef>
          </c:tx>
          <c:spPr>
            <a:solidFill>
              <a:schemeClr val="accent3"/>
            </a:solidFill>
            <a:ln>
              <a:noFill/>
            </a:ln>
            <a:effectLst/>
            <a:scene3d>
              <a:camera prst="orthographicFront"/>
              <a:lightRig rig="threePt" dir="t"/>
            </a:scene3d>
            <a:sp3d>
              <a:bevelT/>
            </a:sp3d>
          </c:spPr>
          <c:invertIfNegative val="0"/>
          <c:trendline>
            <c:spPr>
              <a:ln w="25400" cap="rnd">
                <a:solidFill>
                  <a:schemeClr val="accent3"/>
                </a:solidFill>
                <a:prstDash val="lgDash"/>
              </a:ln>
              <a:effectLst/>
            </c:spPr>
            <c:trendlineType val="linear"/>
            <c:dispRSqr val="0"/>
            <c:dispEq val="0"/>
          </c:trendline>
          <c:cat>
            <c:numRef>
              <c:f>(acidif!$A$295:$A$297,acidif!$A$298,acidif!$A$299,acidif!$A$300,acidif!$A$301)</c:f>
              <c:numCache>
                <c:formatCode>General</c:formatCode>
                <c:ptCount val="7"/>
                <c:pt idx="0">
                  <c:v>2015</c:v>
                </c:pt>
                <c:pt idx="1">
                  <c:v>2016</c:v>
                </c:pt>
                <c:pt idx="2">
                  <c:v>2017</c:v>
                </c:pt>
                <c:pt idx="3">
                  <c:v>2018</c:v>
                </c:pt>
                <c:pt idx="4">
                  <c:v>2019</c:v>
                </c:pt>
                <c:pt idx="5">
                  <c:v>2020</c:v>
                </c:pt>
                <c:pt idx="6">
                  <c:v>2021</c:v>
                </c:pt>
              </c:numCache>
            </c:numRef>
          </c:cat>
          <c:val>
            <c:numRef>
              <c:f>(acidif!$E$295:$E$297,acidif!$E$298,acidif!$E$299,acidif!$E$300,acidif!$E$301)</c:f>
              <c:numCache>
                <c:formatCode>General</c:formatCode>
                <c:ptCount val="7"/>
                <c:pt idx="0">
                  <c:v>3.2200000000000002E-4</c:v>
                </c:pt>
                <c:pt idx="1">
                  <c:v>3.1663900000000002E-4</c:v>
                </c:pt>
                <c:pt idx="2">
                  <c:v>2.3800000000000001E-4</c:v>
                </c:pt>
                <c:pt idx="3">
                  <c:v>2.6753999999999998E-4</c:v>
                </c:pt>
                <c:pt idx="4">
                  <c:v>2.7453999999999998E-4</c:v>
                </c:pt>
                <c:pt idx="5">
                  <c:v>0</c:v>
                </c:pt>
                <c:pt idx="6">
                  <c:v>9.1979000000000001E-7</c:v>
                </c:pt>
              </c:numCache>
            </c:numRef>
          </c:val>
          <c:extLst>
            <c:ext xmlns:c16="http://schemas.microsoft.com/office/drawing/2014/chart" uri="{C3380CC4-5D6E-409C-BE32-E72D297353CC}">
              <c16:uniqueId val="{00000002-AD08-4E04-B1F9-AEEBF18F786F}"/>
            </c:ext>
          </c:extLst>
        </c:ser>
        <c:ser>
          <c:idx val="3"/>
          <c:order val="3"/>
          <c:tx>
            <c:strRef>
              <c:f>acidif!$F$292</c:f>
              <c:strCache>
                <c:ptCount val="1"/>
                <c:pt idx="0">
                  <c:v>SOX - Gg</c:v>
                </c:pt>
              </c:strCache>
            </c:strRef>
          </c:tx>
          <c:spPr>
            <a:solidFill>
              <a:srgbClr val="8A3CC4"/>
            </a:solidFill>
            <a:ln>
              <a:noFill/>
            </a:ln>
            <a:effectLst/>
            <a:scene3d>
              <a:camera prst="orthographicFront"/>
              <a:lightRig rig="threePt" dir="t"/>
            </a:scene3d>
            <a:sp3d>
              <a:bevelT/>
            </a:sp3d>
          </c:spPr>
          <c:invertIfNegative val="0"/>
          <c:cat>
            <c:numRef>
              <c:f>(acidif!$A$295:$A$297,acidif!$A$298,acidif!$A$299,acidif!$A$300,acidif!$A$301)</c:f>
              <c:numCache>
                <c:formatCode>General</c:formatCode>
                <c:ptCount val="7"/>
                <c:pt idx="0">
                  <c:v>2015</c:v>
                </c:pt>
                <c:pt idx="1">
                  <c:v>2016</c:v>
                </c:pt>
                <c:pt idx="2">
                  <c:v>2017</c:v>
                </c:pt>
                <c:pt idx="3">
                  <c:v>2018</c:v>
                </c:pt>
                <c:pt idx="4">
                  <c:v>2019</c:v>
                </c:pt>
                <c:pt idx="5">
                  <c:v>2020</c:v>
                </c:pt>
                <c:pt idx="6">
                  <c:v>2021</c:v>
                </c:pt>
              </c:numCache>
            </c:numRef>
          </c:cat>
          <c:val>
            <c:numRef>
              <c:f>(acidif!$F$295:$F$297,acidif!$F$298,acidif!$F$299,acidif!$F$300,acidif!$F$301)</c:f>
              <c:numCache>
                <c:formatCode>General</c:formatCode>
                <c:ptCount val="7"/>
                <c:pt idx="0">
                  <c:v>0</c:v>
                </c:pt>
                <c:pt idx="1">
                  <c:v>0</c:v>
                </c:pt>
                <c:pt idx="2">
                  <c:v>0</c:v>
                </c:pt>
                <c:pt idx="3">
                  <c:v>0</c:v>
                </c:pt>
                <c:pt idx="4">
                  <c:v>0</c:v>
                </c:pt>
                <c:pt idx="5" formatCode="0.0000000000">
                  <c:v>9.344E-7</c:v>
                </c:pt>
                <c:pt idx="6">
                  <c:v>0</c:v>
                </c:pt>
              </c:numCache>
            </c:numRef>
          </c:val>
          <c:extLst>
            <c:ext xmlns:c16="http://schemas.microsoft.com/office/drawing/2014/chart" uri="{C3380CC4-5D6E-409C-BE32-E72D297353CC}">
              <c16:uniqueId val="{00000003-AD08-4E04-B1F9-AEEBF18F786F}"/>
            </c:ext>
          </c:extLst>
        </c:ser>
        <c:dLbls>
          <c:showLegendKey val="0"/>
          <c:showVal val="0"/>
          <c:showCatName val="0"/>
          <c:showSerName val="0"/>
          <c:showPercent val="0"/>
          <c:showBubbleSize val="0"/>
        </c:dLbls>
        <c:gapWidth val="139"/>
        <c:overlap val="13"/>
        <c:axId val="128408960"/>
        <c:axId val="128423040"/>
      </c:barChart>
      <c:catAx>
        <c:axId val="12840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423040"/>
        <c:crosses val="autoZero"/>
        <c:auto val="1"/>
        <c:lblAlgn val="ctr"/>
        <c:lblOffset val="100"/>
        <c:noMultiLvlLbl val="0"/>
      </c:catAx>
      <c:valAx>
        <c:axId val="12842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408960"/>
        <c:crosses val="autoZero"/>
        <c:crossBetween val="between"/>
      </c:valAx>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prec.O3!$C$16</c:f>
              <c:strCache>
                <c:ptCount val="1"/>
                <c:pt idx="0">
                  <c:v>CH4 - Mg</c:v>
                </c:pt>
              </c:strCache>
            </c:strRef>
          </c:tx>
          <c:spPr>
            <a:solidFill>
              <a:srgbClr val="D9B99B"/>
            </a:solidFill>
            <a:scene3d>
              <a:camera prst="orthographicFront"/>
              <a:lightRig rig="threePt" dir="t"/>
            </a:scene3d>
            <a:sp3d>
              <a:bevelT/>
            </a:sp3d>
          </c:spPr>
          <c:invertIfNegative val="0"/>
          <c:trendline>
            <c:spPr>
              <a:ln w="19050">
                <a:solidFill>
                  <a:srgbClr val="D9B99B"/>
                </a:solidFill>
                <a:prstDash val="sysDash"/>
              </a:ln>
            </c:spPr>
            <c:trendlineType val="linear"/>
            <c:dispRSqr val="0"/>
            <c:dispEq val="0"/>
          </c:trendline>
          <c:cat>
            <c:numRef>
              <c:f>(prec.O3!$B$17:$B$23,prec.O3!$B$24,prec.O3!$B$25)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(prec.O3!$C$17:$C$23,prec.O3!$C$24,prec.O3!$C$25)</c:f>
              <c:numCache>
                <c:formatCode>0.0000</c:formatCode>
                <c:ptCount val="9"/>
                <c:pt idx="0">
                  <c:v>52.910184926100001</c:v>
                </c:pt>
                <c:pt idx="1">
                  <c:v>20.585895177000001</c:v>
                </c:pt>
                <c:pt idx="2">
                  <c:v>35.858713124499999</c:v>
                </c:pt>
                <c:pt idx="3">
                  <c:v>25.785704704</c:v>
                </c:pt>
                <c:pt idx="4">
                  <c:v>27.283685694000003</c:v>
                </c:pt>
                <c:pt idx="5">
                  <c:v>29.627748244999999</c:v>
                </c:pt>
                <c:pt idx="6">
                  <c:v>20.198367138999998</c:v>
                </c:pt>
                <c:pt idx="7">
                  <c:v>19.532743823499999</c:v>
                </c:pt>
                <c:pt idx="8">
                  <c:v>18.5001163142</c:v>
                </c:pt>
              </c:numCache>
            </c:numRef>
          </c:val>
          <c:extLst>
            <c:ext xmlns:c16="http://schemas.microsoft.com/office/drawing/2014/chart" uri="{C3380CC4-5D6E-409C-BE32-E72D297353CC}">
              <c16:uniqueId val="{00000000-9299-42F8-B94B-597BF74711E3}"/>
            </c:ext>
          </c:extLst>
        </c:ser>
        <c:ser>
          <c:idx val="1"/>
          <c:order val="1"/>
          <c:tx>
            <c:strRef>
              <c:f>prec.O3!$D$16</c:f>
              <c:strCache>
                <c:ptCount val="1"/>
                <c:pt idx="0">
                  <c:v>CO - Gg</c:v>
                </c:pt>
              </c:strCache>
            </c:strRef>
          </c:tx>
          <c:spPr>
            <a:solidFill>
              <a:srgbClr val="FFFF00"/>
            </a:solidFill>
            <a:scene3d>
              <a:camera prst="orthographicFront"/>
              <a:lightRig rig="threePt" dir="t"/>
            </a:scene3d>
            <a:sp3d>
              <a:bevelT/>
            </a:sp3d>
          </c:spPr>
          <c:invertIfNegative val="0"/>
          <c:trendline>
            <c:spPr>
              <a:ln w="15875">
                <a:solidFill>
                  <a:srgbClr val="FFFF00"/>
                </a:solidFill>
                <a:prstDash val="sysDash"/>
              </a:ln>
            </c:spPr>
            <c:trendlineType val="linear"/>
            <c:dispRSqr val="0"/>
            <c:dispEq val="0"/>
          </c:trendline>
          <c:cat>
            <c:numRef>
              <c:f>(prec.O3!$B$17:$B$23,prec.O3!$B$24,prec.O3!$B$25)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(prec.O3!$D$17:$D$23,prec.O3!$D$24,prec.O3!$D$25)</c:f>
              <c:numCache>
                <c:formatCode>0.000000000</c:formatCode>
                <c:ptCount val="9"/>
                <c:pt idx="0" formatCode="General">
                  <c:v>25.05456237817365</c:v>
                </c:pt>
                <c:pt idx="1">
                  <c:v>21.803786003531297</c:v>
                </c:pt>
                <c:pt idx="2" formatCode="General">
                  <c:v>22.420826255540327</c:v>
                </c:pt>
                <c:pt idx="3">
                  <c:v>23.755524755346769</c:v>
                </c:pt>
                <c:pt idx="4" formatCode="0.0000000000">
                  <c:v>17.477084867125967</c:v>
                </c:pt>
                <c:pt idx="5" formatCode="General">
                  <c:v>15.456918086362684</c:v>
                </c:pt>
                <c:pt idx="6" formatCode="General">
                  <c:v>13.410942596000892</c:v>
                </c:pt>
                <c:pt idx="7" formatCode="0.0000">
                  <c:v>10.278590153013983</c:v>
                </c:pt>
                <c:pt idx="8" formatCode="0.0000">
                  <c:v>13.659104748592251</c:v>
                </c:pt>
              </c:numCache>
            </c:numRef>
          </c:val>
          <c:extLst>
            <c:ext xmlns:c16="http://schemas.microsoft.com/office/drawing/2014/chart" uri="{C3380CC4-5D6E-409C-BE32-E72D297353CC}">
              <c16:uniqueId val="{00000001-9299-42F8-B94B-597BF74711E3}"/>
            </c:ext>
          </c:extLst>
        </c:ser>
        <c:ser>
          <c:idx val="2"/>
          <c:order val="2"/>
          <c:tx>
            <c:strRef>
              <c:f>prec.O3!$E$16</c:f>
              <c:strCache>
                <c:ptCount val="1"/>
                <c:pt idx="0">
                  <c:v>NMVOC - Gg</c:v>
                </c:pt>
              </c:strCache>
            </c:strRef>
          </c:tx>
          <c:spPr>
            <a:solidFill>
              <a:srgbClr val="00B0F0"/>
            </a:solidFill>
            <a:scene3d>
              <a:camera prst="orthographicFront"/>
              <a:lightRig rig="threePt" dir="t"/>
            </a:scene3d>
            <a:sp3d>
              <a:bevelT/>
            </a:sp3d>
          </c:spPr>
          <c:invertIfNegative val="0"/>
          <c:trendline>
            <c:spPr>
              <a:ln w="15875">
                <a:solidFill>
                  <a:srgbClr val="00B0F0"/>
                </a:solidFill>
                <a:prstDash val="sysDash"/>
              </a:ln>
            </c:spPr>
            <c:trendlineType val="linear"/>
            <c:dispRSqr val="0"/>
            <c:dispEq val="0"/>
          </c:trendline>
          <c:cat>
            <c:numRef>
              <c:f>(prec.O3!$B$17:$B$23,prec.O3!$B$24,prec.O3!$B$25)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(prec.O3!$E$17:$E$23,prec.O3!$E$24,prec.O3!$E$25)</c:f>
              <c:numCache>
                <c:formatCode>0.00000000000000</c:formatCode>
                <c:ptCount val="9"/>
                <c:pt idx="0" formatCode="General">
                  <c:v>5.9946155715204625</c:v>
                </c:pt>
                <c:pt idx="1">
                  <c:v>6.335027533527958</c:v>
                </c:pt>
                <c:pt idx="2" formatCode="General">
                  <c:v>4.8001034632478845</c:v>
                </c:pt>
                <c:pt idx="3">
                  <c:v>5.1677535870418119</c:v>
                </c:pt>
                <c:pt idx="4" formatCode="0.0000000000">
                  <c:v>4.3138668982605797</c:v>
                </c:pt>
                <c:pt idx="5" formatCode="General">
                  <c:v>4.0873703651914433</c:v>
                </c:pt>
                <c:pt idx="6" formatCode="General">
                  <c:v>3.8973510811992611</c:v>
                </c:pt>
                <c:pt idx="7" formatCode="0.0000">
                  <c:v>3.6228640397597132</c:v>
                </c:pt>
                <c:pt idx="8" formatCode="0.0000">
                  <c:v>3.9871931484122012</c:v>
                </c:pt>
              </c:numCache>
            </c:numRef>
          </c:val>
          <c:extLst>
            <c:ext xmlns:c16="http://schemas.microsoft.com/office/drawing/2014/chart" uri="{C3380CC4-5D6E-409C-BE32-E72D297353CC}">
              <c16:uniqueId val="{00000002-9299-42F8-B94B-597BF74711E3}"/>
            </c:ext>
          </c:extLst>
        </c:ser>
        <c:ser>
          <c:idx val="3"/>
          <c:order val="3"/>
          <c:tx>
            <c:strRef>
              <c:f>prec.O3!$F$16</c:f>
              <c:strCache>
                <c:ptCount val="1"/>
                <c:pt idx="0">
                  <c:v>NOX - Gg</c:v>
                </c:pt>
              </c:strCache>
            </c:strRef>
          </c:tx>
          <c:spPr>
            <a:solidFill>
              <a:srgbClr val="C00000"/>
            </a:solidFill>
            <a:scene3d>
              <a:camera prst="orthographicFront"/>
              <a:lightRig rig="threePt" dir="t"/>
            </a:scene3d>
            <a:sp3d>
              <a:bevelT/>
            </a:sp3d>
          </c:spPr>
          <c:invertIfNegative val="0"/>
          <c:trendline>
            <c:spPr>
              <a:ln w="15875">
                <a:solidFill>
                  <a:srgbClr val="C00000"/>
                </a:solidFill>
                <a:prstDash val="sysDash"/>
              </a:ln>
            </c:spPr>
            <c:trendlineType val="linear"/>
            <c:dispRSqr val="0"/>
            <c:dispEq val="0"/>
          </c:trendline>
          <c:cat>
            <c:numRef>
              <c:f>(prec.O3!$B$17:$B$23,prec.O3!$B$24,prec.O3!$B$25)</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(prec.O3!$F$17:$F$23,prec.O3!$F$24,prec.O3!$F$25)</c:f>
              <c:numCache>
                <c:formatCode>0.00000000000000</c:formatCode>
                <c:ptCount val="9"/>
                <c:pt idx="0" formatCode="General">
                  <c:v>2.2390410648252521</c:v>
                </c:pt>
                <c:pt idx="1">
                  <c:v>2.0292035963779056</c:v>
                </c:pt>
                <c:pt idx="2" formatCode="General">
                  <c:v>2.1497451707965252</c:v>
                </c:pt>
                <c:pt idx="3">
                  <c:v>2.2223695502236538</c:v>
                </c:pt>
                <c:pt idx="4" formatCode="0.0000000000">
                  <c:v>2.8924974229245457</c:v>
                </c:pt>
                <c:pt idx="5" formatCode="General">
                  <c:v>2.8437402799048703</c:v>
                </c:pt>
                <c:pt idx="6" formatCode="General">
                  <c:v>1.9656645769108856</c:v>
                </c:pt>
                <c:pt idx="7" formatCode="0.0000">
                  <c:v>2.2902613885044385</c:v>
                </c:pt>
                <c:pt idx="8" formatCode="0.0000">
                  <c:v>1.9353416663404663</c:v>
                </c:pt>
              </c:numCache>
            </c:numRef>
          </c:val>
          <c:extLst>
            <c:ext xmlns:c16="http://schemas.microsoft.com/office/drawing/2014/chart" uri="{C3380CC4-5D6E-409C-BE32-E72D297353CC}">
              <c16:uniqueId val="{00000003-9299-42F8-B94B-597BF74711E3}"/>
            </c:ext>
          </c:extLst>
        </c:ser>
        <c:dLbls>
          <c:showLegendKey val="0"/>
          <c:showVal val="0"/>
          <c:showCatName val="0"/>
          <c:showSerName val="0"/>
          <c:showPercent val="0"/>
          <c:showBubbleSize val="0"/>
        </c:dLbls>
        <c:gapWidth val="134"/>
        <c:overlap val="22"/>
        <c:axId val="127867520"/>
        <c:axId val="127873408"/>
      </c:barChart>
      <c:catAx>
        <c:axId val="127867520"/>
        <c:scaling>
          <c:orientation val="minMax"/>
        </c:scaling>
        <c:delete val="0"/>
        <c:axPos val="b"/>
        <c:numFmt formatCode="General" sourceLinked="1"/>
        <c:majorTickMark val="out"/>
        <c:minorTickMark val="none"/>
        <c:tickLblPos val="nextTo"/>
        <c:txPr>
          <a:bodyPr/>
          <a:lstStyle/>
          <a:p>
            <a:pPr>
              <a:defRPr b="1"/>
            </a:pPr>
            <a:endParaRPr lang="en-US"/>
          </a:p>
        </c:txPr>
        <c:crossAx val="127873408"/>
        <c:crosses val="autoZero"/>
        <c:auto val="1"/>
        <c:lblAlgn val="ctr"/>
        <c:lblOffset val="100"/>
        <c:noMultiLvlLbl val="0"/>
      </c:catAx>
      <c:valAx>
        <c:axId val="127873408"/>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crossAx val="127867520"/>
        <c:crosses val="autoZero"/>
        <c:crossBetween val="between"/>
      </c:valAx>
    </c:plotArea>
    <c:legend>
      <c:legendPos val="b"/>
      <c:legendEntry>
        <c:idx val="4"/>
        <c:delete val="1"/>
      </c:legendEntry>
      <c:legendEntry>
        <c:idx val="5"/>
        <c:delete val="1"/>
      </c:legendEntry>
      <c:legendEntry>
        <c:idx val="6"/>
        <c:delete val="1"/>
      </c:legendEntry>
      <c:legendEntry>
        <c:idx val="7"/>
        <c:delete val="1"/>
      </c:legendEntry>
      <c:overlay val="0"/>
      <c:txPr>
        <a:bodyPr/>
        <a:lstStyle/>
        <a:p>
          <a:pPr>
            <a:defRPr sz="105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prec.O3!$D$31</c:f>
              <c:strCache>
                <c:ptCount val="1"/>
                <c:pt idx="0">
                  <c:v>CO - Gg</c:v>
                </c:pt>
              </c:strCache>
            </c:strRef>
          </c:tx>
          <c:spPr>
            <a:solidFill>
              <a:srgbClr val="FFFF00"/>
            </a:solidFill>
            <a:scene3d>
              <a:camera prst="orthographicFront"/>
              <a:lightRig rig="threePt" dir="t"/>
            </a:scene3d>
            <a:sp3d>
              <a:bevelT/>
            </a:sp3d>
          </c:spPr>
          <c:invertIfNegative val="0"/>
          <c:trendline>
            <c:spPr>
              <a:ln w="19050">
                <a:solidFill>
                  <a:srgbClr val="FFFF00"/>
                </a:solidFill>
                <a:prstDash val="sysDash"/>
              </a:ln>
            </c:spPr>
            <c:trendlineType val="linear"/>
            <c:dispRSqr val="0"/>
            <c:dispEq val="0"/>
          </c:trendline>
          <c:cat>
            <c:numRef>
              <c:f>(prec.O3!$B$32:$B$36,prec.O3!$B$37:$B$39,prec.O3!$B$40)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(prec.O3!$D$32:$D$36,prec.O3!$D$37:$D$39,prec.O3!$D$40)</c:f>
              <c:numCache>
                <c:formatCode>0.0000</c:formatCode>
                <c:ptCount val="9"/>
                <c:pt idx="0">
                  <c:v>21.923155420507179</c:v>
                </c:pt>
                <c:pt idx="1">
                  <c:v>20.798832169440047</c:v>
                </c:pt>
                <c:pt idx="2">
                  <c:v>19.323812669941127</c:v>
                </c:pt>
                <c:pt idx="3">
                  <c:v>21.308200188878171</c:v>
                </c:pt>
                <c:pt idx="4">
                  <c:v>14.818747427593969</c:v>
                </c:pt>
                <c:pt idx="5">
                  <c:v>12.612649297951084</c:v>
                </c:pt>
                <c:pt idx="6">
                  <c:v>11.703195000557493</c:v>
                </c:pt>
                <c:pt idx="7">
                  <c:v>8.709220265370984</c:v>
                </c:pt>
                <c:pt idx="8" formatCode="0.00000">
                  <c:v>12.170057291970652</c:v>
                </c:pt>
              </c:numCache>
            </c:numRef>
          </c:val>
          <c:extLst>
            <c:ext xmlns:c16="http://schemas.microsoft.com/office/drawing/2014/chart" uri="{C3380CC4-5D6E-409C-BE32-E72D297353CC}">
              <c16:uniqueId val="{00000000-98C8-4EC5-9EF1-0A731EBDA45D}"/>
            </c:ext>
          </c:extLst>
        </c:ser>
        <c:ser>
          <c:idx val="1"/>
          <c:order val="1"/>
          <c:tx>
            <c:strRef>
              <c:f>prec.O3!$E$31</c:f>
              <c:strCache>
                <c:ptCount val="1"/>
                <c:pt idx="0">
                  <c:v>NMVOC - Gg</c:v>
                </c:pt>
              </c:strCache>
            </c:strRef>
          </c:tx>
          <c:spPr>
            <a:solidFill>
              <a:srgbClr val="00B0F0"/>
            </a:solidFill>
            <a:scene3d>
              <a:camera prst="orthographicFront"/>
              <a:lightRig rig="threePt" dir="t"/>
            </a:scene3d>
            <a:sp3d>
              <a:bevelT/>
            </a:sp3d>
          </c:spPr>
          <c:invertIfNegative val="0"/>
          <c:trendline>
            <c:spPr>
              <a:ln w="19050">
                <a:solidFill>
                  <a:srgbClr val="00B0F0"/>
                </a:solidFill>
                <a:prstDash val="sysDash"/>
              </a:ln>
            </c:spPr>
            <c:trendlineType val="linear"/>
            <c:dispRSqr val="0"/>
            <c:dispEq val="0"/>
          </c:trendline>
          <c:cat>
            <c:numRef>
              <c:f>(prec.O3!$B$32:$B$36,prec.O3!$B$37:$B$39,prec.O3!$B$40)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(prec.O3!$E$32:$E$36,prec.O3!$E$37:$E$39,prec.O3!$E$40)</c:f>
              <c:numCache>
                <c:formatCode>0.0000</c:formatCode>
                <c:ptCount val="9"/>
                <c:pt idx="0">
                  <c:v>3.8820009159194844</c:v>
                </c:pt>
                <c:pt idx="1">
                  <c:v>3.8182863038920103</c:v>
                </c:pt>
                <c:pt idx="2">
                  <c:v>2.8608757064733856</c:v>
                </c:pt>
                <c:pt idx="3">
                  <c:v>3.0538568003498106</c:v>
                </c:pt>
                <c:pt idx="4">
                  <c:v>2.2251780503555794</c:v>
                </c:pt>
                <c:pt idx="5">
                  <c:v>1.7682425104694428</c:v>
                </c:pt>
                <c:pt idx="6">
                  <c:v>1.6350591204922607</c:v>
                </c:pt>
                <c:pt idx="7">
                  <c:v>1.3026698581872136</c:v>
                </c:pt>
                <c:pt idx="8" formatCode="0.00000">
                  <c:v>1.7757371534639008</c:v>
                </c:pt>
              </c:numCache>
            </c:numRef>
          </c:val>
          <c:extLst>
            <c:ext xmlns:c16="http://schemas.microsoft.com/office/drawing/2014/chart" uri="{C3380CC4-5D6E-409C-BE32-E72D297353CC}">
              <c16:uniqueId val="{00000001-98C8-4EC5-9EF1-0A731EBDA45D}"/>
            </c:ext>
          </c:extLst>
        </c:ser>
        <c:dLbls>
          <c:showLegendKey val="0"/>
          <c:showVal val="0"/>
          <c:showCatName val="0"/>
          <c:showSerName val="0"/>
          <c:showPercent val="0"/>
          <c:showBubbleSize val="0"/>
        </c:dLbls>
        <c:gapWidth val="150"/>
        <c:axId val="127934464"/>
        <c:axId val="127936000"/>
      </c:barChart>
      <c:barChart>
        <c:barDir val="col"/>
        <c:grouping val="clustered"/>
        <c:varyColors val="0"/>
        <c:ser>
          <c:idx val="2"/>
          <c:order val="2"/>
          <c:tx>
            <c:strRef>
              <c:f>prec.O3!$F$31</c:f>
              <c:strCache>
                <c:ptCount val="1"/>
                <c:pt idx="0">
                  <c:v>NOX -Gg</c:v>
                </c:pt>
              </c:strCache>
            </c:strRef>
          </c:tx>
          <c:spPr>
            <a:solidFill>
              <a:srgbClr val="C00000"/>
            </a:solidFill>
            <a:scene3d>
              <a:camera prst="orthographicFront"/>
              <a:lightRig rig="threePt" dir="t"/>
            </a:scene3d>
            <a:sp3d>
              <a:bevelT/>
            </a:sp3d>
          </c:spPr>
          <c:invertIfNegative val="0"/>
          <c:trendline>
            <c:spPr>
              <a:ln w="19050">
                <a:solidFill>
                  <a:srgbClr val="C00000"/>
                </a:solidFill>
                <a:prstDash val="sysDash"/>
              </a:ln>
            </c:spPr>
            <c:trendlineType val="linear"/>
            <c:dispRSqr val="0"/>
            <c:dispEq val="0"/>
          </c:trendline>
          <c:cat>
            <c:numRef>
              <c:f>(prec.O3!$B$32:$B$36,prec.O3!$B$37:$B$39,prec.O3!$B$40)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(prec.O3!$F$32:$F$36,prec.O3!$F$37:$F$39,prec.O3!$F$40)</c:f>
              <c:numCache>
                <c:formatCode>0.0000</c:formatCode>
                <c:ptCount val="9"/>
                <c:pt idx="0">
                  <c:v>0.71882203558319735</c:v>
                </c:pt>
                <c:pt idx="1">
                  <c:v>0.44796214647724547</c:v>
                </c:pt>
                <c:pt idx="2">
                  <c:v>0.48604609806332516</c:v>
                </c:pt>
                <c:pt idx="3">
                  <c:v>0.43987424548505344</c:v>
                </c:pt>
                <c:pt idx="4">
                  <c:v>0.85212468796154583</c:v>
                </c:pt>
                <c:pt idx="5">
                  <c:v>0.83268369219527028</c:v>
                </c:pt>
                <c:pt idx="6">
                  <c:v>0.3274651283334854</c:v>
                </c:pt>
                <c:pt idx="7">
                  <c:v>0.28898107128593858</c:v>
                </c:pt>
                <c:pt idx="8" formatCode="0.00000">
                  <c:v>0.3134253429923663</c:v>
                </c:pt>
              </c:numCache>
            </c:numRef>
          </c:val>
          <c:extLst>
            <c:ext xmlns:c16="http://schemas.microsoft.com/office/drawing/2014/chart" uri="{C3380CC4-5D6E-409C-BE32-E72D297353CC}">
              <c16:uniqueId val="{00000002-98C8-4EC5-9EF1-0A731EBDA45D}"/>
            </c:ext>
          </c:extLst>
        </c:ser>
        <c:dLbls>
          <c:showLegendKey val="0"/>
          <c:showVal val="0"/>
          <c:showCatName val="0"/>
          <c:showSerName val="0"/>
          <c:showPercent val="0"/>
          <c:showBubbleSize val="0"/>
        </c:dLbls>
        <c:gapWidth val="421"/>
        <c:axId val="127947904"/>
        <c:axId val="127937536"/>
      </c:barChart>
      <c:catAx>
        <c:axId val="127934464"/>
        <c:scaling>
          <c:orientation val="minMax"/>
        </c:scaling>
        <c:delete val="0"/>
        <c:axPos val="b"/>
        <c:numFmt formatCode="General" sourceLinked="1"/>
        <c:majorTickMark val="out"/>
        <c:minorTickMark val="none"/>
        <c:tickLblPos val="nextTo"/>
        <c:crossAx val="127936000"/>
        <c:crosses val="autoZero"/>
        <c:auto val="1"/>
        <c:lblAlgn val="ctr"/>
        <c:lblOffset val="100"/>
        <c:noMultiLvlLbl val="0"/>
      </c:catAx>
      <c:valAx>
        <c:axId val="127936000"/>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crossAx val="127934464"/>
        <c:crosses val="autoZero"/>
        <c:crossBetween val="between"/>
      </c:valAx>
      <c:valAx>
        <c:axId val="127937536"/>
        <c:scaling>
          <c:orientation val="minMax"/>
        </c:scaling>
        <c:delete val="0"/>
        <c:axPos val="r"/>
        <c:title>
          <c:tx>
            <c:rich>
              <a:bodyPr rot="-5400000" vert="horz"/>
              <a:lstStyle/>
              <a:p>
                <a:pPr>
                  <a:defRPr/>
                </a:pPr>
                <a:r>
                  <a:rPr lang="en-US"/>
                  <a:t>NOx</a:t>
                </a:r>
              </a:p>
            </c:rich>
          </c:tx>
          <c:overlay val="0"/>
        </c:title>
        <c:numFmt formatCode="0.0" sourceLinked="0"/>
        <c:majorTickMark val="out"/>
        <c:minorTickMark val="none"/>
        <c:tickLblPos val="nextTo"/>
        <c:crossAx val="127947904"/>
        <c:crosses val="max"/>
        <c:crossBetween val="between"/>
      </c:valAx>
      <c:catAx>
        <c:axId val="127947904"/>
        <c:scaling>
          <c:orientation val="minMax"/>
        </c:scaling>
        <c:delete val="1"/>
        <c:axPos val="b"/>
        <c:numFmt formatCode="General" sourceLinked="1"/>
        <c:majorTickMark val="out"/>
        <c:minorTickMark val="none"/>
        <c:tickLblPos val="none"/>
        <c:crossAx val="127937536"/>
        <c:crosses val="autoZero"/>
        <c:auto val="1"/>
        <c:lblAlgn val="ctr"/>
        <c:lblOffset val="100"/>
        <c:noMultiLvlLbl val="0"/>
      </c:catAx>
    </c:plotArea>
    <c:legend>
      <c:legendPos val="b"/>
      <c:legendEntry>
        <c:idx val="3"/>
        <c:delete val="1"/>
      </c:legendEntry>
      <c:legendEntry>
        <c:idx val="4"/>
        <c:delete val="1"/>
      </c:legendEntry>
      <c:legendEntry>
        <c:idx val="5"/>
        <c:delete val="1"/>
      </c:legendEntry>
      <c:overlay val="0"/>
      <c:txPr>
        <a:bodyPr/>
        <a:lstStyle/>
        <a:p>
          <a:pPr>
            <a:defRPr sz="1100" b="1"/>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prec.O3!$E$49</c:f>
              <c:strCache>
                <c:ptCount val="1"/>
                <c:pt idx="0">
                  <c:v>NMVOC - Gg</c:v>
                </c:pt>
              </c:strCache>
            </c:strRef>
          </c:tx>
          <c:spPr>
            <a:solidFill>
              <a:srgbClr val="00B0F0"/>
            </a:solidFill>
            <a:scene3d>
              <a:camera prst="orthographicFront"/>
              <a:lightRig rig="threePt" dir="t"/>
            </a:scene3d>
            <a:sp3d>
              <a:bevelT/>
            </a:sp3d>
          </c:spPr>
          <c:invertIfNegative val="0"/>
          <c:trendline>
            <c:spPr>
              <a:ln w="19050">
                <a:solidFill>
                  <a:srgbClr val="00B0F0"/>
                </a:solidFill>
                <a:prstDash val="dash"/>
              </a:ln>
            </c:spPr>
            <c:trendlineType val="linear"/>
            <c:dispRSqr val="0"/>
            <c:dispEq val="0"/>
          </c:trendline>
          <c:cat>
            <c:numRef>
              <c:f>(prec.O3!$A$50:$A$55,prec.O3!$A$56)</c:f>
              <c:numCache>
                <c:formatCode>General</c:formatCode>
                <c:ptCount val="7"/>
                <c:pt idx="0">
                  <c:v>2015</c:v>
                </c:pt>
                <c:pt idx="1">
                  <c:v>2016</c:v>
                </c:pt>
                <c:pt idx="2">
                  <c:v>2017</c:v>
                </c:pt>
                <c:pt idx="3">
                  <c:v>2018</c:v>
                </c:pt>
                <c:pt idx="4">
                  <c:v>2019</c:v>
                </c:pt>
                <c:pt idx="5">
                  <c:v>2020</c:v>
                </c:pt>
                <c:pt idx="6">
                  <c:v>2021</c:v>
                </c:pt>
              </c:numCache>
            </c:numRef>
          </c:cat>
          <c:val>
            <c:numRef>
              <c:f>(prec.O3!$E$50:$E$55,prec.O3!$E$56)</c:f>
              <c:numCache>
                <c:formatCode>General</c:formatCode>
                <c:ptCount val="7"/>
                <c:pt idx="0">
                  <c:v>4.8061973056000004E-2</c:v>
                </c:pt>
                <c:pt idx="1">
                  <c:v>7.3856690389999993E-2</c:v>
                </c:pt>
                <c:pt idx="2">
                  <c:v>4.6330337069999998E-2</c:v>
                </c:pt>
                <c:pt idx="3">
                  <c:v>6.0889126128000001E-2</c:v>
                </c:pt>
                <c:pt idx="4">
                  <c:v>4.355119944E-2</c:v>
                </c:pt>
                <c:pt idx="5">
                  <c:v>6.2234883960000001E-2</c:v>
                </c:pt>
                <c:pt idx="6">
                  <c:v>1.777219833617295E-2</c:v>
                </c:pt>
              </c:numCache>
            </c:numRef>
          </c:val>
          <c:extLst>
            <c:ext xmlns:c16="http://schemas.microsoft.com/office/drawing/2014/chart" uri="{C3380CC4-5D6E-409C-BE32-E72D297353CC}">
              <c16:uniqueId val="{00000000-2C6C-46FB-87BC-61A577923DD3}"/>
            </c:ext>
          </c:extLst>
        </c:ser>
        <c:dLbls>
          <c:showLegendKey val="0"/>
          <c:showVal val="0"/>
          <c:showCatName val="0"/>
          <c:showSerName val="0"/>
          <c:showPercent val="0"/>
          <c:showBubbleSize val="0"/>
        </c:dLbls>
        <c:gapWidth val="150"/>
        <c:axId val="129345792"/>
        <c:axId val="129355776"/>
      </c:barChart>
      <c:catAx>
        <c:axId val="129345792"/>
        <c:scaling>
          <c:orientation val="minMax"/>
        </c:scaling>
        <c:delete val="0"/>
        <c:axPos val="b"/>
        <c:numFmt formatCode="General" sourceLinked="1"/>
        <c:majorTickMark val="out"/>
        <c:minorTickMark val="none"/>
        <c:tickLblPos val="nextTo"/>
        <c:txPr>
          <a:bodyPr/>
          <a:lstStyle/>
          <a:p>
            <a:pPr>
              <a:defRPr sz="1100" b="1"/>
            </a:pPr>
            <a:endParaRPr lang="en-US"/>
          </a:p>
        </c:txPr>
        <c:crossAx val="129355776"/>
        <c:crosses val="autoZero"/>
        <c:auto val="1"/>
        <c:lblAlgn val="ctr"/>
        <c:lblOffset val="100"/>
        <c:noMultiLvlLbl val="0"/>
      </c:catAx>
      <c:valAx>
        <c:axId val="129355776"/>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129345792"/>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prec.O3!$D$98</c:f>
              <c:strCache>
                <c:ptCount val="1"/>
                <c:pt idx="0">
                  <c:v>CO - Gg</c:v>
                </c:pt>
              </c:strCache>
            </c:strRef>
          </c:tx>
          <c:spPr>
            <a:solidFill>
              <a:srgbClr val="FFFF00"/>
            </a:solidFill>
            <a:scene3d>
              <a:camera prst="orthographicFront"/>
              <a:lightRig rig="threePt" dir="t"/>
            </a:scene3d>
            <a:sp3d>
              <a:bevelT/>
            </a:sp3d>
          </c:spPr>
          <c:invertIfNegative val="0"/>
          <c:trendline>
            <c:spPr>
              <a:ln w="19050">
                <a:solidFill>
                  <a:srgbClr val="FFFF00"/>
                </a:solidFill>
                <a:prstDash val="dash"/>
              </a:ln>
            </c:spPr>
            <c:trendlineType val="linear"/>
            <c:dispRSqr val="0"/>
            <c:dispEq val="0"/>
          </c:trendline>
          <c:cat>
            <c:numRef>
              <c:f>(prec.O3!$B$99:$B$103,prec.O3!$B$104:$B$105,prec.O3!$B$106,prec.O3!$B$107)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(prec.O3!$D$99:$D$103,prec.O3!$D$104:$D$105,prec.O3!$D$106,prec.O3!$D$107)</c:f>
              <c:numCache>
                <c:formatCode>0.0000</c:formatCode>
                <c:ptCount val="9"/>
                <c:pt idx="0">
                  <c:v>3.1306819581664698</c:v>
                </c:pt>
                <c:pt idx="1">
                  <c:v>1.0046272840912469</c:v>
                </c:pt>
                <c:pt idx="2">
                  <c:v>3.0966570855992002</c:v>
                </c:pt>
                <c:pt idx="3">
                  <c:v>2.4469736964685991</c:v>
                </c:pt>
                <c:pt idx="4">
                  <c:v>2.6580739395319997</c:v>
                </c:pt>
                <c:pt idx="5">
                  <c:v>2.8439725834115999</c:v>
                </c:pt>
                <c:pt idx="6">
                  <c:v>1.7074436404434001</c:v>
                </c:pt>
                <c:pt idx="7">
                  <c:v>1.5693684960429999</c:v>
                </c:pt>
                <c:pt idx="8">
                  <c:v>1.4890460867216</c:v>
                </c:pt>
              </c:numCache>
            </c:numRef>
          </c:val>
          <c:extLst>
            <c:ext xmlns:c16="http://schemas.microsoft.com/office/drawing/2014/chart" uri="{C3380CC4-5D6E-409C-BE32-E72D297353CC}">
              <c16:uniqueId val="{00000000-37BF-44DB-A5CA-DC90962CA649}"/>
            </c:ext>
          </c:extLst>
        </c:ser>
        <c:ser>
          <c:idx val="3"/>
          <c:order val="2"/>
          <c:tx>
            <c:strRef>
              <c:f>prec.O3!$F$98</c:f>
              <c:strCache>
                <c:ptCount val="1"/>
                <c:pt idx="0">
                  <c:v>NOX - Gg</c:v>
                </c:pt>
              </c:strCache>
            </c:strRef>
          </c:tx>
          <c:spPr>
            <a:solidFill>
              <a:srgbClr val="C00000"/>
            </a:solidFill>
            <a:scene3d>
              <a:camera prst="orthographicFront"/>
              <a:lightRig rig="threePt" dir="t"/>
            </a:scene3d>
            <a:sp3d>
              <a:bevelT/>
            </a:sp3d>
          </c:spPr>
          <c:invertIfNegative val="0"/>
          <c:trendline>
            <c:spPr>
              <a:ln w="19050">
                <a:solidFill>
                  <a:srgbClr val="C00000"/>
                </a:solidFill>
                <a:prstDash val="dash"/>
              </a:ln>
            </c:spPr>
            <c:trendlineType val="linear"/>
            <c:dispRSqr val="0"/>
            <c:dispEq val="0"/>
          </c:trendline>
          <c:cat>
            <c:numRef>
              <c:f>(prec.O3!$B$99:$B$103,prec.O3!$B$104:$B$105,prec.O3!$B$106,prec.O3!$B$107)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(prec.O3!$F$99:$F$103,prec.O3!$F$104:$F$105,prec.O3!$F$106,prec.O3!$F$107)</c:f>
              <c:numCache>
                <c:formatCode>0.0000</c:formatCode>
                <c:ptCount val="9"/>
                <c:pt idx="0">
                  <c:v>1.520122509742055</c:v>
                </c:pt>
                <c:pt idx="1">
                  <c:v>1.5811758999006607</c:v>
                </c:pt>
                <c:pt idx="2">
                  <c:v>1.6636415727331999</c:v>
                </c:pt>
                <c:pt idx="3">
                  <c:v>1.7824241147386002</c:v>
                </c:pt>
                <c:pt idx="4">
                  <c:v>2.0403302349629997</c:v>
                </c:pt>
                <c:pt idx="5">
                  <c:v>2.0110088127096</c:v>
                </c:pt>
                <c:pt idx="6">
                  <c:v>1.6381504235774</c:v>
                </c:pt>
                <c:pt idx="7">
                  <c:v>2.0012630216184997</c:v>
                </c:pt>
                <c:pt idx="8">
                  <c:v>1.6213457914481</c:v>
                </c:pt>
              </c:numCache>
            </c:numRef>
          </c:val>
          <c:extLst>
            <c:ext xmlns:c16="http://schemas.microsoft.com/office/drawing/2014/chart" uri="{C3380CC4-5D6E-409C-BE32-E72D297353CC}">
              <c16:uniqueId val="{00000001-37BF-44DB-A5CA-DC90962CA649}"/>
            </c:ext>
          </c:extLst>
        </c:ser>
        <c:dLbls>
          <c:showLegendKey val="0"/>
          <c:showVal val="0"/>
          <c:showCatName val="0"/>
          <c:showSerName val="0"/>
          <c:showPercent val="0"/>
          <c:showBubbleSize val="0"/>
        </c:dLbls>
        <c:gapWidth val="130"/>
        <c:overlap val="-100"/>
        <c:axId val="128016768"/>
        <c:axId val="128018304"/>
      </c:barChart>
      <c:barChart>
        <c:barDir val="col"/>
        <c:grouping val="clustered"/>
        <c:varyColors val="0"/>
        <c:ser>
          <c:idx val="0"/>
          <c:order val="0"/>
          <c:tx>
            <c:strRef>
              <c:f>prec.O3!$C$98</c:f>
              <c:strCache>
                <c:ptCount val="1"/>
                <c:pt idx="0">
                  <c:v>CH4 - Gg</c:v>
                </c:pt>
              </c:strCache>
            </c:strRef>
          </c:tx>
          <c:spPr>
            <a:solidFill>
              <a:srgbClr val="D6B99B"/>
            </a:solidFill>
            <a:scene3d>
              <a:camera prst="orthographicFront"/>
              <a:lightRig rig="threePt" dir="t"/>
            </a:scene3d>
            <a:sp3d>
              <a:bevelT/>
            </a:sp3d>
          </c:spPr>
          <c:invertIfNegative val="0"/>
          <c:trendline>
            <c:spPr>
              <a:ln w="22225">
                <a:solidFill>
                  <a:srgbClr val="D9B99B"/>
                </a:solidFill>
                <a:prstDash val="dash"/>
              </a:ln>
            </c:spPr>
            <c:trendlineType val="linear"/>
            <c:dispRSqr val="0"/>
            <c:dispEq val="0"/>
          </c:trendline>
          <c:cat>
            <c:numRef>
              <c:f>(prec.O3!$B$99:$B$103,prec.O3!$B$104:$B$105,prec.O3!$B$106,prec.O3!$B$107)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(prec.O3!$C$99:$C$103,prec.O3!$C$104:$C$105,prec.O3!$C$106,prec.O3!$C$107)</c:f>
              <c:numCache>
                <c:formatCode>0.0000</c:formatCode>
                <c:ptCount val="9"/>
                <c:pt idx="0">
                  <c:v>3.6845184926099998E-2</c:v>
                </c:pt>
                <c:pt idx="1">
                  <c:v>2.0585895177000001E-2</c:v>
                </c:pt>
                <c:pt idx="2">
                  <c:v>3.5633192324500004E-2</c:v>
                </c:pt>
                <c:pt idx="3">
                  <c:v>2.5744686504000001E-2</c:v>
                </c:pt>
                <c:pt idx="4">
                  <c:v>2.7247172429000002E-2</c:v>
                </c:pt>
                <c:pt idx="5">
                  <c:v>2.9587714245000001E-2</c:v>
                </c:pt>
                <c:pt idx="6">
                  <c:v>2.0190725898999999E-2</c:v>
                </c:pt>
                <c:pt idx="7">
                  <c:v>1.9522753823500001E-2</c:v>
                </c:pt>
                <c:pt idx="8">
                  <c:v>1.84942380317E-2</c:v>
                </c:pt>
              </c:numCache>
            </c:numRef>
          </c:val>
          <c:extLst>
            <c:ext xmlns:c16="http://schemas.microsoft.com/office/drawing/2014/chart" uri="{C3380CC4-5D6E-409C-BE32-E72D297353CC}">
              <c16:uniqueId val="{00000002-37BF-44DB-A5CA-DC90962CA649}"/>
            </c:ext>
          </c:extLst>
        </c:ser>
        <c:dLbls>
          <c:showLegendKey val="0"/>
          <c:showVal val="0"/>
          <c:showCatName val="0"/>
          <c:showSerName val="0"/>
          <c:showPercent val="0"/>
          <c:showBubbleSize val="0"/>
        </c:dLbls>
        <c:gapWidth val="440"/>
        <c:overlap val="-60"/>
        <c:axId val="128026496"/>
        <c:axId val="128024576"/>
      </c:barChart>
      <c:catAx>
        <c:axId val="128016768"/>
        <c:scaling>
          <c:orientation val="minMax"/>
        </c:scaling>
        <c:delete val="0"/>
        <c:axPos val="b"/>
        <c:numFmt formatCode="General" sourceLinked="1"/>
        <c:majorTickMark val="out"/>
        <c:minorTickMark val="none"/>
        <c:tickLblPos val="nextTo"/>
        <c:txPr>
          <a:bodyPr/>
          <a:lstStyle/>
          <a:p>
            <a:pPr>
              <a:defRPr b="1"/>
            </a:pPr>
            <a:endParaRPr lang="en-US"/>
          </a:p>
        </c:txPr>
        <c:crossAx val="128018304"/>
        <c:crosses val="autoZero"/>
        <c:auto val="1"/>
        <c:lblAlgn val="ctr"/>
        <c:lblOffset val="100"/>
        <c:noMultiLvlLbl val="0"/>
      </c:catAx>
      <c:valAx>
        <c:axId val="128018304"/>
        <c:scaling>
          <c:orientation val="minMax"/>
        </c:scaling>
        <c:delete val="0"/>
        <c:axPos val="l"/>
        <c:majorGridlines>
          <c:spPr>
            <a:ln>
              <a:solidFill>
                <a:schemeClr val="bg1">
                  <a:lumMod val="85000"/>
                </a:schemeClr>
              </a:solidFill>
            </a:ln>
          </c:spPr>
        </c:majorGridlines>
        <c:title>
          <c:tx>
            <c:rich>
              <a:bodyPr rot="-5400000" vert="horz"/>
              <a:lstStyle/>
              <a:p>
                <a:pPr>
                  <a:defRPr/>
                </a:pPr>
                <a:r>
                  <a:rPr lang="en-US"/>
                  <a:t>CO, NOx</a:t>
                </a:r>
              </a:p>
            </c:rich>
          </c:tx>
          <c:layout>
            <c:manualLayout>
              <c:xMode val="edge"/>
              <c:yMode val="edge"/>
              <c:x val="2.2222263314920214E-2"/>
              <c:y val="0.30151671776949296"/>
            </c:manualLayout>
          </c:layout>
          <c:overlay val="0"/>
        </c:title>
        <c:numFmt formatCode="0.0" sourceLinked="0"/>
        <c:majorTickMark val="out"/>
        <c:minorTickMark val="none"/>
        <c:tickLblPos val="nextTo"/>
        <c:crossAx val="128016768"/>
        <c:crosses val="autoZero"/>
        <c:crossBetween val="between"/>
      </c:valAx>
      <c:valAx>
        <c:axId val="128024576"/>
        <c:scaling>
          <c:orientation val="minMax"/>
        </c:scaling>
        <c:delete val="0"/>
        <c:axPos val="r"/>
        <c:title>
          <c:tx>
            <c:rich>
              <a:bodyPr rot="-5400000" vert="horz"/>
              <a:lstStyle/>
              <a:p>
                <a:pPr>
                  <a:defRPr/>
                </a:pPr>
                <a:r>
                  <a:rPr lang="en-US"/>
                  <a:t>CH4</a:t>
                </a:r>
              </a:p>
            </c:rich>
          </c:tx>
          <c:layout>
            <c:manualLayout>
              <c:xMode val="edge"/>
              <c:yMode val="edge"/>
              <c:x val="0.95511198042713708"/>
              <c:y val="0.35947428484882293"/>
            </c:manualLayout>
          </c:layout>
          <c:overlay val="0"/>
        </c:title>
        <c:numFmt formatCode="0.00" sourceLinked="0"/>
        <c:majorTickMark val="out"/>
        <c:minorTickMark val="none"/>
        <c:tickLblPos val="nextTo"/>
        <c:crossAx val="128026496"/>
        <c:crosses val="max"/>
        <c:crossBetween val="between"/>
      </c:valAx>
      <c:catAx>
        <c:axId val="128026496"/>
        <c:scaling>
          <c:orientation val="minMax"/>
        </c:scaling>
        <c:delete val="1"/>
        <c:axPos val="b"/>
        <c:numFmt formatCode="General" sourceLinked="1"/>
        <c:majorTickMark val="out"/>
        <c:minorTickMark val="none"/>
        <c:tickLblPos val="none"/>
        <c:crossAx val="128024576"/>
        <c:crosses val="autoZero"/>
        <c:auto val="1"/>
        <c:lblAlgn val="ctr"/>
        <c:lblOffset val="100"/>
        <c:noMultiLvlLbl val="0"/>
      </c:catAx>
    </c:plotArea>
    <c:legend>
      <c:legendPos val="b"/>
      <c:legendEntry>
        <c:idx val="3"/>
        <c:delete val="1"/>
      </c:legendEntry>
      <c:legendEntry>
        <c:idx val="4"/>
        <c:delete val="1"/>
      </c:legendEntry>
      <c:legendEntry>
        <c:idx val="5"/>
        <c:delete val="1"/>
      </c:legendEntry>
      <c:overlay val="0"/>
      <c:txPr>
        <a:bodyPr/>
        <a:lstStyle/>
        <a:p>
          <a:pPr>
            <a:defRPr sz="1100" b="1"/>
          </a:pPr>
          <a:endParaRPr lang="en-US"/>
        </a:p>
      </c:txPr>
    </c:legend>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prec.O3!$E$98</c:f>
              <c:strCache>
                <c:ptCount val="1"/>
                <c:pt idx="0">
                  <c:v>NMVOC - Gg</c:v>
                </c:pt>
              </c:strCache>
            </c:strRef>
          </c:tx>
          <c:spPr>
            <a:solidFill>
              <a:srgbClr val="00B0F0"/>
            </a:solidFill>
            <a:ln>
              <a:noFill/>
            </a:ln>
            <a:effectLst/>
            <a:scene3d>
              <a:camera prst="orthographicFront"/>
              <a:lightRig rig="threePt" dir="t"/>
            </a:scene3d>
            <a:sp3d>
              <a:bevelT/>
            </a:sp3d>
          </c:spPr>
          <c:invertIfNegative val="0"/>
          <c:trendline>
            <c:spPr>
              <a:ln w="25400" cap="rnd">
                <a:solidFill>
                  <a:schemeClr val="accent1"/>
                </a:solidFill>
                <a:prstDash val="dash"/>
              </a:ln>
              <a:effectLst/>
            </c:spPr>
            <c:trendlineType val="linear"/>
            <c:dispRSqr val="0"/>
            <c:dispEq val="0"/>
          </c:trendline>
          <c:cat>
            <c:numRef>
              <c:f>(prec.O3!$B$99:$B$104,prec.O3!$B$105,prec.O3!$B$106,prec.O3!$B$107)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(prec.O3!$E$99:$E$104,prec.O3!$E$105,prec.O3!$E$106,prec.O3!$E$107)</c:f>
              <c:numCache>
                <c:formatCode>0.0000</c:formatCode>
                <c:ptCount val="9"/>
                <c:pt idx="0">
                  <c:v>0.40596304201597694</c:v>
                </c:pt>
                <c:pt idx="1">
                  <c:v>0.17601112873117458</c:v>
                </c:pt>
                <c:pt idx="2">
                  <c:v>0.40949187495349998</c:v>
                </c:pt>
                <c:pt idx="3">
                  <c:v>0.44853244242700002</c:v>
                </c:pt>
                <c:pt idx="4">
                  <c:v>0.53172793103499993</c:v>
                </c:pt>
                <c:pt idx="5">
                  <c:v>0.57481824756900002</c:v>
                </c:pt>
                <c:pt idx="6">
                  <c:v>0.32187797812700003</c:v>
                </c:pt>
                <c:pt idx="7">
                  <c:v>0.31998432317249997</c:v>
                </c:pt>
                <c:pt idx="8">
                  <c:v>0.28677234141829999</c:v>
                </c:pt>
              </c:numCache>
            </c:numRef>
          </c:val>
          <c:extLst>
            <c:ext xmlns:c16="http://schemas.microsoft.com/office/drawing/2014/chart" uri="{C3380CC4-5D6E-409C-BE32-E72D297353CC}">
              <c16:uniqueId val="{00000000-84FD-4DBF-A133-C914E1FDFBD3}"/>
            </c:ext>
          </c:extLst>
        </c:ser>
        <c:dLbls>
          <c:showLegendKey val="0"/>
          <c:showVal val="0"/>
          <c:showCatName val="0"/>
          <c:showSerName val="0"/>
          <c:showPercent val="0"/>
          <c:showBubbleSize val="0"/>
        </c:dLbls>
        <c:gapWidth val="149"/>
        <c:overlap val="-27"/>
        <c:axId val="129310720"/>
        <c:axId val="129312256"/>
      </c:barChart>
      <c:catAx>
        <c:axId val="1293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312256"/>
        <c:crosses val="autoZero"/>
        <c:auto val="1"/>
        <c:lblAlgn val="ctr"/>
        <c:lblOffset val="100"/>
        <c:noMultiLvlLbl val="0"/>
      </c:catAx>
      <c:valAx>
        <c:axId val="12931225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310720"/>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PM10 gravimetric - valori lunare</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107705286839145"/>
          <c:y val="0.12555400511644904"/>
          <c:w val="0.8491610423697038"/>
          <c:h val="0.74487441443237323"/>
        </c:manualLayout>
      </c:layout>
      <c:barChart>
        <c:barDir val="col"/>
        <c:grouping val="clustered"/>
        <c:varyColors val="0"/>
        <c:ser>
          <c:idx val="0"/>
          <c:order val="0"/>
          <c:tx>
            <c:strRef>
              <c:f>'[Grafice 2021.xlsx] grafice lunare'!$B$4</c:f>
              <c:strCache>
                <c:ptCount val="1"/>
              </c:strCache>
            </c:strRef>
          </c:tx>
          <c:spPr>
            <a:solidFill>
              <a:schemeClr val="accent1"/>
            </a:solidFill>
            <a:ln>
              <a:noFill/>
            </a:ln>
            <a:effectLst/>
          </c:spPr>
          <c:invertIfNegative val="0"/>
          <c:cat>
            <c:strRef>
              <c:f>'[Grafice 2021.xlsx]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'[Grafice 2021.xlsx] grafice lunare'!$B$5:$B$16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E6BE-45FA-A993-E3196D87F2A8}"/>
            </c:ext>
          </c:extLst>
        </c:ser>
        <c:ser>
          <c:idx val="1"/>
          <c:order val="1"/>
          <c:tx>
            <c:strRef>
              <c:f>'[Grafice 2021.xlsx] grafice lunare'!$J$4</c:f>
              <c:strCache>
                <c:ptCount val="1"/>
                <c:pt idx="0">
                  <c:v>PM10 gravimetric - valori lunare</c:v>
                </c:pt>
              </c:strCache>
            </c:strRef>
          </c:tx>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invertIfNegative val="0"/>
          <c:cat>
            <c:strRef>
              <c:f>'[Grafice 2021.xlsx]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'[Grafice 2021.xlsx] grafice lunare'!$J$5:$J$16</c:f>
              <c:numCache>
                <c:formatCode>General</c:formatCode>
                <c:ptCount val="12"/>
                <c:pt idx="0">
                  <c:v>29.95</c:v>
                </c:pt>
                <c:pt idx="1">
                  <c:v>31.27</c:v>
                </c:pt>
                <c:pt idx="2">
                  <c:v>26.76</c:v>
                </c:pt>
                <c:pt idx="3">
                  <c:v>17.809999999999999</c:v>
                </c:pt>
                <c:pt idx="4">
                  <c:v>10.32</c:v>
                </c:pt>
                <c:pt idx="5">
                  <c:v>13.21</c:v>
                </c:pt>
                <c:pt idx="6">
                  <c:v>15.07</c:v>
                </c:pt>
                <c:pt idx="7">
                  <c:v>11.65</c:v>
                </c:pt>
                <c:pt idx="8">
                  <c:v>14.82</c:v>
                </c:pt>
                <c:pt idx="9">
                  <c:v>23.7</c:v>
                </c:pt>
                <c:pt idx="10">
                  <c:v>31.3</c:v>
                </c:pt>
                <c:pt idx="11">
                  <c:v>22.05</c:v>
                </c:pt>
              </c:numCache>
            </c:numRef>
          </c:val>
          <c:extLst>
            <c:ext xmlns:c16="http://schemas.microsoft.com/office/drawing/2014/chart" uri="{C3380CC4-5D6E-409C-BE32-E72D297353CC}">
              <c16:uniqueId val="{00000001-E6BE-45FA-A993-E3196D87F2A8}"/>
            </c:ext>
          </c:extLst>
        </c:ser>
        <c:dLbls>
          <c:showLegendKey val="0"/>
          <c:showVal val="0"/>
          <c:showCatName val="0"/>
          <c:showSerName val="0"/>
          <c:showPercent val="0"/>
          <c:showBubbleSize val="0"/>
        </c:dLbls>
        <c:gapWidth val="219"/>
        <c:axId val="498386680"/>
        <c:axId val="498386352"/>
      </c:barChart>
      <c:catAx>
        <c:axId val="498386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8386352"/>
        <c:crosses val="autoZero"/>
        <c:auto val="1"/>
        <c:lblAlgn val="ctr"/>
        <c:lblOffset val="100"/>
        <c:noMultiLvlLbl val="0"/>
      </c:catAx>
      <c:valAx>
        <c:axId val="49838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b="1"/>
                  <a:t>concentrațieµg/m3</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8386680"/>
        <c:crosses val="autoZero"/>
        <c:crossBetween val="between"/>
      </c:valAx>
      <c:spPr>
        <a:solidFill>
          <a:schemeClr val="bg1"/>
        </a:solidFill>
        <a:ln>
          <a:noFill/>
        </a:ln>
        <a:effectLst/>
      </c:spPr>
    </c:plotArea>
    <c:plotVisOnly val="1"/>
    <c:dispBlanksAs val="gap"/>
    <c:showDLblsOverMax val="0"/>
  </c:chart>
  <c:spPr>
    <a:solidFill>
      <a:schemeClr val="tx2">
        <a:lumMod val="20000"/>
        <a:lumOff val="80000"/>
      </a:schemeClr>
    </a:solidFill>
    <a:ln w="12700"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NMVOC!$A$100</c:f>
              <c:strCache>
                <c:ptCount val="1"/>
                <c:pt idx="0">
                  <c:v>vaci lapte</c:v>
                </c:pt>
              </c:strCache>
            </c:strRef>
          </c:tx>
          <c:spPr>
            <a:solidFill>
              <a:schemeClr val="accent1"/>
            </a:solidFill>
            <a:ln>
              <a:noFill/>
            </a:ln>
            <a:effectLst/>
            <a:scene3d>
              <a:camera prst="orthographicFront"/>
              <a:lightRig rig="threePt" dir="t"/>
            </a:scene3d>
            <a:sp3d>
              <a:bevelT/>
            </a:sp3d>
          </c:spPr>
          <c:invertIfNegative val="0"/>
          <c:cat>
            <c:numRef>
              <c:f>NMVOC!$D$99:$J$99</c:f>
              <c:numCache>
                <c:formatCode>General</c:formatCode>
                <c:ptCount val="7"/>
                <c:pt idx="0">
                  <c:v>2015</c:v>
                </c:pt>
                <c:pt idx="1">
                  <c:v>2016</c:v>
                </c:pt>
                <c:pt idx="2">
                  <c:v>2017</c:v>
                </c:pt>
                <c:pt idx="3">
                  <c:v>2018</c:v>
                </c:pt>
                <c:pt idx="4">
                  <c:v>2019</c:v>
                </c:pt>
                <c:pt idx="5">
                  <c:v>2020</c:v>
                </c:pt>
                <c:pt idx="6">
                  <c:v>2021</c:v>
                </c:pt>
              </c:numCache>
            </c:numRef>
          </c:cat>
          <c:val>
            <c:numRef>
              <c:f>NMVOC!$D$100:$J$100</c:f>
              <c:numCache>
                <c:formatCode>#0.00000000000000</c:formatCode>
                <c:ptCount val="7"/>
                <c:pt idx="0">
                  <c:v>0.384727023</c:v>
                </c:pt>
                <c:pt idx="1">
                  <c:v>0.38585359400000002</c:v>
                </c:pt>
                <c:pt idx="2">
                  <c:v>0.37286932900000003</c:v>
                </c:pt>
                <c:pt idx="3">
                  <c:v>0.37204488099999999</c:v>
                </c:pt>
                <c:pt idx="4">
                  <c:v>0.37483474</c:v>
                </c:pt>
                <c:pt idx="5">
                  <c:v>0.43014469900000002</c:v>
                </c:pt>
                <c:pt idx="6">
                  <c:v>0.42906692400000002</c:v>
                </c:pt>
              </c:numCache>
            </c:numRef>
          </c:val>
          <c:extLst>
            <c:ext xmlns:c16="http://schemas.microsoft.com/office/drawing/2014/chart" uri="{C3380CC4-5D6E-409C-BE32-E72D297353CC}">
              <c16:uniqueId val="{00000000-05A3-44A3-AD4B-3F5837078D67}"/>
            </c:ext>
          </c:extLst>
        </c:ser>
        <c:ser>
          <c:idx val="1"/>
          <c:order val="1"/>
          <c:tx>
            <c:strRef>
              <c:f>NMVOC!$A$101</c:f>
              <c:strCache>
                <c:ptCount val="1"/>
                <c:pt idx="0">
                  <c:v>alte bovine</c:v>
                </c:pt>
              </c:strCache>
            </c:strRef>
          </c:tx>
          <c:spPr>
            <a:solidFill>
              <a:schemeClr val="accent2"/>
            </a:solidFill>
            <a:ln>
              <a:noFill/>
            </a:ln>
            <a:effectLst/>
            <a:scene3d>
              <a:camera prst="orthographicFront"/>
              <a:lightRig rig="threePt" dir="t"/>
            </a:scene3d>
            <a:sp3d>
              <a:bevelT/>
            </a:sp3d>
          </c:spPr>
          <c:invertIfNegative val="0"/>
          <c:cat>
            <c:numRef>
              <c:f>NMVOC!$D$99:$J$99</c:f>
              <c:numCache>
                <c:formatCode>General</c:formatCode>
                <c:ptCount val="7"/>
                <c:pt idx="0">
                  <c:v>2015</c:v>
                </c:pt>
                <c:pt idx="1">
                  <c:v>2016</c:v>
                </c:pt>
                <c:pt idx="2">
                  <c:v>2017</c:v>
                </c:pt>
                <c:pt idx="3">
                  <c:v>2018</c:v>
                </c:pt>
                <c:pt idx="4">
                  <c:v>2019</c:v>
                </c:pt>
                <c:pt idx="5">
                  <c:v>2020</c:v>
                </c:pt>
                <c:pt idx="6">
                  <c:v>2021</c:v>
                </c:pt>
              </c:numCache>
            </c:numRef>
          </c:cat>
          <c:val>
            <c:numRef>
              <c:f>NMVOC!$D$101:$J$101</c:f>
              <c:numCache>
                <c:formatCode>#0.00000000000000</c:formatCode>
                <c:ptCount val="7"/>
                <c:pt idx="0">
                  <c:v>0.13791718</c:v>
                </c:pt>
                <c:pt idx="1">
                  <c:v>0.13862043999999998</c:v>
                </c:pt>
                <c:pt idx="2">
                  <c:v>0.10692936</c:v>
                </c:pt>
                <c:pt idx="3">
                  <c:v>0.123663712</c:v>
                </c:pt>
                <c:pt idx="4">
                  <c:v>0.11148941800000001</c:v>
                </c:pt>
                <c:pt idx="5">
                  <c:v>9.9422323320000006E-2</c:v>
                </c:pt>
                <c:pt idx="6">
                  <c:v>0.124844646</c:v>
                </c:pt>
              </c:numCache>
            </c:numRef>
          </c:val>
          <c:extLst>
            <c:ext xmlns:c16="http://schemas.microsoft.com/office/drawing/2014/chart" uri="{C3380CC4-5D6E-409C-BE32-E72D297353CC}">
              <c16:uniqueId val="{00000001-05A3-44A3-AD4B-3F5837078D67}"/>
            </c:ext>
          </c:extLst>
        </c:ser>
        <c:ser>
          <c:idx val="3"/>
          <c:order val="2"/>
          <c:tx>
            <c:strRef>
              <c:f>NMVOC!$A$102</c:f>
              <c:strCache>
                <c:ptCount val="1"/>
                <c:pt idx="0">
                  <c:v>ovine</c:v>
                </c:pt>
              </c:strCache>
            </c:strRef>
          </c:tx>
          <c:spPr>
            <a:solidFill>
              <a:schemeClr val="accent4"/>
            </a:solidFill>
            <a:ln>
              <a:noFill/>
            </a:ln>
            <a:effectLst/>
            <a:scene3d>
              <a:camera prst="orthographicFront"/>
              <a:lightRig rig="threePt" dir="t"/>
            </a:scene3d>
            <a:sp3d>
              <a:bevelT/>
            </a:sp3d>
          </c:spPr>
          <c:invertIfNegative val="0"/>
          <c:cat>
            <c:numRef>
              <c:f>NMVOC!$D$99:$J$99</c:f>
              <c:numCache>
                <c:formatCode>General</c:formatCode>
                <c:ptCount val="7"/>
                <c:pt idx="0">
                  <c:v>2015</c:v>
                </c:pt>
                <c:pt idx="1">
                  <c:v>2016</c:v>
                </c:pt>
                <c:pt idx="2">
                  <c:v>2017</c:v>
                </c:pt>
                <c:pt idx="3">
                  <c:v>2018</c:v>
                </c:pt>
                <c:pt idx="4">
                  <c:v>2019</c:v>
                </c:pt>
                <c:pt idx="5">
                  <c:v>2020</c:v>
                </c:pt>
                <c:pt idx="6">
                  <c:v>2021</c:v>
                </c:pt>
              </c:numCache>
            </c:numRef>
          </c:cat>
          <c:val>
            <c:numRef>
              <c:f>NMVOC!$D$102:$J$102</c:f>
              <c:numCache>
                <c:formatCode>#0.00000000000000</c:formatCode>
                <c:ptCount val="7"/>
                <c:pt idx="0">
                  <c:v>7.7483964000000002E-2</c:v>
                </c:pt>
                <c:pt idx="1">
                  <c:v>7.8103179999999994E-2</c:v>
                </c:pt>
                <c:pt idx="2">
                  <c:v>6.8708000000000005E-2</c:v>
                </c:pt>
                <c:pt idx="3">
                  <c:v>7.0998000000000006E-2</c:v>
                </c:pt>
                <c:pt idx="4">
                  <c:v>6.9296999999999997E-2</c:v>
                </c:pt>
                <c:pt idx="5">
                  <c:v>7.2041999999999995E-2</c:v>
                </c:pt>
                <c:pt idx="6">
                  <c:v>7.6088000000000003E-2</c:v>
                </c:pt>
              </c:numCache>
            </c:numRef>
          </c:val>
          <c:extLst>
            <c:ext xmlns:c16="http://schemas.microsoft.com/office/drawing/2014/chart" uri="{C3380CC4-5D6E-409C-BE32-E72D297353CC}">
              <c16:uniqueId val="{00000002-05A3-44A3-AD4B-3F5837078D67}"/>
            </c:ext>
          </c:extLst>
        </c:ser>
        <c:ser>
          <c:idx val="4"/>
          <c:order val="3"/>
          <c:tx>
            <c:strRef>
              <c:f>NMVOC!$A$103</c:f>
              <c:strCache>
                <c:ptCount val="1"/>
                <c:pt idx="0">
                  <c:v>păsări</c:v>
                </c:pt>
              </c:strCache>
            </c:strRef>
          </c:tx>
          <c:spPr>
            <a:solidFill>
              <a:schemeClr val="accent5"/>
            </a:solidFill>
            <a:ln>
              <a:noFill/>
            </a:ln>
            <a:effectLst/>
            <a:scene3d>
              <a:camera prst="orthographicFront"/>
              <a:lightRig rig="threePt" dir="t"/>
            </a:scene3d>
            <a:sp3d>
              <a:bevelT/>
            </a:sp3d>
          </c:spPr>
          <c:invertIfNegative val="0"/>
          <c:cat>
            <c:numRef>
              <c:f>NMVOC!$D$99:$J$99</c:f>
              <c:numCache>
                <c:formatCode>General</c:formatCode>
                <c:ptCount val="7"/>
                <c:pt idx="0">
                  <c:v>2015</c:v>
                </c:pt>
                <c:pt idx="1">
                  <c:v>2016</c:v>
                </c:pt>
                <c:pt idx="2">
                  <c:v>2017</c:v>
                </c:pt>
                <c:pt idx="3">
                  <c:v>2018</c:v>
                </c:pt>
                <c:pt idx="4">
                  <c:v>2019</c:v>
                </c:pt>
                <c:pt idx="5">
                  <c:v>2020</c:v>
                </c:pt>
                <c:pt idx="6">
                  <c:v>2021</c:v>
                </c:pt>
              </c:numCache>
            </c:numRef>
          </c:cat>
          <c:val>
            <c:numRef>
              <c:f>NMVOC!$D$103:$J$103</c:f>
              <c:numCache>
                <c:formatCode>0.00000000000000</c:formatCode>
                <c:ptCount val="7"/>
                <c:pt idx="0">
                  <c:v>0.17014554900000001</c:v>
                </c:pt>
                <c:pt idx="1">
                  <c:v>0.169199445</c:v>
                </c:pt>
                <c:pt idx="2">
                  <c:v>5.1090999999999998E-2</c:v>
                </c:pt>
                <c:pt idx="3">
                  <c:v>4.4698000000000002E-2</c:v>
                </c:pt>
                <c:pt idx="4">
                  <c:v>4.4304400000000001E-2</c:v>
                </c:pt>
                <c:pt idx="5">
                  <c:v>8.334391599999999E-2</c:v>
                </c:pt>
                <c:pt idx="6">
                  <c:v>4.6536499999999995E-2</c:v>
                </c:pt>
              </c:numCache>
            </c:numRef>
          </c:val>
          <c:extLst>
            <c:ext xmlns:c16="http://schemas.microsoft.com/office/drawing/2014/chart" uri="{C3380CC4-5D6E-409C-BE32-E72D297353CC}">
              <c16:uniqueId val="{00000003-05A3-44A3-AD4B-3F5837078D67}"/>
            </c:ext>
          </c:extLst>
        </c:ser>
        <c:ser>
          <c:idx val="2"/>
          <c:order val="4"/>
          <c:tx>
            <c:strRef>
              <c:f>NMVOC!$A$110</c:f>
              <c:strCache>
                <c:ptCount val="1"/>
                <c:pt idx="0">
                  <c:v>altele</c:v>
                </c:pt>
              </c:strCache>
            </c:strRef>
          </c:tx>
          <c:spPr>
            <a:solidFill>
              <a:schemeClr val="accent3"/>
            </a:solidFill>
            <a:ln>
              <a:noFill/>
            </a:ln>
            <a:effectLst/>
          </c:spPr>
          <c:invertIfNegative val="0"/>
          <c:cat>
            <c:numRef>
              <c:f>NMVOC!$D$99:$J$99</c:f>
              <c:numCache>
                <c:formatCode>General</c:formatCode>
                <c:ptCount val="7"/>
                <c:pt idx="0">
                  <c:v>2015</c:v>
                </c:pt>
                <c:pt idx="1">
                  <c:v>2016</c:v>
                </c:pt>
                <c:pt idx="2">
                  <c:v>2017</c:v>
                </c:pt>
                <c:pt idx="3">
                  <c:v>2018</c:v>
                </c:pt>
                <c:pt idx="4">
                  <c:v>2019</c:v>
                </c:pt>
                <c:pt idx="5">
                  <c:v>2020</c:v>
                </c:pt>
                <c:pt idx="6">
                  <c:v>2021</c:v>
                </c:pt>
              </c:numCache>
            </c:numRef>
          </c:cat>
          <c:val>
            <c:numRef>
              <c:f>NMVOC!$D$110:$J$110</c:f>
              <c:numCache>
                <c:formatCode>0.00000000000000</c:formatCode>
                <c:ptCount val="7"/>
                <c:pt idx="0">
                  <c:v>1.3198800000000001E-3</c:v>
                </c:pt>
                <c:pt idx="1">
                  <c:v>1.495E-3</c:v>
                </c:pt>
                <c:pt idx="2">
                  <c:v>2.232E-3</c:v>
                </c:pt>
                <c:pt idx="3">
                  <c:v>2.33E-4</c:v>
                </c:pt>
                <c:pt idx="4">
                  <c:v>0</c:v>
                </c:pt>
                <c:pt idx="5">
                  <c:v>4.4640000000000001E-3</c:v>
                </c:pt>
                <c:pt idx="6">
                  <c:v>4.561E-3</c:v>
                </c:pt>
              </c:numCache>
            </c:numRef>
          </c:val>
          <c:extLst>
            <c:ext xmlns:c16="http://schemas.microsoft.com/office/drawing/2014/chart" uri="{C3380CC4-5D6E-409C-BE32-E72D297353CC}">
              <c16:uniqueId val="{00000004-05A3-44A3-AD4B-3F5837078D67}"/>
            </c:ext>
          </c:extLst>
        </c:ser>
        <c:ser>
          <c:idx val="5"/>
          <c:order val="5"/>
          <c:tx>
            <c:strRef>
              <c:f>NMVOC!$A$104</c:f>
              <c:strCache>
                <c:ptCount val="1"/>
                <c:pt idx="0">
                  <c:v>porcine</c:v>
                </c:pt>
              </c:strCache>
            </c:strRef>
          </c:tx>
          <c:spPr>
            <a:solidFill>
              <a:schemeClr val="accent6"/>
            </a:solidFill>
            <a:ln>
              <a:noFill/>
            </a:ln>
            <a:effectLst/>
            <a:scene3d>
              <a:camera prst="orthographicFront"/>
              <a:lightRig rig="threePt" dir="t"/>
            </a:scene3d>
            <a:sp3d>
              <a:bevelT/>
            </a:sp3d>
          </c:spPr>
          <c:invertIfNegative val="0"/>
          <c:cat>
            <c:numRef>
              <c:f>NMVOC!$D$99:$J$99</c:f>
              <c:numCache>
                <c:formatCode>General</c:formatCode>
                <c:ptCount val="7"/>
                <c:pt idx="0">
                  <c:v>2015</c:v>
                </c:pt>
                <c:pt idx="1">
                  <c:v>2016</c:v>
                </c:pt>
                <c:pt idx="2">
                  <c:v>2017</c:v>
                </c:pt>
                <c:pt idx="3">
                  <c:v>2018</c:v>
                </c:pt>
                <c:pt idx="4">
                  <c:v>2019</c:v>
                </c:pt>
                <c:pt idx="5">
                  <c:v>2020</c:v>
                </c:pt>
                <c:pt idx="6">
                  <c:v>2021</c:v>
                </c:pt>
              </c:numCache>
            </c:numRef>
          </c:cat>
          <c:val>
            <c:numRef>
              <c:f>NMVOC!$D$104:$J$104</c:f>
              <c:numCache>
                <c:formatCode>#0.00000000000000</c:formatCode>
                <c:ptCount val="7"/>
                <c:pt idx="0">
                  <c:v>0.101252143</c:v>
                </c:pt>
                <c:pt idx="1">
                  <c:v>3.3173260000000003E-2</c:v>
                </c:pt>
                <c:pt idx="2">
                  <c:v>2.9221499000000001E-2</c:v>
                </c:pt>
                <c:pt idx="3">
                  <c:v>2.084718E-2</c:v>
                </c:pt>
                <c:pt idx="4">
                  <c:v>2.6968248E-2</c:v>
                </c:pt>
                <c:pt idx="5">
                  <c:v>2.9843000000000001E-2</c:v>
                </c:pt>
                <c:pt idx="6">
                  <c:v>2.7831999999999999E-2</c:v>
                </c:pt>
              </c:numCache>
            </c:numRef>
          </c:val>
          <c:extLst>
            <c:ext xmlns:c16="http://schemas.microsoft.com/office/drawing/2014/chart" uri="{C3380CC4-5D6E-409C-BE32-E72D297353CC}">
              <c16:uniqueId val="{00000005-05A3-44A3-AD4B-3F5837078D67}"/>
            </c:ext>
          </c:extLst>
        </c:ser>
        <c:ser>
          <c:idx val="6"/>
          <c:order val="6"/>
          <c:tx>
            <c:strRef>
              <c:f>NMVOC!$A$105</c:f>
              <c:strCache>
                <c:ptCount val="1"/>
                <c:pt idx="0">
                  <c:v>cai</c:v>
                </c:pt>
              </c:strCache>
            </c:strRef>
          </c:tx>
          <c:spPr>
            <a:solidFill>
              <a:schemeClr val="accent6">
                <a:lumMod val="20000"/>
                <a:lumOff val="80000"/>
              </a:schemeClr>
            </a:solidFill>
            <a:ln>
              <a:noFill/>
            </a:ln>
            <a:effectLst/>
            <a:scene3d>
              <a:camera prst="orthographicFront"/>
              <a:lightRig rig="threePt" dir="t"/>
            </a:scene3d>
            <a:sp3d>
              <a:bevelT/>
            </a:sp3d>
          </c:spPr>
          <c:invertIfNegative val="0"/>
          <c:cat>
            <c:numRef>
              <c:f>NMVOC!$D$99:$J$99</c:f>
              <c:numCache>
                <c:formatCode>General</c:formatCode>
                <c:ptCount val="7"/>
                <c:pt idx="0">
                  <c:v>2015</c:v>
                </c:pt>
                <c:pt idx="1">
                  <c:v>2016</c:v>
                </c:pt>
                <c:pt idx="2">
                  <c:v>2017</c:v>
                </c:pt>
                <c:pt idx="3">
                  <c:v>2018</c:v>
                </c:pt>
                <c:pt idx="4">
                  <c:v>2019</c:v>
                </c:pt>
                <c:pt idx="5">
                  <c:v>2020</c:v>
                </c:pt>
                <c:pt idx="6">
                  <c:v>2021</c:v>
                </c:pt>
              </c:numCache>
            </c:numRef>
          </c:cat>
          <c:val>
            <c:numRef>
              <c:f>NMVOC!$D$105:$J$105</c:f>
              <c:numCache>
                <c:formatCode>0.00000000000000</c:formatCode>
                <c:ptCount val="7"/>
                <c:pt idx="0">
                  <c:v>6.5133905000000006E-2</c:v>
                </c:pt>
                <c:pt idx="1">
                  <c:v>6.5322124999999995E-2</c:v>
                </c:pt>
                <c:pt idx="2">
                  <c:v>4.7084500000000001E-2</c:v>
                </c:pt>
                <c:pt idx="3">
                  <c:v>3.5507999999999998E-2</c:v>
                </c:pt>
                <c:pt idx="4">
                  <c:v>3.7666999999999999E-2</c:v>
                </c:pt>
                <c:pt idx="5">
                  <c:v>3.4529499999999998E-2</c:v>
                </c:pt>
                <c:pt idx="6">
                  <c:v>3.3781199999999997E-2</c:v>
                </c:pt>
              </c:numCache>
            </c:numRef>
          </c:val>
          <c:extLst>
            <c:ext xmlns:c16="http://schemas.microsoft.com/office/drawing/2014/chart" uri="{C3380CC4-5D6E-409C-BE32-E72D297353CC}">
              <c16:uniqueId val="{00000006-05A3-44A3-AD4B-3F5837078D67}"/>
            </c:ext>
          </c:extLst>
        </c:ser>
        <c:ser>
          <c:idx val="7"/>
          <c:order val="7"/>
          <c:tx>
            <c:strRef>
              <c:f>NMVOC!$A$106</c:f>
              <c:strCache>
                <c:ptCount val="1"/>
                <c:pt idx="0">
                  <c:v>caprine</c:v>
                </c:pt>
              </c:strCache>
            </c:strRef>
          </c:tx>
          <c:spPr>
            <a:solidFill>
              <a:srgbClr val="92D050"/>
            </a:solidFill>
            <a:ln>
              <a:noFill/>
            </a:ln>
            <a:effectLst/>
            <a:scene3d>
              <a:camera prst="orthographicFront"/>
              <a:lightRig rig="threePt" dir="t"/>
            </a:scene3d>
            <a:sp3d>
              <a:bevelT/>
            </a:sp3d>
          </c:spPr>
          <c:invertIfNegative val="0"/>
          <c:cat>
            <c:numRef>
              <c:f>NMVOC!$D$99:$J$99</c:f>
              <c:numCache>
                <c:formatCode>General</c:formatCode>
                <c:ptCount val="7"/>
                <c:pt idx="0">
                  <c:v>2015</c:v>
                </c:pt>
                <c:pt idx="1">
                  <c:v>2016</c:v>
                </c:pt>
                <c:pt idx="2">
                  <c:v>2017</c:v>
                </c:pt>
                <c:pt idx="3">
                  <c:v>2018</c:v>
                </c:pt>
                <c:pt idx="4">
                  <c:v>2019</c:v>
                </c:pt>
                <c:pt idx="5">
                  <c:v>2020</c:v>
                </c:pt>
                <c:pt idx="6">
                  <c:v>2021</c:v>
                </c:pt>
              </c:numCache>
            </c:numRef>
          </c:cat>
          <c:val>
            <c:numRef>
              <c:f>NMVOC!$D$106:$J$106</c:f>
              <c:numCache>
                <c:formatCode>0.00000000000000</c:formatCode>
                <c:ptCount val="7"/>
                <c:pt idx="0">
                  <c:v>1.6606880000000001E-2</c:v>
                </c:pt>
                <c:pt idx="1">
                  <c:v>1.5767E-2</c:v>
                </c:pt>
                <c:pt idx="2">
                  <c:v>1.6017E-2</c:v>
                </c:pt>
                <c:pt idx="3">
                  <c:v>1.3974E-2</c:v>
                </c:pt>
                <c:pt idx="4">
                  <c:v>1.2799E-2</c:v>
                </c:pt>
                <c:pt idx="5">
                  <c:v>1.2914999999999999E-2</c:v>
                </c:pt>
                <c:pt idx="6">
                  <c:v>1.2886E-2</c:v>
                </c:pt>
              </c:numCache>
            </c:numRef>
          </c:val>
          <c:extLst>
            <c:ext xmlns:c16="http://schemas.microsoft.com/office/drawing/2014/chart" uri="{C3380CC4-5D6E-409C-BE32-E72D297353CC}">
              <c16:uniqueId val="{00000007-05A3-44A3-AD4B-3F5837078D67}"/>
            </c:ext>
          </c:extLst>
        </c:ser>
        <c:dLbls>
          <c:showLegendKey val="0"/>
          <c:showVal val="0"/>
          <c:showCatName val="0"/>
          <c:showSerName val="0"/>
          <c:showPercent val="0"/>
          <c:showBubbleSize val="0"/>
        </c:dLbls>
        <c:gapWidth val="219"/>
        <c:overlap val="100"/>
        <c:axId val="1572179264"/>
        <c:axId val="1572172192"/>
      </c:barChart>
      <c:catAx>
        <c:axId val="157217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2172192"/>
        <c:crosses val="autoZero"/>
        <c:auto val="1"/>
        <c:lblAlgn val="ctr"/>
        <c:lblOffset val="100"/>
        <c:noMultiLvlLbl val="0"/>
      </c:catAx>
      <c:valAx>
        <c:axId val="15721721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2179264"/>
        <c:crosses val="autoZero"/>
        <c:crossBetween val="between"/>
      </c:valAx>
      <c:spPr>
        <a:noFill/>
        <a:ln>
          <a:noFill/>
        </a:ln>
        <a:effectLst/>
      </c:spPr>
    </c:plotArea>
    <c:legend>
      <c:legendPos val="r"/>
      <c:legendEntry>
        <c:idx val="3"/>
        <c:delete val="1"/>
      </c:legendEntry>
      <c:layout>
        <c:manualLayout>
          <c:xMode val="edge"/>
          <c:yMode val="edge"/>
          <c:x val="0.76459159530241205"/>
          <c:y val="8.4979585885097686E-2"/>
          <c:w val="0.21716022951510625"/>
          <c:h val="0.85318861184018668"/>
        </c:manualLayout>
      </c:layout>
      <c:overlay val="0"/>
      <c:spPr>
        <a:noFill/>
        <a:ln>
          <a:solidFill>
            <a:schemeClr val="accent1"/>
          </a:solid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3091225746313"/>
          <c:y val="2.1897927005386199E-2"/>
          <c:w val="0.72668064856378933"/>
          <c:h val="0.85335695538057743"/>
        </c:manualLayout>
      </c:layout>
      <c:barChart>
        <c:barDir val="bar"/>
        <c:grouping val="stacked"/>
        <c:varyColors val="0"/>
        <c:ser>
          <c:idx val="0"/>
          <c:order val="0"/>
          <c:tx>
            <c:strRef>
              <c:f>pulberi!$D$13</c:f>
              <c:strCache>
                <c:ptCount val="1"/>
                <c:pt idx="0">
                  <c:v>PM 2,5 - Gg</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pictureOptions>
            <c:pictureFormat val="stretch"/>
          </c:pictureOptions>
          <c:cat>
            <c:numRef>
              <c:f>pulberi!$C$14:$C$22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pulberi!$D$14:$D$22</c:f>
              <c:numCache>
                <c:formatCode>0.00000000000000</c:formatCode>
                <c:ptCount val="9"/>
                <c:pt idx="0">
                  <c:v>3.0265296727337199</c:v>
                </c:pt>
                <c:pt idx="1">
                  <c:v>2.8630118808991103</c:v>
                </c:pt>
                <c:pt idx="2">
                  <c:v>3.5997628323825483</c:v>
                </c:pt>
                <c:pt idx="3">
                  <c:v>3.9278088314091293</c:v>
                </c:pt>
                <c:pt idx="4">
                  <c:v>2.6449727779999836</c:v>
                </c:pt>
                <c:pt idx="5">
                  <c:v>2.2836445491580855</c:v>
                </c:pt>
                <c:pt idx="6">
                  <c:v>2.1272445849196067</c:v>
                </c:pt>
                <c:pt idx="7">
                  <c:v>1.7440731828681282</c:v>
                </c:pt>
                <c:pt idx="8" formatCode="0.0000">
                  <c:v>2.3468048867155997</c:v>
                </c:pt>
              </c:numCache>
            </c:numRef>
          </c:val>
          <c:extLst>
            <c:ext xmlns:c16="http://schemas.microsoft.com/office/drawing/2014/chart" uri="{C3380CC4-5D6E-409C-BE32-E72D297353CC}">
              <c16:uniqueId val="{00000000-B82F-404F-A979-55A3931EC6AF}"/>
            </c:ext>
          </c:extLst>
        </c:ser>
        <c:ser>
          <c:idx val="1"/>
          <c:order val="1"/>
          <c:tx>
            <c:strRef>
              <c:f>pulberi!$E$13</c:f>
              <c:strCache>
                <c:ptCount val="1"/>
                <c:pt idx="0">
                  <c:v>PM10 - Gg</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cat>
            <c:numRef>
              <c:f>pulberi!$C$14:$C$22</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pulberi!$E$14:$E$22</c:f>
              <c:numCache>
                <c:formatCode>0.00000000000000</c:formatCode>
                <c:ptCount val="9"/>
                <c:pt idx="0">
                  <c:v>3.7617957008115126</c:v>
                </c:pt>
                <c:pt idx="1">
                  <c:v>3.1624430718078695</c:v>
                </c:pt>
                <c:pt idx="2">
                  <c:v>4.1417624457417439</c:v>
                </c:pt>
                <c:pt idx="3">
                  <c:v>4.6769649785285861</c:v>
                </c:pt>
                <c:pt idx="4">
                  <c:v>2.7882754199728548</c:v>
                </c:pt>
                <c:pt idx="5">
                  <c:v>2.7040617078528748</c:v>
                </c:pt>
                <c:pt idx="6">
                  <c:v>2.900231054524562</c:v>
                </c:pt>
                <c:pt idx="7" formatCode="0.0000000000000">
                  <c:v>2.0388777781853995</c:v>
                </c:pt>
                <c:pt idx="8" formatCode="0.0000">
                  <c:v>4.5168381029147504</c:v>
                </c:pt>
              </c:numCache>
            </c:numRef>
          </c:val>
          <c:extLst>
            <c:ext xmlns:c16="http://schemas.microsoft.com/office/drawing/2014/chart" uri="{C3380CC4-5D6E-409C-BE32-E72D297353CC}">
              <c16:uniqueId val="{00000001-B82F-404F-A979-55A3931EC6AF}"/>
            </c:ext>
          </c:extLst>
        </c:ser>
        <c:dLbls>
          <c:showLegendKey val="0"/>
          <c:showVal val="0"/>
          <c:showCatName val="0"/>
          <c:showSerName val="0"/>
          <c:showPercent val="0"/>
          <c:showBubbleSize val="0"/>
        </c:dLbls>
        <c:gapWidth val="83"/>
        <c:overlap val="100"/>
        <c:axId val="128948864"/>
        <c:axId val="128954752"/>
      </c:barChart>
      <c:catAx>
        <c:axId val="128948864"/>
        <c:scaling>
          <c:orientation val="minMax"/>
        </c:scaling>
        <c:delete val="0"/>
        <c:axPos val="l"/>
        <c:numFmt formatCode="General" sourceLinked="1"/>
        <c:majorTickMark val="out"/>
        <c:minorTickMark val="none"/>
        <c:tickLblPos val="nextTo"/>
        <c:txPr>
          <a:bodyPr/>
          <a:lstStyle/>
          <a:p>
            <a:pPr>
              <a:defRPr b="1"/>
            </a:pPr>
            <a:endParaRPr lang="en-US"/>
          </a:p>
        </c:txPr>
        <c:crossAx val="128954752"/>
        <c:crosses val="autoZero"/>
        <c:auto val="1"/>
        <c:lblAlgn val="ctr"/>
        <c:lblOffset val="100"/>
        <c:noMultiLvlLbl val="0"/>
      </c:catAx>
      <c:valAx>
        <c:axId val="128954752"/>
        <c:scaling>
          <c:orientation val="minMax"/>
        </c:scaling>
        <c:delete val="0"/>
        <c:axPos val="b"/>
        <c:majorGridlines>
          <c:spPr>
            <a:ln>
              <a:solidFill>
                <a:schemeClr val="bg1">
                  <a:lumMod val="85000"/>
                </a:schemeClr>
              </a:solidFill>
            </a:ln>
          </c:spPr>
        </c:majorGridlines>
        <c:numFmt formatCode="0" sourceLinked="0"/>
        <c:majorTickMark val="out"/>
        <c:minorTickMark val="none"/>
        <c:tickLblPos val="nextTo"/>
        <c:crossAx val="128948864"/>
        <c:crosses val="autoZero"/>
        <c:crossBetween val="between"/>
      </c:valAx>
    </c:plotArea>
    <c:legend>
      <c:legendPos val="r"/>
      <c:layout>
        <c:manualLayout>
          <c:xMode val="edge"/>
          <c:yMode val="edge"/>
          <c:x val="0.82017955699462797"/>
          <c:y val="0.10924881889763782"/>
          <c:w val="0.16112885422032527"/>
          <c:h val="0.68816902887139098"/>
        </c:manualLayout>
      </c:layout>
      <c:overlay val="0"/>
      <c:txPr>
        <a:bodyPr/>
        <a:lstStyle/>
        <a:p>
          <a:pPr>
            <a:defRPr sz="105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571741032370955E-2"/>
          <c:y val="3.2407407407407753E-2"/>
          <c:w val="0.88887270341207369"/>
          <c:h val="0.69506054390260041"/>
        </c:manualLayout>
      </c:layout>
      <c:barChart>
        <c:barDir val="col"/>
        <c:grouping val="clustered"/>
        <c:varyColors val="0"/>
        <c:ser>
          <c:idx val="0"/>
          <c:order val="0"/>
          <c:tx>
            <c:strRef>
              <c:f>pulberi!$D$27</c:f>
              <c:strCache>
                <c:ptCount val="1"/>
                <c:pt idx="0">
                  <c:v>PM 2,5 - Gg</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cat>
            <c:numRef>
              <c:f>pulberi!$C$28:$C$36</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pulberi!$D$28:$D$36</c:f>
              <c:numCache>
                <c:formatCode>0.00000000000000</c:formatCode>
                <c:ptCount val="9"/>
                <c:pt idx="0">
                  <c:v>2.844587353200934</c:v>
                </c:pt>
                <c:pt idx="1">
                  <c:v>2.7278314899837102</c:v>
                </c:pt>
                <c:pt idx="2">
                  <c:v>3.4540834591939489</c:v>
                </c:pt>
                <c:pt idx="3">
                  <c:v>3.7657709111913293</c:v>
                </c:pt>
                <c:pt idx="4">
                  <c:v>2.5158247324509841</c:v>
                </c:pt>
                <c:pt idx="5">
                  <c:v>2.1417983250872856</c:v>
                </c:pt>
                <c:pt idx="6">
                  <c:v>1.9816105208144064</c:v>
                </c:pt>
                <c:pt idx="7">
                  <c:v>1.6018322493591282</c:v>
                </c:pt>
                <c:pt idx="8">
                  <c:v>2.0077971244399992</c:v>
                </c:pt>
              </c:numCache>
            </c:numRef>
          </c:val>
          <c:extLst>
            <c:ext xmlns:c16="http://schemas.microsoft.com/office/drawing/2014/chart" uri="{C3380CC4-5D6E-409C-BE32-E72D297353CC}">
              <c16:uniqueId val="{00000000-55A1-46B3-ABC2-0128344DC328}"/>
            </c:ext>
          </c:extLst>
        </c:ser>
        <c:ser>
          <c:idx val="1"/>
          <c:order val="1"/>
          <c:tx>
            <c:strRef>
              <c:f>pulberi!$E$27</c:f>
              <c:strCache>
                <c:ptCount val="1"/>
                <c:pt idx="0">
                  <c:v>PM10 - Gg</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cat>
            <c:numRef>
              <c:f>pulberi!$C$28:$C$36</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pulberi!$E$28:$E$36</c:f>
              <c:numCache>
                <c:formatCode>0.00000000000000</c:formatCode>
                <c:ptCount val="9"/>
                <c:pt idx="0">
                  <c:v>2.8447239389077379</c:v>
                </c:pt>
                <c:pt idx="1">
                  <c:v>2.7288263276132696</c:v>
                </c:pt>
                <c:pt idx="2">
                  <c:v>3.5461776669471434</c:v>
                </c:pt>
                <c:pt idx="3">
                  <c:v>3.8648132621307862</c:v>
                </c:pt>
                <c:pt idx="4">
                  <c:v>2.580932835421855</c:v>
                </c:pt>
                <c:pt idx="5">
                  <c:v>2.1978500407880746</c:v>
                </c:pt>
                <c:pt idx="6">
                  <c:v>2.0327830507593614</c:v>
                </c:pt>
                <c:pt idx="7">
                  <c:v>1.6438942086183992</c:v>
                </c:pt>
                <c:pt idx="8">
                  <c:v>2.2022339753011502</c:v>
                </c:pt>
              </c:numCache>
            </c:numRef>
          </c:val>
          <c:extLst>
            <c:ext xmlns:c16="http://schemas.microsoft.com/office/drawing/2014/chart" uri="{C3380CC4-5D6E-409C-BE32-E72D297353CC}">
              <c16:uniqueId val="{00000001-55A1-46B3-ABC2-0128344DC328}"/>
            </c:ext>
          </c:extLst>
        </c:ser>
        <c:dLbls>
          <c:showLegendKey val="0"/>
          <c:showVal val="0"/>
          <c:showCatName val="0"/>
          <c:showSerName val="0"/>
          <c:showPercent val="0"/>
          <c:showBubbleSize val="0"/>
        </c:dLbls>
        <c:gapWidth val="150"/>
        <c:axId val="129115648"/>
        <c:axId val="129117184"/>
      </c:barChart>
      <c:catAx>
        <c:axId val="129115648"/>
        <c:scaling>
          <c:orientation val="minMax"/>
        </c:scaling>
        <c:delete val="0"/>
        <c:axPos val="b"/>
        <c:numFmt formatCode="General" sourceLinked="1"/>
        <c:majorTickMark val="out"/>
        <c:minorTickMark val="none"/>
        <c:tickLblPos val="nextTo"/>
        <c:txPr>
          <a:bodyPr/>
          <a:lstStyle/>
          <a:p>
            <a:pPr>
              <a:defRPr sz="1100" b="1"/>
            </a:pPr>
            <a:endParaRPr lang="en-US"/>
          </a:p>
        </c:txPr>
        <c:crossAx val="129117184"/>
        <c:crosses val="autoZero"/>
        <c:auto val="1"/>
        <c:lblAlgn val="ctr"/>
        <c:lblOffset val="100"/>
        <c:noMultiLvlLbl val="0"/>
      </c:catAx>
      <c:valAx>
        <c:axId val="129117184"/>
        <c:scaling>
          <c:orientation val="minMax"/>
          <c:max val="4"/>
        </c:scaling>
        <c:delete val="0"/>
        <c:axPos val="l"/>
        <c:majorGridlines>
          <c:spPr>
            <a:ln>
              <a:solidFill>
                <a:sysClr val="window" lastClr="FFFFFF">
                  <a:lumMod val="85000"/>
                </a:sysClr>
              </a:solidFill>
            </a:ln>
          </c:spPr>
        </c:majorGridlines>
        <c:numFmt formatCode="0.0" sourceLinked="0"/>
        <c:majorTickMark val="out"/>
        <c:minorTickMark val="none"/>
        <c:tickLblPos val="nextTo"/>
        <c:txPr>
          <a:bodyPr/>
          <a:lstStyle/>
          <a:p>
            <a:pPr>
              <a:defRPr sz="1100"/>
            </a:pPr>
            <a:endParaRPr lang="en-US"/>
          </a:p>
        </c:txPr>
        <c:crossAx val="129115648"/>
        <c:crosses val="autoZero"/>
        <c:crossBetween val="between"/>
      </c:valAx>
    </c:plotArea>
    <c:legend>
      <c:legendPos val="b"/>
      <c:layout>
        <c:manualLayout>
          <c:xMode val="edge"/>
          <c:yMode val="edge"/>
          <c:x val="0.27611066071043167"/>
          <c:y val="0.89528424104112792"/>
          <c:w val="0.47765802263558338"/>
          <c:h val="8.7137156911949495E-2"/>
        </c:manualLayout>
      </c:layout>
      <c:overlay val="0"/>
      <c:txPr>
        <a:bodyPr/>
        <a:lstStyle/>
        <a:p>
          <a:pPr>
            <a:defRPr sz="12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pulberi!$D$45</c:f>
              <c:strCache>
                <c:ptCount val="1"/>
                <c:pt idx="0">
                  <c:v>PM 2,5 - Gg</c:v>
                </c:pt>
              </c:strCache>
            </c:strRef>
          </c:tx>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invertIfNegative val="0"/>
          <c:cat>
            <c:numRef>
              <c:f>pulberi!$C$46:$C$53</c:f>
              <c:numCache>
                <c:formatCode>General</c:formatCode>
                <c:ptCount val="8"/>
                <c:pt idx="0">
                  <c:v>2014</c:v>
                </c:pt>
                <c:pt idx="1">
                  <c:v>2015</c:v>
                </c:pt>
                <c:pt idx="2">
                  <c:v>2016</c:v>
                </c:pt>
                <c:pt idx="3">
                  <c:v>2017</c:v>
                </c:pt>
                <c:pt idx="4">
                  <c:v>2018</c:v>
                </c:pt>
                <c:pt idx="5">
                  <c:v>2019</c:v>
                </c:pt>
                <c:pt idx="6">
                  <c:v>2020</c:v>
                </c:pt>
                <c:pt idx="7">
                  <c:v>2021</c:v>
                </c:pt>
              </c:numCache>
            </c:numRef>
          </c:cat>
          <c:val>
            <c:numRef>
              <c:f>pulberi!$D$46:$D$53</c:f>
              <c:numCache>
                <c:formatCode>General</c:formatCode>
                <c:ptCount val="8"/>
                <c:pt idx="0">
                  <c:v>1.4995031148000002E-2</c:v>
                </c:pt>
                <c:pt idx="1">
                  <c:v>1.6106848659999999E-2</c:v>
                </c:pt>
                <c:pt idx="2">
                  <c:v>2.6376909800000001E-2</c:v>
                </c:pt>
                <c:pt idx="3">
                  <c:v>7.5029192199999994E-4</c:v>
                </c:pt>
                <c:pt idx="4">
                  <c:v>1.7505533441999999E-2</c:v>
                </c:pt>
                <c:pt idx="5" formatCode="0.00000000000000">
                  <c:v>3.1606380766000003E-2</c:v>
                </c:pt>
                <c:pt idx="6">
                  <c:v>1.3059489650000001E-2</c:v>
                </c:pt>
                <c:pt idx="7" formatCode="0.00000000000000">
                  <c:v>0.23147220859500001</c:v>
                </c:pt>
              </c:numCache>
            </c:numRef>
          </c:val>
          <c:extLst>
            <c:ext xmlns:c16="http://schemas.microsoft.com/office/drawing/2014/chart" uri="{C3380CC4-5D6E-409C-BE32-E72D297353CC}">
              <c16:uniqueId val="{00000000-C07E-4661-9652-8790E95246C7}"/>
            </c:ext>
          </c:extLst>
        </c:ser>
        <c:dLbls>
          <c:showLegendKey val="0"/>
          <c:showVal val="0"/>
          <c:showCatName val="0"/>
          <c:showSerName val="0"/>
          <c:showPercent val="0"/>
          <c:showBubbleSize val="0"/>
        </c:dLbls>
        <c:gapWidth val="137"/>
        <c:axId val="1789490288"/>
        <c:axId val="1789500272"/>
      </c:barChart>
      <c:catAx>
        <c:axId val="178949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9500272"/>
        <c:crosses val="autoZero"/>
        <c:auto val="1"/>
        <c:lblAlgn val="ctr"/>
        <c:lblOffset val="100"/>
        <c:noMultiLvlLbl val="0"/>
      </c:catAx>
      <c:valAx>
        <c:axId val="178950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9490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pulberi!$E$45</c:f>
              <c:strCache>
                <c:ptCount val="1"/>
                <c:pt idx="0">
                  <c:v>PM10 - Gg</c:v>
                </c:pt>
              </c:strCache>
            </c:strRef>
          </c:tx>
          <c:spPr>
            <a:blipFill>
              <a:blip xmlns:r="http://schemas.openxmlformats.org/officeDocument/2006/relationships" r:embed="rId3"/>
              <a:tile tx="0" ty="0" sx="100000" sy="100000" flip="none" algn="tl"/>
            </a:blipFill>
            <a:ln>
              <a:noFill/>
            </a:ln>
            <a:effectLst/>
            <a:scene3d>
              <a:camera prst="orthographicFront"/>
              <a:lightRig rig="threePt" dir="t"/>
            </a:scene3d>
            <a:sp3d>
              <a:bevelT/>
            </a:sp3d>
          </c:spPr>
          <c:invertIfNegative val="0"/>
          <c:cat>
            <c:numRef>
              <c:f>pulberi!$C$46:$C$53</c:f>
              <c:numCache>
                <c:formatCode>General</c:formatCode>
                <c:ptCount val="8"/>
                <c:pt idx="0">
                  <c:v>2014</c:v>
                </c:pt>
                <c:pt idx="1">
                  <c:v>2015</c:v>
                </c:pt>
                <c:pt idx="2">
                  <c:v>2016</c:v>
                </c:pt>
                <c:pt idx="3">
                  <c:v>2017</c:v>
                </c:pt>
                <c:pt idx="4">
                  <c:v>2018</c:v>
                </c:pt>
                <c:pt idx="5">
                  <c:v>2019</c:v>
                </c:pt>
                <c:pt idx="6">
                  <c:v>2020</c:v>
                </c:pt>
                <c:pt idx="7">
                  <c:v>2021</c:v>
                </c:pt>
              </c:numCache>
            </c:numRef>
          </c:cat>
          <c:val>
            <c:numRef>
              <c:f>pulberi!$E$46:$E$53</c:f>
              <c:numCache>
                <c:formatCode>General</c:formatCode>
                <c:ptCount val="8"/>
                <c:pt idx="0">
                  <c:v>0.26748662116120003</c:v>
                </c:pt>
                <c:pt idx="1">
                  <c:v>0.31314427180000004</c:v>
                </c:pt>
                <c:pt idx="2">
                  <c:v>0.51881178415000007</c:v>
                </c:pt>
                <c:pt idx="3">
                  <c:v>1.509472062E-2</c:v>
                </c:pt>
                <c:pt idx="4">
                  <c:v>0.31958828242000004</c:v>
                </c:pt>
                <c:pt idx="5">
                  <c:v>0.61650604236000006</c:v>
                </c:pt>
                <c:pt idx="6">
                  <c:v>0.19396903254999998</c:v>
                </c:pt>
                <c:pt idx="7" formatCode="0.00000000000000">
                  <c:v>2.1233768995150002</c:v>
                </c:pt>
              </c:numCache>
            </c:numRef>
          </c:val>
          <c:extLst>
            <c:ext xmlns:c16="http://schemas.microsoft.com/office/drawing/2014/chart" uri="{C3380CC4-5D6E-409C-BE32-E72D297353CC}">
              <c16:uniqueId val="{00000000-C712-4D7E-A0F5-CA1483E61C7E}"/>
            </c:ext>
          </c:extLst>
        </c:ser>
        <c:dLbls>
          <c:showLegendKey val="0"/>
          <c:showVal val="0"/>
          <c:showCatName val="0"/>
          <c:showSerName val="0"/>
          <c:showPercent val="0"/>
          <c:showBubbleSize val="0"/>
        </c:dLbls>
        <c:gapWidth val="104"/>
        <c:axId val="1789498192"/>
        <c:axId val="1789479472"/>
      </c:barChart>
      <c:catAx>
        <c:axId val="178949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9479472"/>
        <c:crosses val="autoZero"/>
        <c:auto val="1"/>
        <c:lblAlgn val="ctr"/>
        <c:lblOffset val="100"/>
        <c:noMultiLvlLbl val="0"/>
      </c:catAx>
      <c:valAx>
        <c:axId val="1789479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89498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PM 2,5</a:t>
            </a:r>
          </a:p>
        </c:rich>
      </c:tx>
      <c:overlay val="1"/>
    </c:title>
    <c:autoTitleDeleted val="0"/>
    <c:plotArea>
      <c:layout>
        <c:manualLayout>
          <c:layoutTarget val="inner"/>
          <c:xMode val="edge"/>
          <c:yMode val="edge"/>
          <c:x val="0.11987412542346407"/>
          <c:y val="3.8721884017840338E-2"/>
          <c:w val="0.84197792607326261"/>
          <c:h val="0.71685789276340461"/>
        </c:manualLayout>
      </c:layout>
      <c:barChart>
        <c:barDir val="col"/>
        <c:grouping val="stacked"/>
        <c:varyColors val="0"/>
        <c:ser>
          <c:idx val="0"/>
          <c:order val="0"/>
          <c:tx>
            <c:strRef>
              <c:f>pulberi!$C$81</c:f>
              <c:strCache>
                <c:ptCount val="1"/>
                <c:pt idx="0">
                  <c:v>rutier</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cat>
            <c:numRef>
              <c:f>(pulberi!$B$82:$B$86,pulberi!$B$87,pulberi!$B$88,pulberi!$B$89,pulberi!$B$90)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(pulberi!$C$82:$C$86,pulberi!$C$87,pulberi!$C$88,pulberi!$C$89,pulberi!$C$90)</c:f>
              <c:numCache>
                <c:formatCode>0.00000</c:formatCode>
                <c:ptCount val="9"/>
                <c:pt idx="0">
                  <c:v>5.7740699999999999E-2</c:v>
                </c:pt>
                <c:pt idx="1">
                  <c:v>6.8364999999999995E-2</c:v>
                </c:pt>
                <c:pt idx="2">
                  <c:v>6.6626470032000007E-2</c:v>
                </c:pt>
                <c:pt idx="3">
                  <c:v>6.720092141999999E-2</c:v>
                </c:pt>
                <c:pt idx="4">
                  <c:v>6.9962503979000001E-2</c:v>
                </c:pt>
                <c:pt idx="5" formatCode="0.0000000">
                  <c:v>7.8041521963000016E-2</c:v>
                </c:pt>
                <c:pt idx="6" formatCode="General">
                  <c:v>6.57807163E-2</c:v>
                </c:pt>
                <c:pt idx="7" formatCode="General">
                  <c:v>5.8651224799999999E-2</c:v>
                </c:pt>
                <c:pt idx="8" formatCode="General">
                  <c:v>5.9175379E-2</c:v>
                </c:pt>
              </c:numCache>
            </c:numRef>
          </c:val>
          <c:extLst>
            <c:ext xmlns:c16="http://schemas.microsoft.com/office/drawing/2014/chart" uri="{C3380CC4-5D6E-409C-BE32-E72D297353CC}">
              <c16:uniqueId val="{00000000-B6C2-4C9B-A314-75B713B83C34}"/>
            </c:ext>
          </c:extLst>
        </c:ser>
        <c:ser>
          <c:idx val="1"/>
          <c:order val="1"/>
          <c:tx>
            <c:strRef>
              <c:f>pulberi!$D$81</c:f>
              <c:strCache>
                <c:ptCount val="1"/>
                <c:pt idx="0">
                  <c:v>nerutier</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cat>
            <c:numRef>
              <c:f>(pulberi!$B$82:$B$86,pulberi!$B$87,pulberi!$B$88,pulberi!$B$89,pulberi!$B$90)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(pulberi!$D$82:$D$86,pulberi!$D$87,pulberi!$D$88,pulberi!$D$89,pulberi!$D$90)</c:f>
              <c:numCache>
                <c:formatCode>0.00000</c:formatCode>
                <c:ptCount val="9"/>
                <c:pt idx="0">
                  <c:v>3.0497734955953933E-3</c:v>
                </c:pt>
                <c:pt idx="1">
                  <c:v>3.10636051284E-2</c:v>
                </c:pt>
                <c:pt idx="2">
                  <c:v>4.4687512805999998E-3</c:v>
                </c:pt>
                <c:pt idx="3">
                  <c:v>4.7584768028000003E-3</c:v>
                </c:pt>
                <c:pt idx="4">
                  <c:v>1.7178311844999999E-2</c:v>
                </c:pt>
                <c:pt idx="5" formatCode="0.0000000">
                  <c:v>4.6572015348000009E-3</c:v>
                </c:pt>
                <c:pt idx="6" formatCode="General">
                  <c:v>3.3257907161999998E-3</c:v>
                </c:pt>
                <c:pt idx="7" formatCode="General">
                  <c:v>2.6149890229999997E-2</c:v>
                </c:pt>
                <c:pt idx="8" formatCode="General">
                  <c:v>4.9955577999999997E-3</c:v>
                </c:pt>
              </c:numCache>
            </c:numRef>
          </c:val>
          <c:extLst>
            <c:ext xmlns:c16="http://schemas.microsoft.com/office/drawing/2014/chart" uri="{C3380CC4-5D6E-409C-BE32-E72D297353CC}">
              <c16:uniqueId val="{00000001-B6C2-4C9B-A314-75B713B83C34}"/>
            </c:ext>
          </c:extLst>
        </c:ser>
        <c:ser>
          <c:idx val="2"/>
          <c:order val="2"/>
          <c:tx>
            <c:strRef>
              <c:f>pulberi!$E$81</c:f>
              <c:strCache>
                <c:ptCount val="1"/>
                <c:pt idx="0">
                  <c:v>feroviar</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cat>
            <c:numRef>
              <c:f>(pulberi!$B$82:$B$86,pulberi!$B$87,pulberi!$B$88,pulberi!$B$89,pulberi!$B$90)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(pulberi!$E$82:$E$86,pulberi!$E$87,pulberi!$E$88,pulberi!$E$89,pulberi!$E$90)</c:f>
              <c:numCache>
                <c:formatCode>General</c:formatCode>
                <c:ptCount val="9"/>
                <c:pt idx="2">
                  <c:v>4.3555099999999999E-3</c:v>
                </c:pt>
                <c:pt idx="3" formatCode="#0.00000000">
                  <c:v>4.4776230270000003E-3</c:v>
                </c:pt>
                <c:pt idx="4" formatCode="#0.00000000">
                  <c:v>4.4520169000000004E-3</c:v>
                </c:pt>
                <c:pt idx="5" formatCode="0.0000000">
                  <c:v>4.6334330999999998E-3</c:v>
                </c:pt>
                <c:pt idx="6">
                  <c:v>3.7703210000000001E-3</c:v>
                </c:pt>
                <c:pt idx="7">
                  <c:v>5.1874010000000003E-3</c:v>
                </c:pt>
                <c:pt idx="8">
                  <c:v>4.4735E-3</c:v>
                </c:pt>
              </c:numCache>
            </c:numRef>
          </c:val>
          <c:extLst>
            <c:ext xmlns:c16="http://schemas.microsoft.com/office/drawing/2014/chart" uri="{C3380CC4-5D6E-409C-BE32-E72D297353CC}">
              <c16:uniqueId val="{00000002-B6C2-4C9B-A314-75B713B83C34}"/>
            </c:ext>
          </c:extLst>
        </c:ser>
        <c:dLbls>
          <c:showLegendKey val="0"/>
          <c:showVal val="0"/>
          <c:showCatName val="0"/>
          <c:showSerName val="0"/>
          <c:showPercent val="0"/>
          <c:showBubbleSize val="0"/>
        </c:dLbls>
        <c:gapWidth val="150"/>
        <c:overlap val="100"/>
        <c:axId val="129292544"/>
        <c:axId val="129294336"/>
      </c:barChart>
      <c:catAx>
        <c:axId val="129292544"/>
        <c:scaling>
          <c:orientation val="minMax"/>
        </c:scaling>
        <c:delete val="0"/>
        <c:axPos val="b"/>
        <c:numFmt formatCode="General" sourceLinked="1"/>
        <c:majorTickMark val="out"/>
        <c:minorTickMark val="none"/>
        <c:tickLblPos val="nextTo"/>
        <c:txPr>
          <a:bodyPr/>
          <a:lstStyle/>
          <a:p>
            <a:pPr>
              <a:defRPr b="1"/>
            </a:pPr>
            <a:endParaRPr lang="en-US"/>
          </a:p>
        </c:txPr>
        <c:crossAx val="129294336"/>
        <c:crosses val="autoZero"/>
        <c:auto val="1"/>
        <c:lblAlgn val="ctr"/>
        <c:lblOffset val="100"/>
        <c:noMultiLvlLbl val="0"/>
      </c:catAx>
      <c:valAx>
        <c:axId val="129294336"/>
        <c:scaling>
          <c:orientation val="minMax"/>
          <c:max val="0.12000000000000001"/>
        </c:scaling>
        <c:delete val="0"/>
        <c:axPos val="l"/>
        <c:majorGridlines>
          <c:spPr>
            <a:ln>
              <a:solidFill>
                <a:sysClr val="window" lastClr="FFFFFF">
                  <a:lumMod val="85000"/>
                </a:sysClr>
              </a:solidFill>
            </a:ln>
          </c:spPr>
        </c:majorGridlines>
        <c:numFmt formatCode="0.00" sourceLinked="0"/>
        <c:majorTickMark val="out"/>
        <c:minorTickMark val="none"/>
        <c:tickLblPos val="nextTo"/>
        <c:crossAx val="129292544"/>
        <c:crosses val="autoZero"/>
        <c:crossBetween val="between"/>
      </c:valAx>
    </c:plotArea>
    <c:legend>
      <c:legendPos val="b"/>
      <c:layout>
        <c:manualLayout>
          <c:xMode val="edge"/>
          <c:yMode val="edge"/>
          <c:x val="0.19631023892631977"/>
          <c:y val="0.89996454988580976"/>
          <c:w val="0.5951843015339382"/>
          <c:h val="8.3619198733111438E-2"/>
        </c:manualLayout>
      </c:layout>
      <c:overlay val="0"/>
      <c:txPr>
        <a:bodyPr/>
        <a:lstStyle/>
        <a:p>
          <a:pPr>
            <a:defRPr sz="1100" b="1"/>
          </a:pPr>
          <a:endParaRPr lang="en-US"/>
        </a:p>
      </c:txPr>
    </c:legend>
    <c:plotVisOnly val="1"/>
    <c:dispBlanksAs val="gap"/>
    <c:showDLblsOverMax val="0"/>
  </c:chart>
  <c:spPr>
    <a:ln>
      <a:noFill/>
    </a:ln>
  </c:spPr>
  <c:txPr>
    <a:bodyPr/>
    <a:lstStyle/>
    <a:p>
      <a:pPr algn="just">
        <a:defRPr>
          <a:latin typeface="Arial" pitchFamily="34" charset="0"/>
          <a:cs typeface="Arial" pitchFamily="34"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PM 10</a:t>
            </a:r>
          </a:p>
        </c:rich>
      </c:tx>
      <c:layout>
        <c:manualLayout>
          <c:xMode val="edge"/>
          <c:yMode val="edge"/>
          <c:x val="0.42829155730533675"/>
          <c:y val="2.7777777777778213E-2"/>
        </c:manualLayout>
      </c:layout>
      <c:overlay val="1"/>
    </c:title>
    <c:autoTitleDeleted val="0"/>
    <c:plotArea>
      <c:layout>
        <c:manualLayout>
          <c:layoutTarget val="inner"/>
          <c:xMode val="edge"/>
          <c:yMode val="edge"/>
          <c:x val="0.11665124453678397"/>
          <c:y val="6.9444444444444503E-2"/>
          <c:w val="0.8316118744580494"/>
          <c:h val="0.69090582019284152"/>
        </c:manualLayout>
      </c:layout>
      <c:barChart>
        <c:barDir val="col"/>
        <c:grouping val="stacked"/>
        <c:varyColors val="0"/>
        <c:ser>
          <c:idx val="0"/>
          <c:order val="0"/>
          <c:tx>
            <c:strRef>
              <c:f>pulberi!$F$81</c:f>
              <c:strCache>
                <c:ptCount val="1"/>
                <c:pt idx="0">
                  <c:v>rutier</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cat>
            <c:numRef>
              <c:f>pulberi!$B$82:$B$90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pulberi!$F$82:$F$90</c:f>
              <c:numCache>
                <c:formatCode>0.00000</c:formatCode>
                <c:ptCount val="9"/>
                <c:pt idx="0">
                  <c:v>6.7898799999999995E-2</c:v>
                </c:pt>
                <c:pt idx="1">
                  <c:v>7.8560000000000005E-2</c:v>
                </c:pt>
                <c:pt idx="2">
                  <c:v>7.6515849826000001E-2</c:v>
                </c:pt>
                <c:pt idx="3">
                  <c:v>7.8684743560000006E-2</c:v>
                </c:pt>
                <c:pt idx="4">
                  <c:v>8.2208426682999991E-2</c:v>
                </c:pt>
                <c:pt idx="5" formatCode="0.000000">
                  <c:v>9.1850902376999999E-2</c:v>
                </c:pt>
                <c:pt idx="6" formatCode="General">
                  <c:v>7.9592309999999999E-2</c:v>
                </c:pt>
                <c:pt idx="7" formatCode="General">
                  <c:v>7.3365614800000006E-2</c:v>
                </c:pt>
                <c:pt idx="8" formatCode="General">
                  <c:v>7.4208898999999995E-2</c:v>
                </c:pt>
              </c:numCache>
            </c:numRef>
          </c:val>
          <c:extLst>
            <c:ext xmlns:c16="http://schemas.microsoft.com/office/drawing/2014/chart" uri="{C3380CC4-5D6E-409C-BE32-E72D297353CC}">
              <c16:uniqueId val="{00000000-BFE7-4324-AB02-A954E66BE69A}"/>
            </c:ext>
          </c:extLst>
        </c:ser>
        <c:ser>
          <c:idx val="1"/>
          <c:order val="1"/>
          <c:tx>
            <c:strRef>
              <c:f>pulberi!$G$81</c:f>
              <c:strCache>
                <c:ptCount val="1"/>
                <c:pt idx="0">
                  <c:v>nerutier</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cat>
            <c:numRef>
              <c:f>pulberi!$B$82:$B$90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pulberi!$G$82:$G$90</c:f>
              <c:numCache>
                <c:formatCode>0.00000</c:formatCode>
                <c:ptCount val="9"/>
                <c:pt idx="0">
                  <c:v>3.0497734955953933E-3</c:v>
                </c:pt>
                <c:pt idx="1">
                  <c:v>3.10636051284E-2</c:v>
                </c:pt>
                <c:pt idx="2">
                  <c:v>4.4687512805999998E-3</c:v>
                </c:pt>
                <c:pt idx="3">
                  <c:v>4.7584768028000003E-3</c:v>
                </c:pt>
                <c:pt idx="4">
                  <c:v>1.7178311844999999E-2</c:v>
                </c:pt>
                <c:pt idx="5" formatCode="0.00000000">
                  <c:v>4.6572015348000009E-3</c:v>
                </c:pt>
                <c:pt idx="6" formatCode="General">
                  <c:v>3.3257907161999998E-3</c:v>
                </c:pt>
                <c:pt idx="7" formatCode="General">
                  <c:v>2.6149889999999999E-2</c:v>
                </c:pt>
                <c:pt idx="8" formatCode="General">
                  <c:v>4.9955577999999997E-3</c:v>
                </c:pt>
              </c:numCache>
            </c:numRef>
          </c:val>
          <c:extLst>
            <c:ext xmlns:c16="http://schemas.microsoft.com/office/drawing/2014/chart" uri="{C3380CC4-5D6E-409C-BE32-E72D297353CC}">
              <c16:uniqueId val="{00000001-BFE7-4324-AB02-A954E66BE69A}"/>
            </c:ext>
          </c:extLst>
        </c:ser>
        <c:ser>
          <c:idx val="2"/>
          <c:order val="2"/>
          <c:tx>
            <c:strRef>
              <c:f>pulberi!$H$81</c:f>
              <c:strCache>
                <c:ptCount val="1"/>
                <c:pt idx="0">
                  <c:v>feroviar</c:v>
                </c:pt>
              </c:strCache>
            </c:strRef>
          </c:tx>
          <c:spPr>
            <a:blipFill>
              <a:blip xmlns:r="http://schemas.openxmlformats.org/officeDocument/2006/relationships" r:embed="rId3"/>
              <a:tile tx="0" ty="0" sx="100000" sy="100000" flip="none" algn="tl"/>
            </a:blipFill>
            <a:scene3d>
              <a:camera prst="orthographicFront"/>
              <a:lightRig rig="threePt" dir="t"/>
            </a:scene3d>
            <a:sp3d>
              <a:bevelT/>
            </a:sp3d>
          </c:spPr>
          <c:invertIfNegative val="0"/>
          <c:cat>
            <c:numRef>
              <c:f>pulberi!$B$82:$B$90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pulberi!$H$82:$H$90</c:f>
              <c:numCache>
                <c:formatCode>General</c:formatCode>
                <c:ptCount val="9"/>
                <c:pt idx="2">
                  <c:v>4.5780500000000002E-3</c:v>
                </c:pt>
                <c:pt idx="3" formatCode="#0.00000000">
                  <c:v>4.7064066850000001E-3</c:v>
                </c:pt>
                <c:pt idx="4" formatCode="#0.00000000">
                  <c:v>4.6794921999999996E-3</c:v>
                </c:pt>
                <c:pt idx="5" formatCode="0.00000000">
                  <c:v>4.8701778000000001E-3</c:v>
                </c:pt>
                <c:pt idx="6">
                  <c:v>3.9629660000000001E-3</c:v>
                </c:pt>
                <c:pt idx="7">
                  <c:v>5.4524509999999997E-3</c:v>
                </c:pt>
                <c:pt idx="8">
                  <c:v>4.7020810000000003E-3</c:v>
                </c:pt>
              </c:numCache>
            </c:numRef>
          </c:val>
          <c:extLst>
            <c:ext xmlns:c16="http://schemas.microsoft.com/office/drawing/2014/chart" uri="{C3380CC4-5D6E-409C-BE32-E72D297353CC}">
              <c16:uniqueId val="{00000002-BFE7-4324-AB02-A954E66BE69A}"/>
            </c:ext>
          </c:extLst>
        </c:ser>
        <c:dLbls>
          <c:showLegendKey val="0"/>
          <c:showVal val="0"/>
          <c:showCatName val="0"/>
          <c:showSerName val="0"/>
          <c:showPercent val="0"/>
          <c:showBubbleSize val="0"/>
        </c:dLbls>
        <c:gapWidth val="150"/>
        <c:overlap val="100"/>
        <c:axId val="129784448"/>
        <c:axId val="129802624"/>
      </c:barChart>
      <c:catAx>
        <c:axId val="129784448"/>
        <c:scaling>
          <c:orientation val="minMax"/>
        </c:scaling>
        <c:delete val="0"/>
        <c:axPos val="b"/>
        <c:numFmt formatCode="General" sourceLinked="1"/>
        <c:majorTickMark val="out"/>
        <c:minorTickMark val="none"/>
        <c:tickLblPos val="nextTo"/>
        <c:txPr>
          <a:bodyPr/>
          <a:lstStyle/>
          <a:p>
            <a:pPr>
              <a:defRPr b="1"/>
            </a:pPr>
            <a:endParaRPr lang="en-US"/>
          </a:p>
        </c:txPr>
        <c:crossAx val="129802624"/>
        <c:crosses val="autoZero"/>
        <c:auto val="1"/>
        <c:lblAlgn val="ctr"/>
        <c:lblOffset val="100"/>
        <c:noMultiLvlLbl val="0"/>
      </c:catAx>
      <c:valAx>
        <c:axId val="129802624"/>
        <c:scaling>
          <c:orientation val="minMax"/>
        </c:scaling>
        <c:delete val="0"/>
        <c:axPos val="l"/>
        <c:majorGridlines>
          <c:spPr>
            <a:ln>
              <a:solidFill>
                <a:sysClr val="window" lastClr="FFFFFF">
                  <a:lumMod val="85000"/>
                </a:sysClr>
              </a:solidFill>
            </a:ln>
          </c:spPr>
        </c:majorGridlines>
        <c:numFmt formatCode="0.00" sourceLinked="0"/>
        <c:majorTickMark val="out"/>
        <c:minorTickMark val="none"/>
        <c:tickLblPos val="nextTo"/>
        <c:txPr>
          <a:bodyPr/>
          <a:lstStyle/>
          <a:p>
            <a:pPr>
              <a:defRPr sz="900"/>
            </a:pPr>
            <a:endParaRPr lang="en-US"/>
          </a:p>
        </c:txPr>
        <c:crossAx val="129784448"/>
        <c:crosses val="autoZero"/>
        <c:crossBetween val="between"/>
      </c:valAx>
    </c:plotArea>
    <c:legend>
      <c:legendPos val="b"/>
      <c:layout>
        <c:manualLayout>
          <c:xMode val="edge"/>
          <c:yMode val="edge"/>
          <c:x val="8.8287571566507558E-2"/>
          <c:y val="0.90306394468315476"/>
          <c:w val="0.80615335971604585"/>
          <c:h val="8.388122502963892E-2"/>
        </c:manualLayout>
      </c:layout>
      <c:overlay val="0"/>
      <c:txPr>
        <a:bodyPr/>
        <a:lstStyle/>
        <a:p>
          <a:pPr>
            <a:defRPr sz="11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04247680851291E-2"/>
          <c:y val="4.3080362056020366E-2"/>
          <c:w val="0.8734282589676291"/>
          <c:h val="0.73445578615999907"/>
        </c:manualLayout>
      </c:layout>
      <c:barChart>
        <c:barDir val="col"/>
        <c:grouping val="clustered"/>
        <c:varyColors val="0"/>
        <c:ser>
          <c:idx val="0"/>
          <c:order val="0"/>
          <c:tx>
            <c:strRef>
              <c:f>pulberi!$C$126</c:f>
              <c:strCache>
                <c:ptCount val="1"/>
                <c:pt idx="0">
                  <c:v>PM 2,5 - Gg</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trendline>
            <c:spPr>
              <a:ln w="25400">
                <a:noFill/>
                <a:prstDash val="sysDash"/>
              </a:ln>
            </c:spPr>
            <c:trendlineType val="linear"/>
            <c:dispRSqr val="0"/>
            <c:dispEq val="0"/>
          </c:trendline>
          <c:trendline>
            <c:spPr>
              <a:ln w="15875">
                <a:solidFill>
                  <a:schemeClr val="bg2">
                    <a:lumMod val="50000"/>
                  </a:schemeClr>
                </a:solidFill>
                <a:prstDash val="lgDash"/>
              </a:ln>
            </c:spPr>
            <c:trendlineType val="linear"/>
            <c:dispRSqr val="0"/>
            <c:dispEq val="0"/>
          </c:trendline>
          <c:cat>
            <c:numRef>
              <c:f>(pulberi!$B$129:$B$132,pulberi!$B$133,pulberi!$B$134,pulberi!$B$135)</c:f>
              <c:numCache>
                <c:formatCode>General</c:formatCode>
                <c:ptCount val="7"/>
                <c:pt idx="0">
                  <c:v>2015</c:v>
                </c:pt>
                <c:pt idx="1">
                  <c:v>2016</c:v>
                </c:pt>
                <c:pt idx="2">
                  <c:v>2017</c:v>
                </c:pt>
                <c:pt idx="3">
                  <c:v>2018</c:v>
                </c:pt>
                <c:pt idx="4">
                  <c:v>2019</c:v>
                </c:pt>
                <c:pt idx="5">
                  <c:v>2020</c:v>
                </c:pt>
                <c:pt idx="6">
                  <c:v>2021</c:v>
                </c:pt>
              </c:numCache>
            </c:numRef>
          </c:cat>
          <c:val>
            <c:numRef>
              <c:f>(pulberi!$C$129:$C$132,pulberi!$C$133,pulberi!$C$134,pulberi!$C$135)</c:f>
              <c:numCache>
                <c:formatCode>General</c:formatCode>
                <c:ptCount val="7"/>
                <c:pt idx="0">
                  <c:v>5.8264359199999997E-2</c:v>
                </c:pt>
                <c:pt idx="1">
                  <c:v>5.9205899000000006E-2</c:v>
                </c:pt>
                <c:pt idx="2">
                  <c:v>3.6643151999999991E-2</c:v>
                </c:pt>
                <c:pt idx="3">
                  <c:v>3.6877749999999994E-2</c:v>
                </c:pt>
                <c:pt idx="4">
                  <c:v>4.101726E-2</c:v>
                </c:pt>
                <c:pt idx="5">
                  <c:v>3.9175662799999997E-2</c:v>
                </c:pt>
                <c:pt idx="6" formatCode="0.0000000000">
                  <c:v>3.8871600000000006E-2</c:v>
                </c:pt>
              </c:numCache>
            </c:numRef>
          </c:val>
          <c:extLst xmlns:c15="http://schemas.microsoft.com/office/drawing/2012/chart">
            <c:ext xmlns:c16="http://schemas.microsoft.com/office/drawing/2014/chart" uri="{C3380CC4-5D6E-409C-BE32-E72D297353CC}">
              <c16:uniqueId val="{00000000-F69E-4ED0-B805-AC642E173E66}"/>
            </c:ext>
          </c:extLst>
        </c:ser>
        <c:ser>
          <c:idx val="1"/>
          <c:order val="1"/>
          <c:tx>
            <c:strRef>
              <c:f>pulberi!$D$126</c:f>
              <c:strCache>
                <c:ptCount val="1"/>
                <c:pt idx="0">
                  <c:v>PM10 - Gg</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trendline>
            <c:spPr>
              <a:ln w="15875">
                <a:solidFill>
                  <a:schemeClr val="bg2">
                    <a:lumMod val="25000"/>
                  </a:schemeClr>
                </a:solidFill>
                <a:prstDash val="lgDash"/>
              </a:ln>
            </c:spPr>
            <c:trendlineType val="linear"/>
            <c:dispRSqr val="0"/>
            <c:dispEq val="0"/>
          </c:trendline>
          <c:cat>
            <c:numRef>
              <c:f>(pulberi!$B$129:$B$132,pulberi!$B$133,pulberi!$B$134,pulberi!$B$135)</c:f>
              <c:numCache>
                <c:formatCode>General</c:formatCode>
                <c:ptCount val="7"/>
                <c:pt idx="0">
                  <c:v>2015</c:v>
                </c:pt>
                <c:pt idx="1">
                  <c:v>2016</c:v>
                </c:pt>
                <c:pt idx="2">
                  <c:v>2017</c:v>
                </c:pt>
                <c:pt idx="3">
                  <c:v>2018</c:v>
                </c:pt>
                <c:pt idx="4">
                  <c:v>2019</c:v>
                </c:pt>
                <c:pt idx="5">
                  <c:v>2020</c:v>
                </c:pt>
                <c:pt idx="6">
                  <c:v>2021</c:v>
                </c:pt>
              </c:numCache>
            </c:numRef>
          </c:cat>
          <c:val>
            <c:numRef>
              <c:f>(pulberi!$D$129:$D$132,pulberi!$D$133,pulberi!$D$134,pulberi!$D$135)</c:f>
              <c:numCache>
                <c:formatCode>General</c:formatCode>
                <c:ptCount val="7"/>
                <c:pt idx="0">
                  <c:v>0.20110496809999998</c:v>
                </c:pt>
                <c:pt idx="1">
                  <c:v>0.20504921950000002</c:v>
                </c:pt>
                <c:pt idx="2">
                  <c:v>8.7893965749999997E-2</c:v>
                </c:pt>
                <c:pt idx="3">
                  <c:v>8.496795E-2</c:v>
                </c:pt>
                <c:pt idx="4">
                  <c:v>0.163766685</c:v>
                </c:pt>
                <c:pt idx="5">
                  <c:v>9.593239219999998E-2</c:v>
                </c:pt>
                <c:pt idx="6" formatCode="0.0000000000">
                  <c:v>0.10719161000000001</c:v>
                </c:pt>
              </c:numCache>
            </c:numRef>
          </c:val>
          <c:extLst>
            <c:ext xmlns:c16="http://schemas.microsoft.com/office/drawing/2014/chart" uri="{C3380CC4-5D6E-409C-BE32-E72D297353CC}">
              <c16:uniqueId val="{00000001-F69E-4ED0-B805-AC642E173E66}"/>
            </c:ext>
          </c:extLst>
        </c:ser>
        <c:dLbls>
          <c:showLegendKey val="0"/>
          <c:showVal val="0"/>
          <c:showCatName val="0"/>
          <c:showSerName val="0"/>
          <c:showPercent val="0"/>
          <c:showBubbleSize val="0"/>
        </c:dLbls>
        <c:gapWidth val="150"/>
        <c:axId val="129821312"/>
        <c:axId val="129823104"/>
        <c:extLst/>
      </c:barChart>
      <c:catAx>
        <c:axId val="129821312"/>
        <c:scaling>
          <c:orientation val="minMax"/>
        </c:scaling>
        <c:delete val="0"/>
        <c:axPos val="b"/>
        <c:numFmt formatCode="General" sourceLinked="1"/>
        <c:majorTickMark val="out"/>
        <c:minorTickMark val="none"/>
        <c:tickLblPos val="nextTo"/>
        <c:txPr>
          <a:bodyPr/>
          <a:lstStyle/>
          <a:p>
            <a:pPr>
              <a:defRPr b="1"/>
            </a:pPr>
            <a:endParaRPr lang="en-US"/>
          </a:p>
        </c:txPr>
        <c:crossAx val="129823104"/>
        <c:crosses val="autoZero"/>
        <c:auto val="1"/>
        <c:lblAlgn val="ctr"/>
        <c:lblOffset val="100"/>
        <c:noMultiLvlLbl val="0"/>
      </c:catAx>
      <c:valAx>
        <c:axId val="129823104"/>
        <c:scaling>
          <c:orientation val="minMax"/>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29821312"/>
        <c:crosses val="autoZero"/>
        <c:crossBetween val="between"/>
      </c:valAx>
    </c:plotArea>
    <c:legend>
      <c:legendPos val="b"/>
      <c:legendEntry>
        <c:idx val="2"/>
        <c:delete val="1"/>
      </c:legendEntry>
      <c:layout>
        <c:manualLayout>
          <c:xMode val="edge"/>
          <c:yMode val="edge"/>
          <c:x val="5.0000034692693276E-2"/>
          <c:y val="0.86018886578840426"/>
          <c:w val="0.89999993061461347"/>
          <c:h val="0.11276144588974112"/>
        </c:manualLayout>
      </c:layout>
      <c:overlay val="0"/>
      <c:txPr>
        <a:bodyPr/>
        <a:lstStyle/>
        <a:p>
          <a:pPr>
            <a:defRPr sz="12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2753025977549"/>
          <c:y val="8.0507346420475898E-2"/>
          <c:w val="0.82372469740224508"/>
          <c:h val="0.6452405037911928"/>
        </c:manualLayout>
      </c:layout>
      <c:barChart>
        <c:barDir val="col"/>
        <c:grouping val="clustered"/>
        <c:varyColors val="0"/>
        <c:ser>
          <c:idx val="0"/>
          <c:order val="0"/>
          <c:tx>
            <c:strRef>
              <c:f>pulberi!$C$141</c:f>
              <c:strCache>
                <c:ptCount val="1"/>
                <c:pt idx="0">
                  <c:v>PM 2,5 - Gg</c:v>
                </c:pt>
              </c:strCache>
            </c:strRef>
          </c:tx>
          <c:spPr>
            <a:blipFill>
              <a:blip xmlns:r="http://schemas.openxmlformats.org/officeDocument/2006/relationships" r:embed="rId1"/>
              <a:tile tx="0" ty="0" sx="100000" sy="100000" flip="none" algn="tl"/>
            </a:blipFill>
            <a:scene3d>
              <a:camera prst="orthographicFront"/>
              <a:lightRig rig="threePt" dir="t"/>
            </a:scene3d>
            <a:sp3d>
              <a:bevelT/>
            </a:sp3d>
          </c:spPr>
          <c:invertIfNegative val="0"/>
          <c:trendline>
            <c:spPr>
              <a:ln w="25400">
                <a:solidFill>
                  <a:srgbClr val="ECC888"/>
                </a:solidFill>
                <a:prstDash val="sysDash"/>
              </a:ln>
            </c:spPr>
            <c:trendlineType val="linear"/>
            <c:dispRSqr val="0"/>
            <c:dispEq val="0"/>
          </c:trendline>
          <c:cat>
            <c:numRef>
              <c:f>(pulberi!$B$142:$B$146,pulberi!$B$147,pulberi!$B$148,pulberi!$B$149,pulberi!$B$150)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(pulberi!$C$142:$C$146,pulberi!$C$147,pulberi!$C$148,pulberi!$C$149,pulberi!$C$150)</c:f>
              <c:numCache>
                <c:formatCode>General</c:formatCode>
                <c:ptCount val="9"/>
                <c:pt idx="0">
                  <c:v>2.7497727499999997E-4</c:v>
                </c:pt>
                <c:pt idx="1">
                  <c:v>1.5168850000000001E-4</c:v>
                </c:pt>
                <c:pt idx="2">
                  <c:v>2.12944016E-4</c:v>
                </c:pt>
                <c:pt idx="3">
                  <c:v>1.4020319499999999E-4</c:v>
                </c:pt>
                <c:pt idx="4">
                  <c:v>1.3616277599999999E-4</c:v>
                </c:pt>
                <c:pt idx="5">
                  <c:v>1.3078403099999998E-4</c:v>
                </c:pt>
                <c:pt idx="6">
                  <c:v>1.3359532300000001E-4</c:v>
                </c:pt>
                <c:pt idx="7">
                  <c:v>1.7265029000000001E-5</c:v>
                </c:pt>
                <c:pt idx="8" formatCode="0.00000000000">
                  <c:v>1.9507954000000001E-5</c:v>
                </c:pt>
              </c:numCache>
            </c:numRef>
          </c:val>
          <c:extLst>
            <c:ext xmlns:c16="http://schemas.microsoft.com/office/drawing/2014/chart" uri="{C3380CC4-5D6E-409C-BE32-E72D297353CC}">
              <c16:uniqueId val="{00000000-DCCB-4C7B-9B52-4B51E9EDEF48}"/>
            </c:ext>
          </c:extLst>
        </c:ser>
        <c:ser>
          <c:idx val="1"/>
          <c:order val="1"/>
          <c:tx>
            <c:strRef>
              <c:f>pulberi!$D$141</c:f>
              <c:strCache>
                <c:ptCount val="1"/>
                <c:pt idx="0">
                  <c:v>PM10 - Gg</c:v>
                </c:pt>
              </c:strCache>
            </c:strRef>
          </c:tx>
          <c:spPr>
            <a:blipFill>
              <a:blip xmlns:r="http://schemas.openxmlformats.org/officeDocument/2006/relationships" r:embed="rId2"/>
              <a:tile tx="0" ty="0" sx="100000" sy="100000" flip="none" algn="tl"/>
            </a:blipFill>
            <a:scene3d>
              <a:camera prst="orthographicFront"/>
              <a:lightRig rig="threePt" dir="t"/>
            </a:scene3d>
            <a:sp3d>
              <a:bevelT/>
            </a:sp3d>
          </c:spPr>
          <c:invertIfNegative val="0"/>
          <c:trendline>
            <c:spPr>
              <a:ln w="22225">
                <a:solidFill>
                  <a:srgbClr val="745112"/>
                </a:solidFill>
                <a:prstDash val="sysDash"/>
              </a:ln>
            </c:spPr>
            <c:trendlineType val="linear"/>
            <c:dispRSqr val="0"/>
            <c:dispEq val="0"/>
          </c:trendline>
          <c:cat>
            <c:numRef>
              <c:f>(pulberi!$B$142:$B$146,pulberi!$B$147,pulberi!$B$148,pulberi!$B$149,pulberi!$B$150)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(pulberi!$D$142:$D$146,pulberi!$D$147,pulberi!$D$148,pulberi!$D$149,pulberi!$D$150)</c:f>
              <c:numCache>
                <c:formatCode>General</c:formatCode>
                <c:ptCount val="9"/>
                <c:pt idx="0">
                  <c:v>3.28830205E-4</c:v>
                </c:pt>
                <c:pt idx="1">
                  <c:v>1.7726870000000001E-4</c:v>
                </c:pt>
                <c:pt idx="2">
                  <c:v>3.50937788E-4</c:v>
                </c:pt>
                <c:pt idx="3">
                  <c:v>2.6944238500000003E-4</c:v>
                </c:pt>
                <c:pt idx="4">
                  <c:v>2.6075296799999998E-4</c:v>
                </c:pt>
                <c:pt idx="5">
                  <c:v>2.7715293300000003E-4</c:v>
                </c:pt>
                <c:pt idx="6">
                  <c:v>2.9420968900000004E-4</c:v>
                </c:pt>
                <c:pt idx="7">
                  <c:v>1.14188187E-4</c:v>
                </c:pt>
                <c:pt idx="8" formatCode="0.00000000000">
                  <c:v>1.2907937199999999E-4</c:v>
                </c:pt>
              </c:numCache>
            </c:numRef>
          </c:val>
          <c:extLst>
            <c:ext xmlns:c16="http://schemas.microsoft.com/office/drawing/2014/chart" uri="{C3380CC4-5D6E-409C-BE32-E72D297353CC}">
              <c16:uniqueId val="{00000001-DCCB-4C7B-9B52-4B51E9EDEF48}"/>
            </c:ext>
          </c:extLst>
        </c:ser>
        <c:dLbls>
          <c:showLegendKey val="0"/>
          <c:showVal val="0"/>
          <c:showCatName val="0"/>
          <c:showSerName val="0"/>
          <c:showPercent val="0"/>
          <c:showBubbleSize val="0"/>
        </c:dLbls>
        <c:gapWidth val="150"/>
        <c:axId val="129871232"/>
        <c:axId val="129959040"/>
      </c:barChart>
      <c:catAx>
        <c:axId val="129871232"/>
        <c:scaling>
          <c:orientation val="minMax"/>
        </c:scaling>
        <c:delete val="0"/>
        <c:axPos val="b"/>
        <c:numFmt formatCode="General" sourceLinked="1"/>
        <c:majorTickMark val="out"/>
        <c:minorTickMark val="none"/>
        <c:tickLblPos val="nextTo"/>
        <c:txPr>
          <a:bodyPr/>
          <a:lstStyle/>
          <a:p>
            <a:pPr>
              <a:defRPr b="1"/>
            </a:pPr>
            <a:endParaRPr lang="en-US"/>
          </a:p>
        </c:txPr>
        <c:crossAx val="129959040"/>
        <c:crosses val="autoZero"/>
        <c:auto val="1"/>
        <c:lblAlgn val="ctr"/>
        <c:lblOffset val="100"/>
        <c:noMultiLvlLbl val="0"/>
      </c:catAx>
      <c:valAx>
        <c:axId val="129959040"/>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129871232"/>
        <c:crosses val="autoZero"/>
        <c:crossBetween val="between"/>
      </c:valAx>
    </c:plotArea>
    <c:legend>
      <c:legendPos val="b"/>
      <c:legendEntry>
        <c:idx val="2"/>
        <c:delete val="1"/>
      </c:legendEntry>
      <c:legendEntry>
        <c:idx val="3"/>
        <c:delete val="1"/>
      </c:legendEntry>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metale2!$B$83</c:f>
              <c:strCache>
                <c:ptCount val="1"/>
                <c:pt idx="0">
                  <c:v>As - Mg</c:v>
                </c:pt>
              </c:strCache>
            </c:strRef>
          </c:tx>
          <c:spPr>
            <a:solidFill>
              <a:srgbClr val="93CDDD"/>
            </a:solidFill>
            <a:ln>
              <a:noFill/>
            </a:ln>
            <a:effectLst/>
            <a:scene3d>
              <a:camera prst="orthographicFront"/>
              <a:lightRig rig="threePt" dir="t"/>
            </a:scene3d>
            <a:sp3d>
              <a:bevelT/>
            </a:sp3d>
          </c:spPr>
          <c:invertIfNegative val="0"/>
          <c:cat>
            <c:numRef>
              <c:f>(metale2!$A$84:$A$89,metale2!$A$90:$A$91)</c:f>
              <c:numCache>
                <c:formatCode>General</c:formatCode>
                <c:ptCount val="8"/>
                <c:pt idx="0">
                  <c:v>2014</c:v>
                </c:pt>
                <c:pt idx="1">
                  <c:v>2015</c:v>
                </c:pt>
                <c:pt idx="2">
                  <c:v>2016</c:v>
                </c:pt>
                <c:pt idx="3">
                  <c:v>2017</c:v>
                </c:pt>
                <c:pt idx="4">
                  <c:v>2018</c:v>
                </c:pt>
                <c:pt idx="5">
                  <c:v>2019</c:v>
                </c:pt>
                <c:pt idx="6">
                  <c:v>2020</c:v>
                </c:pt>
                <c:pt idx="7">
                  <c:v>2021</c:v>
                </c:pt>
              </c:numCache>
            </c:numRef>
          </c:cat>
          <c:val>
            <c:numRef>
              <c:f>(metale2!$B$84:$B$89,metale2!$B$90:$B$91)</c:f>
              <c:numCache>
                <c:formatCode>General</c:formatCode>
                <c:ptCount val="8"/>
                <c:pt idx="0">
                  <c:v>3.7185026925500974E-3</c:v>
                </c:pt>
                <c:pt idx="1">
                  <c:v>1.5740116395596335E-3</c:v>
                </c:pt>
                <c:pt idx="2">
                  <c:v>1.5692295299999999E-3</c:v>
                </c:pt>
                <c:pt idx="3">
                  <c:v>1.9980630499999998E-3</c:v>
                </c:pt>
                <c:pt idx="4">
                  <c:v>1.793244873E-3</c:v>
                </c:pt>
                <c:pt idx="5">
                  <c:v>9.4740463000000008E-4</c:v>
                </c:pt>
                <c:pt idx="6" formatCode="0.000000000">
                  <c:v>7.8717054000000013E-4</c:v>
                </c:pt>
                <c:pt idx="7">
                  <c:v>8.6851947750000004E-4</c:v>
                </c:pt>
              </c:numCache>
            </c:numRef>
          </c:val>
          <c:extLst>
            <c:ext xmlns:c16="http://schemas.microsoft.com/office/drawing/2014/chart" uri="{C3380CC4-5D6E-409C-BE32-E72D297353CC}">
              <c16:uniqueId val="{00000000-7C90-4973-B3CC-5F452A3C43A9}"/>
            </c:ext>
          </c:extLst>
        </c:ser>
        <c:ser>
          <c:idx val="1"/>
          <c:order val="1"/>
          <c:tx>
            <c:strRef>
              <c:f>metale2!$F$83</c:f>
              <c:strCache>
                <c:ptCount val="1"/>
                <c:pt idx="0">
                  <c:v>Hg - Mg</c:v>
                </c:pt>
              </c:strCache>
            </c:strRef>
          </c:tx>
          <c:spPr>
            <a:solidFill>
              <a:srgbClr val="E3B0AF"/>
            </a:solidFill>
            <a:ln>
              <a:noFill/>
            </a:ln>
            <a:effectLst/>
            <a:scene3d>
              <a:camera prst="orthographicFront"/>
              <a:lightRig rig="threePt" dir="t"/>
            </a:scene3d>
            <a:sp3d>
              <a:bevelT/>
            </a:sp3d>
          </c:spPr>
          <c:invertIfNegative val="0"/>
          <c:cat>
            <c:numRef>
              <c:f>(metale2!$A$84:$A$89,metale2!$A$90:$A$91)</c:f>
              <c:numCache>
                <c:formatCode>General</c:formatCode>
                <c:ptCount val="8"/>
                <c:pt idx="0">
                  <c:v>2014</c:v>
                </c:pt>
                <c:pt idx="1">
                  <c:v>2015</c:v>
                </c:pt>
                <c:pt idx="2">
                  <c:v>2016</c:v>
                </c:pt>
                <c:pt idx="3">
                  <c:v>2017</c:v>
                </c:pt>
                <c:pt idx="4">
                  <c:v>2018</c:v>
                </c:pt>
                <c:pt idx="5">
                  <c:v>2019</c:v>
                </c:pt>
                <c:pt idx="6">
                  <c:v>2020</c:v>
                </c:pt>
                <c:pt idx="7">
                  <c:v>2021</c:v>
                </c:pt>
              </c:numCache>
            </c:numRef>
          </c:cat>
          <c:val>
            <c:numRef>
              <c:f>(metale2!$F$84:$F$89,metale2!$F$90:$F$91)</c:f>
              <c:numCache>
                <c:formatCode>General</c:formatCode>
                <c:ptCount val="8"/>
                <c:pt idx="0">
                  <c:v>2.2270657856059222E-3</c:v>
                </c:pt>
                <c:pt idx="1">
                  <c:v>3.5914110287070151E-3</c:v>
                </c:pt>
                <c:pt idx="2">
                  <c:v>3.6221012200000004E-3</c:v>
                </c:pt>
                <c:pt idx="3">
                  <c:v>3.7960372299999999E-3</c:v>
                </c:pt>
                <c:pt idx="4">
                  <c:v>3.4183450244499995E-3</c:v>
                </c:pt>
                <c:pt idx="5">
                  <c:v>2.2527022496E-3</c:v>
                </c:pt>
                <c:pt idx="6">
                  <c:v>1.9279580199999999E-3</c:v>
                </c:pt>
                <c:pt idx="7">
                  <c:v>2.2001529037499997E-3</c:v>
                </c:pt>
              </c:numCache>
            </c:numRef>
          </c:val>
          <c:extLst>
            <c:ext xmlns:c16="http://schemas.microsoft.com/office/drawing/2014/chart" uri="{C3380CC4-5D6E-409C-BE32-E72D297353CC}">
              <c16:uniqueId val="{00000001-7C90-4973-B3CC-5F452A3C43A9}"/>
            </c:ext>
          </c:extLst>
        </c:ser>
        <c:ser>
          <c:idx val="2"/>
          <c:order val="2"/>
          <c:tx>
            <c:strRef>
              <c:f>metale2!$I$83</c:f>
              <c:strCache>
                <c:ptCount val="1"/>
                <c:pt idx="0">
                  <c:v>Se - Mg</c:v>
                </c:pt>
              </c:strCache>
            </c:strRef>
          </c:tx>
          <c:spPr>
            <a:solidFill>
              <a:srgbClr val="C3D69B"/>
            </a:solidFill>
            <a:ln>
              <a:noFill/>
            </a:ln>
            <a:effectLst/>
            <a:scene3d>
              <a:camera prst="orthographicFront"/>
              <a:lightRig rig="threePt" dir="t"/>
            </a:scene3d>
            <a:sp3d>
              <a:bevelT/>
            </a:sp3d>
          </c:spPr>
          <c:invertIfNegative val="0"/>
          <c:cat>
            <c:numRef>
              <c:f>(metale2!$A$84:$A$89,metale2!$A$90:$A$91)</c:f>
              <c:numCache>
                <c:formatCode>General</c:formatCode>
                <c:ptCount val="8"/>
                <c:pt idx="0">
                  <c:v>2014</c:v>
                </c:pt>
                <c:pt idx="1">
                  <c:v>2015</c:v>
                </c:pt>
                <c:pt idx="2">
                  <c:v>2016</c:v>
                </c:pt>
                <c:pt idx="3">
                  <c:v>2017</c:v>
                </c:pt>
                <c:pt idx="4">
                  <c:v>2018</c:v>
                </c:pt>
                <c:pt idx="5">
                  <c:v>2019</c:v>
                </c:pt>
                <c:pt idx="6">
                  <c:v>2020</c:v>
                </c:pt>
                <c:pt idx="7">
                  <c:v>2021</c:v>
                </c:pt>
              </c:numCache>
            </c:numRef>
          </c:cat>
          <c:val>
            <c:numRef>
              <c:f>(metale2!$I$84:$I$89,metale2!$I$90:$I$91)</c:f>
              <c:numCache>
                <c:formatCode>General</c:formatCode>
                <c:ptCount val="8"/>
                <c:pt idx="0">
                  <c:v>2.3201247740722583E-3</c:v>
                </c:pt>
                <c:pt idx="1">
                  <c:v>2.941387036234637E-3</c:v>
                </c:pt>
                <c:pt idx="2">
                  <c:v>3.2678435097600001E-3</c:v>
                </c:pt>
                <c:pt idx="3">
                  <c:v>2.8632302960000001E-3</c:v>
                </c:pt>
                <c:pt idx="4">
                  <c:v>2.2760495628779999E-3</c:v>
                </c:pt>
                <c:pt idx="5">
                  <c:v>2.0347263799999999E-3</c:v>
                </c:pt>
                <c:pt idx="6">
                  <c:v>1.9702493299999999E-3</c:v>
                </c:pt>
                <c:pt idx="7">
                  <c:v>2.0084866499999999E-3</c:v>
                </c:pt>
              </c:numCache>
            </c:numRef>
          </c:val>
          <c:extLst>
            <c:ext xmlns:c16="http://schemas.microsoft.com/office/drawing/2014/chart" uri="{C3380CC4-5D6E-409C-BE32-E72D297353CC}">
              <c16:uniqueId val="{00000002-7C90-4973-B3CC-5F452A3C43A9}"/>
            </c:ext>
          </c:extLst>
        </c:ser>
        <c:dLbls>
          <c:showLegendKey val="0"/>
          <c:showVal val="0"/>
          <c:showCatName val="0"/>
          <c:showSerName val="0"/>
          <c:showPercent val="0"/>
          <c:showBubbleSize val="0"/>
        </c:dLbls>
        <c:gapWidth val="219"/>
        <c:overlap val="-27"/>
        <c:axId val="130903424"/>
        <c:axId val="130905216"/>
      </c:barChart>
      <c:catAx>
        <c:axId val="13090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905216"/>
        <c:crosses val="autoZero"/>
        <c:auto val="1"/>
        <c:lblAlgn val="ctr"/>
        <c:lblOffset val="100"/>
        <c:noMultiLvlLbl val="0"/>
      </c:catAx>
      <c:valAx>
        <c:axId val="13090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90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C6H6</a:t>
            </a:r>
            <a:r>
              <a:rPr lang="ro-RO" sz="1200" b="1"/>
              <a:t> - valori medii lunare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rgbClr val="646402"/>
            </a:solidFill>
            <a:ln>
              <a:noFill/>
            </a:ln>
            <a:effectLst/>
            <a:scene3d>
              <a:camera prst="orthographicFront"/>
              <a:lightRig rig="threePt" dir="t"/>
            </a:scene3d>
            <a:sp3d>
              <a:bevelT/>
            </a:sp3d>
          </c:spPr>
          <c:invertIfNegative val="0"/>
          <c:cat>
            <c:strRef>
              <c:f>'[Grafice 2021.xlsx] grafice lunare'!$B$5:$B$16</c:f>
              <c:strCache>
                <c:ptCount val="12"/>
                <c:pt idx="0">
                  <c:v>Ian.</c:v>
                </c:pt>
                <c:pt idx="1">
                  <c:v>Feb.</c:v>
                </c:pt>
                <c:pt idx="2">
                  <c:v>Mar.</c:v>
                </c:pt>
                <c:pt idx="3">
                  <c:v>Apr.</c:v>
                </c:pt>
                <c:pt idx="4">
                  <c:v>Mai</c:v>
                </c:pt>
                <c:pt idx="5">
                  <c:v>Iun.</c:v>
                </c:pt>
                <c:pt idx="6">
                  <c:v>Iul.</c:v>
                </c:pt>
                <c:pt idx="7">
                  <c:v>Aug.</c:v>
                </c:pt>
                <c:pt idx="8">
                  <c:v>Sept.</c:v>
                </c:pt>
                <c:pt idx="9">
                  <c:v>Oct.</c:v>
                </c:pt>
                <c:pt idx="10">
                  <c:v>Noi.</c:v>
                </c:pt>
                <c:pt idx="11">
                  <c:v>Dec.</c:v>
                </c:pt>
              </c:strCache>
            </c:strRef>
          </c:cat>
          <c:val>
            <c:numRef>
              <c:f>'[Grafice 2021.xlsx] grafice lunare'!$K$5:$K$16</c:f>
              <c:numCache>
                <c:formatCode>General</c:formatCode>
                <c:ptCount val="12"/>
                <c:pt idx="0">
                  <c:v>3.14</c:v>
                </c:pt>
                <c:pt idx="1">
                  <c:v>4.05</c:v>
                </c:pt>
                <c:pt idx="2">
                  <c:v>2.61</c:v>
                </c:pt>
                <c:pt idx="3">
                  <c:v>1.23</c:v>
                </c:pt>
                <c:pt idx="4">
                  <c:v>0.85</c:v>
                </c:pt>
                <c:pt idx="5">
                  <c:v>1.69</c:v>
                </c:pt>
                <c:pt idx="6">
                  <c:v>1.25</c:v>
                </c:pt>
                <c:pt idx="7">
                  <c:v>1.1399999999999999</c:v>
                </c:pt>
                <c:pt idx="8">
                  <c:v>1.1599999999999999</c:v>
                </c:pt>
                <c:pt idx="9">
                  <c:v>2.69</c:v>
                </c:pt>
              </c:numCache>
            </c:numRef>
          </c:val>
          <c:extLst>
            <c:ext xmlns:c16="http://schemas.microsoft.com/office/drawing/2014/chart" uri="{C3380CC4-5D6E-409C-BE32-E72D297353CC}">
              <c16:uniqueId val="{00000000-2D72-472E-B882-F08883A033C8}"/>
            </c:ext>
          </c:extLst>
        </c:ser>
        <c:dLbls>
          <c:showLegendKey val="0"/>
          <c:showVal val="0"/>
          <c:showCatName val="0"/>
          <c:showSerName val="0"/>
          <c:showPercent val="0"/>
          <c:showBubbleSize val="0"/>
        </c:dLbls>
        <c:gapWidth val="219"/>
        <c:overlap val="-27"/>
        <c:axId val="506626416"/>
        <c:axId val="506618872"/>
      </c:barChart>
      <c:catAx>
        <c:axId val="50662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6618872"/>
        <c:crosses val="autoZero"/>
        <c:auto val="1"/>
        <c:lblAlgn val="ctr"/>
        <c:lblOffset val="100"/>
        <c:noMultiLvlLbl val="0"/>
      </c:catAx>
      <c:valAx>
        <c:axId val="50661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ro-RO" b="1"/>
                  <a:t>concentraţie µg/m3</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6626416"/>
        <c:crosses val="autoZero"/>
        <c:crossBetween val="between"/>
      </c:valAx>
      <c:spPr>
        <a:solidFill>
          <a:schemeClr val="bg1"/>
        </a:solidFill>
        <a:ln>
          <a:noFill/>
        </a:ln>
        <a:effectLst/>
      </c:spPr>
    </c:plotArea>
    <c:plotVisOnly val="1"/>
    <c:dispBlanksAs val="gap"/>
    <c:showDLblsOverMax val="0"/>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38062757082214"/>
          <c:y val="7.7689240590731859E-2"/>
          <c:w val="0.82963469617627961"/>
          <c:h val="0.70007452772107193"/>
        </c:manualLayout>
      </c:layout>
      <c:barChart>
        <c:barDir val="col"/>
        <c:grouping val="clustered"/>
        <c:varyColors val="0"/>
        <c:ser>
          <c:idx val="0"/>
          <c:order val="0"/>
          <c:tx>
            <c:strRef>
              <c:f>metale2!$C$83</c:f>
              <c:strCache>
                <c:ptCount val="1"/>
                <c:pt idx="0">
                  <c:v>Cd - Mg</c:v>
                </c:pt>
              </c:strCache>
            </c:strRef>
          </c:tx>
          <c:spPr>
            <a:solidFill>
              <a:srgbClr val="9B799B"/>
            </a:solidFill>
            <a:ln>
              <a:noFill/>
            </a:ln>
            <a:effectLst/>
            <a:scene3d>
              <a:camera prst="orthographicFront"/>
              <a:lightRig rig="threePt" dir="t"/>
            </a:scene3d>
            <a:sp3d>
              <a:bevelT/>
            </a:sp3d>
          </c:spPr>
          <c:invertIfNegative val="0"/>
          <c:cat>
            <c:numRef>
              <c:f>(metale2!$A$84:$A$90,metale2!$A$91)</c:f>
              <c:numCache>
                <c:formatCode>General</c:formatCode>
                <c:ptCount val="8"/>
                <c:pt idx="0">
                  <c:v>2014</c:v>
                </c:pt>
                <c:pt idx="1">
                  <c:v>2015</c:v>
                </c:pt>
                <c:pt idx="2">
                  <c:v>2016</c:v>
                </c:pt>
                <c:pt idx="3">
                  <c:v>2017</c:v>
                </c:pt>
                <c:pt idx="4">
                  <c:v>2018</c:v>
                </c:pt>
                <c:pt idx="5">
                  <c:v>2019</c:v>
                </c:pt>
                <c:pt idx="6">
                  <c:v>2020</c:v>
                </c:pt>
                <c:pt idx="7">
                  <c:v>2021</c:v>
                </c:pt>
              </c:numCache>
            </c:numRef>
          </c:cat>
          <c:val>
            <c:numRef>
              <c:f>(metale2!$C$84:$C$90,metale2!$C$91)</c:f>
              <c:numCache>
                <c:formatCode>General</c:formatCode>
                <c:ptCount val="8"/>
                <c:pt idx="0">
                  <c:v>7.1233787698926371E-3</c:v>
                </c:pt>
                <c:pt idx="1">
                  <c:v>6.5846516167518424E-2</c:v>
                </c:pt>
                <c:pt idx="2">
                  <c:v>7.2387415299759991E-2</c:v>
                </c:pt>
                <c:pt idx="3">
                  <c:v>4.9455971940000003E-2</c:v>
                </c:pt>
                <c:pt idx="4">
                  <c:v>4.2832145685500006E-2</c:v>
                </c:pt>
                <c:pt idx="5">
                  <c:v>4.0142470970000003E-2</c:v>
                </c:pt>
                <c:pt idx="6">
                  <c:v>3.8401475659999997E-2</c:v>
                </c:pt>
                <c:pt idx="7">
                  <c:v>4.1438591249999997E-2</c:v>
                </c:pt>
              </c:numCache>
            </c:numRef>
          </c:val>
          <c:extLst>
            <c:ext xmlns:c16="http://schemas.microsoft.com/office/drawing/2014/chart" uri="{C3380CC4-5D6E-409C-BE32-E72D297353CC}">
              <c16:uniqueId val="{00000000-7B97-4852-8565-7B440418C79C}"/>
            </c:ext>
          </c:extLst>
        </c:ser>
        <c:ser>
          <c:idx val="1"/>
          <c:order val="1"/>
          <c:tx>
            <c:strRef>
              <c:f>metale2!$G$83</c:f>
              <c:strCache>
                <c:ptCount val="1"/>
                <c:pt idx="0">
                  <c:v>Ni - Mg</c:v>
                </c:pt>
              </c:strCache>
            </c:strRef>
          </c:tx>
          <c:spPr>
            <a:solidFill>
              <a:srgbClr val="2BAEAB"/>
            </a:solidFill>
            <a:scene3d>
              <a:camera prst="orthographicFront"/>
              <a:lightRig rig="threePt" dir="t"/>
            </a:scene3d>
            <a:sp3d>
              <a:bevelT/>
            </a:sp3d>
          </c:spPr>
          <c:invertIfNegative val="0"/>
          <c:cat>
            <c:numRef>
              <c:f>(metale2!$A$84:$A$90,metale2!$A$91)</c:f>
              <c:numCache>
                <c:formatCode>General</c:formatCode>
                <c:ptCount val="8"/>
                <c:pt idx="0">
                  <c:v>2014</c:v>
                </c:pt>
                <c:pt idx="1">
                  <c:v>2015</c:v>
                </c:pt>
                <c:pt idx="2">
                  <c:v>2016</c:v>
                </c:pt>
                <c:pt idx="3">
                  <c:v>2017</c:v>
                </c:pt>
                <c:pt idx="4">
                  <c:v>2018</c:v>
                </c:pt>
                <c:pt idx="5">
                  <c:v>2019</c:v>
                </c:pt>
                <c:pt idx="6">
                  <c:v>2020</c:v>
                </c:pt>
                <c:pt idx="7">
                  <c:v>2021</c:v>
                </c:pt>
              </c:numCache>
            </c:numRef>
          </c:cat>
          <c:val>
            <c:numRef>
              <c:f>(metale2!$G$84:$G$90,metale2!$G$91)</c:f>
              <c:numCache>
                <c:formatCode>General</c:formatCode>
                <c:ptCount val="8"/>
                <c:pt idx="0">
                  <c:v>0.10054654752231437</c:v>
                </c:pt>
                <c:pt idx="1">
                  <c:v>1.3136601239491704E-2</c:v>
                </c:pt>
                <c:pt idx="2">
                  <c:v>1.4452809698300002E-2</c:v>
                </c:pt>
                <c:pt idx="3">
                  <c:v>1.1467628225000002E-2</c:v>
                </c:pt>
                <c:pt idx="4">
                  <c:v>1.0335135797400001E-2</c:v>
                </c:pt>
                <c:pt idx="5">
                  <c:v>9.8417694900000009E-3</c:v>
                </c:pt>
                <c:pt idx="6">
                  <c:v>1.0425189450000002E-2</c:v>
                </c:pt>
                <c:pt idx="7">
                  <c:v>1.0249963549999999E-2</c:v>
                </c:pt>
              </c:numCache>
            </c:numRef>
          </c:val>
          <c:extLst>
            <c:ext xmlns:c16="http://schemas.microsoft.com/office/drawing/2014/chart" uri="{C3380CC4-5D6E-409C-BE32-E72D297353CC}">
              <c16:uniqueId val="{00000001-7B97-4852-8565-7B440418C79C}"/>
            </c:ext>
          </c:extLst>
        </c:ser>
        <c:dLbls>
          <c:showLegendKey val="0"/>
          <c:showVal val="0"/>
          <c:showCatName val="0"/>
          <c:showSerName val="0"/>
          <c:showPercent val="0"/>
          <c:showBubbleSize val="0"/>
        </c:dLbls>
        <c:gapWidth val="99"/>
        <c:overlap val="-8"/>
        <c:axId val="130922368"/>
        <c:axId val="130923904"/>
      </c:barChart>
      <c:catAx>
        <c:axId val="1309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923904"/>
        <c:crosses val="autoZero"/>
        <c:auto val="1"/>
        <c:lblAlgn val="ctr"/>
        <c:lblOffset val="100"/>
        <c:noMultiLvlLbl val="0"/>
      </c:catAx>
      <c:valAx>
        <c:axId val="13092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9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13385826771654"/>
          <c:y val="5.4401582591493573E-2"/>
          <c:w val="0.80997725284339461"/>
          <c:h val="0.75145447323535597"/>
        </c:manualLayout>
      </c:layout>
      <c:barChart>
        <c:barDir val="col"/>
        <c:grouping val="clustered"/>
        <c:varyColors val="0"/>
        <c:ser>
          <c:idx val="0"/>
          <c:order val="0"/>
          <c:tx>
            <c:strRef>
              <c:f>metale2!$D$83</c:f>
              <c:strCache>
                <c:ptCount val="1"/>
                <c:pt idx="0">
                  <c:v>Cr - Mg</c:v>
                </c:pt>
              </c:strCache>
            </c:strRef>
          </c:tx>
          <c:spPr>
            <a:solidFill>
              <a:srgbClr val="FFBD5B"/>
            </a:solidFill>
            <a:ln>
              <a:noFill/>
            </a:ln>
            <a:effectLst/>
            <a:scene3d>
              <a:camera prst="orthographicFront"/>
              <a:lightRig rig="threePt" dir="t"/>
            </a:scene3d>
            <a:sp3d>
              <a:bevelT/>
            </a:sp3d>
          </c:spPr>
          <c:invertIfNegative val="0"/>
          <c:cat>
            <c:numRef>
              <c:f>metale2!$A$84:$A$91</c:f>
              <c:numCache>
                <c:formatCode>General</c:formatCode>
                <c:ptCount val="8"/>
                <c:pt idx="0">
                  <c:v>2014</c:v>
                </c:pt>
                <c:pt idx="1">
                  <c:v>2015</c:v>
                </c:pt>
                <c:pt idx="2">
                  <c:v>2016</c:v>
                </c:pt>
                <c:pt idx="3">
                  <c:v>2017</c:v>
                </c:pt>
                <c:pt idx="4">
                  <c:v>2018</c:v>
                </c:pt>
                <c:pt idx="5">
                  <c:v>2019</c:v>
                </c:pt>
                <c:pt idx="6">
                  <c:v>2020</c:v>
                </c:pt>
                <c:pt idx="7">
                  <c:v>2021</c:v>
                </c:pt>
              </c:numCache>
            </c:numRef>
          </c:cat>
          <c:val>
            <c:numRef>
              <c:f>metale2!$D$84:$D$91</c:f>
              <c:numCache>
                <c:formatCode>General</c:formatCode>
                <c:ptCount val="8"/>
                <c:pt idx="0">
                  <c:v>3.0137551347233157E-2</c:v>
                </c:pt>
                <c:pt idx="1">
                  <c:v>0.12782722212194078</c:v>
                </c:pt>
                <c:pt idx="2">
                  <c:v>0.14145052772880001</c:v>
                </c:pt>
                <c:pt idx="3">
                  <c:v>0.10224974017000001</c:v>
                </c:pt>
                <c:pt idx="4">
                  <c:v>9.1890362301999998E-2</c:v>
                </c:pt>
                <c:pt idx="5">
                  <c:v>8.7120456809999997E-2</c:v>
                </c:pt>
                <c:pt idx="6">
                  <c:v>8.5550115020000012E-2</c:v>
                </c:pt>
                <c:pt idx="7">
                  <c:v>9.0891767340000013E-2</c:v>
                </c:pt>
              </c:numCache>
            </c:numRef>
          </c:val>
          <c:extLst>
            <c:ext xmlns:c16="http://schemas.microsoft.com/office/drawing/2014/chart" uri="{C3380CC4-5D6E-409C-BE32-E72D297353CC}">
              <c16:uniqueId val="{00000000-2852-408F-91C7-C19B2D2B26AE}"/>
            </c:ext>
          </c:extLst>
        </c:ser>
        <c:ser>
          <c:idx val="1"/>
          <c:order val="1"/>
          <c:tx>
            <c:strRef>
              <c:f>metale2!$E$83</c:f>
              <c:strCache>
                <c:ptCount val="1"/>
                <c:pt idx="0">
                  <c:v>Cu - Mg</c:v>
                </c:pt>
              </c:strCache>
            </c:strRef>
          </c:tx>
          <c:spPr>
            <a:scene3d>
              <a:camera prst="orthographicFront"/>
              <a:lightRig rig="threePt" dir="t"/>
            </a:scene3d>
            <a:sp3d>
              <a:bevelT/>
            </a:sp3d>
          </c:spPr>
          <c:invertIfNegative val="0"/>
          <c:cat>
            <c:numRef>
              <c:f>metale2!$A$84:$A$91</c:f>
              <c:numCache>
                <c:formatCode>General</c:formatCode>
                <c:ptCount val="8"/>
                <c:pt idx="0">
                  <c:v>2014</c:v>
                </c:pt>
                <c:pt idx="1">
                  <c:v>2015</c:v>
                </c:pt>
                <c:pt idx="2">
                  <c:v>2016</c:v>
                </c:pt>
                <c:pt idx="3">
                  <c:v>2017</c:v>
                </c:pt>
                <c:pt idx="4">
                  <c:v>2018</c:v>
                </c:pt>
                <c:pt idx="5">
                  <c:v>2019</c:v>
                </c:pt>
                <c:pt idx="6">
                  <c:v>2020</c:v>
                </c:pt>
                <c:pt idx="7">
                  <c:v>2021</c:v>
                </c:pt>
              </c:numCache>
            </c:numRef>
          </c:cat>
          <c:val>
            <c:numRef>
              <c:f>metale2!$E$84:$E$91</c:f>
              <c:numCache>
                <c:formatCode>General</c:formatCode>
                <c:ptCount val="8"/>
                <c:pt idx="0">
                  <c:v>0.31406437924702107</c:v>
                </c:pt>
                <c:pt idx="1">
                  <c:v>0.28721060529384251</c:v>
                </c:pt>
                <c:pt idx="2">
                  <c:v>0.32807071246900005</c:v>
                </c:pt>
                <c:pt idx="3">
                  <c:v>0.34581863611980002</c:v>
                </c:pt>
                <c:pt idx="4">
                  <c:v>0.37034036367660006</c:v>
                </c:pt>
                <c:pt idx="5">
                  <c:v>0.3658483130900001</c:v>
                </c:pt>
                <c:pt idx="6">
                  <c:v>0.40570275033000003</c:v>
                </c:pt>
                <c:pt idx="7">
                  <c:v>0.39446341981999999</c:v>
                </c:pt>
              </c:numCache>
            </c:numRef>
          </c:val>
          <c:extLst>
            <c:ext xmlns:c16="http://schemas.microsoft.com/office/drawing/2014/chart" uri="{C3380CC4-5D6E-409C-BE32-E72D297353CC}">
              <c16:uniqueId val="{00000001-2852-408F-91C7-C19B2D2B26AE}"/>
            </c:ext>
          </c:extLst>
        </c:ser>
        <c:ser>
          <c:idx val="2"/>
          <c:order val="2"/>
          <c:tx>
            <c:strRef>
              <c:f>metale2!$H$83</c:f>
              <c:strCache>
                <c:ptCount val="1"/>
                <c:pt idx="0">
                  <c:v>Pb - Mg</c:v>
                </c:pt>
              </c:strCache>
            </c:strRef>
          </c:tx>
          <c:spPr>
            <a:solidFill>
              <a:schemeClr val="tx2">
                <a:lumMod val="60000"/>
                <a:lumOff val="40000"/>
              </a:schemeClr>
            </a:solidFill>
            <a:scene3d>
              <a:camera prst="orthographicFront"/>
              <a:lightRig rig="threePt" dir="t"/>
            </a:scene3d>
            <a:sp3d>
              <a:bevelT/>
            </a:sp3d>
          </c:spPr>
          <c:invertIfNegative val="0"/>
          <c:cat>
            <c:numRef>
              <c:f>metale2!$A$84:$A$91</c:f>
              <c:numCache>
                <c:formatCode>General</c:formatCode>
                <c:ptCount val="8"/>
                <c:pt idx="0">
                  <c:v>2014</c:v>
                </c:pt>
                <c:pt idx="1">
                  <c:v>2015</c:v>
                </c:pt>
                <c:pt idx="2">
                  <c:v>2016</c:v>
                </c:pt>
                <c:pt idx="3">
                  <c:v>2017</c:v>
                </c:pt>
                <c:pt idx="4">
                  <c:v>2018</c:v>
                </c:pt>
                <c:pt idx="5">
                  <c:v>2019</c:v>
                </c:pt>
                <c:pt idx="6">
                  <c:v>2020</c:v>
                </c:pt>
                <c:pt idx="7">
                  <c:v>2021</c:v>
                </c:pt>
              </c:numCache>
            </c:numRef>
          </c:cat>
          <c:val>
            <c:numRef>
              <c:f>metale2!$H$84:$H$91</c:f>
              <c:numCache>
                <c:formatCode>General</c:formatCode>
                <c:ptCount val="8"/>
                <c:pt idx="0">
                  <c:v>0.34385665731839565</c:v>
                </c:pt>
                <c:pt idx="1">
                  <c:v>0.20725524326208333</c:v>
                </c:pt>
                <c:pt idx="2">
                  <c:v>0.22176241669999996</c:v>
                </c:pt>
                <c:pt idx="3">
                  <c:v>0.17466646707999997</c:v>
                </c:pt>
                <c:pt idx="4">
                  <c:v>0.1485442064958</c:v>
                </c:pt>
                <c:pt idx="5">
                  <c:v>0.15791806871999997</c:v>
                </c:pt>
                <c:pt idx="6">
                  <c:v>0.14379399039999999</c:v>
                </c:pt>
                <c:pt idx="7">
                  <c:v>0.14229478706919998</c:v>
                </c:pt>
              </c:numCache>
            </c:numRef>
          </c:val>
          <c:extLst>
            <c:ext xmlns:c16="http://schemas.microsoft.com/office/drawing/2014/chart" uri="{C3380CC4-5D6E-409C-BE32-E72D297353CC}">
              <c16:uniqueId val="{00000002-2852-408F-91C7-C19B2D2B26AE}"/>
            </c:ext>
          </c:extLst>
        </c:ser>
        <c:dLbls>
          <c:showLegendKey val="0"/>
          <c:showVal val="0"/>
          <c:showCatName val="0"/>
          <c:showSerName val="0"/>
          <c:showPercent val="0"/>
          <c:showBubbleSize val="0"/>
        </c:dLbls>
        <c:gapWidth val="171"/>
        <c:overlap val="2"/>
        <c:axId val="130704512"/>
        <c:axId val="130706048"/>
      </c:barChart>
      <c:catAx>
        <c:axId val="13070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06048"/>
        <c:crosses val="autoZero"/>
        <c:auto val="1"/>
        <c:lblAlgn val="ctr"/>
        <c:lblOffset val="100"/>
        <c:noMultiLvlLbl val="0"/>
      </c:catAx>
      <c:valAx>
        <c:axId val="13070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04512"/>
        <c:crosses val="autoZero"/>
        <c:crossBetween val="between"/>
      </c:valAx>
      <c:spPr>
        <a:noFill/>
        <a:ln>
          <a:noFill/>
        </a:ln>
        <a:effectLst/>
      </c:spPr>
    </c:plotArea>
    <c:legend>
      <c:legendPos val="b"/>
      <c:layout>
        <c:manualLayout>
          <c:xMode val="edge"/>
          <c:yMode val="edge"/>
          <c:x val="5.5974803149606296E-2"/>
          <c:y val="0.8898323169544462"/>
          <c:w val="0.87916115485564306"/>
          <c:h val="9.5330887793328503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a:scene3d>
      <a:camera prst="orthographicFront"/>
      <a:lightRig rig="threePt" dir="t"/>
    </a:scene3d>
    <a:sp3d/>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823735591044856E-2"/>
          <c:y val="5.0925925925925923E-2"/>
          <c:w val="0.8834688453911913"/>
          <c:h val="0.7299795858850977"/>
        </c:manualLayout>
      </c:layout>
      <c:barChart>
        <c:barDir val="col"/>
        <c:grouping val="clustered"/>
        <c:varyColors val="0"/>
        <c:ser>
          <c:idx val="0"/>
          <c:order val="0"/>
          <c:tx>
            <c:strRef>
              <c:f>metale2!$B$111</c:f>
              <c:strCache>
                <c:ptCount val="1"/>
                <c:pt idx="0">
                  <c:v>As  - Mg</c:v>
                </c:pt>
              </c:strCache>
            </c:strRef>
          </c:tx>
          <c:spPr>
            <a:solidFill>
              <a:srgbClr val="93CDDD"/>
            </a:solidFill>
            <a:ln>
              <a:noFill/>
            </a:ln>
            <a:effectLst/>
            <a:scene3d>
              <a:camera prst="orthographicFront"/>
              <a:lightRig rig="threePt" dir="t"/>
            </a:scene3d>
            <a:sp3d>
              <a:bevelT/>
            </a:sp3d>
          </c:spPr>
          <c:invertIfNegative val="0"/>
          <c:cat>
            <c:numRef>
              <c:f>(metale2!$A$112:$A$117,metale2!$A$118:$A$119)</c:f>
              <c:numCache>
                <c:formatCode>General</c:formatCode>
                <c:ptCount val="8"/>
                <c:pt idx="0">
                  <c:v>2014</c:v>
                </c:pt>
                <c:pt idx="1">
                  <c:v>2015</c:v>
                </c:pt>
                <c:pt idx="2">
                  <c:v>2016</c:v>
                </c:pt>
                <c:pt idx="3">
                  <c:v>2017</c:v>
                </c:pt>
                <c:pt idx="4">
                  <c:v>2018</c:v>
                </c:pt>
                <c:pt idx="5">
                  <c:v>2019</c:v>
                </c:pt>
                <c:pt idx="6">
                  <c:v>2020</c:v>
                </c:pt>
                <c:pt idx="7">
                  <c:v>2021</c:v>
                </c:pt>
              </c:numCache>
            </c:numRef>
          </c:cat>
          <c:val>
            <c:numRef>
              <c:f>(metale2!$B$112:$B$117,metale2!$B$118:$B$119)</c:f>
              <c:numCache>
                <c:formatCode>0.00000000000000</c:formatCode>
                <c:ptCount val="8"/>
                <c:pt idx="0">
                  <c:v>3.7172126925500973E-3</c:v>
                </c:pt>
                <c:pt idx="1">
                  <c:v>1.4304756395596332E-3</c:v>
                </c:pt>
                <c:pt idx="2">
                  <c:v>2.4176201999999997E-3</c:v>
                </c:pt>
                <c:pt idx="3">
                  <c:v>1.8817708499999999E-3</c:v>
                </c:pt>
                <c:pt idx="4">
                  <c:v>1.6397258730000001E-3</c:v>
                </c:pt>
                <c:pt idx="5">
                  <c:v>8.4883551000000006E-4</c:v>
                </c:pt>
                <c:pt idx="6">
                  <c:v>7.7848244000000002E-4</c:v>
                </c:pt>
                <c:pt idx="7">
                  <c:v>8.6328131000000009E-4</c:v>
                </c:pt>
              </c:numCache>
            </c:numRef>
          </c:val>
          <c:extLst>
            <c:ext xmlns:c16="http://schemas.microsoft.com/office/drawing/2014/chart" uri="{C3380CC4-5D6E-409C-BE32-E72D297353CC}">
              <c16:uniqueId val="{00000000-AAE8-44D1-AAE9-B68D838A4D1A}"/>
            </c:ext>
          </c:extLst>
        </c:ser>
        <c:ser>
          <c:idx val="1"/>
          <c:order val="1"/>
          <c:tx>
            <c:strRef>
              <c:f>metale2!$F$111</c:f>
              <c:strCache>
                <c:ptCount val="1"/>
                <c:pt idx="0">
                  <c:v>Hg - Mg</c:v>
                </c:pt>
              </c:strCache>
            </c:strRef>
          </c:tx>
          <c:spPr>
            <a:solidFill>
              <a:srgbClr val="E3B0AF"/>
            </a:solidFill>
            <a:ln>
              <a:noFill/>
            </a:ln>
            <a:effectLst/>
            <a:scene3d>
              <a:camera prst="orthographicFront"/>
              <a:lightRig rig="threePt" dir="t"/>
            </a:scene3d>
            <a:sp3d>
              <a:bevelT/>
            </a:sp3d>
          </c:spPr>
          <c:invertIfNegative val="0"/>
          <c:cat>
            <c:numRef>
              <c:f>(metale2!$A$112:$A$117,metale2!$A$118:$A$119)</c:f>
              <c:numCache>
                <c:formatCode>General</c:formatCode>
                <c:ptCount val="8"/>
                <c:pt idx="0">
                  <c:v>2014</c:v>
                </c:pt>
                <c:pt idx="1">
                  <c:v>2015</c:v>
                </c:pt>
                <c:pt idx="2">
                  <c:v>2016</c:v>
                </c:pt>
                <c:pt idx="3">
                  <c:v>2017</c:v>
                </c:pt>
                <c:pt idx="4">
                  <c:v>2018</c:v>
                </c:pt>
                <c:pt idx="5">
                  <c:v>2019</c:v>
                </c:pt>
                <c:pt idx="6">
                  <c:v>2020</c:v>
                </c:pt>
                <c:pt idx="7">
                  <c:v>2021</c:v>
                </c:pt>
              </c:numCache>
            </c:numRef>
          </c:cat>
          <c:val>
            <c:numRef>
              <c:f>(metale2!$F$112:$F$117,metale2!$F$118:$F$119)</c:f>
              <c:numCache>
                <c:formatCode>0.00000000000000</c:formatCode>
                <c:ptCount val="8"/>
                <c:pt idx="0">
                  <c:v>2.2159357856059224E-3</c:v>
                </c:pt>
                <c:pt idx="1">
                  <c:v>3.5313410287070154E-3</c:v>
                </c:pt>
                <c:pt idx="2">
                  <c:v>6.6248435600000004E-3</c:v>
                </c:pt>
                <c:pt idx="3">
                  <c:v>3.7495358899999999E-3</c:v>
                </c:pt>
                <c:pt idx="4">
                  <c:v>3.3662770244499997E-3</c:v>
                </c:pt>
                <c:pt idx="5">
                  <c:v>2.2060544800000001E-3</c:v>
                </c:pt>
                <c:pt idx="6">
                  <c:v>1.9248197200000001E-3</c:v>
                </c:pt>
                <c:pt idx="7">
                  <c:v>2.1979999999999999E-3</c:v>
                </c:pt>
              </c:numCache>
            </c:numRef>
          </c:val>
          <c:extLst>
            <c:ext xmlns:c16="http://schemas.microsoft.com/office/drawing/2014/chart" uri="{C3380CC4-5D6E-409C-BE32-E72D297353CC}">
              <c16:uniqueId val="{00000001-AAE8-44D1-AAE9-B68D838A4D1A}"/>
            </c:ext>
          </c:extLst>
        </c:ser>
        <c:ser>
          <c:idx val="2"/>
          <c:order val="2"/>
          <c:tx>
            <c:strRef>
              <c:f>metale2!$I$111</c:f>
              <c:strCache>
                <c:ptCount val="1"/>
                <c:pt idx="0">
                  <c:v>Se - Mg</c:v>
                </c:pt>
              </c:strCache>
            </c:strRef>
          </c:tx>
          <c:spPr>
            <a:solidFill>
              <a:srgbClr val="C3D69B"/>
            </a:solidFill>
            <a:ln>
              <a:noFill/>
            </a:ln>
            <a:effectLst/>
            <a:scene3d>
              <a:camera prst="orthographicFront"/>
              <a:lightRig rig="threePt" dir="t"/>
            </a:scene3d>
            <a:sp3d>
              <a:bevelT/>
            </a:sp3d>
          </c:spPr>
          <c:invertIfNegative val="0"/>
          <c:cat>
            <c:numRef>
              <c:f>(metale2!$A$112:$A$117,metale2!$A$118:$A$119)</c:f>
              <c:numCache>
                <c:formatCode>General</c:formatCode>
                <c:ptCount val="8"/>
                <c:pt idx="0">
                  <c:v>2014</c:v>
                </c:pt>
                <c:pt idx="1">
                  <c:v>2015</c:v>
                </c:pt>
                <c:pt idx="2">
                  <c:v>2016</c:v>
                </c:pt>
                <c:pt idx="3">
                  <c:v>2017</c:v>
                </c:pt>
                <c:pt idx="4">
                  <c:v>2018</c:v>
                </c:pt>
                <c:pt idx="5">
                  <c:v>2019</c:v>
                </c:pt>
                <c:pt idx="6">
                  <c:v>2020</c:v>
                </c:pt>
                <c:pt idx="7">
                  <c:v>2021</c:v>
                </c:pt>
              </c:numCache>
            </c:numRef>
          </c:cat>
          <c:val>
            <c:numRef>
              <c:f>(metale2!$I$112:$I$117,metale2!$I$118:$I$119)</c:f>
              <c:numCache>
                <c:formatCode>0.00000000000000</c:formatCode>
                <c:ptCount val="8"/>
                <c:pt idx="0">
                  <c:v>1.9346743650722582E-3</c:v>
                </c:pt>
                <c:pt idx="1">
                  <c:v>2.6230074922346368E-3</c:v>
                </c:pt>
                <c:pt idx="2">
                  <c:v>5.3903631700000006E-3</c:v>
                </c:pt>
                <c:pt idx="3">
                  <c:v>2.4276272400000003E-3</c:v>
                </c:pt>
                <c:pt idx="4">
                  <c:v>1.7377930128779999E-3</c:v>
                </c:pt>
                <c:pt idx="5">
                  <c:v>1.6333766300000001E-3</c:v>
                </c:pt>
                <c:pt idx="6">
                  <c:v>1.4619798999999998E-3</c:v>
                </c:pt>
                <c:pt idx="7">
                  <c:v>1.596E-3</c:v>
                </c:pt>
              </c:numCache>
            </c:numRef>
          </c:val>
          <c:extLst>
            <c:ext xmlns:c16="http://schemas.microsoft.com/office/drawing/2014/chart" uri="{C3380CC4-5D6E-409C-BE32-E72D297353CC}">
              <c16:uniqueId val="{00000002-AAE8-44D1-AAE9-B68D838A4D1A}"/>
            </c:ext>
          </c:extLst>
        </c:ser>
        <c:dLbls>
          <c:showLegendKey val="0"/>
          <c:showVal val="0"/>
          <c:showCatName val="0"/>
          <c:showSerName val="0"/>
          <c:showPercent val="0"/>
          <c:showBubbleSize val="0"/>
        </c:dLbls>
        <c:gapWidth val="219"/>
        <c:overlap val="-27"/>
        <c:axId val="128894848"/>
        <c:axId val="128896384"/>
      </c:barChart>
      <c:catAx>
        <c:axId val="1288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96384"/>
        <c:crosses val="autoZero"/>
        <c:auto val="1"/>
        <c:lblAlgn val="ctr"/>
        <c:lblOffset val="100"/>
        <c:noMultiLvlLbl val="0"/>
      </c:catAx>
      <c:valAx>
        <c:axId val="12889638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89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78737661095414E-2"/>
          <c:y val="7.4640091476168777E-2"/>
          <c:w val="0.91626842184312274"/>
          <c:h val="0.67238814156494897"/>
        </c:manualLayout>
      </c:layout>
      <c:barChart>
        <c:barDir val="col"/>
        <c:grouping val="clustered"/>
        <c:varyColors val="0"/>
        <c:ser>
          <c:idx val="0"/>
          <c:order val="0"/>
          <c:tx>
            <c:strRef>
              <c:f>metale2!$J$111</c:f>
              <c:strCache>
                <c:ptCount val="1"/>
                <c:pt idx="0">
                  <c:v>Zn - Mg</c:v>
                </c:pt>
              </c:strCache>
            </c:strRef>
          </c:tx>
          <c:spPr>
            <a:solidFill>
              <a:schemeClr val="bg1">
                <a:lumMod val="85000"/>
              </a:schemeClr>
            </a:solidFill>
            <a:ln>
              <a:noFill/>
            </a:ln>
            <a:effectLst/>
            <a:scene3d>
              <a:camera prst="orthographicFront"/>
              <a:lightRig rig="threePt" dir="t"/>
            </a:scene3d>
            <a:sp3d>
              <a:bevelT/>
            </a:sp3d>
          </c:spPr>
          <c:invertIfNegative val="0"/>
          <c:cat>
            <c:numRef>
              <c:f>(metale2!$A$112:$A$116,metale2!$A$117,metale2!$A$118,metale2!$A$119)</c:f>
              <c:numCache>
                <c:formatCode>General</c:formatCode>
                <c:ptCount val="8"/>
                <c:pt idx="0">
                  <c:v>2014</c:v>
                </c:pt>
                <c:pt idx="1">
                  <c:v>2015</c:v>
                </c:pt>
                <c:pt idx="2">
                  <c:v>2016</c:v>
                </c:pt>
                <c:pt idx="3">
                  <c:v>2017</c:v>
                </c:pt>
                <c:pt idx="4">
                  <c:v>2018</c:v>
                </c:pt>
                <c:pt idx="5">
                  <c:v>2019</c:v>
                </c:pt>
                <c:pt idx="6">
                  <c:v>2020</c:v>
                </c:pt>
                <c:pt idx="7">
                  <c:v>2021</c:v>
                </c:pt>
              </c:numCache>
            </c:numRef>
          </c:cat>
          <c:val>
            <c:numRef>
              <c:f>(metale2!$J$112:$J$116,metale2!$J$117,metale2!$J$118,metale2!$J$119)</c:f>
              <c:numCache>
                <c:formatCode>0.00000000000000</c:formatCode>
                <c:ptCount val="8"/>
                <c:pt idx="0">
                  <c:v>0.48464460081362104</c:v>
                </c:pt>
                <c:pt idx="1">
                  <c:v>2.5433837506816444</c:v>
                </c:pt>
                <c:pt idx="2">
                  <c:v>5.4741342822700005</c:v>
                </c:pt>
                <c:pt idx="3">
                  <c:v>1.93406938092</c:v>
                </c:pt>
                <c:pt idx="4">
                  <c:v>1.6340930691358</c:v>
                </c:pt>
                <c:pt idx="5">
                  <c:v>1.5490451781699999</c:v>
                </c:pt>
                <c:pt idx="6">
                  <c:v>1.46182108583</c:v>
                </c:pt>
                <c:pt idx="7">
                  <c:v>1.583809</c:v>
                </c:pt>
              </c:numCache>
            </c:numRef>
          </c:val>
          <c:extLst>
            <c:ext xmlns:c16="http://schemas.microsoft.com/office/drawing/2014/chart" uri="{C3380CC4-5D6E-409C-BE32-E72D297353CC}">
              <c16:uniqueId val="{00000000-BD38-4A67-9E17-F400460FEC7E}"/>
            </c:ext>
          </c:extLst>
        </c:ser>
        <c:dLbls>
          <c:showLegendKey val="0"/>
          <c:showVal val="0"/>
          <c:showCatName val="0"/>
          <c:showSerName val="0"/>
          <c:showPercent val="0"/>
          <c:showBubbleSize val="0"/>
        </c:dLbls>
        <c:gapWidth val="219"/>
        <c:overlap val="-27"/>
        <c:axId val="129585536"/>
        <c:axId val="129587072"/>
      </c:barChart>
      <c:catAx>
        <c:axId val="12958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587072"/>
        <c:crosses val="autoZero"/>
        <c:auto val="1"/>
        <c:lblAlgn val="ctr"/>
        <c:lblOffset val="100"/>
        <c:noMultiLvlLbl val="0"/>
      </c:catAx>
      <c:valAx>
        <c:axId val="129587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585536"/>
        <c:crosses val="autoZero"/>
        <c:crossBetween val="between"/>
      </c:valAx>
      <c:spPr>
        <a:noFill/>
        <a:ln>
          <a:noFill/>
        </a:ln>
        <a:effectLst/>
      </c:spPr>
    </c:plotArea>
    <c:legend>
      <c:legendPos val="b"/>
      <c:layout>
        <c:manualLayout>
          <c:xMode val="edge"/>
          <c:yMode val="edge"/>
          <c:x val="0.35160359833393751"/>
          <c:y val="0.86328440349914937"/>
          <c:w val="0.37821394420337612"/>
          <c:h val="0.1083802954382768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metale2!$C$111</c:f>
              <c:strCache>
                <c:ptCount val="1"/>
                <c:pt idx="0">
                  <c:v>Cd - Mg</c:v>
                </c:pt>
              </c:strCache>
            </c:strRef>
          </c:tx>
          <c:spPr>
            <a:solidFill>
              <a:srgbClr val="9B799B"/>
            </a:solidFill>
            <a:ln>
              <a:noFill/>
            </a:ln>
            <a:effectLst/>
            <a:scene3d>
              <a:camera prst="orthographicFront"/>
              <a:lightRig rig="threePt" dir="t"/>
            </a:scene3d>
            <a:sp3d>
              <a:bevelT/>
            </a:sp3d>
          </c:spPr>
          <c:invertIfNegative val="0"/>
          <c:cat>
            <c:numRef>
              <c:f>(metale2!$A$112:$A$118,metale2!$A$119)</c:f>
              <c:numCache>
                <c:formatCode>General</c:formatCode>
                <c:ptCount val="8"/>
                <c:pt idx="0">
                  <c:v>2014</c:v>
                </c:pt>
                <c:pt idx="1">
                  <c:v>2015</c:v>
                </c:pt>
                <c:pt idx="2">
                  <c:v>2016</c:v>
                </c:pt>
                <c:pt idx="3">
                  <c:v>2017</c:v>
                </c:pt>
                <c:pt idx="4">
                  <c:v>2018</c:v>
                </c:pt>
                <c:pt idx="5">
                  <c:v>2019</c:v>
                </c:pt>
                <c:pt idx="6">
                  <c:v>2020</c:v>
                </c:pt>
                <c:pt idx="7">
                  <c:v>2021</c:v>
                </c:pt>
              </c:numCache>
            </c:numRef>
          </c:cat>
          <c:val>
            <c:numRef>
              <c:f>(metale2!$C$112:$C$118,metale2!$C$119)</c:f>
              <c:numCache>
                <c:formatCode>0.00000000000000</c:formatCode>
                <c:ptCount val="8"/>
                <c:pt idx="0">
                  <c:v>6.0185009588926367E-3</c:v>
                </c:pt>
                <c:pt idx="1">
                  <c:v>6.4507826996518428E-2</c:v>
                </c:pt>
                <c:pt idx="2">
                  <c:v>0.13893767405000002</c:v>
                </c:pt>
                <c:pt idx="3">
                  <c:v>4.8087184239999997E-2</c:v>
                </c:pt>
                <c:pt idx="4">
                  <c:v>4.1362042465500001E-2</c:v>
                </c:pt>
                <c:pt idx="5">
                  <c:v>3.8693232720000005E-2</c:v>
                </c:pt>
                <c:pt idx="6">
                  <c:v>3.708923443E-2</c:v>
                </c:pt>
                <c:pt idx="7">
                  <c:v>4.0185501450000001E-2</c:v>
                </c:pt>
              </c:numCache>
            </c:numRef>
          </c:val>
          <c:extLst>
            <c:ext xmlns:c16="http://schemas.microsoft.com/office/drawing/2014/chart" uri="{C3380CC4-5D6E-409C-BE32-E72D297353CC}">
              <c16:uniqueId val="{00000000-A55E-49A3-B497-D37B3CB64BBE}"/>
            </c:ext>
          </c:extLst>
        </c:ser>
        <c:ser>
          <c:idx val="1"/>
          <c:order val="1"/>
          <c:tx>
            <c:strRef>
              <c:f>metale2!$D$111</c:f>
              <c:strCache>
                <c:ptCount val="1"/>
                <c:pt idx="0">
                  <c:v>Cr - Mg</c:v>
                </c:pt>
              </c:strCache>
            </c:strRef>
          </c:tx>
          <c:spPr>
            <a:solidFill>
              <a:srgbClr val="FFBD5B"/>
            </a:solidFill>
            <a:scene3d>
              <a:camera prst="orthographicFront"/>
              <a:lightRig rig="threePt" dir="t"/>
            </a:scene3d>
            <a:sp3d>
              <a:bevelT/>
            </a:sp3d>
          </c:spPr>
          <c:invertIfNegative val="0"/>
          <c:cat>
            <c:numRef>
              <c:f>(metale2!$A$112:$A$118,metale2!$A$119)</c:f>
              <c:numCache>
                <c:formatCode>General</c:formatCode>
                <c:ptCount val="8"/>
                <c:pt idx="0">
                  <c:v>2014</c:v>
                </c:pt>
                <c:pt idx="1">
                  <c:v>2015</c:v>
                </c:pt>
                <c:pt idx="2">
                  <c:v>2016</c:v>
                </c:pt>
                <c:pt idx="3">
                  <c:v>2017</c:v>
                </c:pt>
                <c:pt idx="4">
                  <c:v>2018</c:v>
                </c:pt>
                <c:pt idx="5">
                  <c:v>2019</c:v>
                </c:pt>
                <c:pt idx="6">
                  <c:v>2020</c:v>
                </c:pt>
                <c:pt idx="7">
                  <c:v>2021</c:v>
                </c:pt>
              </c:numCache>
            </c:numRef>
          </c:cat>
          <c:val>
            <c:numRef>
              <c:f>(metale2!$D$112:$D$118,metale2!$D$119)</c:f>
              <c:numCache>
                <c:formatCode>0.00000000000000</c:formatCode>
                <c:ptCount val="8"/>
                <c:pt idx="0">
                  <c:v>1.5949537587233158E-2</c:v>
                </c:pt>
                <c:pt idx="1">
                  <c:v>0.11418623699294078</c:v>
                </c:pt>
                <c:pt idx="2">
                  <c:v>0.24584612117999999</c:v>
                </c:pt>
                <c:pt idx="3">
                  <c:v>8.5390801769999997E-2</c:v>
                </c:pt>
                <c:pt idx="4">
                  <c:v>7.322020294199999E-2</c:v>
                </c:pt>
                <c:pt idx="5">
                  <c:v>6.8644837589999994E-2</c:v>
                </c:pt>
                <c:pt idx="6">
                  <c:v>6.5629557980000003E-2</c:v>
                </c:pt>
                <c:pt idx="7">
                  <c:v>7.1109000000000006E-2</c:v>
                </c:pt>
              </c:numCache>
            </c:numRef>
          </c:val>
          <c:extLst>
            <c:ext xmlns:c16="http://schemas.microsoft.com/office/drawing/2014/chart" uri="{C3380CC4-5D6E-409C-BE32-E72D297353CC}">
              <c16:uniqueId val="{00000001-A55E-49A3-B497-D37B3CB64BBE}"/>
            </c:ext>
          </c:extLst>
        </c:ser>
        <c:ser>
          <c:idx val="2"/>
          <c:order val="2"/>
          <c:tx>
            <c:strRef>
              <c:f>metale2!$E$111</c:f>
              <c:strCache>
                <c:ptCount val="1"/>
                <c:pt idx="0">
                  <c:v>Cu - Mg</c:v>
                </c:pt>
              </c:strCache>
            </c:strRef>
          </c:tx>
          <c:spPr>
            <a:solidFill>
              <a:srgbClr val="EBDF99"/>
            </a:solidFill>
            <a:scene3d>
              <a:camera prst="orthographicFront"/>
              <a:lightRig rig="threePt" dir="t"/>
            </a:scene3d>
            <a:sp3d>
              <a:bevelT/>
            </a:sp3d>
          </c:spPr>
          <c:invertIfNegative val="0"/>
          <c:cat>
            <c:numRef>
              <c:f>(metale2!$A$112:$A$118,metale2!$A$119)</c:f>
              <c:numCache>
                <c:formatCode>General</c:formatCode>
                <c:ptCount val="8"/>
                <c:pt idx="0">
                  <c:v>2014</c:v>
                </c:pt>
                <c:pt idx="1">
                  <c:v>2015</c:v>
                </c:pt>
                <c:pt idx="2">
                  <c:v>2016</c:v>
                </c:pt>
                <c:pt idx="3">
                  <c:v>2017</c:v>
                </c:pt>
                <c:pt idx="4">
                  <c:v>2018</c:v>
                </c:pt>
                <c:pt idx="5">
                  <c:v>2019</c:v>
                </c:pt>
                <c:pt idx="6">
                  <c:v>2020</c:v>
                </c:pt>
                <c:pt idx="7">
                  <c:v>2021</c:v>
                </c:pt>
              </c:numCache>
            </c:numRef>
          </c:cat>
          <c:val>
            <c:numRef>
              <c:f>(metale2!$E$112:$E$118,metale2!$E$119)</c:f>
              <c:numCache>
                <c:formatCode>0.00000000000000</c:formatCode>
                <c:ptCount val="8"/>
                <c:pt idx="0">
                  <c:v>3.4597535008379011E-2</c:v>
                </c:pt>
                <c:pt idx="1">
                  <c:v>3.0450283092842534E-2</c:v>
                </c:pt>
                <c:pt idx="2">
                  <c:v>6.4181331380000012E-2</c:v>
                </c:pt>
                <c:pt idx="3">
                  <c:v>2.2476231519799997E-2</c:v>
                </c:pt>
                <c:pt idx="4">
                  <c:v>1.9126418166599997E-2</c:v>
                </c:pt>
                <c:pt idx="5">
                  <c:v>1.8092070950000001E-2</c:v>
                </c:pt>
                <c:pt idx="6">
                  <c:v>1.712517878E-2</c:v>
                </c:pt>
                <c:pt idx="7">
                  <c:v>1.8554000000000001E-2</c:v>
                </c:pt>
              </c:numCache>
            </c:numRef>
          </c:val>
          <c:extLst>
            <c:ext xmlns:c16="http://schemas.microsoft.com/office/drawing/2014/chart" uri="{C3380CC4-5D6E-409C-BE32-E72D297353CC}">
              <c16:uniqueId val="{00000002-A55E-49A3-B497-D37B3CB64BBE}"/>
            </c:ext>
          </c:extLst>
        </c:ser>
        <c:ser>
          <c:idx val="3"/>
          <c:order val="3"/>
          <c:tx>
            <c:strRef>
              <c:f>metale2!$G$111</c:f>
              <c:strCache>
                <c:ptCount val="1"/>
                <c:pt idx="0">
                  <c:v>Ni - Mg</c:v>
                </c:pt>
              </c:strCache>
            </c:strRef>
          </c:tx>
          <c:spPr>
            <a:solidFill>
              <a:srgbClr val="2BAEAB"/>
            </a:solidFill>
            <a:scene3d>
              <a:camera prst="orthographicFront"/>
              <a:lightRig rig="threePt" dir="t"/>
            </a:scene3d>
            <a:sp3d>
              <a:bevelT/>
            </a:sp3d>
          </c:spPr>
          <c:invertIfNegative val="0"/>
          <c:cat>
            <c:numRef>
              <c:f>(metale2!$A$112:$A$118,metale2!$A$119)</c:f>
              <c:numCache>
                <c:formatCode>General</c:formatCode>
                <c:ptCount val="8"/>
                <c:pt idx="0">
                  <c:v>2014</c:v>
                </c:pt>
                <c:pt idx="1">
                  <c:v>2015</c:v>
                </c:pt>
                <c:pt idx="2">
                  <c:v>2016</c:v>
                </c:pt>
                <c:pt idx="3">
                  <c:v>2017</c:v>
                </c:pt>
                <c:pt idx="4">
                  <c:v>2018</c:v>
                </c:pt>
                <c:pt idx="5">
                  <c:v>2019</c:v>
                </c:pt>
                <c:pt idx="6">
                  <c:v>2020</c:v>
                </c:pt>
                <c:pt idx="7">
                  <c:v>2021</c:v>
                </c:pt>
              </c:numCache>
            </c:numRef>
          </c:cat>
          <c:val>
            <c:numRef>
              <c:f>(metale2!$G$112:$G$118,metale2!$G$119)</c:f>
              <c:numCache>
                <c:formatCode>0.00000000000000</c:formatCode>
                <c:ptCount val="8"/>
                <c:pt idx="0">
                  <c:v>9.696485492531437E-2</c:v>
                </c:pt>
                <c:pt idx="1">
                  <c:v>1.0100174335491704E-2</c:v>
                </c:pt>
                <c:pt idx="2">
                  <c:v>2.140097862E-2</c:v>
                </c:pt>
                <c:pt idx="3">
                  <c:v>7.4967145249999999E-3</c:v>
                </c:pt>
                <c:pt idx="4">
                  <c:v>6.3774786774000005E-3</c:v>
                </c:pt>
                <c:pt idx="5">
                  <c:v>6.0002747900000002E-3</c:v>
                </c:pt>
                <c:pt idx="6">
                  <c:v>5.7108234700000001E-3</c:v>
                </c:pt>
                <c:pt idx="7">
                  <c:v>6.1900000000000002E-3</c:v>
                </c:pt>
              </c:numCache>
            </c:numRef>
          </c:val>
          <c:extLst>
            <c:ext xmlns:c16="http://schemas.microsoft.com/office/drawing/2014/chart" uri="{C3380CC4-5D6E-409C-BE32-E72D297353CC}">
              <c16:uniqueId val="{00000003-A55E-49A3-B497-D37B3CB64BBE}"/>
            </c:ext>
          </c:extLst>
        </c:ser>
        <c:ser>
          <c:idx val="4"/>
          <c:order val="4"/>
          <c:tx>
            <c:strRef>
              <c:f>metale2!$H$111</c:f>
              <c:strCache>
                <c:ptCount val="1"/>
                <c:pt idx="0">
                  <c:v>Pb - Mg</c:v>
                </c:pt>
              </c:strCache>
            </c:strRef>
          </c:tx>
          <c:spPr>
            <a:solidFill>
              <a:srgbClr val="948A54"/>
            </a:solidFill>
            <a:scene3d>
              <a:camera prst="orthographicFront"/>
              <a:lightRig rig="threePt" dir="t"/>
            </a:scene3d>
            <a:sp3d>
              <a:bevelT/>
            </a:sp3d>
          </c:spPr>
          <c:invertIfNegative val="0"/>
          <c:cat>
            <c:numRef>
              <c:f>(metale2!$A$112:$A$118,metale2!$A$119)</c:f>
              <c:numCache>
                <c:formatCode>General</c:formatCode>
                <c:ptCount val="8"/>
                <c:pt idx="0">
                  <c:v>2014</c:v>
                </c:pt>
                <c:pt idx="1">
                  <c:v>2015</c:v>
                </c:pt>
                <c:pt idx="2">
                  <c:v>2016</c:v>
                </c:pt>
                <c:pt idx="3">
                  <c:v>2017</c:v>
                </c:pt>
                <c:pt idx="4">
                  <c:v>2018</c:v>
                </c:pt>
                <c:pt idx="5">
                  <c:v>2019</c:v>
                </c:pt>
                <c:pt idx="6">
                  <c:v>2020</c:v>
                </c:pt>
                <c:pt idx="7">
                  <c:v>2021</c:v>
                </c:pt>
              </c:numCache>
            </c:numRef>
          </c:cat>
          <c:val>
            <c:numRef>
              <c:f>(metale2!$H$112:$H$118,metale2!$H$119)</c:f>
              <c:numCache>
                <c:formatCode>0.00000000000000</c:formatCode>
                <c:ptCount val="8"/>
                <c:pt idx="0">
                  <c:v>0.15687997420939567</c:v>
                </c:pt>
                <c:pt idx="1">
                  <c:v>0.1349811237240833</c:v>
                </c:pt>
                <c:pt idx="2">
                  <c:v>0.28880632334</c:v>
                </c:pt>
                <c:pt idx="3">
                  <c:v>0.10002368958000001</c:v>
                </c:pt>
                <c:pt idx="4">
                  <c:v>8.5931029895799996E-2</c:v>
                </c:pt>
                <c:pt idx="5">
                  <c:v>8.0763948719999992E-2</c:v>
                </c:pt>
                <c:pt idx="6">
                  <c:v>7.7035484560000006E-2</c:v>
                </c:pt>
                <c:pt idx="7">
                  <c:v>8.3468000000000001E-2</c:v>
                </c:pt>
              </c:numCache>
            </c:numRef>
          </c:val>
          <c:extLst>
            <c:ext xmlns:c16="http://schemas.microsoft.com/office/drawing/2014/chart" uri="{C3380CC4-5D6E-409C-BE32-E72D297353CC}">
              <c16:uniqueId val="{00000004-A55E-49A3-B497-D37B3CB64BBE}"/>
            </c:ext>
          </c:extLst>
        </c:ser>
        <c:dLbls>
          <c:showLegendKey val="0"/>
          <c:showVal val="0"/>
          <c:showCatName val="0"/>
          <c:showSerName val="0"/>
          <c:showPercent val="0"/>
          <c:showBubbleSize val="0"/>
        </c:dLbls>
        <c:gapWidth val="150"/>
        <c:overlap val="5"/>
        <c:axId val="129546880"/>
        <c:axId val="129552768"/>
      </c:barChart>
      <c:catAx>
        <c:axId val="12954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552768"/>
        <c:crosses val="autoZero"/>
        <c:auto val="1"/>
        <c:lblAlgn val="ctr"/>
        <c:lblOffset val="100"/>
        <c:noMultiLvlLbl val="0"/>
      </c:catAx>
      <c:valAx>
        <c:axId val="12955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954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metale2!$G$150</c:f>
              <c:strCache>
                <c:ptCount val="1"/>
                <c:pt idx="0">
                  <c:v>Pb - Kg</c:v>
                </c:pt>
              </c:strCache>
            </c:strRef>
          </c:tx>
          <c:spPr>
            <a:solidFill>
              <a:srgbClr val="948A54"/>
            </a:solidFill>
            <a:ln>
              <a:noFill/>
            </a:ln>
            <a:effectLst/>
            <a:scene3d>
              <a:camera prst="orthographicFront"/>
              <a:lightRig rig="threePt" dir="t"/>
            </a:scene3d>
            <a:sp3d>
              <a:bevelT/>
            </a:sp3d>
          </c:spPr>
          <c:invertIfNegative val="0"/>
          <c:trendline>
            <c:spPr>
              <a:ln w="15875">
                <a:solidFill>
                  <a:schemeClr val="bg2">
                    <a:lumMod val="50000"/>
                  </a:schemeClr>
                </a:solidFill>
                <a:prstDash val="lgDash"/>
              </a:ln>
            </c:spPr>
            <c:trendlineType val="linear"/>
            <c:dispRSqr val="0"/>
            <c:dispEq val="0"/>
          </c:trendline>
          <c:cat>
            <c:numRef>
              <c:f>(metale2!$A$152:$A$155,metale2!$A$156,metale2!$A$157,metale2!$A$158)</c:f>
              <c:numCache>
                <c:formatCode>General</c:formatCode>
                <c:ptCount val="7"/>
                <c:pt idx="0">
                  <c:v>2015</c:v>
                </c:pt>
                <c:pt idx="1">
                  <c:v>2016</c:v>
                </c:pt>
                <c:pt idx="2">
                  <c:v>2017</c:v>
                </c:pt>
                <c:pt idx="3">
                  <c:v>2018</c:v>
                </c:pt>
                <c:pt idx="4">
                  <c:v>2019</c:v>
                </c:pt>
                <c:pt idx="5">
                  <c:v>2020</c:v>
                </c:pt>
                <c:pt idx="6">
                  <c:v>2021</c:v>
                </c:pt>
              </c:numCache>
            </c:numRef>
          </c:cat>
          <c:val>
            <c:numRef>
              <c:f>(metale2!$G$152:$G$155,metale2!$G$156,metale2!$G$157,metale2!$G$158)</c:f>
              <c:numCache>
                <c:formatCode>General</c:formatCode>
                <c:ptCount val="7"/>
                <c:pt idx="0">
                  <c:v>14.741000000000001</c:v>
                </c:pt>
                <c:pt idx="1">
                  <c:v>33.755719999999997</c:v>
                </c:pt>
                <c:pt idx="2">
                  <c:v>32.714900000000007</c:v>
                </c:pt>
                <c:pt idx="3">
                  <c:v>15.411800000000001</c:v>
                </c:pt>
                <c:pt idx="4">
                  <c:v>30.07</c:v>
                </c:pt>
                <c:pt idx="5">
                  <c:v>17.736700000000003</c:v>
                </c:pt>
                <c:pt idx="6">
                  <c:v>8.8445</c:v>
                </c:pt>
              </c:numCache>
            </c:numRef>
          </c:val>
          <c:extLst>
            <c:ext xmlns:c16="http://schemas.microsoft.com/office/drawing/2014/chart" uri="{C3380CC4-5D6E-409C-BE32-E72D297353CC}">
              <c16:uniqueId val="{00000000-FCC1-45EE-9487-18D7447B0363}"/>
            </c:ext>
          </c:extLst>
        </c:ser>
        <c:dLbls>
          <c:showLegendKey val="0"/>
          <c:showVal val="0"/>
          <c:showCatName val="0"/>
          <c:showSerName val="0"/>
          <c:showPercent val="0"/>
          <c:showBubbleSize val="0"/>
        </c:dLbls>
        <c:gapWidth val="219"/>
        <c:overlap val="-27"/>
        <c:axId val="130718336"/>
        <c:axId val="130724224"/>
      </c:barChart>
      <c:catAx>
        <c:axId val="13071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24224"/>
        <c:crosses val="autoZero"/>
        <c:auto val="1"/>
        <c:lblAlgn val="ctr"/>
        <c:lblOffset val="100"/>
        <c:noMultiLvlLbl val="0"/>
      </c:catAx>
      <c:valAx>
        <c:axId val="130724224"/>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18336"/>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just">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metale2!$I$150</c:f>
              <c:strCache>
                <c:ptCount val="1"/>
                <c:pt idx="0">
                  <c:v>Zn - Kg</c:v>
                </c:pt>
              </c:strCache>
            </c:strRef>
          </c:tx>
          <c:spPr>
            <a:solidFill>
              <a:srgbClr val="A6A6A6"/>
            </a:solidFill>
            <a:ln>
              <a:noFill/>
            </a:ln>
            <a:effectLst/>
            <a:scene3d>
              <a:camera prst="orthographicFront"/>
              <a:lightRig rig="threePt" dir="t"/>
            </a:scene3d>
            <a:sp3d>
              <a:bevelT/>
            </a:sp3d>
          </c:spPr>
          <c:invertIfNegative val="0"/>
          <c:trendline>
            <c:spPr>
              <a:ln w="15875">
                <a:solidFill>
                  <a:schemeClr val="bg1">
                    <a:lumMod val="65000"/>
                  </a:schemeClr>
                </a:solidFill>
                <a:prstDash val="lgDash"/>
              </a:ln>
            </c:spPr>
            <c:trendlineType val="linear"/>
            <c:dispRSqr val="0"/>
            <c:dispEq val="0"/>
          </c:trendline>
          <c:cat>
            <c:numRef>
              <c:f>(metale2!$A$151:$A$155,metale2!$A$156:$A$157)</c:f>
              <c:numCache>
                <c:formatCode>General</c:formatCode>
                <c:ptCount val="7"/>
                <c:pt idx="0">
                  <c:v>2014</c:v>
                </c:pt>
                <c:pt idx="1">
                  <c:v>2015</c:v>
                </c:pt>
                <c:pt idx="2">
                  <c:v>2016</c:v>
                </c:pt>
                <c:pt idx="3">
                  <c:v>2017</c:v>
                </c:pt>
                <c:pt idx="4">
                  <c:v>2018</c:v>
                </c:pt>
                <c:pt idx="5">
                  <c:v>2019</c:v>
                </c:pt>
                <c:pt idx="6">
                  <c:v>2020</c:v>
                </c:pt>
              </c:numCache>
            </c:numRef>
          </c:cat>
          <c:val>
            <c:numRef>
              <c:f>(metale2!$I$151:$I$155,metale2!$I$156:$I$157)</c:f>
              <c:numCache>
                <c:formatCode>General</c:formatCode>
                <c:ptCount val="7"/>
                <c:pt idx="0">
                  <c:v>0.59029999999999994</c:v>
                </c:pt>
                <c:pt idx="1">
                  <c:v>1.4464000000000001</c:v>
                </c:pt>
                <c:pt idx="2">
                  <c:v>0.76999999999999991</c:v>
                </c:pt>
                <c:pt idx="3">
                  <c:v>0.25339999999999996</c:v>
                </c:pt>
                <c:pt idx="4">
                  <c:v>0.36840000000000001</c:v>
                </c:pt>
                <c:pt idx="5">
                  <c:v>0</c:v>
                </c:pt>
                <c:pt idx="6">
                  <c:v>4.8100000000000004E-4</c:v>
                </c:pt>
              </c:numCache>
            </c:numRef>
          </c:val>
          <c:extLst>
            <c:ext xmlns:c16="http://schemas.microsoft.com/office/drawing/2014/chart" uri="{C3380CC4-5D6E-409C-BE32-E72D297353CC}">
              <c16:uniqueId val="{00000000-3F93-499D-998D-E7F930A5EB72}"/>
            </c:ext>
          </c:extLst>
        </c:ser>
        <c:dLbls>
          <c:showLegendKey val="0"/>
          <c:showVal val="0"/>
          <c:showCatName val="0"/>
          <c:showSerName val="0"/>
          <c:showPercent val="0"/>
          <c:showBubbleSize val="0"/>
        </c:dLbls>
        <c:gapWidth val="219"/>
        <c:overlap val="-27"/>
        <c:axId val="130777472"/>
        <c:axId val="130779008"/>
      </c:barChart>
      <c:catAx>
        <c:axId val="13077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79008"/>
        <c:crosses val="autoZero"/>
        <c:auto val="1"/>
        <c:lblAlgn val="ctr"/>
        <c:lblOffset val="100"/>
        <c:noMultiLvlLbl val="0"/>
      </c:catAx>
      <c:valAx>
        <c:axId val="13077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777472"/>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metale2!$B$235</c:f>
              <c:strCache>
                <c:ptCount val="1"/>
                <c:pt idx="0">
                  <c:v>Cd - Mg</c:v>
                </c:pt>
              </c:strCache>
            </c:strRef>
          </c:tx>
          <c:spPr>
            <a:solidFill>
              <a:srgbClr val="9B799B"/>
            </a:solidFill>
            <a:ln>
              <a:noFill/>
            </a:ln>
            <a:effectLst/>
            <a:scene3d>
              <a:camera prst="orthographicFront"/>
              <a:lightRig rig="threePt" dir="t"/>
            </a:scene3d>
            <a:sp3d>
              <a:bevelT/>
            </a:sp3d>
          </c:spPr>
          <c:invertIfNegative val="0"/>
          <c:trendline>
            <c:spPr>
              <a:ln w="25400" cap="rnd">
                <a:solidFill>
                  <a:srgbClr val="9B799B"/>
                </a:solidFill>
                <a:prstDash val="dash"/>
              </a:ln>
              <a:effectLst/>
            </c:spPr>
            <c:trendlineType val="linear"/>
            <c:dispRSqr val="0"/>
            <c:dispEq val="0"/>
          </c:trendline>
          <c:cat>
            <c:numRef>
              <c:f>(metale2!$A$236:$A$241,metale2!$A$242,metale2!$A$243)</c:f>
              <c:numCache>
                <c:formatCode>General</c:formatCode>
                <c:ptCount val="8"/>
                <c:pt idx="0">
                  <c:v>2014</c:v>
                </c:pt>
                <c:pt idx="1">
                  <c:v>2015</c:v>
                </c:pt>
                <c:pt idx="2">
                  <c:v>2016</c:v>
                </c:pt>
                <c:pt idx="3">
                  <c:v>2017</c:v>
                </c:pt>
                <c:pt idx="4">
                  <c:v>2018</c:v>
                </c:pt>
                <c:pt idx="5">
                  <c:v>2019</c:v>
                </c:pt>
                <c:pt idx="6">
                  <c:v>2020</c:v>
                </c:pt>
                <c:pt idx="7">
                  <c:v>2021</c:v>
                </c:pt>
              </c:numCache>
            </c:numRef>
          </c:cat>
          <c:val>
            <c:numRef>
              <c:f>(metale2!$B$236:$B$241,metale2!$B$242,metale2!$B$243)</c:f>
              <c:numCache>
                <c:formatCode>0.00000000000000</c:formatCode>
                <c:ptCount val="8"/>
                <c:pt idx="0">
                  <c:v>1.080697811E-3</c:v>
                </c:pt>
                <c:pt idx="1">
                  <c:v>9.6828917099999986E-4</c:v>
                </c:pt>
                <c:pt idx="2">
                  <c:v>9.7125767975999992E-4</c:v>
                </c:pt>
                <c:pt idx="3">
                  <c:v>1.0943877000000001E-3</c:v>
                </c:pt>
                <c:pt idx="4">
                  <c:v>1.1518632199999999E-3</c:v>
                </c:pt>
                <c:pt idx="5">
                  <c:v>1.13547825E-3</c:v>
                </c:pt>
                <c:pt idx="6">
                  <c:v>1.3102532300000003E-3</c:v>
                </c:pt>
                <c:pt idx="7" formatCode="General">
                  <c:v>1.2511328000000001E-3</c:v>
                </c:pt>
              </c:numCache>
            </c:numRef>
          </c:val>
          <c:extLst>
            <c:ext xmlns:c16="http://schemas.microsoft.com/office/drawing/2014/chart" uri="{C3380CC4-5D6E-409C-BE32-E72D297353CC}">
              <c16:uniqueId val="{00000000-A55C-4955-A9D7-27321BABB960}"/>
            </c:ext>
          </c:extLst>
        </c:ser>
        <c:ser>
          <c:idx val="1"/>
          <c:order val="1"/>
          <c:tx>
            <c:strRef>
              <c:f>metale2!$E$235</c:f>
              <c:strCache>
                <c:ptCount val="1"/>
                <c:pt idx="0">
                  <c:v>Ni - Mg</c:v>
                </c:pt>
              </c:strCache>
            </c:strRef>
          </c:tx>
          <c:spPr>
            <a:solidFill>
              <a:srgbClr val="2BAEAB"/>
            </a:solidFill>
            <a:ln>
              <a:noFill/>
            </a:ln>
            <a:effectLst/>
            <a:scene3d>
              <a:camera prst="orthographicFront"/>
              <a:lightRig rig="threePt" dir="t"/>
            </a:scene3d>
            <a:sp3d>
              <a:bevelT/>
            </a:sp3d>
          </c:spPr>
          <c:invertIfNegative val="0"/>
          <c:trendline>
            <c:spPr>
              <a:ln w="28575" cap="rnd">
                <a:solidFill>
                  <a:srgbClr val="2BAEAB"/>
                </a:solidFill>
                <a:prstDash val="dash"/>
              </a:ln>
              <a:effectLst/>
            </c:spPr>
            <c:trendlineType val="linear"/>
            <c:dispRSqr val="0"/>
            <c:dispEq val="0"/>
          </c:trendline>
          <c:cat>
            <c:numRef>
              <c:f>(metale2!$A$236:$A$241,metale2!$A$242,metale2!$A$243)</c:f>
              <c:numCache>
                <c:formatCode>General</c:formatCode>
                <c:ptCount val="8"/>
                <c:pt idx="0">
                  <c:v>2014</c:v>
                </c:pt>
                <c:pt idx="1">
                  <c:v>2015</c:v>
                </c:pt>
                <c:pt idx="2">
                  <c:v>2016</c:v>
                </c:pt>
                <c:pt idx="3">
                  <c:v>2017</c:v>
                </c:pt>
                <c:pt idx="4">
                  <c:v>2018</c:v>
                </c:pt>
                <c:pt idx="5">
                  <c:v>2019</c:v>
                </c:pt>
                <c:pt idx="6">
                  <c:v>2020</c:v>
                </c:pt>
                <c:pt idx="7">
                  <c:v>2021</c:v>
                </c:pt>
              </c:numCache>
            </c:numRef>
          </c:cat>
          <c:val>
            <c:numRef>
              <c:f>(metale2!$E$236:$E$241,metale2!$E$242,metale2!$E$243)</c:f>
              <c:numCache>
                <c:formatCode>0.00000000000000</c:formatCode>
                <c:ptCount val="8"/>
                <c:pt idx="0">
                  <c:v>3.5794168269999999E-3</c:v>
                </c:pt>
                <c:pt idx="1">
                  <c:v>2.8476269040000001E-3</c:v>
                </c:pt>
                <c:pt idx="2">
                  <c:v>3.2352740982999999E-3</c:v>
                </c:pt>
                <c:pt idx="3">
                  <c:v>3.8301136999999998E-3</c:v>
                </c:pt>
                <c:pt idx="4">
                  <c:v>3.7798171200000004E-3</c:v>
                </c:pt>
                <c:pt idx="5">
                  <c:v>3.6846147000000004E-3</c:v>
                </c:pt>
                <c:pt idx="6">
                  <c:v>4.7115827800000001E-3</c:v>
                </c:pt>
                <c:pt idx="7" formatCode="General">
                  <c:v>4.0571316000000005E-3</c:v>
                </c:pt>
              </c:numCache>
            </c:numRef>
          </c:val>
          <c:extLst>
            <c:ext xmlns:c16="http://schemas.microsoft.com/office/drawing/2014/chart" uri="{C3380CC4-5D6E-409C-BE32-E72D297353CC}">
              <c16:uniqueId val="{00000001-A55C-4955-A9D7-27321BABB960}"/>
            </c:ext>
          </c:extLst>
        </c:ser>
        <c:ser>
          <c:idx val="2"/>
          <c:order val="2"/>
          <c:tx>
            <c:strRef>
              <c:f>metale2!$F$235</c:f>
              <c:strCache>
                <c:ptCount val="1"/>
                <c:pt idx="0">
                  <c:v>Se - Mg</c:v>
                </c:pt>
              </c:strCache>
            </c:strRef>
          </c:tx>
          <c:spPr>
            <a:solidFill>
              <a:srgbClr val="C3D69B"/>
            </a:solidFill>
            <a:ln>
              <a:noFill/>
            </a:ln>
            <a:effectLst/>
            <a:scene3d>
              <a:camera prst="orthographicFront"/>
              <a:lightRig rig="threePt" dir="t"/>
            </a:scene3d>
            <a:sp3d>
              <a:bevelT/>
            </a:sp3d>
          </c:spPr>
          <c:invertIfNegative val="0"/>
          <c:trendline>
            <c:spPr>
              <a:ln w="25400" cap="rnd">
                <a:solidFill>
                  <a:schemeClr val="accent3"/>
                </a:solidFill>
                <a:prstDash val="dash"/>
              </a:ln>
              <a:effectLst/>
            </c:spPr>
            <c:trendlineType val="linear"/>
            <c:dispRSqr val="0"/>
            <c:dispEq val="0"/>
          </c:trendline>
          <c:cat>
            <c:numRef>
              <c:f>(metale2!$A$236:$A$241,metale2!$A$242,metale2!$A$243)</c:f>
              <c:numCache>
                <c:formatCode>General</c:formatCode>
                <c:ptCount val="8"/>
                <c:pt idx="0">
                  <c:v>2014</c:v>
                </c:pt>
                <c:pt idx="1">
                  <c:v>2015</c:v>
                </c:pt>
                <c:pt idx="2">
                  <c:v>2016</c:v>
                </c:pt>
                <c:pt idx="3">
                  <c:v>2017</c:v>
                </c:pt>
                <c:pt idx="4">
                  <c:v>2018</c:v>
                </c:pt>
                <c:pt idx="5">
                  <c:v>2019</c:v>
                </c:pt>
                <c:pt idx="6">
                  <c:v>2020</c:v>
                </c:pt>
                <c:pt idx="7">
                  <c:v>2021</c:v>
                </c:pt>
              </c:numCache>
            </c:numRef>
          </c:cat>
          <c:val>
            <c:numRef>
              <c:f>(metale2!$F$236:$F$241,metale2!$F$242,metale2!$F$243)</c:f>
              <c:numCache>
                <c:formatCode>0.00000000000000</c:formatCode>
                <c:ptCount val="8"/>
                <c:pt idx="0">
                  <c:v>3.8545040899999996E-4</c:v>
                </c:pt>
                <c:pt idx="1">
                  <c:v>2.84929544E-4</c:v>
                </c:pt>
                <c:pt idx="2">
                  <c:v>3.2738120976000002E-4</c:v>
                </c:pt>
                <c:pt idx="3">
                  <c:v>4.03053056E-4</c:v>
                </c:pt>
                <c:pt idx="4">
                  <c:v>3.7939005000000003E-4</c:v>
                </c:pt>
                <c:pt idx="5">
                  <c:v>3.9840824999999997E-4</c:v>
                </c:pt>
                <c:pt idx="6">
                  <c:v>5.0826943000000001E-4</c:v>
                </c:pt>
                <c:pt idx="7" formatCode="General">
                  <c:v>4.1265280000000001E-4</c:v>
                </c:pt>
              </c:numCache>
            </c:numRef>
          </c:val>
          <c:extLst>
            <c:ext xmlns:c16="http://schemas.microsoft.com/office/drawing/2014/chart" uri="{C3380CC4-5D6E-409C-BE32-E72D297353CC}">
              <c16:uniqueId val="{00000002-A55C-4955-A9D7-27321BABB960}"/>
            </c:ext>
          </c:extLst>
        </c:ser>
        <c:dLbls>
          <c:showLegendKey val="0"/>
          <c:showVal val="0"/>
          <c:showCatName val="0"/>
          <c:showSerName val="0"/>
          <c:showPercent val="0"/>
          <c:showBubbleSize val="0"/>
        </c:dLbls>
        <c:gapWidth val="219"/>
        <c:overlap val="-27"/>
        <c:axId val="130828928"/>
        <c:axId val="130838912"/>
      </c:barChart>
      <c:catAx>
        <c:axId val="1308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838912"/>
        <c:crosses val="autoZero"/>
        <c:auto val="1"/>
        <c:lblAlgn val="ctr"/>
        <c:lblOffset val="100"/>
        <c:noMultiLvlLbl val="0"/>
      </c:catAx>
      <c:valAx>
        <c:axId val="13083891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828928"/>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metale2!$C$235</c:f>
              <c:strCache>
                <c:ptCount val="1"/>
                <c:pt idx="0">
                  <c:v>Cr - Mg</c:v>
                </c:pt>
              </c:strCache>
            </c:strRef>
          </c:tx>
          <c:spPr>
            <a:solidFill>
              <a:srgbClr val="FFBD5B"/>
            </a:solidFill>
            <a:ln>
              <a:noFill/>
            </a:ln>
            <a:effectLst/>
            <a:scene3d>
              <a:camera prst="orthographicFront"/>
              <a:lightRig rig="threePt" dir="t"/>
            </a:scene3d>
            <a:sp3d>
              <a:bevelT/>
            </a:sp3d>
          </c:spPr>
          <c:invertIfNegative val="0"/>
          <c:trendline>
            <c:spPr>
              <a:ln w="25400" cap="rnd">
                <a:solidFill>
                  <a:srgbClr val="FFBD5B"/>
                </a:solidFill>
                <a:prstDash val="lgDash"/>
              </a:ln>
              <a:effectLst/>
            </c:spPr>
            <c:trendlineType val="linear"/>
            <c:dispRSqr val="0"/>
            <c:dispEq val="0"/>
          </c:trendline>
          <c:cat>
            <c:numRef>
              <c:f>(metale2!$A$236:$A$241,metale2!$A$242,metale2!$A$243)</c:f>
              <c:numCache>
                <c:formatCode>General</c:formatCode>
                <c:ptCount val="8"/>
                <c:pt idx="0">
                  <c:v>2014</c:v>
                </c:pt>
                <c:pt idx="1">
                  <c:v>2015</c:v>
                </c:pt>
                <c:pt idx="2">
                  <c:v>2016</c:v>
                </c:pt>
                <c:pt idx="3">
                  <c:v>2017</c:v>
                </c:pt>
                <c:pt idx="4">
                  <c:v>2018</c:v>
                </c:pt>
                <c:pt idx="5">
                  <c:v>2019</c:v>
                </c:pt>
                <c:pt idx="6">
                  <c:v>2020</c:v>
                </c:pt>
                <c:pt idx="7">
                  <c:v>2021</c:v>
                </c:pt>
              </c:numCache>
            </c:numRef>
          </c:cat>
          <c:val>
            <c:numRef>
              <c:f>(metale2!$C$236:$C$241,metale2!$C$242,metale2!$C$243)</c:f>
              <c:numCache>
                <c:formatCode>0.00000000000000</c:formatCode>
                <c:ptCount val="8"/>
                <c:pt idx="0">
                  <c:v>1.4183337989999999E-2</c:v>
                </c:pt>
                <c:pt idx="1">
                  <c:v>1.3311585129000001E-2</c:v>
                </c:pt>
                <c:pt idx="2">
                  <c:v>1.5324706908799999E-2</c:v>
                </c:pt>
                <c:pt idx="3">
                  <c:v>1.6613538400000002E-2</c:v>
                </c:pt>
                <c:pt idx="4">
                  <c:v>1.8324139359999998E-2</c:v>
                </c:pt>
                <c:pt idx="5">
                  <c:v>1.8201079219999999E-2</c:v>
                </c:pt>
                <c:pt idx="6">
                  <c:v>1.9920557039999998E-2</c:v>
                </c:pt>
                <c:pt idx="7" formatCode="General">
                  <c:v>1.9782596E-2</c:v>
                </c:pt>
              </c:numCache>
            </c:numRef>
          </c:val>
          <c:extLst>
            <c:ext xmlns:c16="http://schemas.microsoft.com/office/drawing/2014/chart" uri="{C3380CC4-5D6E-409C-BE32-E72D297353CC}">
              <c16:uniqueId val="{00000000-044D-46B4-ABBC-97FA9327318D}"/>
            </c:ext>
          </c:extLst>
        </c:ser>
        <c:ser>
          <c:idx val="1"/>
          <c:order val="1"/>
          <c:tx>
            <c:strRef>
              <c:f>metale2!$H$235</c:f>
              <c:strCache>
                <c:ptCount val="1"/>
                <c:pt idx="0">
                  <c:v>Pb - Mg</c:v>
                </c:pt>
              </c:strCache>
            </c:strRef>
          </c:tx>
          <c:spPr>
            <a:solidFill>
              <a:srgbClr val="948A54"/>
            </a:solidFill>
            <a:ln>
              <a:noFill/>
            </a:ln>
            <a:effectLst/>
            <a:scene3d>
              <a:camera prst="orthographicFront"/>
              <a:lightRig rig="threePt" dir="t"/>
            </a:scene3d>
            <a:sp3d>
              <a:bevelT/>
            </a:sp3d>
          </c:spPr>
          <c:invertIfNegative val="0"/>
          <c:trendline>
            <c:spPr>
              <a:ln w="25400" cap="rnd">
                <a:solidFill>
                  <a:srgbClr val="948A54"/>
                </a:solidFill>
                <a:prstDash val="dash"/>
              </a:ln>
              <a:effectLst/>
            </c:spPr>
            <c:trendlineType val="linear"/>
            <c:dispRSqr val="0"/>
            <c:dispEq val="0"/>
          </c:trendline>
          <c:cat>
            <c:numRef>
              <c:f>(metale2!$A$236:$A$241,metale2!$A$242,metale2!$A$243)</c:f>
              <c:numCache>
                <c:formatCode>General</c:formatCode>
                <c:ptCount val="8"/>
                <c:pt idx="0">
                  <c:v>2014</c:v>
                </c:pt>
                <c:pt idx="1">
                  <c:v>2015</c:v>
                </c:pt>
                <c:pt idx="2">
                  <c:v>2016</c:v>
                </c:pt>
                <c:pt idx="3">
                  <c:v>2017</c:v>
                </c:pt>
                <c:pt idx="4">
                  <c:v>2018</c:v>
                </c:pt>
                <c:pt idx="5">
                  <c:v>2019</c:v>
                </c:pt>
                <c:pt idx="6">
                  <c:v>2020</c:v>
                </c:pt>
                <c:pt idx="7">
                  <c:v>2021</c:v>
                </c:pt>
              </c:numCache>
            </c:numRef>
          </c:cat>
          <c:val>
            <c:numRef>
              <c:f>(metale2!$H$236:$H$241,metale2!$H$242,metale2!$H$243)</c:f>
              <c:numCache>
                <c:formatCode>0.00000000000000</c:formatCode>
                <c:ptCount val="8"/>
                <c:pt idx="0">
                  <c:v>5.7283083109000002E-2</c:v>
                </c:pt>
                <c:pt idx="1">
                  <c:v>5.6383119538000001E-2</c:v>
                </c:pt>
                <c:pt idx="2">
                  <c:v>3.8519997569999999E-2</c:v>
                </c:pt>
                <c:pt idx="3">
                  <c:v>4.1077877499999992E-2</c:v>
                </c:pt>
                <c:pt idx="4">
                  <c:v>4.6245876599999999E-2</c:v>
                </c:pt>
                <c:pt idx="5">
                  <c:v>4.6103620000000005E-2</c:v>
                </c:pt>
                <c:pt idx="6">
                  <c:v>4.8995961839999998E-2</c:v>
                </c:pt>
                <c:pt idx="7" formatCode="General">
                  <c:v>4.9956376719199995E-2</c:v>
                </c:pt>
              </c:numCache>
            </c:numRef>
          </c:val>
          <c:extLst>
            <c:ext xmlns:c16="http://schemas.microsoft.com/office/drawing/2014/chart" uri="{C3380CC4-5D6E-409C-BE32-E72D297353CC}">
              <c16:uniqueId val="{00000001-044D-46B4-ABBC-97FA9327318D}"/>
            </c:ext>
          </c:extLst>
        </c:ser>
        <c:dLbls>
          <c:showLegendKey val="0"/>
          <c:showVal val="0"/>
          <c:showCatName val="0"/>
          <c:showSerName val="0"/>
          <c:showPercent val="0"/>
          <c:showBubbleSize val="0"/>
        </c:dLbls>
        <c:gapWidth val="219"/>
        <c:overlap val="-27"/>
        <c:axId val="131011328"/>
        <c:axId val="131012864"/>
      </c:barChart>
      <c:catAx>
        <c:axId val="13101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012864"/>
        <c:crosses val="autoZero"/>
        <c:auto val="1"/>
        <c:lblAlgn val="ctr"/>
        <c:lblOffset val="100"/>
        <c:noMultiLvlLbl val="0"/>
      </c:catAx>
      <c:valAx>
        <c:axId val="131012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01132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metale2!$D$235</c:f>
              <c:strCache>
                <c:ptCount val="1"/>
                <c:pt idx="0">
                  <c:v>Cu - Mg</c:v>
                </c:pt>
              </c:strCache>
            </c:strRef>
          </c:tx>
          <c:spPr>
            <a:solidFill>
              <a:srgbClr val="EBDF99"/>
            </a:solidFill>
            <a:ln>
              <a:noFill/>
            </a:ln>
            <a:effectLst/>
            <a:scene3d>
              <a:camera prst="orthographicFront"/>
              <a:lightRig rig="threePt" dir="t"/>
            </a:scene3d>
            <a:sp3d>
              <a:bevelT/>
            </a:sp3d>
          </c:spPr>
          <c:invertIfNegative val="0"/>
          <c:trendline>
            <c:spPr>
              <a:ln w="25400" cap="rnd">
                <a:solidFill>
                  <a:srgbClr val="EBDF99"/>
                </a:solidFill>
                <a:prstDash val="dash"/>
              </a:ln>
              <a:effectLst/>
            </c:spPr>
            <c:trendlineType val="linear"/>
            <c:dispRSqr val="0"/>
            <c:dispEq val="0"/>
          </c:trendline>
          <c:cat>
            <c:numRef>
              <c:f>(metale2!$A$236:$A$241,metale2!$A$242,metale2!$A$243)</c:f>
              <c:numCache>
                <c:formatCode>General</c:formatCode>
                <c:ptCount val="8"/>
                <c:pt idx="0">
                  <c:v>2014</c:v>
                </c:pt>
                <c:pt idx="1">
                  <c:v>2015</c:v>
                </c:pt>
                <c:pt idx="2">
                  <c:v>2016</c:v>
                </c:pt>
                <c:pt idx="3">
                  <c:v>2017</c:v>
                </c:pt>
                <c:pt idx="4">
                  <c:v>2018</c:v>
                </c:pt>
                <c:pt idx="5">
                  <c:v>2019</c:v>
                </c:pt>
                <c:pt idx="6">
                  <c:v>2020</c:v>
                </c:pt>
                <c:pt idx="7">
                  <c:v>2021</c:v>
                </c:pt>
              </c:numCache>
            </c:numRef>
          </c:cat>
          <c:val>
            <c:numRef>
              <c:f>(metale2!$D$236:$D$241,metale2!$D$242,metale2!$D$243)</c:f>
              <c:numCache>
                <c:formatCode>0.00000000000000</c:formatCode>
                <c:ptCount val="8"/>
                <c:pt idx="0">
                  <c:v>0.27942090553864202</c:v>
                </c:pt>
                <c:pt idx="1">
                  <c:v>0.255840322201</c:v>
                </c:pt>
                <c:pt idx="2">
                  <c:v>0.29427978242899999</c:v>
                </c:pt>
                <c:pt idx="3">
                  <c:v>0.32266240460000001</c:v>
                </c:pt>
                <c:pt idx="4">
                  <c:v>0.35044954551000007</c:v>
                </c:pt>
                <c:pt idx="5">
                  <c:v>0.34697184214000004</c:v>
                </c:pt>
                <c:pt idx="6">
                  <c:v>0.38857757155</c:v>
                </c:pt>
                <c:pt idx="7" formatCode="General">
                  <c:v>0.37590943382999997</c:v>
                </c:pt>
              </c:numCache>
            </c:numRef>
          </c:val>
          <c:extLst>
            <c:ext xmlns:c16="http://schemas.microsoft.com/office/drawing/2014/chart" uri="{C3380CC4-5D6E-409C-BE32-E72D297353CC}">
              <c16:uniqueId val="{00000000-0FA2-434E-B073-D3C9CB0DD878}"/>
            </c:ext>
          </c:extLst>
        </c:ser>
        <c:ser>
          <c:idx val="1"/>
          <c:order val="1"/>
          <c:tx>
            <c:strRef>
              <c:f>metale2!$G$235</c:f>
              <c:strCache>
                <c:ptCount val="1"/>
                <c:pt idx="0">
                  <c:v>Zn - Mg</c:v>
                </c:pt>
              </c:strCache>
            </c:strRef>
          </c:tx>
          <c:spPr>
            <a:solidFill>
              <a:srgbClr val="A6A6A6"/>
            </a:solidFill>
            <a:ln>
              <a:noFill/>
            </a:ln>
            <a:effectLst/>
            <a:scene3d>
              <a:camera prst="orthographicFront"/>
              <a:lightRig rig="threePt" dir="t"/>
            </a:scene3d>
            <a:sp3d>
              <a:bevelT/>
            </a:sp3d>
          </c:spPr>
          <c:invertIfNegative val="0"/>
          <c:trendline>
            <c:spPr>
              <a:ln w="25400" cap="rnd">
                <a:solidFill>
                  <a:srgbClr val="A6A6A6"/>
                </a:solidFill>
                <a:prstDash val="dash"/>
              </a:ln>
              <a:effectLst/>
            </c:spPr>
            <c:trendlineType val="linear"/>
            <c:dispRSqr val="0"/>
            <c:dispEq val="0"/>
          </c:trendline>
          <c:cat>
            <c:numRef>
              <c:f>(metale2!$A$236:$A$241,metale2!$A$242,metale2!$A$243)</c:f>
              <c:numCache>
                <c:formatCode>General</c:formatCode>
                <c:ptCount val="8"/>
                <c:pt idx="0">
                  <c:v>2014</c:v>
                </c:pt>
                <c:pt idx="1">
                  <c:v>2015</c:v>
                </c:pt>
                <c:pt idx="2">
                  <c:v>2016</c:v>
                </c:pt>
                <c:pt idx="3">
                  <c:v>2017</c:v>
                </c:pt>
                <c:pt idx="4">
                  <c:v>2018</c:v>
                </c:pt>
                <c:pt idx="5">
                  <c:v>2019</c:v>
                </c:pt>
                <c:pt idx="6">
                  <c:v>2020</c:v>
                </c:pt>
                <c:pt idx="7">
                  <c:v>2021</c:v>
                </c:pt>
              </c:numCache>
            </c:numRef>
          </c:cat>
          <c:val>
            <c:numRef>
              <c:f>(metale2!$G$236:$G$241,metale2!$G$242,metale2!$G$243)</c:f>
              <c:numCache>
                <c:formatCode>0.00000000000000</c:formatCode>
                <c:ptCount val="8"/>
                <c:pt idx="0">
                  <c:v>0.24407743500699997</c:v>
                </c:pt>
                <c:pt idx="1">
                  <c:v>0.23120823263000001</c:v>
                </c:pt>
                <c:pt idx="2">
                  <c:v>0.25924140599600004</c:v>
                </c:pt>
                <c:pt idx="3">
                  <c:v>0.28316783344999996</c:v>
                </c:pt>
                <c:pt idx="4">
                  <c:v>0.31061131587000002</c:v>
                </c:pt>
                <c:pt idx="5">
                  <c:v>0.3096078532</c:v>
                </c:pt>
                <c:pt idx="6">
                  <c:v>0.33804503549999998</c:v>
                </c:pt>
                <c:pt idx="7" formatCode="General">
                  <c:v>0.33975741390000008</c:v>
                </c:pt>
              </c:numCache>
            </c:numRef>
          </c:val>
          <c:extLst>
            <c:ext xmlns:c16="http://schemas.microsoft.com/office/drawing/2014/chart" uri="{C3380CC4-5D6E-409C-BE32-E72D297353CC}">
              <c16:uniqueId val="{00000001-0FA2-434E-B073-D3C9CB0DD878}"/>
            </c:ext>
          </c:extLst>
        </c:ser>
        <c:dLbls>
          <c:showLegendKey val="0"/>
          <c:showVal val="0"/>
          <c:showCatName val="0"/>
          <c:showSerName val="0"/>
          <c:showPercent val="0"/>
          <c:showBubbleSize val="0"/>
        </c:dLbls>
        <c:gapWidth val="219"/>
        <c:overlap val="-27"/>
        <c:axId val="131053440"/>
        <c:axId val="131054976"/>
      </c:barChart>
      <c:catAx>
        <c:axId val="1310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054976"/>
        <c:crosses val="autoZero"/>
        <c:auto val="1"/>
        <c:lblAlgn val="ctr"/>
        <c:lblOffset val="100"/>
        <c:noMultiLvlLbl val="0"/>
      </c:catAx>
      <c:valAx>
        <c:axId val="131054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1053440"/>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'2021 lunare'!$B$4</c:f>
              <c:strCache>
                <c:ptCount val="1"/>
                <c:pt idx="0">
                  <c:v>urbana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'2021 lunare'!$A$5:$A$16</c:f>
              <c:strCache>
                <c:ptCount val="12"/>
                <c:pt idx="0">
                  <c:v>ian.2021</c:v>
                </c:pt>
                <c:pt idx="1">
                  <c:v>febr.2021</c:v>
                </c:pt>
                <c:pt idx="2">
                  <c:v>mart.2021</c:v>
                </c:pt>
                <c:pt idx="3">
                  <c:v>apr.2021</c:v>
                </c:pt>
                <c:pt idx="4">
                  <c:v>mai.2021</c:v>
                </c:pt>
                <c:pt idx="5">
                  <c:v>iun.2021</c:v>
                </c:pt>
                <c:pt idx="6">
                  <c:v>iul.2021</c:v>
                </c:pt>
                <c:pt idx="7">
                  <c:v>aug.2021</c:v>
                </c:pt>
                <c:pt idx="8">
                  <c:v>sept.2021</c:v>
                </c:pt>
                <c:pt idx="9">
                  <c:v>oct.2021</c:v>
                </c:pt>
                <c:pt idx="10">
                  <c:v>noi.2021</c:v>
                </c:pt>
                <c:pt idx="11">
                  <c:v>dec.2021</c:v>
                </c:pt>
              </c:strCache>
            </c:strRef>
          </c:cat>
          <c:val>
            <c:numRef>
              <c:f>'2021 lunare'!$B$5:$B$16</c:f>
              <c:numCache>
                <c:formatCode>General</c:formatCode>
                <c:ptCount val="12"/>
                <c:pt idx="0">
                  <c:v>48.1875</c:v>
                </c:pt>
                <c:pt idx="1">
                  <c:v>47.131250000000009</c:v>
                </c:pt>
                <c:pt idx="2">
                  <c:v>36.983333333333341</c:v>
                </c:pt>
                <c:pt idx="3">
                  <c:v>28.293750000000006</c:v>
                </c:pt>
                <c:pt idx="4">
                  <c:v>7.253333333333333</c:v>
                </c:pt>
                <c:pt idx="5">
                  <c:v>24.912500000000001</c:v>
                </c:pt>
                <c:pt idx="6">
                  <c:v>41.752941176470593</c:v>
                </c:pt>
                <c:pt idx="7">
                  <c:v>47.155555555555559</c:v>
                </c:pt>
                <c:pt idx="8">
                  <c:v>28.083333333333329</c:v>
                </c:pt>
                <c:pt idx="9">
                  <c:v>36.374999999999993</c:v>
                </c:pt>
                <c:pt idx="10">
                  <c:v>35.043749999999996</c:v>
                </c:pt>
                <c:pt idx="11">
                  <c:v>31.5733</c:v>
                </c:pt>
              </c:numCache>
            </c:numRef>
          </c:val>
          <c:smooth val="0"/>
          <c:extLst>
            <c:ext xmlns:c16="http://schemas.microsoft.com/office/drawing/2014/chart" uri="{C3380CC4-5D6E-409C-BE32-E72D297353CC}">
              <c16:uniqueId val="{00000000-9C3E-49AB-A5EE-FA1F4B114611}"/>
            </c:ext>
          </c:extLst>
        </c:ser>
        <c:ser>
          <c:idx val="1"/>
          <c:order val="1"/>
          <c:tx>
            <c:strRef>
              <c:f>'2021 lunare'!$C$4</c:f>
              <c:strCache>
                <c:ptCount val="1"/>
                <c:pt idx="0">
                  <c:v>AISE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'2021 lunare'!$A$5:$A$16</c:f>
              <c:strCache>
                <c:ptCount val="12"/>
                <c:pt idx="0">
                  <c:v>ian.2021</c:v>
                </c:pt>
                <c:pt idx="1">
                  <c:v>febr.2021</c:v>
                </c:pt>
                <c:pt idx="2">
                  <c:v>mart.2021</c:v>
                </c:pt>
                <c:pt idx="3">
                  <c:v>apr.2021</c:v>
                </c:pt>
                <c:pt idx="4">
                  <c:v>mai.2021</c:v>
                </c:pt>
                <c:pt idx="5">
                  <c:v>iun.2021</c:v>
                </c:pt>
                <c:pt idx="6">
                  <c:v>iul.2021</c:v>
                </c:pt>
                <c:pt idx="7">
                  <c:v>aug.2021</c:v>
                </c:pt>
                <c:pt idx="8">
                  <c:v>sept.2021</c:v>
                </c:pt>
                <c:pt idx="9">
                  <c:v>oct.2021</c:v>
                </c:pt>
                <c:pt idx="10">
                  <c:v>noi.2021</c:v>
                </c:pt>
                <c:pt idx="11">
                  <c:v>dec.2021</c:v>
                </c:pt>
              </c:strCache>
            </c:strRef>
          </c:cat>
          <c:val>
            <c:numRef>
              <c:f>'2021 lunare'!$C$5:$C$16</c:f>
              <c:numCache>
                <c:formatCode>General</c:formatCode>
                <c:ptCount val="12"/>
                <c:pt idx="0">
                  <c:v>42.631250000000001</c:v>
                </c:pt>
                <c:pt idx="1">
                  <c:v>45.8125</c:v>
                </c:pt>
                <c:pt idx="2">
                  <c:v>44.694444444444443</c:v>
                </c:pt>
                <c:pt idx="3">
                  <c:v>29.493749999999995</c:v>
                </c:pt>
                <c:pt idx="4">
                  <c:v>46.11333333333333</c:v>
                </c:pt>
                <c:pt idx="5">
                  <c:v>49.631250000000001</c:v>
                </c:pt>
                <c:pt idx="6">
                  <c:v>43.211764705882352</c:v>
                </c:pt>
                <c:pt idx="7">
                  <c:v>42.294444444444451</c:v>
                </c:pt>
                <c:pt idx="8">
                  <c:v>38.477777777777789</c:v>
                </c:pt>
                <c:pt idx="9">
                  <c:v>40.481249999999996</c:v>
                </c:pt>
                <c:pt idx="10">
                  <c:v>38.756250000000001</c:v>
                </c:pt>
                <c:pt idx="11">
                  <c:v>37.9</c:v>
                </c:pt>
              </c:numCache>
            </c:numRef>
          </c:val>
          <c:smooth val="0"/>
          <c:extLst>
            <c:ext xmlns:c16="http://schemas.microsoft.com/office/drawing/2014/chart" uri="{C3380CC4-5D6E-409C-BE32-E72D297353CC}">
              <c16:uniqueId val="{00000001-9C3E-49AB-A5EE-FA1F4B114611}"/>
            </c:ext>
          </c:extLst>
        </c:ser>
        <c:ser>
          <c:idx val="2"/>
          <c:order val="2"/>
          <c:tx>
            <c:strRef>
              <c:f>'2021 lunare'!$D$4</c:f>
              <c:strCache>
                <c:ptCount val="1"/>
                <c:pt idx="0">
                  <c:v>sediu</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'2021 lunare'!$A$5:$A$16</c:f>
              <c:strCache>
                <c:ptCount val="12"/>
                <c:pt idx="0">
                  <c:v>ian.2021</c:v>
                </c:pt>
                <c:pt idx="1">
                  <c:v>febr.2021</c:v>
                </c:pt>
                <c:pt idx="2">
                  <c:v>mart.2021</c:v>
                </c:pt>
                <c:pt idx="3">
                  <c:v>apr.2021</c:v>
                </c:pt>
                <c:pt idx="4">
                  <c:v>mai.2021</c:v>
                </c:pt>
                <c:pt idx="5">
                  <c:v>iun.2021</c:v>
                </c:pt>
                <c:pt idx="6">
                  <c:v>iul.2021</c:v>
                </c:pt>
                <c:pt idx="7">
                  <c:v>aug.2021</c:v>
                </c:pt>
                <c:pt idx="8">
                  <c:v>sept.2021</c:v>
                </c:pt>
                <c:pt idx="9">
                  <c:v>oct.2021</c:v>
                </c:pt>
                <c:pt idx="10">
                  <c:v>noi.2021</c:v>
                </c:pt>
                <c:pt idx="11">
                  <c:v>dec.2021</c:v>
                </c:pt>
              </c:strCache>
            </c:strRef>
          </c:cat>
          <c:val>
            <c:numRef>
              <c:f>'2021 lunare'!$D$5:$D$16</c:f>
              <c:numCache>
                <c:formatCode>General</c:formatCode>
                <c:ptCount val="12"/>
                <c:pt idx="0">
                  <c:v>25.931249999999991</c:v>
                </c:pt>
                <c:pt idx="1">
                  <c:v>33.049999999999997</c:v>
                </c:pt>
                <c:pt idx="2">
                  <c:v>28.600000000000005</c:v>
                </c:pt>
                <c:pt idx="3">
                  <c:v>17.837499999999995</c:v>
                </c:pt>
                <c:pt idx="4">
                  <c:v>23.313333333333333</c:v>
                </c:pt>
                <c:pt idx="5">
                  <c:v>24.925000000000001</c:v>
                </c:pt>
                <c:pt idx="6">
                  <c:v>34.588235294117645</c:v>
                </c:pt>
                <c:pt idx="7">
                  <c:v>36.572222222222223</c:v>
                </c:pt>
                <c:pt idx="8">
                  <c:v>23.222222222222221</c:v>
                </c:pt>
                <c:pt idx="9">
                  <c:v>29.718749999999996</c:v>
                </c:pt>
                <c:pt idx="10">
                  <c:v>25.05</c:v>
                </c:pt>
                <c:pt idx="11">
                  <c:v>26.866700000000002</c:v>
                </c:pt>
              </c:numCache>
            </c:numRef>
          </c:val>
          <c:smooth val="0"/>
          <c:extLst>
            <c:ext xmlns:c16="http://schemas.microsoft.com/office/drawing/2014/chart" uri="{C3380CC4-5D6E-409C-BE32-E72D297353CC}">
              <c16:uniqueId val="{00000002-9C3E-49AB-A5EE-FA1F4B114611}"/>
            </c:ext>
          </c:extLst>
        </c:ser>
        <c:ser>
          <c:idx val="3"/>
          <c:order val="3"/>
          <c:tx>
            <c:strRef>
              <c:f>'2021 lunare'!$E$4</c:f>
              <c:strCache>
                <c:ptCount val="1"/>
                <c:pt idx="0">
                  <c:v>ST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'2021 lunare'!$A$5:$A$16</c:f>
              <c:strCache>
                <c:ptCount val="12"/>
                <c:pt idx="0">
                  <c:v>ian.2021</c:v>
                </c:pt>
                <c:pt idx="1">
                  <c:v>febr.2021</c:v>
                </c:pt>
                <c:pt idx="2">
                  <c:v>mart.2021</c:v>
                </c:pt>
                <c:pt idx="3">
                  <c:v>apr.2021</c:v>
                </c:pt>
                <c:pt idx="4">
                  <c:v>mai.2021</c:v>
                </c:pt>
                <c:pt idx="5">
                  <c:v>iun.2021</c:v>
                </c:pt>
                <c:pt idx="6">
                  <c:v>iul.2021</c:v>
                </c:pt>
                <c:pt idx="7">
                  <c:v>aug.2021</c:v>
                </c:pt>
                <c:pt idx="8">
                  <c:v>sept.2021</c:v>
                </c:pt>
                <c:pt idx="9">
                  <c:v>oct.2021</c:v>
                </c:pt>
                <c:pt idx="10">
                  <c:v>noi.2021</c:v>
                </c:pt>
                <c:pt idx="11">
                  <c:v>dec.2021</c:v>
                </c:pt>
              </c:strCache>
            </c:strRef>
          </c:cat>
          <c:val>
            <c:numRef>
              <c:f>'2021 lunare'!$E$5:$E$16</c:f>
              <c:numCache>
                <c:formatCode>General</c:formatCode>
                <c:ptCount val="12"/>
                <c:pt idx="0">
                  <c:v>51.293749999999996</c:v>
                </c:pt>
                <c:pt idx="1">
                  <c:v>40.549999999999997</c:v>
                </c:pt>
                <c:pt idx="2">
                  <c:v>36.06111111111111</c:v>
                </c:pt>
                <c:pt idx="3">
                  <c:v>38.437500000000007</c:v>
                </c:pt>
                <c:pt idx="4">
                  <c:v>53.54666666666666</c:v>
                </c:pt>
                <c:pt idx="5">
                  <c:v>20.773333333333333</c:v>
                </c:pt>
                <c:pt idx="6">
                  <c:v>43.194117647058825</c:v>
                </c:pt>
                <c:pt idx="7">
                  <c:v>60.188888888888897</c:v>
                </c:pt>
                <c:pt idx="8">
                  <c:v>54.43888888888889</c:v>
                </c:pt>
                <c:pt idx="9">
                  <c:v>42.374999999999993</c:v>
                </c:pt>
                <c:pt idx="10">
                  <c:v>47.656250000000007</c:v>
                </c:pt>
                <c:pt idx="11">
                  <c:v>43.933300000000003</c:v>
                </c:pt>
              </c:numCache>
            </c:numRef>
          </c:val>
          <c:smooth val="0"/>
          <c:extLst>
            <c:ext xmlns:c16="http://schemas.microsoft.com/office/drawing/2014/chart" uri="{C3380CC4-5D6E-409C-BE32-E72D297353CC}">
              <c16:uniqueId val="{00000003-9C3E-49AB-A5EE-FA1F4B114611}"/>
            </c:ext>
          </c:extLst>
        </c:ser>
        <c:dLbls>
          <c:showLegendKey val="0"/>
          <c:showVal val="0"/>
          <c:showCatName val="0"/>
          <c:showSerName val="0"/>
          <c:showPercent val="0"/>
          <c:showBubbleSize val="0"/>
        </c:dLbls>
        <c:marker val="1"/>
        <c:smooth val="0"/>
        <c:axId val="183008640"/>
        <c:axId val="183022720"/>
      </c:lineChart>
      <c:catAx>
        <c:axId val="1830086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022720"/>
        <c:crosses val="autoZero"/>
        <c:auto val="1"/>
        <c:lblAlgn val="ctr"/>
        <c:lblOffset val="100"/>
        <c:noMultiLvlLbl val="0"/>
      </c:catAx>
      <c:valAx>
        <c:axId val="18302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008640"/>
        <c:crosses val="autoZero"/>
        <c:crossBetween val="between"/>
      </c:valAx>
      <c:spPr>
        <a:solidFill>
          <a:schemeClr val="bg1"/>
        </a:solid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gra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3814523184598E-2"/>
          <c:y val="6.4814814814814811E-2"/>
          <c:w val="0.88396062992125979"/>
          <c:h val="0.71533713458231518"/>
        </c:manualLayout>
      </c:layout>
      <c:barChart>
        <c:barDir val="col"/>
        <c:grouping val="clustered"/>
        <c:varyColors val="0"/>
        <c:ser>
          <c:idx val="0"/>
          <c:order val="0"/>
          <c:tx>
            <c:strRef>
              <c:f>metale2!$B$274</c:f>
              <c:strCache>
                <c:ptCount val="1"/>
                <c:pt idx="0">
                  <c:v>As - Kg</c:v>
                </c:pt>
              </c:strCache>
            </c:strRef>
          </c:tx>
          <c:spPr>
            <a:solidFill>
              <a:srgbClr val="93CDDD"/>
            </a:solidFill>
            <a:ln>
              <a:noFill/>
            </a:ln>
            <a:effectLst/>
            <a:scene3d>
              <a:camera prst="orthographicFront"/>
              <a:lightRig rig="threePt" dir="t"/>
            </a:scene3d>
            <a:sp3d>
              <a:bevelT/>
            </a:sp3d>
          </c:spPr>
          <c:invertIfNegative val="0"/>
          <c:cat>
            <c:numRef>
              <c:f>metale2!$A$281:$A$282</c:f>
              <c:numCache>
                <c:formatCode>General</c:formatCode>
                <c:ptCount val="2"/>
                <c:pt idx="0">
                  <c:v>2020</c:v>
                </c:pt>
                <c:pt idx="1">
                  <c:v>2021</c:v>
                </c:pt>
              </c:numCache>
            </c:numRef>
          </c:cat>
          <c:val>
            <c:numRef>
              <c:f>metale2!$B$281:$B$282</c:f>
              <c:numCache>
                <c:formatCode>General</c:formatCode>
                <c:ptCount val="2"/>
                <c:pt idx="0">
                  <c:v>3.1810000000000003E-4</c:v>
                </c:pt>
                <c:pt idx="1">
                  <c:v>3.1312000000000001E-4</c:v>
                </c:pt>
              </c:numCache>
            </c:numRef>
          </c:val>
          <c:extLst>
            <c:ext xmlns:c16="http://schemas.microsoft.com/office/drawing/2014/chart" uri="{C3380CC4-5D6E-409C-BE32-E72D297353CC}">
              <c16:uniqueId val="{00000000-94E5-42EE-89C6-9EE240335FBC}"/>
            </c:ext>
          </c:extLst>
        </c:ser>
        <c:ser>
          <c:idx val="1"/>
          <c:order val="1"/>
          <c:tx>
            <c:strRef>
              <c:f>metale2!$C$274</c:f>
              <c:strCache>
                <c:ptCount val="1"/>
                <c:pt idx="0">
                  <c:v>Cd - Kg</c:v>
                </c:pt>
              </c:strCache>
            </c:strRef>
          </c:tx>
          <c:spPr>
            <a:solidFill>
              <a:srgbClr val="9B799D"/>
            </a:solidFill>
            <a:scene3d>
              <a:camera prst="orthographicFront"/>
              <a:lightRig rig="threePt" dir="t"/>
            </a:scene3d>
            <a:sp3d>
              <a:bevelT/>
            </a:sp3d>
          </c:spPr>
          <c:invertIfNegative val="0"/>
          <c:cat>
            <c:numRef>
              <c:f>metale2!$A$281:$A$282</c:f>
              <c:numCache>
                <c:formatCode>General</c:formatCode>
                <c:ptCount val="2"/>
                <c:pt idx="0">
                  <c:v>2020</c:v>
                </c:pt>
                <c:pt idx="1">
                  <c:v>2021</c:v>
                </c:pt>
              </c:numCache>
            </c:numRef>
          </c:cat>
          <c:val>
            <c:numRef>
              <c:f>metale2!$C$281:$C$282</c:f>
              <c:numCache>
                <c:formatCode>General</c:formatCode>
                <c:ptCount val="2"/>
                <c:pt idx="0">
                  <c:v>1.9879999999999997E-3</c:v>
                </c:pt>
                <c:pt idx="1">
                  <c:v>1.957E-3</c:v>
                </c:pt>
              </c:numCache>
            </c:numRef>
          </c:val>
          <c:extLst>
            <c:ext xmlns:c16="http://schemas.microsoft.com/office/drawing/2014/chart" uri="{C3380CC4-5D6E-409C-BE32-E72D297353CC}">
              <c16:uniqueId val="{00000001-94E5-42EE-89C6-9EE240335FBC}"/>
            </c:ext>
          </c:extLst>
        </c:ser>
        <c:ser>
          <c:idx val="2"/>
          <c:order val="2"/>
          <c:tx>
            <c:strRef>
              <c:f>metale2!$F$274</c:f>
              <c:strCache>
                <c:ptCount val="1"/>
                <c:pt idx="0">
                  <c:v>Hg - Kg</c:v>
                </c:pt>
              </c:strCache>
            </c:strRef>
          </c:tx>
          <c:spPr>
            <a:solidFill>
              <a:srgbClr val="E3B0AF"/>
            </a:solidFill>
            <a:scene3d>
              <a:camera prst="orthographicFront"/>
              <a:lightRig rig="threePt" dir="t"/>
            </a:scene3d>
            <a:sp3d>
              <a:bevelT/>
            </a:sp3d>
          </c:spPr>
          <c:invertIfNegative val="0"/>
          <c:cat>
            <c:numRef>
              <c:f>metale2!$A$281:$A$282</c:f>
              <c:numCache>
                <c:formatCode>General</c:formatCode>
                <c:ptCount val="2"/>
                <c:pt idx="0">
                  <c:v>2020</c:v>
                </c:pt>
                <c:pt idx="1">
                  <c:v>2021</c:v>
                </c:pt>
              </c:numCache>
            </c:numRef>
          </c:cat>
          <c:val>
            <c:numRef>
              <c:f>metale2!$F$281:$F$282</c:f>
              <c:numCache>
                <c:formatCode>General</c:formatCode>
                <c:ptCount val="2"/>
                <c:pt idx="0">
                  <c:v>1.1133E-3</c:v>
                </c:pt>
                <c:pt idx="1">
                  <c:v>1.09592E-3</c:v>
                </c:pt>
              </c:numCache>
            </c:numRef>
          </c:val>
          <c:extLst>
            <c:ext xmlns:c16="http://schemas.microsoft.com/office/drawing/2014/chart" uri="{C3380CC4-5D6E-409C-BE32-E72D297353CC}">
              <c16:uniqueId val="{00000002-94E5-42EE-89C6-9EE240335FBC}"/>
            </c:ext>
          </c:extLst>
        </c:ser>
        <c:ser>
          <c:idx val="3"/>
          <c:order val="3"/>
          <c:tx>
            <c:strRef>
              <c:f>metale2!$G$274</c:f>
              <c:strCache>
                <c:ptCount val="1"/>
                <c:pt idx="0">
                  <c:v>Ni - Kg</c:v>
                </c:pt>
              </c:strCache>
            </c:strRef>
          </c:tx>
          <c:spPr>
            <a:solidFill>
              <a:srgbClr val="2BAEAB"/>
            </a:solidFill>
            <a:scene3d>
              <a:camera prst="orthographicFront"/>
              <a:lightRig rig="threePt" dir="t"/>
            </a:scene3d>
            <a:sp3d>
              <a:bevelT/>
            </a:sp3d>
          </c:spPr>
          <c:invertIfNegative val="0"/>
          <c:cat>
            <c:numRef>
              <c:f>metale2!$A$281:$A$282</c:f>
              <c:numCache>
                <c:formatCode>General</c:formatCode>
                <c:ptCount val="2"/>
                <c:pt idx="0">
                  <c:v>2020</c:v>
                </c:pt>
                <c:pt idx="1">
                  <c:v>2021</c:v>
                </c:pt>
              </c:numCache>
            </c:numRef>
          </c:cat>
          <c:val>
            <c:numRef>
              <c:f>metale2!$G$281:$G$282</c:f>
              <c:numCache>
                <c:formatCode>General</c:formatCode>
                <c:ptCount val="2"/>
                <c:pt idx="0">
                  <c:v>2.7832E-3</c:v>
                </c:pt>
                <c:pt idx="1">
                  <c:v>2.7398000000000001E-3</c:v>
                </c:pt>
              </c:numCache>
            </c:numRef>
          </c:val>
          <c:extLst>
            <c:ext xmlns:c16="http://schemas.microsoft.com/office/drawing/2014/chart" uri="{C3380CC4-5D6E-409C-BE32-E72D297353CC}">
              <c16:uniqueId val="{00000003-94E5-42EE-89C6-9EE240335FBC}"/>
            </c:ext>
          </c:extLst>
        </c:ser>
        <c:ser>
          <c:idx val="4"/>
          <c:order val="4"/>
          <c:tx>
            <c:strRef>
              <c:f>metale2!$H$274</c:f>
              <c:strCache>
                <c:ptCount val="1"/>
                <c:pt idx="0">
                  <c:v>Pb - Kg</c:v>
                </c:pt>
              </c:strCache>
            </c:strRef>
          </c:tx>
          <c:spPr>
            <a:solidFill>
              <a:srgbClr val="77933C"/>
            </a:solidFill>
            <a:scene3d>
              <a:camera prst="orthographicFront"/>
              <a:lightRig rig="threePt" dir="t"/>
            </a:scene3d>
            <a:sp3d>
              <a:bevelT/>
            </a:sp3d>
          </c:spPr>
          <c:invertIfNegative val="0"/>
          <c:cat>
            <c:numRef>
              <c:f>metale2!$A$281:$A$282</c:f>
              <c:numCache>
                <c:formatCode>General</c:formatCode>
                <c:ptCount val="2"/>
                <c:pt idx="0">
                  <c:v>2020</c:v>
                </c:pt>
                <c:pt idx="1">
                  <c:v>2021</c:v>
                </c:pt>
              </c:numCache>
            </c:numRef>
          </c:cat>
          <c:val>
            <c:numRef>
              <c:f>metale2!$H$281:$H$282</c:f>
              <c:numCache>
                <c:formatCode>General</c:formatCode>
                <c:ptCount val="2"/>
                <c:pt idx="0">
                  <c:v>2.5843999999999999E-2</c:v>
                </c:pt>
                <c:pt idx="1">
                  <c:v>2.5440999999999998E-2</c:v>
                </c:pt>
              </c:numCache>
            </c:numRef>
          </c:val>
          <c:extLst>
            <c:ext xmlns:c16="http://schemas.microsoft.com/office/drawing/2014/chart" uri="{C3380CC4-5D6E-409C-BE32-E72D297353CC}">
              <c16:uniqueId val="{00000004-94E5-42EE-89C6-9EE240335FBC}"/>
            </c:ext>
          </c:extLst>
        </c:ser>
        <c:dLbls>
          <c:showLegendKey val="0"/>
          <c:showVal val="0"/>
          <c:showCatName val="0"/>
          <c:showSerName val="0"/>
          <c:showPercent val="0"/>
          <c:showBubbleSize val="0"/>
        </c:dLbls>
        <c:gapWidth val="219"/>
        <c:overlap val="-27"/>
        <c:axId val="130171648"/>
        <c:axId val="130173184"/>
      </c:barChart>
      <c:catAx>
        <c:axId val="13017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173184"/>
        <c:crosses val="autoZero"/>
        <c:auto val="1"/>
        <c:lblAlgn val="ctr"/>
        <c:lblOffset val="100"/>
        <c:noMultiLvlLbl val="0"/>
      </c:catAx>
      <c:valAx>
        <c:axId val="13017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0171648"/>
        <c:crosses val="autoZero"/>
        <c:crossBetween val="between"/>
      </c:valAx>
      <c:spPr>
        <a:noFill/>
        <a:ln>
          <a:noFill/>
        </a:ln>
        <a:effectLst/>
      </c:spPr>
    </c:plotArea>
    <c:legend>
      <c:legendPos val="b"/>
      <c:layout>
        <c:manualLayout>
          <c:xMode val="edge"/>
          <c:yMode val="edge"/>
          <c:x val="4.7044917257683221E-2"/>
          <c:y val="0.88109371386047985"/>
          <c:w val="0.90000000000000013"/>
          <c:h val="9.8472058808740867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210283753900903E-2"/>
          <c:y val="6.0185185185185147E-2"/>
          <c:w val="0.90756690846714483"/>
          <c:h val="0.63738673203363583"/>
        </c:manualLayout>
      </c:layout>
      <c:barChart>
        <c:barDir val="col"/>
        <c:grouping val="clustered"/>
        <c:varyColors val="0"/>
        <c:ser>
          <c:idx val="0"/>
          <c:order val="0"/>
          <c:tx>
            <c:strRef>
              <c:f>POPs!$C$16</c:f>
              <c:strCache>
                <c:ptCount val="1"/>
                <c:pt idx="0">
                  <c:v>Benzo-a-piren - Mg</c:v>
                </c:pt>
              </c:strCache>
            </c:strRef>
          </c:tx>
          <c:spPr>
            <a:solidFill>
              <a:srgbClr val="B871FF"/>
            </a:solidFill>
            <a:ln w="15875">
              <a:noFill/>
            </a:ln>
            <a:scene3d>
              <a:camera prst="orthographicFront"/>
              <a:lightRig rig="threePt" dir="t"/>
            </a:scene3d>
            <a:sp3d>
              <a:bevelT/>
            </a:sp3d>
          </c:spPr>
          <c:invertIfNegative val="0"/>
          <c:trendline>
            <c:spPr>
              <a:ln w="22225">
                <a:solidFill>
                  <a:srgbClr val="7030A0"/>
                </a:solidFill>
                <a:prstDash val="lgDash"/>
              </a:ln>
            </c:spPr>
            <c:trendlineType val="linear"/>
            <c:dispRSqr val="0"/>
            <c:dispEq val="0"/>
          </c:trendline>
          <c:cat>
            <c:numRef>
              <c:f>(POPs!$B$17:$B$21,POPs!$B$22,POPs!$B$23,POPs!$B$24,POPs!$B$24:$B$25)</c:f>
              <c:numCache>
                <c:formatCode>General</c:formatCode>
                <c:ptCount val="10"/>
                <c:pt idx="0">
                  <c:v>2013</c:v>
                </c:pt>
                <c:pt idx="1">
                  <c:v>2014</c:v>
                </c:pt>
                <c:pt idx="2">
                  <c:v>2015</c:v>
                </c:pt>
                <c:pt idx="3">
                  <c:v>2016</c:v>
                </c:pt>
                <c:pt idx="4">
                  <c:v>2017</c:v>
                </c:pt>
                <c:pt idx="5">
                  <c:v>2018</c:v>
                </c:pt>
                <c:pt idx="6">
                  <c:v>2019</c:v>
                </c:pt>
                <c:pt idx="7">
                  <c:v>2020</c:v>
                </c:pt>
                <c:pt idx="8">
                  <c:v>2020</c:v>
                </c:pt>
                <c:pt idx="9">
                  <c:v>2021</c:v>
                </c:pt>
              </c:numCache>
            </c:numRef>
          </c:cat>
          <c:val>
            <c:numRef>
              <c:f>(POPs!$C$17:$C$21,POPs!$C$22,POPs!$C$23,POPs!$C$24,POPs!$C$24:$C$25)</c:f>
              <c:numCache>
                <c:formatCode>General</c:formatCode>
                <c:ptCount val="10"/>
                <c:pt idx="0">
                  <c:v>0.86207959971354819</c:v>
                </c:pt>
                <c:pt idx="1">
                  <c:v>0.8340924471167378</c:v>
                </c:pt>
                <c:pt idx="2">
                  <c:v>0.58037382061042309</c:v>
                </c:pt>
                <c:pt idx="3" formatCode="0.00000000000000">
                  <c:v>0.64159962247899993</c:v>
                </c:pt>
                <c:pt idx="4" formatCode="#0.00000000000000">
                  <c:v>0.43624593642999998</c:v>
                </c:pt>
                <c:pt idx="5" formatCode="#0.00000000000000">
                  <c:v>0.37316991206009997</c:v>
                </c:pt>
                <c:pt idx="6" formatCode="0.00000">
                  <c:v>0.35031093610999997</c:v>
                </c:pt>
                <c:pt idx="7">
                  <c:v>0.26157257727200001</c:v>
                </c:pt>
                <c:pt idx="8">
                  <c:v>0.26157257727200001</c:v>
                </c:pt>
                <c:pt idx="9">
                  <c:v>0.36252093341746</c:v>
                </c:pt>
              </c:numCache>
            </c:numRef>
          </c:val>
          <c:extLst>
            <c:ext xmlns:c16="http://schemas.microsoft.com/office/drawing/2014/chart" uri="{C3380CC4-5D6E-409C-BE32-E72D297353CC}">
              <c16:uniqueId val="{00000000-0D0D-4535-AF21-9F358D577B30}"/>
            </c:ext>
          </c:extLst>
        </c:ser>
        <c:ser>
          <c:idx val="1"/>
          <c:order val="1"/>
          <c:tx>
            <c:strRef>
              <c:f>POPs!$D$16</c:f>
              <c:strCache>
                <c:ptCount val="1"/>
                <c:pt idx="0">
                  <c:v>Benz-b-fluoranten - Mg</c:v>
                </c:pt>
              </c:strCache>
            </c:strRef>
          </c:tx>
          <c:spPr>
            <a:solidFill>
              <a:srgbClr val="C00000"/>
            </a:solidFill>
            <a:ln w="15875">
              <a:noFill/>
            </a:ln>
            <a:scene3d>
              <a:camera prst="orthographicFront"/>
              <a:lightRig rig="threePt" dir="t"/>
            </a:scene3d>
            <a:sp3d>
              <a:bevelT/>
            </a:sp3d>
          </c:spPr>
          <c:invertIfNegative val="0"/>
          <c:trendline>
            <c:spPr>
              <a:ln w="19050">
                <a:solidFill>
                  <a:srgbClr val="A40000"/>
                </a:solidFill>
                <a:prstDash val="dash"/>
              </a:ln>
            </c:spPr>
            <c:trendlineType val="linear"/>
            <c:dispRSqr val="0"/>
            <c:dispEq val="0"/>
          </c:trendline>
          <c:cat>
            <c:numRef>
              <c:f>(POPs!$B$17:$B$21,POPs!$B$22,POPs!$B$23,POPs!$B$24,POPs!$B$24:$B$25)</c:f>
              <c:numCache>
                <c:formatCode>General</c:formatCode>
                <c:ptCount val="10"/>
                <c:pt idx="0">
                  <c:v>2013</c:v>
                </c:pt>
                <c:pt idx="1">
                  <c:v>2014</c:v>
                </c:pt>
                <c:pt idx="2">
                  <c:v>2015</c:v>
                </c:pt>
                <c:pt idx="3">
                  <c:v>2016</c:v>
                </c:pt>
                <c:pt idx="4">
                  <c:v>2017</c:v>
                </c:pt>
                <c:pt idx="5">
                  <c:v>2018</c:v>
                </c:pt>
                <c:pt idx="6">
                  <c:v>2019</c:v>
                </c:pt>
                <c:pt idx="7">
                  <c:v>2020</c:v>
                </c:pt>
                <c:pt idx="8">
                  <c:v>2020</c:v>
                </c:pt>
                <c:pt idx="9">
                  <c:v>2021</c:v>
                </c:pt>
              </c:numCache>
            </c:numRef>
          </c:cat>
          <c:val>
            <c:numRef>
              <c:f>(POPs!$D$17:$D$21,POPs!$D$22,POPs!$D$23,POPs!$D$24,POPs!$D$24:$D$25)</c:f>
              <c:numCache>
                <c:formatCode>General</c:formatCode>
                <c:ptCount val="10"/>
                <c:pt idx="0">
                  <c:v>0.9007334701118217</c:v>
                </c:pt>
                <c:pt idx="1">
                  <c:v>0.85377978585917635</c:v>
                </c:pt>
                <c:pt idx="2">
                  <c:v>0.53422817339809103</c:v>
                </c:pt>
                <c:pt idx="3" formatCode="0.00000000000000">
                  <c:v>0.59021721247879999</c:v>
                </c:pt>
                <c:pt idx="4" formatCode="#0.00000000000000">
                  <c:v>0.40129490497000003</c:v>
                </c:pt>
                <c:pt idx="5" formatCode="#0.00000000000000">
                  <c:v>0.34322625232499998</c:v>
                </c:pt>
                <c:pt idx="6" formatCode="#0.00000000000000">
                  <c:v>0.32261411000000001</c:v>
                </c:pt>
                <c:pt idx="7">
                  <c:v>0.245882370376</c:v>
                </c:pt>
                <c:pt idx="8">
                  <c:v>0.245882370376</c:v>
                </c:pt>
                <c:pt idx="9">
                  <c:v>0.33376485003368001</c:v>
                </c:pt>
              </c:numCache>
            </c:numRef>
          </c:val>
          <c:extLst>
            <c:ext xmlns:c16="http://schemas.microsoft.com/office/drawing/2014/chart" uri="{C3380CC4-5D6E-409C-BE32-E72D297353CC}">
              <c16:uniqueId val="{00000001-0D0D-4535-AF21-9F358D577B30}"/>
            </c:ext>
          </c:extLst>
        </c:ser>
        <c:ser>
          <c:idx val="2"/>
          <c:order val="2"/>
          <c:tx>
            <c:strRef>
              <c:f>POPs!$E$16</c:f>
              <c:strCache>
                <c:ptCount val="1"/>
                <c:pt idx="0">
                  <c:v>Benzo-k-fluoranten - Mg</c:v>
                </c:pt>
              </c:strCache>
            </c:strRef>
          </c:tx>
          <c:spPr>
            <a:solidFill>
              <a:srgbClr val="92D050"/>
            </a:solidFill>
            <a:ln w="28575">
              <a:solidFill>
                <a:srgbClr val="92D050"/>
              </a:solidFill>
              <a:prstDash val="lgDash"/>
            </a:ln>
            <a:scene3d>
              <a:camera prst="orthographicFront"/>
              <a:lightRig rig="threePt" dir="t"/>
            </a:scene3d>
            <a:sp3d>
              <a:bevelT/>
            </a:sp3d>
          </c:spPr>
          <c:invertIfNegative val="0"/>
          <c:trendline>
            <c:spPr>
              <a:ln w="25400">
                <a:solidFill>
                  <a:srgbClr val="92D050"/>
                </a:solidFill>
                <a:prstDash val="lgDash"/>
              </a:ln>
            </c:spPr>
            <c:trendlineType val="linear"/>
            <c:dispRSqr val="0"/>
            <c:dispEq val="0"/>
          </c:trendline>
          <c:cat>
            <c:numRef>
              <c:f>(POPs!$B$17:$B$21,POPs!$B$22,POPs!$B$23,POPs!$B$24,POPs!$B$24:$B$25)</c:f>
              <c:numCache>
                <c:formatCode>General</c:formatCode>
                <c:ptCount val="10"/>
                <c:pt idx="0">
                  <c:v>2013</c:v>
                </c:pt>
                <c:pt idx="1">
                  <c:v>2014</c:v>
                </c:pt>
                <c:pt idx="2">
                  <c:v>2015</c:v>
                </c:pt>
                <c:pt idx="3">
                  <c:v>2016</c:v>
                </c:pt>
                <c:pt idx="4">
                  <c:v>2017</c:v>
                </c:pt>
                <c:pt idx="5">
                  <c:v>2018</c:v>
                </c:pt>
                <c:pt idx="6">
                  <c:v>2019</c:v>
                </c:pt>
                <c:pt idx="7">
                  <c:v>2020</c:v>
                </c:pt>
                <c:pt idx="8">
                  <c:v>2020</c:v>
                </c:pt>
                <c:pt idx="9">
                  <c:v>2021</c:v>
                </c:pt>
              </c:numCache>
            </c:numRef>
          </c:cat>
          <c:val>
            <c:numRef>
              <c:f>(POPs!$E$17:$E$21,POPs!$E$22,POPs!$E$23,POPs!$E$24,POPs!$E$24:$E$25)</c:f>
              <c:numCache>
                <c:formatCode>General</c:formatCode>
                <c:ptCount val="10"/>
                <c:pt idx="0">
                  <c:v>0.53248528501460723</c:v>
                </c:pt>
                <c:pt idx="1">
                  <c:v>0.51134081735175607</c:v>
                </c:pt>
                <c:pt idx="2">
                  <c:v>0.20177876346372972</c:v>
                </c:pt>
                <c:pt idx="3" formatCode="0.00000000000000">
                  <c:v>0.22305695601</c:v>
                </c:pt>
                <c:pt idx="4" formatCode="#0.00000000000000">
                  <c:v>0.15150728191999999</c:v>
                </c:pt>
                <c:pt idx="5" formatCode="#0.00000000000000">
                  <c:v>0.129656324815</c:v>
                </c:pt>
                <c:pt idx="6" formatCode="#0.00000000000000">
                  <c:v>0.12176594</c:v>
                </c:pt>
                <c:pt idx="7">
                  <c:v>9.1823210820000001E-2</c:v>
                </c:pt>
                <c:pt idx="8">
                  <c:v>9.1823210820000001E-2</c:v>
                </c:pt>
                <c:pt idx="9">
                  <c:v>0.12597252480424001</c:v>
                </c:pt>
              </c:numCache>
            </c:numRef>
          </c:val>
          <c:extLst>
            <c:ext xmlns:c16="http://schemas.microsoft.com/office/drawing/2014/chart" uri="{C3380CC4-5D6E-409C-BE32-E72D297353CC}">
              <c16:uniqueId val="{00000002-0D0D-4535-AF21-9F358D577B30}"/>
            </c:ext>
          </c:extLst>
        </c:ser>
        <c:ser>
          <c:idx val="3"/>
          <c:order val="3"/>
          <c:tx>
            <c:strRef>
              <c:f>POPs!$F$16</c:f>
              <c:strCache>
                <c:ptCount val="1"/>
                <c:pt idx="0">
                  <c:v>Indeno (1,2,3) piren - Mg</c:v>
                </c:pt>
              </c:strCache>
            </c:strRef>
          </c:tx>
          <c:spPr>
            <a:solidFill>
              <a:srgbClr val="ECC888"/>
            </a:solidFill>
            <a:ln w="15875">
              <a:solidFill>
                <a:srgbClr val="ECC888"/>
              </a:solidFill>
            </a:ln>
            <a:scene3d>
              <a:camera prst="orthographicFront"/>
              <a:lightRig rig="threePt" dir="t"/>
            </a:scene3d>
            <a:sp3d>
              <a:bevelT/>
            </a:sp3d>
          </c:spPr>
          <c:invertIfNegative val="0"/>
          <c:trendline>
            <c:spPr>
              <a:ln w="22225">
                <a:solidFill>
                  <a:srgbClr val="ECC888"/>
                </a:solidFill>
                <a:prstDash val="lgDash"/>
              </a:ln>
            </c:spPr>
            <c:trendlineType val="linear"/>
            <c:dispRSqr val="0"/>
            <c:dispEq val="0"/>
          </c:trendline>
          <c:cat>
            <c:numRef>
              <c:f>(POPs!$B$17:$B$21,POPs!$B$22,POPs!$B$23,POPs!$B$24,POPs!$B$24:$B$25)</c:f>
              <c:numCache>
                <c:formatCode>General</c:formatCode>
                <c:ptCount val="10"/>
                <c:pt idx="0">
                  <c:v>2013</c:v>
                </c:pt>
                <c:pt idx="1">
                  <c:v>2014</c:v>
                </c:pt>
                <c:pt idx="2">
                  <c:v>2015</c:v>
                </c:pt>
                <c:pt idx="3">
                  <c:v>2016</c:v>
                </c:pt>
                <c:pt idx="4">
                  <c:v>2017</c:v>
                </c:pt>
                <c:pt idx="5">
                  <c:v>2018</c:v>
                </c:pt>
                <c:pt idx="6">
                  <c:v>2019</c:v>
                </c:pt>
                <c:pt idx="7">
                  <c:v>2020</c:v>
                </c:pt>
                <c:pt idx="8">
                  <c:v>2020</c:v>
                </c:pt>
                <c:pt idx="9">
                  <c:v>2021</c:v>
                </c:pt>
              </c:numCache>
            </c:numRef>
          </c:cat>
          <c:val>
            <c:numRef>
              <c:f>(POPs!$F$17:$F$21,POPs!$F$22,POPs!$F$23,POPs!$F$24,POPs!$F$24:$F$25)</c:f>
              <c:numCache>
                <c:formatCode>General</c:formatCode>
                <c:ptCount val="10"/>
                <c:pt idx="0">
                  <c:v>0.57649610826777375</c:v>
                </c:pt>
                <c:pt idx="1">
                  <c:v>0.5752283811185861</c:v>
                </c:pt>
                <c:pt idx="2">
                  <c:v>0.34009587235110095</c:v>
                </c:pt>
                <c:pt idx="3" formatCode="0.00000000000000">
                  <c:v>0.37599878467000003</c:v>
                </c:pt>
                <c:pt idx="4" formatCode="#0.00000000000000">
                  <c:v>0.25561306735</c:v>
                </c:pt>
                <c:pt idx="5" formatCode="#0.00000000000000">
                  <c:v>0.21868026947499999</c:v>
                </c:pt>
                <c:pt idx="6" formatCode="#0.00000000000000">
                  <c:v>0.20529496114999998</c:v>
                </c:pt>
                <c:pt idx="7">
                  <c:v>0.15454273511800001</c:v>
                </c:pt>
                <c:pt idx="8">
                  <c:v>0.15454273511800001</c:v>
                </c:pt>
                <c:pt idx="9">
                  <c:v>0.21243600352233999</c:v>
                </c:pt>
              </c:numCache>
            </c:numRef>
          </c:val>
          <c:extLst>
            <c:ext xmlns:c16="http://schemas.microsoft.com/office/drawing/2014/chart" uri="{C3380CC4-5D6E-409C-BE32-E72D297353CC}">
              <c16:uniqueId val="{00000003-0D0D-4535-AF21-9F358D577B30}"/>
            </c:ext>
          </c:extLst>
        </c:ser>
        <c:dLbls>
          <c:showLegendKey val="0"/>
          <c:showVal val="0"/>
          <c:showCatName val="0"/>
          <c:showSerName val="0"/>
          <c:showPercent val="0"/>
          <c:showBubbleSize val="0"/>
        </c:dLbls>
        <c:gapWidth val="150"/>
        <c:axId val="131840256"/>
        <c:axId val="131850240"/>
      </c:barChart>
      <c:catAx>
        <c:axId val="131840256"/>
        <c:scaling>
          <c:orientation val="minMax"/>
        </c:scaling>
        <c:delete val="0"/>
        <c:axPos val="b"/>
        <c:numFmt formatCode="General" sourceLinked="1"/>
        <c:majorTickMark val="out"/>
        <c:minorTickMark val="none"/>
        <c:tickLblPos val="nextTo"/>
        <c:txPr>
          <a:bodyPr/>
          <a:lstStyle/>
          <a:p>
            <a:pPr>
              <a:defRPr b="1"/>
            </a:pPr>
            <a:endParaRPr lang="en-US"/>
          </a:p>
        </c:txPr>
        <c:crossAx val="131850240"/>
        <c:crosses val="autoZero"/>
        <c:auto val="1"/>
        <c:lblAlgn val="ctr"/>
        <c:lblOffset val="100"/>
        <c:noMultiLvlLbl val="0"/>
      </c:catAx>
      <c:valAx>
        <c:axId val="131850240"/>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900"/>
            </a:pPr>
            <a:endParaRPr lang="en-US"/>
          </a:p>
        </c:txPr>
        <c:crossAx val="131840256"/>
        <c:crosses val="autoZero"/>
        <c:crossBetween val="between"/>
        <c:majorUnit val="0.2"/>
      </c:valAx>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1.7859349204215384E-2"/>
          <c:y val="0.80908935935079784"/>
          <c:w val="0.96515857539675942"/>
          <c:h val="0.16543045501171255"/>
        </c:manualLayout>
      </c:layout>
      <c:overlay val="0"/>
      <c:spPr>
        <a:solidFill>
          <a:schemeClr val="bg1"/>
        </a:solidFill>
        <a:ln>
          <a:noFill/>
        </a:ln>
      </c:spPr>
      <c:txPr>
        <a:bodyPr/>
        <a:lstStyle/>
        <a:p>
          <a:pPr>
            <a:defRPr sz="1100" b="1"/>
          </a:pPr>
          <a:endParaRPr lang="en-US"/>
        </a:p>
      </c:txPr>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08661417322837E-2"/>
          <c:y val="5.0505050505050504E-2"/>
          <c:w val="0.88123578302712158"/>
          <c:h val="0.67810191967283162"/>
        </c:manualLayout>
      </c:layout>
      <c:barChart>
        <c:barDir val="col"/>
        <c:grouping val="clustered"/>
        <c:varyColors val="0"/>
        <c:ser>
          <c:idx val="0"/>
          <c:order val="0"/>
          <c:tx>
            <c:strRef>
              <c:f>POPs!$C$52</c:f>
              <c:strCache>
                <c:ptCount val="1"/>
                <c:pt idx="0">
                  <c:v>Dibenzo(a,h)antracene - kg</c:v>
                </c:pt>
              </c:strCache>
            </c:strRef>
          </c:tx>
          <c:spPr>
            <a:solidFill>
              <a:srgbClr val="00B0F0"/>
            </a:solidFill>
            <a:ln>
              <a:noFill/>
            </a:ln>
            <a:effectLst/>
            <a:scene3d>
              <a:camera prst="orthographicFront"/>
              <a:lightRig rig="threePt" dir="t"/>
            </a:scene3d>
            <a:sp3d>
              <a:bevelT/>
            </a:sp3d>
          </c:spPr>
          <c:invertIfNegative val="0"/>
          <c:trendline>
            <c:spPr>
              <a:ln w="19050" cap="rnd">
                <a:solidFill>
                  <a:schemeClr val="accent1"/>
                </a:solidFill>
                <a:prstDash val="dash"/>
              </a:ln>
              <a:effectLst/>
            </c:spPr>
            <c:trendlineType val="linear"/>
            <c:dispRSqr val="0"/>
            <c:dispEq val="0"/>
          </c:trendline>
          <c:cat>
            <c:numRef>
              <c:f>POPs!$B$53:$B$59</c:f>
              <c:numCache>
                <c:formatCode>General</c:formatCode>
                <c:ptCount val="7"/>
                <c:pt idx="0">
                  <c:v>2015</c:v>
                </c:pt>
                <c:pt idx="1">
                  <c:v>2016</c:v>
                </c:pt>
                <c:pt idx="2">
                  <c:v>2017</c:v>
                </c:pt>
                <c:pt idx="3">
                  <c:v>2018</c:v>
                </c:pt>
                <c:pt idx="4">
                  <c:v>2019</c:v>
                </c:pt>
                <c:pt idx="5">
                  <c:v>2020</c:v>
                </c:pt>
                <c:pt idx="6">
                  <c:v>2021</c:v>
                </c:pt>
              </c:numCache>
            </c:numRef>
          </c:cat>
          <c:val>
            <c:numRef>
              <c:f>POPs!$C$53:$C$59</c:f>
              <c:numCache>
                <c:formatCode>General</c:formatCode>
                <c:ptCount val="7"/>
                <c:pt idx="0">
                  <c:v>5.5179620999999998E-2</c:v>
                </c:pt>
                <c:pt idx="1">
                  <c:v>5.9312659759999997E-2</c:v>
                </c:pt>
                <c:pt idx="2">
                  <c:v>0.1167677</c:v>
                </c:pt>
                <c:pt idx="3">
                  <c:v>5.6201500000000001E-2</c:v>
                </c:pt>
                <c:pt idx="4">
                  <c:v>4.2928250000000001E-2</c:v>
                </c:pt>
                <c:pt idx="5">
                  <c:v>3.7863999999999995E-2</c:v>
                </c:pt>
                <c:pt idx="6">
                  <c:v>3.27E-2</c:v>
                </c:pt>
              </c:numCache>
            </c:numRef>
          </c:val>
          <c:extLst>
            <c:ext xmlns:c16="http://schemas.microsoft.com/office/drawing/2014/chart" uri="{C3380CC4-5D6E-409C-BE32-E72D297353CC}">
              <c16:uniqueId val="{00000000-F70F-49A7-928A-5B918160D50C}"/>
            </c:ext>
          </c:extLst>
        </c:ser>
        <c:ser>
          <c:idx val="1"/>
          <c:order val="1"/>
          <c:tx>
            <c:strRef>
              <c:f>POPs!$D$52</c:f>
              <c:strCache>
                <c:ptCount val="1"/>
                <c:pt idx="0">
                  <c:v>HCB - kg</c:v>
                </c:pt>
              </c:strCache>
            </c:strRef>
          </c:tx>
          <c:spPr>
            <a:solidFill>
              <a:schemeClr val="accent2"/>
            </a:solidFill>
            <a:ln>
              <a:noFill/>
            </a:ln>
            <a:effectLst/>
            <a:scene3d>
              <a:camera prst="orthographicFront"/>
              <a:lightRig rig="threePt" dir="t"/>
            </a:scene3d>
            <a:sp3d>
              <a:bevelT/>
            </a:sp3d>
          </c:spPr>
          <c:invertIfNegative val="0"/>
          <c:trendline>
            <c:spPr>
              <a:ln w="19050" cap="rnd">
                <a:solidFill>
                  <a:schemeClr val="accent2"/>
                </a:solidFill>
                <a:prstDash val="dash"/>
              </a:ln>
              <a:effectLst/>
            </c:spPr>
            <c:trendlineType val="linear"/>
            <c:dispRSqr val="0"/>
            <c:dispEq val="0"/>
          </c:trendline>
          <c:cat>
            <c:numRef>
              <c:f>POPs!$B$53:$B$59</c:f>
              <c:numCache>
                <c:formatCode>General</c:formatCode>
                <c:ptCount val="7"/>
                <c:pt idx="0">
                  <c:v>2015</c:v>
                </c:pt>
                <c:pt idx="1">
                  <c:v>2016</c:v>
                </c:pt>
                <c:pt idx="2">
                  <c:v>2017</c:v>
                </c:pt>
                <c:pt idx="3">
                  <c:v>2018</c:v>
                </c:pt>
                <c:pt idx="4">
                  <c:v>2019</c:v>
                </c:pt>
                <c:pt idx="5">
                  <c:v>2020</c:v>
                </c:pt>
                <c:pt idx="6">
                  <c:v>2021</c:v>
                </c:pt>
              </c:numCache>
            </c:numRef>
          </c:cat>
          <c:val>
            <c:numRef>
              <c:f>POPs!$D$53:$D$59</c:f>
              <c:numCache>
                <c:formatCode>0.00000000000000</c:formatCode>
                <c:ptCount val="7"/>
                <c:pt idx="0" formatCode="General">
                  <c:v>2.4917544670583564E-2</c:v>
                </c:pt>
                <c:pt idx="1">
                  <c:v>2.7463699999999997E-2</c:v>
                </c:pt>
                <c:pt idx="2" formatCode="#0.00000000000000">
                  <c:v>1.8569289999999999E-2</c:v>
                </c:pt>
                <c:pt idx="3" formatCode="#0.00000000000000">
                  <c:v>1.5996930000000003E-2</c:v>
                </c:pt>
                <c:pt idx="4" formatCode="#0.00000000000000">
                  <c:v>1.4971160000000001E-2</c:v>
                </c:pt>
                <c:pt idx="5" formatCode="General">
                  <c:v>1.4304529999999999E-2</c:v>
                </c:pt>
                <c:pt idx="6" formatCode="General">
                  <c:v>1.55E-2</c:v>
                </c:pt>
              </c:numCache>
            </c:numRef>
          </c:val>
          <c:extLst>
            <c:ext xmlns:c16="http://schemas.microsoft.com/office/drawing/2014/chart" uri="{C3380CC4-5D6E-409C-BE32-E72D297353CC}">
              <c16:uniqueId val="{00000001-F70F-49A7-928A-5B918160D50C}"/>
            </c:ext>
          </c:extLst>
        </c:ser>
        <c:dLbls>
          <c:showLegendKey val="0"/>
          <c:showVal val="0"/>
          <c:showCatName val="0"/>
          <c:showSerName val="0"/>
          <c:showPercent val="0"/>
          <c:showBubbleSize val="0"/>
        </c:dLbls>
        <c:gapWidth val="219"/>
        <c:overlap val="-27"/>
        <c:axId val="1896219248"/>
        <c:axId val="1896220912"/>
      </c:barChart>
      <c:catAx>
        <c:axId val="189621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96220912"/>
        <c:crosses val="autoZero"/>
        <c:auto val="1"/>
        <c:lblAlgn val="ctr"/>
        <c:lblOffset val="100"/>
        <c:noMultiLvlLbl val="0"/>
      </c:catAx>
      <c:valAx>
        <c:axId val="189622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96219248"/>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4.5570776255707768E-2"/>
          <c:y val="0.83696362082646647"/>
          <c:w val="0.9"/>
          <c:h val="0.14915499298052859"/>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72620699087551"/>
          <c:y val="5.0925925925925923E-2"/>
          <c:w val="0.78178165074278871"/>
          <c:h val="0.75056138815981344"/>
        </c:manualLayout>
      </c:layout>
      <c:barChart>
        <c:barDir val="col"/>
        <c:grouping val="clustered"/>
        <c:varyColors val="0"/>
        <c:ser>
          <c:idx val="0"/>
          <c:order val="0"/>
          <c:tx>
            <c:strRef>
              <c:f>POPs!$E$52</c:f>
              <c:strCache>
                <c:ptCount val="1"/>
                <c:pt idx="0">
                  <c:v>PCBs - kg</c:v>
                </c:pt>
              </c:strCache>
            </c:strRef>
          </c:tx>
          <c:spPr>
            <a:solidFill>
              <a:srgbClr val="77933C"/>
            </a:solidFill>
            <a:ln>
              <a:noFill/>
            </a:ln>
            <a:effectLst/>
            <a:scene3d>
              <a:camera prst="orthographicFront"/>
              <a:lightRig rig="threePt" dir="t"/>
            </a:scene3d>
            <a:sp3d>
              <a:bevelT/>
            </a:sp3d>
          </c:spPr>
          <c:invertIfNegative val="0"/>
          <c:cat>
            <c:numRef>
              <c:f>POPs!$B$53:$B$59</c:f>
              <c:numCache>
                <c:formatCode>General</c:formatCode>
                <c:ptCount val="7"/>
                <c:pt idx="0">
                  <c:v>2015</c:v>
                </c:pt>
                <c:pt idx="1">
                  <c:v>2016</c:v>
                </c:pt>
                <c:pt idx="2">
                  <c:v>2017</c:v>
                </c:pt>
                <c:pt idx="3">
                  <c:v>2018</c:v>
                </c:pt>
                <c:pt idx="4">
                  <c:v>2019</c:v>
                </c:pt>
                <c:pt idx="5">
                  <c:v>2020</c:v>
                </c:pt>
                <c:pt idx="6">
                  <c:v>2021</c:v>
                </c:pt>
              </c:numCache>
            </c:numRef>
          </c:cat>
          <c:val>
            <c:numRef>
              <c:f>POPs!$E$53:$E$59</c:f>
              <c:numCache>
                <c:formatCode>0.00000000000000</c:formatCode>
                <c:ptCount val="7"/>
                <c:pt idx="0" formatCode="General">
                  <c:v>1.34634297021331E-3</c:v>
                </c:pt>
                <c:pt idx="1">
                  <c:v>1.5496899999999998E-3</c:v>
                </c:pt>
                <c:pt idx="2" formatCode="#0.00000000000000">
                  <c:v>2.9833000000000003E-4</c:v>
                </c:pt>
                <c:pt idx="3" formatCode="#0.00000000000000">
                  <c:v>2.7574000000000001E-4</c:v>
                </c:pt>
                <c:pt idx="4" formatCode="#0.00000000000000">
                  <c:v>5.9540000000000005E-4</c:v>
                </c:pt>
                <c:pt idx="5" formatCode="General">
                  <c:v>2.2414800000000001E-3</c:v>
                </c:pt>
                <c:pt idx="6" formatCode="General">
                  <c:v>2.0000000000000001E-4</c:v>
                </c:pt>
              </c:numCache>
            </c:numRef>
          </c:val>
          <c:extLst>
            <c:ext xmlns:c16="http://schemas.microsoft.com/office/drawing/2014/chart" uri="{C3380CC4-5D6E-409C-BE32-E72D297353CC}">
              <c16:uniqueId val="{00000000-7671-4779-87DE-E6817C204418}"/>
            </c:ext>
          </c:extLst>
        </c:ser>
        <c:ser>
          <c:idx val="1"/>
          <c:order val="1"/>
          <c:tx>
            <c:strRef>
              <c:f>POPs!$F$52</c:f>
              <c:strCache>
                <c:ptCount val="1"/>
                <c:pt idx="0">
                  <c:v>dioxine și furani - g</c:v>
                </c:pt>
              </c:strCache>
            </c:strRef>
          </c:tx>
          <c:spPr>
            <a:solidFill>
              <a:srgbClr val="FFFA00"/>
            </a:solidFill>
            <a:ln>
              <a:noFill/>
            </a:ln>
            <a:effectLst/>
            <a:scene3d>
              <a:camera prst="orthographicFront"/>
              <a:lightRig rig="threePt" dir="t"/>
            </a:scene3d>
            <a:sp3d>
              <a:bevelT/>
            </a:sp3d>
          </c:spPr>
          <c:invertIfNegative val="0"/>
          <c:cat>
            <c:numRef>
              <c:f>POPs!$B$53:$B$59</c:f>
              <c:numCache>
                <c:formatCode>General</c:formatCode>
                <c:ptCount val="7"/>
                <c:pt idx="0">
                  <c:v>2015</c:v>
                </c:pt>
                <c:pt idx="1">
                  <c:v>2016</c:v>
                </c:pt>
                <c:pt idx="2">
                  <c:v>2017</c:v>
                </c:pt>
                <c:pt idx="3">
                  <c:v>2018</c:v>
                </c:pt>
                <c:pt idx="4">
                  <c:v>2019</c:v>
                </c:pt>
                <c:pt idx="5">
                  <c:v>2020</c:v>
                </c:pt>
                <c:pt idx="6">
                  <c:v>2021</c:v>
                </c:pt>
              </c:numCache>
            </c:numRef>
          </c:cat>
          <c:val>
            <c:numRef>
              <c:f>POPs!$F$53:$F$59</c:f>
              <c:numCache>
                <c:formatCode>General</c:formatCode>
                <c:ptCount val="7"/>
                <c:pt idx="0">
                  <c:v>3.8492187064917767E-3</c:v>
                </c:pt>
                <c:pt idx="1">
                  <c:v>4.1809400000000002E-3</c:v>
                </c:pt>
                <c:pt idx="2">
                  <c:v>2.7968800000000003E-3</c:v>
                </c:pt>
                <c:pt idx="3">
                  <c:v>2.4227299999999997E-3</c:v>
                </c:pt>
                <c:pt idx="4">
                  <c:v>2.2414800000000001E-3</c:v>
                </c:pt>
                <c:pt idx="5">
                  <c:v>2.2414800000000001E-3</c:v>
                </c:pt>
                <c:pt idx="6">
                  <c:v>2.3E-3</c:v>
                </c:pt>
              </c:numCache>
            </c:numRef>
          </c:val>
          <c:extLst>
            <c:ext xmlns:c16="http://schemas.microsoft.com/office/drawing/2014/chart" uri="{C3380CC4-5D6E-409C-BE32-E72D297353CC}">
              <c16:uniqueId val="{00000001-7671-4779-87DE-E6817C204418}"/>
            </c:ext>
          </c:extLst>
        </c:ser>
        <c:dLbls>
          <c:showLegendKey val="0"/>
          <c:showVal val="0"/>
          <c:showCatName val="0"/>
          <c:showSerName val="0"/>
          <c:showPercent val="0"/>
          <c:showBubbleSize val="0"/>
        </c:dLbls>
        <c:gapWidth val="219"/>
        <c:overlap val="-27"/>
        <c:axId val="1249555488"/>
        <c:axId val="1249535520"/>
      </c:barChart>
      <c:catAx>
        <c:axId val="124955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49535520"/>
        <c:crosses val="autoZero"/>
        <c:auto val="1"/>
        <c:lblAlgn val="ctr"/>
        <c:lblOffset val="100"/>
        <c:noMultiLvlLbl val="0"/>
      </c:catAx>
      <c:valAx>
        <c:axId val="124953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49555488"/>
        <c:crosses val="autoZero"/>
        <c:crossBetween val="between"/>
      </c:valAx>
      <c:spPr>
        <a:noFill/>
        <a:ln>
          <a:noFill/>
        </a:ln>
        <a:effectLst/>
      </c:spPr>
    </c:plotArea>
    <c:legend>
      <c:legendPos val="b"/>
      <c:layout>
        <c:manualLayout>
          <c:xMode val="edge"/>
          <c:yMode val="edge"/>
          <c:x val="6.1789531271370234E-2"/>
          <c:y val="0.90200459317585302"/>
          <c:w val="0.86814931322170341"/>
          <c:h val="8.4106517935258099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POPs!$C$169</c:f>
              <c:strCache>
                <c:ptCount val="1"/>
                <c:pt idx="0">
                  <c:v>Benz-b-fluoranten - Mg</c:v>
                </c:pt>
              </c:strCache>
            </c:strRef>
          </c:tx>
          <c:spPr>
            <a:solidFill>
              <a:schemeClr val="accent1"/>
            </a:solidFill>
            <a:ln>
              <a:noFill/>
            </a:ln>
            <a:effectLst/>
            <a:scene3d>
              <a:camera prst="orthographicFront"/>
              <a:lightRig rig="threePt" dir="t"/>
            </a:scene3d>
            <a:sp3d>
              <a:bevelT/>
            </a:sp3d>
          </c:spPr>
          <c:invertIfNegative val="0"/>
          <c:cat>
            <c:numRef>
              <c:f>POPs!$B$170:$B$176</c:f>
              <c:numCache>
                <c:formatCode>General</c:formatCode>
                <c:ptCount val="7"/>
                <c:pt idx="0">
                  <c:v>2015</c:v>
                </c:pt>
                <c:pt idx="1">
                  <c:v>2016</c:v>
                </c:pt>
                <c:pt idx="2">
                  <c:v>2017</c:v>
                </c:pt>
                <c:pt idx="3">
                  <c:v>2018</c:v>
                </c:pt>
                <c:pt idx="4">
                  <c:v>2019</c:v>
                </c:pt>
                <c:pt idx="5">
                  <c:v>2020</c:v>
                </c:pt>
                <c:pt idx="6">
                  <c:v>2021</c:v>
                </c:pt>
              </c:numCache>
            </c:numRef>
          </c:cat>
          <c:val>
            <c:numRef>
              <c:f>POPs!$C$170:$C$176</c:f>
              <c:numCache>
                <c:formatCode>0.00000000000000</c:formatCode>
                <c:ptCount val="7"/>
                <c:pt idx="0">
                  <c:v>0.53395251883309103</c:v>
                </c:pt>
                <c:pt idx="1">
                  <c:v>0.58992075898000007</c:v>
                </c:pt>
                <c:pt idx="2">
                  <c:v>0.40071117403000001</c:v>
                </c:pt>
                <c:pt idx="3">
                  <c:v>0.34294535381500002</c:v>
                </c:pt>
                <c:pt idx="4">
                  <c:v>0.32239452407000002</c:v>
                </c:pt>
                <c:pt idx="5">
                  <c:v>0.24508313867000001</c:v>
                </c:pt>
                <c:pt idx="6" formatCode="#0.00000000000000">
                  <c:v>0.33347381108000002</c:v>
                </c:pt>
              </c:numCache>
            </c:numRef>
          </c:val>
          <c:extLst>
            <c:ext xmlns:c16="http://schemas.microsoft.com/office/drawing/2014/chart" uri="{C3380CC4-5D6E-409C-BE32-E72D297353CC}">
              <c16:uniqueId val="{00000000-4F38-4637-BD0C-37D76AAD470C}"/>
            </c:ext>
          </c:extLst>
        </c:ser>
        <c:ser>
          <c:idx val="1"/>
          <c:order val="1"/>
          <c:tx>
            <c:strRef>
              <c:f>POPs!$D$169</c:f>
              <c:strCache>
                <c:ptCount val="1"/>
                <c:pt idx="0">
                  <c:v>Benzo-a-piren - Mg</c:v>
                </c:pt>
              </c:strCache>
            </c:strRef>
          </c:tx>
          <c:spPr>
            <a:solidFill>
              <a:schemeClr val="accent2"/>
            </a:solidFill>
            <a:ln>
              <a:noFill/>
            </a:ln>
            <a:effectLst/>
            <a:scene3d>
              <a:camera prst="orthographicFront"/>
              <a:lightRig rig="threePt" dir="t"/>
            </a:scene3d>
            <a:sp3d>
              <a:bevelT/>
            </a:sp3d>
          </c:spPr>
          <c:invertIfNegative val="0"/>
          <c:cat>
            <c:numRef>
              <c:f>POPs!$B$170:$B$176</c:f>
              <c:numCache>
                <c:formatCode>General</c:formatCode>
                <c:ptCount val="7"/>
                <c:pt idx="0">
                  <c:v>2015</c:v>
                </c:pt>
                <c:pt idx="1">
                  <c:v>2016</c:v>
                </c:pt>
                <c:pt idx="2">
                  <c:v>2017</c:v>
                </c:pt>
                <c:pt idx="3">
                  <c:v>2018</c:v>
                </c:pt>
                <c:pt idx="4">
                  <c:v>2019</c:v>
                </c:pt>
                <c:pt idx="5">
                  <c:v>2020</c:v>
                </c:pt>
                <c:pt idx="6">
                  <c:v>2021</c:v>
                </c:pt>
              </c:numCache>
            </c:numRef>
          </c:cat>
          <c:val>
            <c:numRef>
              <c:f>POPs!$D$170:$D$176</c:f>
              <c:numCache>
                <c:formatCode>0.00000000000000</c:formatCode>
                <c:ptCount val="7"/>
                <c:pt idx="0">
                  <c:v>0.58020800486742308</c:v>
                </c:pt>
                <c:pt idx="1">
                  <c:v>0.64142156162999997</c:v>
                </c:pt>
                <c:pt idx="2">
                  <c:v>0.43589551610999999</c:v>
                </c:pt>
                <c:pt idx="3">
                  <c:v>0.37300118770009999</c:v>
                </c:pt>
                <c:pt idx="4">
                  <c:v>0.35017909227999999</c:v>
                </c:pt>
                <c:pt idx="5">
                  <c:v>0.26109347815</c:v>
                </c:pt>
                <c:pt idx="6" formatCode="#0.00000000000000">
                  <c:v>0.36234764939000003</c:v>
                </c:pt>
              </c:numCache>
            </c:numRef>
          </c:val>
          <c:extLst>
            <c:ext xmlns:c16="http://schemas.microsoft.com/office/drawing/2014/chart" uri="{C3380CC4-5D6E-409C-BE32-E72D297353CC}">
              <c16:uniqueId val="{00000001-4F38-4637-BD0C-37D76AAD470C}"/>
            </c:ext>
          </c:extLst>
        </c:ser>
        <c:ser>
          <c:idx val="2"/>
          <c:order val="2"/>
          <c:tx>
            <c:strRef>
              <c:f>POPs!$E$169</c:f>
              <c:strCache>
                <c:ptCount val="1"/>
                <c:pt idx="0">
                  <c:v>Benzo-k-fluoranten - Mg</c:v>
                </c:pt>
              </c:strCache>
            </c:strRef>
          </c:tx>
          <c:spPr>
            <a:solidFill>
              <a:schemeClr val="accent3"/>
            </a:solidFill>
            <a:ln>
              <a:noFill/>
            </a:ln>
            <a:effectLst/>
            <a:scene3d>
              <a:camera prst="orthographicFront"/>
              <a:lightRig rig="threePt" dir="t"/>
            </a:scene3d>
            <a:sp3d>
              <a:bevelT/>
            </a:sp3d>
          </c:spPr>
          <c:invertIfNegative val="0"/>
          <c:cat>
            <c:numRef>
              <c:f>POPs!$B$170:$B$176</c:f>
              <c:numCache>
                <c:formatCode>General</c:formatCode>
                <c:ptCount val="7"/>
                <c:pt idx="0">
                  <c:v>2015</c:v>
                </c:pt>
                <c:pt idx="1">
                  <c:v>2016</c:v>
                </c:pt>
                <c:pt idx="2">
                  <c:v>2017</c:v>
                </c:pt>
                <c:pt idx="3">
                  <c:v>2018</c:v>
                </c:pt>
                <c:pt idx="4">
                  <c:v>2019</c:v>
                </c:pt>
                <c:pt idx="5">
                  <c:v>2020</c:v>
                </c:pt>
                <c:pt idx="6">
                  <c:v>2021</c:v>
                </c:pt>
              </c:numCache>
            </c:numRef>
          </c:cat>
          <c:val>
            <c:numRef>
              <c:f>POPs!$E$170:$E$176</c:f>
              <c:numCache>
                <c:formatCode>0.00000000000000</c:formatCode>
                <c:ptCount val="7"/>
                <c:pt idx="0">
                  <c:v>0.20177874943372973</c:v>
                </c:pt>
                <c:pt idx="1">
                  <c:v>0.22305694225</c:v>
                </c:pt>
                <c:pt idx="2">
                  <c:v>0.15150727154999999</c:v>
                </c:pt>
                <c:pt idx="3">
                  <c:v>0.12965631315500001</c:v>
                </c:pt>
                <c:pt idx="4">
                  <c:v>0.12175938482000001</c:v>
                </c:pt>
                <c:pt idx="5">
                  <c:v>9.1821905100000004E-2</c:v>
                </c:pt>
                <c:pt idx="6" formatCode="#0.00000000000000">
                  <c:v>0.12596415958999999</c:v>
                </c:pt>
              </c:numCache>
            </c:numRef>
          </c:val>
          <c:extLst>
            <c:ext xmlns:c16="http://schemas.microsoft.com/office/drawing/2014/chart" uri="{C3380CC4-5D6E-409C-BE32-E72D297353CC}">
              <c16:uniqueId val="{00000002-4F38-4637-BD0C-37D76AAD470C}"/>
            </c:ext>
          </c:extLst>
        </c:ser>
        <c:ser>
          <c:idx val="3"/>
          <c:order val="3"/>
          <c:tx>
            <c:strRef>
              <c:f>POPs!$G$169</c:f>
              <c:strCache>
                <c:ptCount val="1"/>
                <c:pt idx="0">
                  <c:v>Indeno (1,2,3) piren - Mg</c:v>
                </c:pt>
              </c:strCache>
            </c:strRef>
          </c:tx>
          <c:spPr>
            <a:solidFill>
              <a:schemeClr val="accent4"/>
            </a:solidFill>
            <a:ln>
              <a:noFill/>
            </a:ln>
            <a:effectLst/>
          </c:spPr>
          <c:invertIfNegative val="0"/>
          <c:cat>
            <c:numRef>
              <c:f>POPs!$B$170:$B$176</c:f>
              <c:numCache>
                <c:formatCode>General</c:formatCode>
                <c:ptCount val="7"/>
                <c:pt idx="0">
                  <c:v>2015</c:v>
                </c:pt>
                <c:pt idx="1">
                  <c:v>2016</c:v>
                </c:pt>
                <c:pt idx="2">
                  <c:v>2017</c:v>
                </c:pt>
                <c:pt idx="3">
                  <c:v>2018</c:v>
                </c:pt>
                <c:pt idx="4">
                  <c:v>2019</c:v>
                </c:pt>
                <c:pt idx="5">
                  <c:v>2020</c:v>
                </c:pt>
                <c:pt idx="6">
                  <c:v>2021</c:v>
                </c:pt>
              </c:numCache>
            </c:numRef>
          </c:cat>
          <c:val>
            <c:numRef>
              <c:f>POPs!$G$170:$G$176</c:f>
              <c:numCache>
                <c:formatCode>0.00000000000000</c:formatCode>
                <c:ptCount val="7"/>
                <c:pt idx="0">
                  <c:v>0.34009587005110092</c:v>
                </c:pt>
                <c:pt idx="1">
                  <c:v>0.37599878241000001</c:v>
                </c:pt>
                <c:pt idx="2">
                  <c:v>0.25561306565000003</c:v>
                </c:pt>
                <c:pt idx="3">
                  <c:v>0.218680267565</c:v>
                </c:pt>
                <c:pt idx="4">
                  <c:v>0.20529495918999999</c:v>
                </c:pt>
                <c:pt idx="5">
                  <c:v>0.15454243555000002</c:v>
                </c:pt>
                <c:pt idx="6">
                  <c:v>0.21243131678999999</c:v>
                </c:pt>
              </c:numCache>
            </c:numRef>
          </c:val>
          <c:extLst>
            <c:ext xmlns:c16="http://schemas.microsoft.com/office/drawing/2014/chart" uri="{C3380CC4-5D6E-409C-BE32-E72D297353CC}">
              <c16:uniqueId val="{00000003-4F38-4637-BD0C-37D76AAD470C}"/>
            </c:ext>
          </c:extLst>
        </c:ser>
        <c:dLbls>
          <c:showLegendKey val="0"/>
          <c:showVal val="0"/>
          <c:showCatName val="0"/>
          <c:showSerName val="0"/>
          <c:showPercent val="0"/>
          <c:showBubbleSize val="0"/>
        </c:dLbls>
        <c:gapWidth val="219"/>
        <c:overlap val="-27"/>
        <c:axId val="1505619871"/>
        <c:axId val="1505613631"/>
      </c:barChart>
      <c:catAx>
        <c:axId val="150561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5613631"/>
        <c:crosses val="autoZero"/>
        <c:auto val="1"/>
        <c:lblAlgn val="ctr"/>
        <c:lblOffset val="100"/>
        <c:noMultiLvlLbl val="0"/>
      </c:catAx>
      <c:valAx>
        <c:axId val="150561363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05619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POPs!$F$169</c:f>
              <c:strCache>
                <c:ptCount val="1"/>
                <c:pt idx="0">
                  <c:v>HCB - kg</c:v>
                </c:pt>
              </c:strCache>
            </c:strRef>
          </c:tx>
          <c:spPr>
            <a:solidFill>
              <a:srgbClr val="BB4643"/>
            </a:solidFill>
            <a:ln>
              <a:noFill/>
            </a:ln>
            <a:effectLst/>
            <a:scene3d>
              <a:camera prst="orthographicFront"/>
              <a:lightRig rig="threePt" dir="t"/>
            </a:scene3d>
            <a:sp3d>
              <a:bevelT/>
            </a:sp3d>
          </c:spPr>
          <c:invertIfNegative val="0"/>
          <c:cat>
            <c:numRef>
              <c:f>(POPs!$B$170:$B$175,POPs!$B$176)</c:f>
              <c:numCache>
                <c:formatCode>General</c:formatCode>
                <c:ptCount val="7"/>
                <c:pt idx="0">
                  <c:v>2015</c:v>
                </c:pt>
                <c:pt idx="1">
                  <c:v>2016</c:v>
                </c:pt>
                <c:pt idx="2">
                  <c:v>2017</c:v>
                </c:pt>
                <c:pt idx="3">
                  <c:v>2018</c:v>
                </c:pt>
                <c:pt idx="4">
                  <c:v>2019</c:v>
                </c:pt>
                <c:pt idx="5">
                  <c:v>2020</c:v>
                </c:pt>
                <c:pt idx="6">
                  <c:v>2021</c:v>
                </c:pt>
              </c:numCache>
            </c:numRef>
          </c:cat>
          <c:val>
            <c:numRef>
              <c:f>(POPs!$F$170:$F$175,POPs!$F$176)</c:f>
              <c:numCache>
                <c:formatCode>0.00000000000000</c:formatCode>
                <c:ptCount val="7"/>
                <c:pt idx="0">
                  <c:v>2.4809444670583564E-2</c:v>
                </c:pt>
                <c:pt idx="1">
                  <c:v>2.7323670000000001E-2</c:v>
                </c:pt>
                <c:pt idx="2">
                  <c:v>1.8489389999999998E-2</c:v>
                </c:pt>
                <c:pt idx="3">
                  <c:v>1.5907110000000002E-2</c:v>
                </c:pt>
                <c:pt idx="4">
                  <c:v>1.4878990000000002E-2</c:v>
                </c:pt>
                <c:pt idx="5">
                  <c:v>1.426473E-2</c:v>
                </c:pt>
                <c:pt idx="6">
                  <c:v>1.545556E-2</c:v>
                </c:pt>
              </c:numCache>
            </c:numRef>
          </c:val>
          <c:extLst>
            <c:ext xmlns:c16="http://schemas.microsoft.com/office/drawing/2014/chart" uri="{C3380CC4-5D6E-409C-BE32-E72D297353CC}">
              <c16:uniqueId val="{00000000-F418-4566-A174-43593F1ED679}"/>
            </c:ext>
          </c:extLst>
        </c:ser>
        <c:dLbls>
          <c:showLegendKey val="0"/>
          <c:showVal val="0"/>
          <c:showCatName val="0"/>
          <c:showSerName val="0"/>
          <c:showPercent val="0"/>
          <c:showBubbleSize val="0"/>
        </c:dLbls>
        <c:gapWidth val="219"/>
        <c:overlap val="-27"/>
        <c:axId val="1713137407"/>
        <c:axId val="1713161119"/>
      </c:barChart>
      <c:catAx>
        <c:axId val="1713137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3161119"/>
        <c:crosses val="autoZero"/>
        <c:auto val="1"/>
        <c:lblAlgn val="ctr"/>
        <c:lblOffset val="100"/>
        <c:noMultiLvlLbl val="0"/>
      </c:catAx>
      <c:valAx>
        <c:axId val="1713161119"/>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3137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21981627296588"/>
          <c:y val="6.9861111111111124E-2"/>
          <c:w val="0.80789129483814526"/>
          <c:h val="0.66533209390492853"/>
        </c:manualLayout>
      </c:layout>
      <c:barChart>
        <c:barDir val="col"/>
        <c:grouping val="clustered"/>
        <c:varyColors val="0"/>
        <c:ser>
          <c:idx val="0"/>
          <c:order val="0"/>
          <c:tx>
            <c:strRef>
              <c:f>POPs!$H$169</c:f>
              <c:strCache>
                <c:ptCount val="1"/>
                <c:pt idx="0">
                  <c:v>Dioxin+Furans - g </c:v>
                </c:pt>
              </c:strCache>
            </c:strRef>
          </c:tx>
          <c:spPr>
            <a:solidFill>
              <a:srgbClr val="FFFF00"/>
            </a:solidFill>
            <a:ln>
              <a:noFill/>
            </a:ln>
            <a:effectLst/>
            <a:scene3d>
              <a:camera prst="orthographicFront"/>
              <a:lightRig rig="threePt" dir="t"/>
            </a:scene3d>
            <a:sp3d>
              <a:bevelT/>
            </a:sp3d>
          </c:spPr>
          <c:invertIfNegative val="0"/>
          <c:cat>
            <c:numRef>
              <c:f>(POPs!$B$170:$B$175,POPs!$B$176)</c:f>
              <c:numCache>
                <c:formatCode>General</c:formatCode>
                <c:ptCount val="7"/>
                <c:pt idx="0">
                  <c:v>2015</c:v>
                </c:pt>
                <c:pt idx="1">
                  <c:v>2016</c:v>
                </c:pt>
                <c:pt idx="2">
                  <c:v>2017</c:v>
                </c:pt>
                <c:pt idx="3">
                  <c:v>2018</c:v>
                </c:pt>
                <c:pt idx="4">
                  <c:v>2019</c:v>
                </c:pt>
                <c:pt idx="5">
                  <c:v>2020</c:v>
                </c:pt>
                <c:pt idx="6">
                  <c:v>2021</c:v>
                </c:pt>
              </c:numCache>
            </c:numRef>
          </c:cat>
          <c:val>
            <c:numRef>
              <c:f>(POPs!$H$170:$H$175,POPs!$H$176)</c:f>
              <c:numCache>
                <c:formatCode>0.00000000</c:formatCode>
                <c:ptCount val="7"/>
                <c:pt idx="0">
                  <c:v>3.7422687064917772</c:v>
                </c:pt>
                <c:pt idx="1">
                  <c:v>4.0700900000000004</c:v>
                </c:pt>
                <c:pt idx="2">
                  <c:v>2.7178300000000002</c:v>
                </c:pt>
                <c:pt idx="3">
                  <c:v>2.3338699999999997</c:v>
                </c:pt>
                <c:pt idx="4">
                  <c:v>2.15029</c:v>
                </c:pt>
                <c:pt idx="5">
                  <c:v>1.7545799999999998</c:v>
                </c:pt>
                <c:pt idx="6">
                  <c:v>2.3308</c:v>
                </c:pt>
              </c:numCache>
            </c:numRef>
          </c:val>
          <c:extLst>
            <c:ext xmlns:c16="http://schemas.microsoft.com/office/drawing/2014/chart" uri="{C3380CC4-5D6E-409C-BE32-E72D297353CC}">
              <c16:uniqueId val="{00000000-A566-407B-8E1D-07DA6FB9CAEE}"/>
            </c:ext>
          </c:extLst>
        </c:ser>
        <c:ser>
          <c:idx val="1"/>
          <c:order val="1"/>
          <c:tx>
            <c:strRef>
              <c:f>POPs!$J$169</c:f>
              <c:strCache>
                <c:ptCount val="1"/>
                <c:pt idx="0">
                  <c:v>PCBs - g</c:v>
                </c:pt>
              </c:strCache>
            </c:strRef>
          </c:tx>
          <c:spPr>
            <a:solidFill>
              <a:srgbClr val="948A54"/>
            </a:solidFill>
            <a:ln>
              <a:noFill/>
            </a:ln>
            <a:effectLst/>
            <a:scene3d>
              <a:camera prst="orthographicFront"/>
              <a:lightRig rig="threePt" dir="t"/>
            </a:scene3d>
            <a:sp3d>
              <a:bevelT/>
            </a:sp3d>
          </c:spPr>
          <c:invertIfNegative val="0"/>
          <c:cat>
            <c:numRef>
              <c:f>(POPs!$B$170:$B$175,POPs!$B$176)</c:f>
              <c:numCache>
                <c:formatCode>General</c:formatCode>
                <c:ptCount val="7"/>
                <c:pt idx="0">
                  <c:v>2015</c:v>
                </c:pt>
                <c:pt idx="1">
                  <c:v>2016</c:v>
                </c:pt>
                <c:pt idx="2">
                  <c:v>2017</c:v>
                </c:pt>
                <c:pt idx="3">
                  <c:v>2018</c:v>
                </c:pt>
                <c:pt idx="4">
                  <c:v>2019</c:v>
                </c:pt>
                <c:pt idx="5">
                  <c:v>2020</c:v>
                </c:pt>
                <c:pt idx="6">
                  <c:v>2021</c:v>
                </c:pt>
              </c:numCache>
            </c:numRef>
          </c:cat>
          <c:val>
            <c:numRef>
              <c:f>(POPs!$J$170:$J$175,POPs!$J$176)</c:f>
              <c:numCache>
                <c:formatCode>General</c:formatCode>
                <c:ptCount val="7"/>
                <c:pt idx="0">
                  <c:v>1.2428429702133099</c:v>
                </c:pt>
                <c:pt idx="1">
                  <c:v>1.44817</c:v>
                </c:pt>
                <c:pt idx="2">
                  <c:v>0.22183</c:v>
                </c:pt>
                <c:pt idx="3">
                  <c:v>0.18973999999999999</c:v>
                </c:pt>
                <c:pt idx="4">
                  <c:v>0.50715999999999994</c:v>
                </c:pt>
                <c:pt idx="5">
                  <c:v>2.13239</c:v>
                </c:pt>
                <c:pt idx="6">
                  <c:v>0.18299000000000001</c:v>
                </c:pt>
              </c:numCache>
            </c:numRef>
          </c:val>
          <c:extLst>
            <c:ext xmlns:c16="http://schemas.microsoft.com/office/drawing/2014/chart" uri="{C3380CC4-5D6E-409C-BE32-E72D297353CC}">
              <c16:uniqueId val="{00000001-A566-407B-8E1D-07DA6FB9CAEE}"/>
            </c:ext>
          </c:extLst>
        </c:ser>
        <c:dLbls>
          <c:showLegendKey val="0"/>
          <c:showVal val="0"/>
          <c:showCatName val="0"/>
          <c:showSerName val="0"/>
          <c:showPercent val="0"/>
          <c:showBubbleSize val="0"/>
        </c:dLbls>
        <c:gapWidth val="219"/>
        <c:overlap val="-27"/>
        <c:axId val="1713155711"/>
        <c:axId val="1713160703"/>
      </c:barChart>
      <c:catAx>
        <c:axId val="171315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3160703"/>
        <c:crosses val="autoZero"/>
        <c:auto val="1"/>
        <c:lblAlgn val="ctr"/>
        <c:lblOffset val="100"/>
        <c:noMultiLvlLbl val="0"/>
      </c:catAx>
      <c:valAx>
        <c:axId val="171316070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13155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POPs!$B$308</c:f>
              <c:strCache>
                <c:ptCount val="1"/>
                <c:pt idx="0">
                  <c:v>Benz-b-fluoranten - kg</c:v>
                </c:pt>
              </c:strCache>
            </c:strRef>
          </c:tx>
          <c:spPr>
            <a:solidFill>
              <a:schemeClr val="accent5">
                <a:lumMod val="60000"/>
                <a:lumOff val="40000"/>
              </a:schemeClr>
            </a:solidFill>
            <a:ln>
              <a:noFill/>
            </a:ln>
            <a:effectLst/>
            <a:scene3d>
              <a:camera prst="orthographicFront"/>
              <a:lightRig rig="threePt" dir="t"/>
            </a:scene3d>
            <a:sp3d>
              <a:bevelT/>
            </a:sp3d>
          </c:spPr>
          <c:invertIfNegative val="0"/>
          <c:cat>
            <c:numRef>
              <c:f>(POPs!$A$309:$A$316,POPs!$A$317)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(POPs!$B$309:$B$316,POPs!$B$317)</c:f>
              <c:numCache>
                <c:formatCode>0.00000</c:formatCode>
                <c:ptCount val="9"/>
                <c:pt idx="0">
                  <c:v>7.3374802352152629E-2</c:v>
                </c:pt>
                <c:pt idx="1">
                  <c:v>1.9347264067231693</c:v>
                </c:pt>
                <c:pt idx="2">
                  <c:v>0.27565295500000003</c:v>
                </c:pt>
                <c:pt idx="3">
                  <c:v>0.29645191879999999</c:v>
                </c:pt>
                <c:pt idx="4">
                  <c:v>0.58372975000000005</c:v>
                </c:pt>
                <c:pt idx="5">
                  <c:v>0.28089717000000003</c:v>
                </c:pt>
                <c:pt idx="6">
                  <c:v>0.21958912000000003</c:v>
                </c:pt>
                <c:pt idx="7">
                  <c:v>0.79923200000000005</c:v>
                </c:pt>
                <c:pt idx="8" formatCode="General">
                  <c:v>0.29103895367999999</c:v>
                </c:pt>
              </c:numCache>
            </c:numRef>
          </c:val>
          <c:extLst>
            <c:ext xmlns:c16="http://schemas.microsoft.com/office/drawing/2014/chart" uri="{C3380CC4-5D6E-409C-BE32-E72D297353CC}">
              <c16:uniqueId val="{00000000-8756-4766-8973-4885CB3A2AA6}"/>
            </c:ext>
          </c:extLst>
        </c:ser>
        <c:ser>
          <c:idx val="1"/>
          <c:order val="1"/>
          <c:tx>
            <c:strRef>
              <c:f>POPs!$C$308</c:f>
              <c:strCache>
                <c:ptCount val="1"/>
                <c:pt idx="0">
                  <c:v>Benzo-a-piren - kg</c:v>
                </c:pt>
              </c:strCache>
            </c:strRef>
          </c:tx>
          <c:spPr>
            <a:solidFill>
              <a:schemeClr val="accent6">
                <a:lumMod val="75000"/>
              </a:schemeClr>
            </a:solidFill>
            <a:ln>
              <a:noFill/>
            </a:ln>
            <a:effectLst/>
            <a:scene3d>
              <a:camera prst="orthographicFront"/>
              <a:lightRig rig="threePt" dir="t"/>
            </a:scene3d>
            <a:sp3d>
              <a:bevelT/>
            </a:sp3d>
          </c:spPr>
          <c:invertIfNegative val="0"/>
          <c:cat>
            <c:numRef>
              <c:f>(POPs!$A$309:$A$316,POPs!$A$317)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(POPs!$C$309:$C$316,POPs!$C$317)</c:f>
              <c:numCache>
                <c:formatCode>General</c:formatCode>
                <c:ptCount val="9"/>
                <c:pt idx="0">
                  <c:v>4.4798101064114478E-2</c:v>
                </c:pt>
                <c:pt idx="1">
                  <c:v>1.4134196850710368</c:v>
                </c:pt>
                <c:pt idx="2">
                  <c:v>0.165804013</c:v>
                </c:pt>
                <c:pt idx="3">
                  <c:v>0.178049339</c:v>
                </c:pt>
                <c:pt idx="4">
                  <c:v>0.35041165000000002</c:v>
                </c:pt>
                <c:pt idx="5">
                  <c:v>0.16871460999999999</c:v>
                </c:pt>
                <c:pt idx="6">
                  <c:v>0.13183383000000001</c:v>
                </c:pt>
                <c:pt idx="7">
                  <c:v>0.479099</c:v>
                </c:pt>
                <c:pt idx="8">
                  <c:v>0.17328402745999999</c:v>
                </c:pt>
              </c:numCache>
            </c:numRef>
          </c:val>
          <c:extLst>
            <c:ext xmlns:c16="http://schemas.microsoft.com/office/drawing/2014/chart" uri="{C3380CC4-5D6E-409C-BE32-E72D297353CC}">
              <c16:uniqueId val="{00000001-8756-4766-8973-4885CB3A2AA6}"/>
            </c:ext>
          </c:extLst>
        </c:ser>
        <c:dLbls>
          <c:showLegendKey val="0"/>
          <c:showVal val="0"/>
          <c:showCatName val="0"/>
          <c:showSerName val="0"/>
          <c:showPercent val="0"/>
          <c:showBubbleSize val="0"/>
        </c:dLbls>
        <c:gapWidth val="219"/>
        <c:overlap val="-27"/>
        <c:axId val="1024637359"/>
        <c:axId val="1024638607"/>
      </c:barChart>
      <c:catAx>
        <c:axId val="102463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24638607"/>
        <c:crosses val="autoZero"/>
        <c:auto val="1"/>
        <c:lblAlgn val="ctr"/>
        <c:lblOffset val="100"/>
        <c:noMultiLvlLbl val="0"/>
      </c:catAx>
      <c:valAx>
        <c:axId val="10246386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24637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POPs!$D$308</c:f>
              <c:strCache>
                <c:ptCount val="1"/>
                <c:pt idx="0">
                  <c:v>Dibenzo(a,h)anthracene - kg</c:v>
                </c:pt>
              </c:strCache>
            </c:strRef>
          </c:tx>
          <c:spPr>
            <a:solidFill>
              <a:schemeClr val="accent3">
                <a:lumMod val="60000"/>
                <a:lumOff val="40000"/>
              </a:schemeClr>
            </a:solidFill>
            <a:ln>
              <a:noFill/>
            </a:ln>
            <a:effectLst/>
            <a:scene3d>
              <a:camera prst="orthographicFront"/>
              <a:lightRig rig="threePt" dir="t"/>
            </a:scene3d>
            <a:sp3d>
              <a:bevelT/>
            </a:sp3d>
          </c:spPr>
          <c:invertIfNegative val="0"/>
          <c:cat>
            <c:numRef>
              <c:f>(POPs!$A$309:$A$316,POPs!$A$317)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(POPs!$D$309:$D$316,POPs!$D$317)</c:f>
              <c:numCache>
                <c:formatCode>0.00000</c:formatCode>
                <c:ptCount val="9"/>
                <c:pt idx="0">
                  <c:v>1.4770215E-2</c:v>
                </c:pt>
                <c:pt idx="1">
                  <c:v>0.14917961399999999</c:v>
                </c:pt>
                <c:pt idx="2">
                  <c:v>5.5179620999999998E-2</c:v>
                </c:pt>
                <c:pt idx="3">
                  <c:v>5.9312659760000004E-2</c:v>
                </c:pt>
                <c:pt idx="4">
                  <c:v>0.1167677</c:v>
                </c:pt>
                <c:pt idx="5">
                  <c:v>5.6201500000000001E-2</c:v>
                </c:pt>
                <c:pt idx="6">
                  <c:v>4.2928250000000001E-2</c:v>
                </c:pt>
                <c:pt idx="7">
                  <c:v>3.7863999999999995E-2</c:v>
                </c:pt>
                <c:pt idx="8">
                  <c:v>3.27E-2</c:v>
                </c:pt>
              </c:numCache>
            </c:numRef>
          </c:val>
          <c:extLst>
            <c:ext xmlns:c16="http://schemas.microsoft.com/office/drawing/2014/chart" uri="{C3380CC4-5D6E-409C-BE32-E72D297353CC}">
              <c16:uniqueId val="{00000000-FAD8-4B8A-8953-61AFB8A1F2F6}"/>
            </c:ext>
          </c:extLst>
        </c:ser>
        <c:dLbls>
          <c:showLegendKey val="0"/>
          <c:showVal val="0"/>
          <c:showCatName val="0"/>
          <c:showSerName val="0"/>
          <c:showPercent val="0"/>
          <c:showBubbleSize val="0"/>
        </c:dLbls>
        <c:gapWidth val="219"/>
        <c:overlap val="-27"/>
        <c:axId val="1243184127"/>
        <c:axId val="1243169983"/>
      </c:barChart>
      <c:dateAx>
        <c:axId val="1243184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3169983"/>
        <c:crosses val="autoZero"/>
        <c:auto val="0"/>
        <c:lblOffset val="100"/>
        <c:baseTimeUnit val="days"/>
      </c:dateAx>
      <c:valAx>
        <c:axId val="12431699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43184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'2021 lunare'!$F$4</c:f>
              <c:strCache>
                <c:ptCount val="1"/>
                <c:pt idx="0">
                  <c:v>medie lunara</c:v>
                </c:pt>
              </c:strCache>
            </c:strRef>
          </c:tx>
          <c:spPr>
            <a:ln w="34925">
              <a:solidFill>
                <a:schemeClr val="accent6">
                  <a:lumMod val="75000"/>
                </a:schemeClr>
              </a:solidFill>
            </a:ln>
          </c:spPr>
          <c:marker>
            <c:symbol val="square"/>
            <c:size val="7"/>
            <c:spPr>
              <a:solidFill>
                <a:schemeClr val="accent6">
                  <a:lumMod val="75000"/>
                </a:schemeClr>
              </a:solidFill>
              <a:ln>
                <a:solidFill>
                  <a:schemeClr val="accent6">
                    <a:lumMod val="75000"/>
                  </a:schemeClr>
                </a:solidFill>
              </a:ln>
            </c:spPr>
          </c:marker>
          <c:cat>
            <c:strRef>
              <c:f>'2021 lunare'!$A$5:$A$16</c:f>
              <c:strCache>
                <c:ptCount val="12"/>
                <c:pt idx="0">
                  <c:v>ian.2021</c:v>
                </c:pt>
                <c:pt idx="1">
                  <c:v>febr.2021</c:v>
                </c:pt>
                <c:pt idx="2">
                  <c:v>mart.2021</c:v>
                </c:pt>
                <c:pt idx="3">
                  <c:v>apr.2021</c:v>
                </c:pt>
                <c:pt idx="4">
                  <c:v>mai.2021</c:v>
                </c:pt>
                <c:pt idx="5">
                  <c:v>iun.2021</c:v>
                </c:pt>
                <c:pt idx="6">
                  <c:v>iul.2021</c:v>
                </c:pt>
                <c:pt idx="7">
                  <c:v>aug.2021</c:v>
                </c:pt>
                <c:pt idx="8">
                  <c:v>sept.2021</c:v>
                </c:pt>
                <c:pt idx="9">
                  <c:v>oct.2021</c:v>
                </c:pt>
                <c:pt idx="10">
                  <c:v>noi.2021</c:v>
                </c:pt>
                <c:pt idx="11">
                  <c:v>dec.2021</c:v>
                </c:pt>
              </c:strCache>
            </c:strRef>
          </c:cat>
          <c:val>
            <c:numRef>
              <c:f>'2021 lunare'!$F$5:$F$16</c:f>
              <c:numCache>
                <c:formatCode>General</c:formatCode>
                <c:ptCount val="12"/>
                <c:pt idx="0">
                  <c:v>42.010899999999999</c:v>
                </c:pt>
                <c:pt idx="1">
                  <c:v>41.635899999999999</c:v>
                </c:pt>
                <c:pt idx="2">
                  <c:v>36.584699999999998</c:v>
                </c:pt>
                <c:pt idx="3">
                  <c:v>28.515599999999999</c:v>
                </c:pt>
                <c:pt idx="4">
                  <c:v>32.556600000000003</c:v>
                </c:pt>
                <c:pt idx="5">
                  <c:v>30.207899999999999</c:v>
                </c:pt>
                <c:pt idx="6">
                  <c:v>40.686799999999998</c:v>
                </c:pt>
                <c:pt idx="7">
                  <c:v>46.027999999999999</c:v>
                </c:pt>
                <c:pt idx="8">
                  <c:v>36.055500000000002</c:v>
                </c:pt>
                <c:pt idx="9">
                  <c:v>37.237000000000002</c:v>
                </c:pt>
                <c:pt idx="10">
                  <c:v>36.626600000000003</c:v>
                </c:pt>
                <c:pt idx="11">
                  <c:v>35.068300000000001</c:v>
                </c:pt>
              </c:numCache>
            </c:numRef>
          </c:val>
          <c:smooth val="0"/>
          <c:extLst>
            <c:ext xmlns:c16="http://schemas.microsoft.com/office/drawing/2014/chart" uri="{C3380CC4-5D6E-409C-BE32-E72D297353CC}">
              <c16:uniqueId val="{00000000-A9B5-4A71-9C42-8142B2AFC074}"/>
            </c:ext>
          </c:extLst>
        </c:ser>
        <c:dLbls>
          <c:showLegendKey val="0"/>
          <c:showVal val="0"/>
          <c:showCatName val="0"/>
          <c:showSerName val="0"/>
          <c:showPercent val="0"/>
          <c:showBubbleSize val="0"/>
        </c:dLbls>
        <c:marker val="1"/>
        <c:smooth val="0"/>
        <c:axId val="202465664"/>
        <c:axId val="202467584"/>
      </c:lineChart>
      <c:catAx>
        <c:axId val="202465664"/>
        <c:scaling>
          <c:orientation val="minMax"/>
        </c:scaling>
        <c:delete val="0"/>
        <c:axPos val="b"/>
        <c:numFmt formatCode="General" sourceLinked="0"/>
        <c:majorTickMark val="out"/>
        <c:minorTickMark val="none"/>
        <c:tickLblPos val="nextTo"/>
        <c:txPr>
          <a:bodyPr/>
          <a:lstStyle/>
          <a:p>
            <a:pPr>
              <a:defRPr b="1"/>
            </a:pPr>
            <a:endParaRPr lang="en-US"/>
          </a:p>
        </c:txPr>
        <c:crossAx val="202467584"/>
        <c:crosses val="autoZero"/>
        <c:auto val="1"/>
        <c:lblAlgn val="ctr"/>
        <c:lblOffset val="100"/>
        <c:noMultiLvlLbl val="0"/>
      </c:catAx>
      <c:valAx>
        <c:axId val="202467584"/>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crossAx val="202465664"/>
        <c:crosses val="autoZero"/>
        <c:crossBetween val="between"/>
        <c:majorUnit val="10"/>
      </c:valAx>
    </c:plotArea>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solidFill>
        <a:schemeClr val="tx1">
          <a:lumMod val="50000"/>
          <a:lumOff val="50000"/>
        </a:schemeClr>
      </a:solidFill>
    </a:ln>
  </c:spPr>
  <c:txPr>
    <a:bodyPr/>
    <a:lstStyle/>
    <a:p>
      <a:pPr>
        <a:defRPr>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Dioxid de sulf</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'30 min 2021'!$P$53</c:f>
              <c:strCache>
                <c:ptCount val="1"/>
                <c:pt idx="0">
                  <c:v>Bistrița  </c:v>
                </c:pt>
              </c:strCache>
            </c:strRef>
          </c:tx>
          <c:spPr>
            <a:ln w="28575" cap="rnd">
              <a:solidFill>
                <a:schemeClr val="accent1"/>
              </a:solidFill>
              <a:round/>
            </a:ln>
            <a:effectLst/>
          </c:spPr>
          <c:marker>
            <c:symbol val="none"/>
          </c:marker>
          <c:cat>
            <c:strRef>
              <c:f>'30 min 2021'!$L$54:$L$60</c:f>
              <c:strCache>
                <c:ptCount val="7"/>
                <c:pt idx="0">
                  <c:v>apr.21</c:v>
                </c:pt>
                <c:pt idx="1">
                  <c:v>mai.21</c:v>
                </c:pt>
                <c:pt idx="2">
                  <c:v>iun.21</c:v>
                </c:pt>
                <c:pt idx="3">
                  <c:v>iul.21</c:v>
                </c:pt>
                <c:pt idx="4">
                  <c:v>aug.21</c:v>
                </c:pt>
                <c:pt idx="5">
                  <c:v>sept.21</c:v>
                </c:pt>
                <c:pt idx="6">
                  <c:v>oct.21</c:v>
                </c:pt>
              </c:strCache>
            </c:strRef>
          </c:cat>
          <c:val>
            <c:numRef>
              <c:f>'30 min 2021'!$P$54:$P$60</c:f>
              <c:numCache>
                <c:formatCode>General</c:formatCode>
                <c:ptCount val="7"/>
                <c:pt idx="0">
                  <c:v>0.11120000000000001</c:v>
                </c:pt>
                <c:pt idx="1">
                  <c:v>0.15213333333333334</c:v>
                </c:pt>
                <c:pt idx="2">
                  <c:v>0.26459666666666665</c:v>
                </c:pt>
                <c:pt idx="3">
                  <c:v>0.52523333333333333</c:v>
                </c:pt>
                <c:pt idx="4">
                  <c:v>0.4181333333333333</c:v>
                </c:pt>
                <c:pt idx="5">
                  <c:v>0.2056</c:v>
                </c:pt>
                <c:pt idx="6">
                  <c:v>0.26619999999999999</c:v>
                </c:pt>
              </c:numCache>
            </c:numRef>
          </c:val>
          <c:smooth val="0"/>
          <c:extLst>
            <c:ext xmlns:c16="http://schemas.microsoft.com/office/drawing/2014/chart" uri="{C3380CC4-5D6E-409C-BE32-E72D297353CC}">
              <c16:uniqueId val="{00000000-BE85-45BA-A08E-375CE821F2E4}"/>
            </c:ext>
          </c:extLst>
        </c:ser>
        <c:ser>
          <c:idx val="1"/>
          <c:order val="1"/>
          <c:tx>
            <c:strRef>
              <c:f>'30 min 2021'!$Q$53</c:f>
              <c:strCache>
                <c:ptCount val="1"/>
                <c:pt idx="0">
                  <c:v>depozit Tărpiu</c:v>
                </c:pt>
              </c:strCache>
            </c:strRef>
          </c:tx>
          <c:spPr>
            <a:ln w="28575" cap="rnd">
              <a:solidFill>
                <a:schemeClr val="accent2"/>
              </a:solidFill>
              <a:round/>
            </a:ln>
            <a:effectLst/>
          </c:spPr>
          <c:marker>
            <c:symbol val="none"/>
          </c:marker>
          <c:cat>
            <c:strRef>
              <c:f>'30 min 2021'!$L$54:$L$60</c:f>
              <c:strCache>
                <c:ptCount val="7"/>
                <c:pt idx="0">
                  <c:v>apr.21</c:v>
                </c:pt>
                <c:pt idx="1">
                  <c:v>mai.21</c:v>
                </c:pt>
                <c:pt idx="2">
                  <c:v>iun.21</c:v>
                </c:pt>
                <c:pt idx="3">
                  <c:v>iul.21</c:v>
                </c:pt>
                <c:pt idx="4">
                  <c:v>aug.21</c:v>
                </c:pt>
                <c:pt idx="5">
                  <c:v>sept.21</c:v>
                </c:pt>
                <c:pt idx="6">
                  <c:v>oct.21</c:v>
                </c:pt>
              </c:strCache>
            </c:strRef>
          </c:cat>
          <c:val>
            <c:numRef>
              <c:f>'30 min 2021'!$Q$54:$Q$60</c:f>
              <c:numCache>
                <c:formatCode>General</c:formatCode>
                <c:ptCount val="7"/>
                <c:pt idx="0">
                  <c:v>9.8100000000000007E-2</c:v>
                </c:pt>
                <c:pt idx="1">
                  <c:v>0.64259999999999995</c:v>
                </c:pt>
                <c:pt idx="2">
                  <c:v>0.73780000000000001</c:v>
                </c:pt>
                <c:pt idx="3">
                  <c:v>0.5343</c:v>
                </c:pt>
                <c:pt idx="4">
                  <c:v>0.14330000000000001</c:v>
                </c:pt>
                <c:pt idx="5">
                  <c:v>0.30570000000000003</c:v>
                </c:pt>
                <c:pt idx="6">
                  <c:v>0.37819999999999998</c:v>
                </c:pt>
              </c:numCache>
            </c:numRef>
          </c:val>
          <c:smooth val="0"/>
          <c:extLst>
            <c:ext xmlns:c16="http://schemas.microsoft.com/office/drawing/2014/chart" uri="{C3380CC4-5D6E-409C-BE32-E72D297353CC}">
              <c16:uniqueId val="{00000001-BE85-45BA-A08E-375CE821F2E4}"/>
            </c:ext>
          </c:extLst>
        </c:ser>
        <c:ser>
          <c:idx val="2"/>
          <c:order val="2"/>
          <c:tx>
            <c:strRef>
              <c:f>'30 min 2021'!$R$53</c:f>
              <c:strCache>
                <c:ptCount val="1"/>
                <c:pt idx="0">
                  <c:v>Sângeorz Băi</c:v>
                </c:pt>
              </c:strCache>
            </c:strRef>
          </c:tx>
          <c:spPr>
            <a:ln w="28575" cap="rnd">
              <a:solidFill>
                <a:schemeClr val="accent3"/>
              </a:solidFill>
              <a:round/>
            </a:ln>
            <a:effectLst/>
          </c:spPr>
          <c:marker>
            <c:symbol val="none"/>
          </c:marker>
          <c:cat>
            <c:strRef>
              <c:f>'30 min 2021'!$L$54:$L$60</c:f>
              <c:strCache>
                <c:ptCount val="7"/>
                <c:pt idx="0">
                  <c:v>apr.21</c:v>
                </c:pt>
                <c:pt idx="1">
                  <c:v>mai.21</c:v>
                </c:pt>
                <c:pt idx="2">
                  <c:v>iun.21</c:v>
                </c:pt>
                <c:pt idx="3">
                  <c:v>iul.21</c:v>
                </c:pt>
                <c:pt idx="4">
                  <c:v>aug.21</c:v>
                </c:pt>
                <c:pt idx="5">
                  <c:v>sept.21</c:v>
                </c:pt>
                <c:pt idx="6">
                  <c:v>oct.21</c:v>
                </c:pt>
              </c:strCache>
            </c:strRef>
          </c:cat>
          <c:val>
            <c:numRef>
              <c:f>'30 min 2021'!$R$54:$R$60</c:f>
              <c:numCache>
                <c:formatCode>General</c:formatCode>
                <c:ptCount val="7"/>
                <c:pt idx="0">
                  <c:v>0.13009999999999999</c:v>
                </c:pt>
                <c:pt idx="1">
                  <c:v>0.23</c:v>
                </c:pt>
                <c:pt idx="2">
                  <c:v>0.63660000000000005</c:v>
                </c:pt>
                <c:pt idx="3">
                  <c:v>0.5262</c:v>
                </c:pt>
                <c:pt idx="4">
                  <c:v>0.51060000000000005</c:v>
                </c:pt>
                <c:pt idx="5">
                  <c:v>0.123</c:v>
                </c:pt>
                <c:pt idx="6">
                  <c:v>0.25169999999999998</c:v>
                </c:pt>
              </c:numCache>
            </c:numRef>
          </c:val>
          <c:smooth val="0"/>
          <c:extLst>
            <c:ext xmlns:c16="http://schemas.microsoft.com/office/drawing/2014/chart" uri="{C3380CC4-5D6E-409C-BE32-E72D297353CC}">
              <c16:uniqueId val="{00000002-BE85-45BA-A08E-375CE821F2E4}"/>
            </c:ext>
          </c:extLst>
        </c:ser>
        <c:ser>
          <c:idx val="3"/>
          <c:order val="3"/>
          <c:tx>
            <c:strRef>
              <c:f>'30 min 2021'!$S$53</c:f>
              <c:strCache>
                <c:ptCount val="1"/>
                <c:pt idx="0">
                  <c:v>Năsăud</c:v>
                </c:pt>
              </c:strCache>
            </c:strRef>
          </c:tx>
          <c:spPr>
            <a:ln w="28575" cap="rnd">
              <a:solidFill>
                <a:schemeClr val="accent4"/>
              </a:solidFill>
              <a:round/>
            </a:ln>
            <a:effectLst/>
          </c:spPr>
          <c:marker>
            <c:symbol val="none"/>
          </c:marker>
          <c:cat>
            <c:strRef>
              <c:f>'30 min 2021'!$L$54:$L$60</c:f>
              <c:strCache>
                <c:ptCount val="7"/>
                <c:pt idx="0">
                  <c:v>apr.21</c:v>
                </c:pt>
                <c:pt idx="1">
                  <c:v>mai.21</c:v>
                </c:pt>
                <c:pt idx="2">
                  <c:v>iun.21</c:v>
                </c:pt>
                <c:pt idx="3">
                  <c:v>iul.21</c:v>
                </c:pt>
                <c:pt idx="4">
                  <c:v>aug.21</c:v>
                </c:pt>
                <c:pt idx="5">
                  <c:v>sept.21</c:v>
                </c:pt>
                <c:pt idx="6">
                  <c:v>oct.21</c:v>
                </c:pt>
              </c:strCache>
            </c:strRef>
          </c:cat>
          <c:val>
            <c:numRef>
              <c:f>'30 min 2021'!$S$54:$S$60</c:f>
              <c:numCache>
                <c:formatCode>General</c:formatCode>
                <c:ptCount val="7"/>
                <c:pt idx="0">
                  <c:v>0.11169999999999999</c:v>
                </c:pt>
                <c:pt idx="1">
                  <c:v>9.7900000000000001E-2</c:v>
                </c:pt>
                <c:pt idx="2">
                  <c:v>0.47960000000000003</c:v>
                </c:pt>
                <c:pt idx="3">
                  <c:v>0.36349999999999999</c:v>
                </c:pt>
                <c:pt idx="4">
                  <c:v>0.25740000000000002</c:v>
                </c:pt>
                <c:pt idx="5">
                  <c:v>0.26819999999999999</c:v>
                </c:pt>
                <c:pt idx="6">
                  <c:v>0.3165</c:v>
                </c:pt>
              </c:numCache>
            </c:numRef>
          </c:val>
          <c:smooth val="0"/>
          <c:extLst>
            <c:ext xmlns:c16="http://schemas.microsoft.com/office/drawing/2014/chart" uri="{C3380CC4-5D6E-409C-BE32-E72D297353CC}">
              <c16:uniqueId val="{00000003-BE85-45BA-A08E-375CE821F2E4}"/>
            </c:ext>
          </c:extLst>
        </c:ser>
        <c:ser>
          <c:idx val="4"/>
          <c:order val="4"/>
          <c:tx>
            <c:strRef>
              <c:f>'30 min 2021'!$T$53</c:f>
              <c:strCache>
                <c:ptCount val="1"/>
                <c:pt idx="0">
                  <c:v>Beclean</c:v>
                </c:pt>
              </c:strCache>
            </c:strRef>
          </c:tx>
          <c:spPr>
            <a:ln w="28575" cap="rnd">
              <a:solidFill>
                <a:schemeClr val="accent5"/>
              </a:solidFill>
              <a:round/>
            </a:ln>
            <a:effectLst/>
          </c:spPr>
          <c:marker>
            <c:symbol val="none"/>
          </c:marker>
          <c:cat>
            <c:strRef>
              <c:f>'30 min 2021'!$L$54:$L$60</c:f>
              <c:strCache>
                <c:ptCount val="7"/>
                <c:pt idx="0">
                  <c:v>apr.21</c:v>
                </c:pt>
                <c:pt idx="1">
                  <c:v>mai.21</c:v>
                </c:pt>
                <c:pt idx="2">
                  <c:v>iun.21</c:v>
                </c:pt>
                <c:pt idx="3">
                  <c:v>iul.21</c:v>
                </c:pt>
                <c:pt idx="4">
                  <c:v>aug.21</c:v>
                </c:pt>
                <c:pt idx="5">
                  <c:v>sept.21</c:v>
                </c:pt>
                <c:pt idx="6">
                  <c:v>oct.21</c:v>
                </c:pt>
              </c:strCache>
            </c:strRef>
          </c:cat>
          <c:val>
            <c:numRef>
              <c:f>'30 min 2021'!$T$54:$T$60</c:f>
              <c:numCache>
                <c:formatCode>General</c:formatCode>
                <c:ptCount val="7"/>
                <c:pt idx="0">
                  <c:v>0.16689999999999999</c:v>
                </c:pt>
                <c:pt idx="1">
                  <c:v>0.18160000000000001</c:v>
                </c:pt>
                <c:pt idx="2">
                  <c:v>0.41289999999999999</c:v>
                </c:pt>
                <c:pt idx="3">
                  <c:v>0.32800000000000001</c:v>
                </c:pt>
                <c:pt idx="4">
                  <c:v>0.34</c:v>
                </c:pt>
                <c:pt idx="5">
                  <c:v>4.5900000000000003E-2</c:v>
                </c:pt>
                <c:pt idx="6">
                  <c:v>0.32179999999999997</c:v>
                </c:pt>
              </c:numCache>
            </c:numRef>
          </c:val>
          <c:smooth val="0"/>
          <c:extLst>
            <c:ext xmlns:c16="http://schemas.microsoft.com/office/drawing/2014/chart" uri="{C3380CC4-5D6E-409C-BE32-E72D297353CC}">
              <c16:uniqueId val="{00000004-BE85-45BA-A08E-375CE821F2E4}"/>
            </c:ext>
          </c:extLst>
        </c:ser>
        <c:dLbls>
          <c:showLegendKey val="0"/>
          <c:showVal val="0"/>
          <c:showCatName val="0"/>
          <c:showSerName val="0"/>
          <c:showPercent val="0"/>
          <c:showBubbleSize val="0"/>
        </c:dLbls>
        <c:smooth val="0"/>
        <c:axId val="920317744"/>
        <c:axId val="920317328"/>
      </c:lineChart>
      <c:catAx>
        <c:axId val="92031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20317328"/>
        <c:crosses val="autoZero"/>
        <c:auto val="1"/>
        <c:lblAlgn val="ctr"/>
        <c:lblOffset val="100"/>
        <c:noMultiLvlLbl val="0"/>
      </c:catAx>
      <c:valAx>
        <c:axId val="920317328"/>
        <c:scaling>
          <c:orientation val="minMax"/>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20317744"/>
        <c:crosses val="autoZero"/>
        <c:crossBetween val="between"/>
      </c:valAx>
      <c:spPr>
        <a:solidFill>
          <a:schemeClr val="bg1"/>
        </a:solidFill>
        <a:ln>
          <a:noFill/>
        </a:ln>
        <a:effectLst/>
      </c:spPr>
    </c:plotArea>
    <c:legend>
      <c:legendPos val="b"/>
      <c:overlay val="0"/>
      <c:spPr>
        <a:solidFill>
          <a:schemeClr val="bg1"/>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26000">
          <a:schemeClr val="accent3">
            <a:lumMod val="5000"/>
            <a:lumOff val="95000"/>
          </a:schemeClr>
        </a:gs>
        <a:gs pos="54000">
          <a:schemeClr val="accent3">
            <a:lumMod val="45000"/>
            <a:lumOff val="55000"/>
          </a:schemeClr>
        </a:gs>
        <a:gs pos="77000">
          <a:schemeClr val="accent3">
            <a:lumMod val="45000"/>
            <a:lumOff val="55000"/>
          </a:schemeClr>
        </a:gs>
        <a:gs pos="95000">
          <a:schemeClr val="accent3">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89700-5BF3-4A84-A9EA-9129E944A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37</Pages>
  <Words>6548</Words>
  <Characters>37324</Characters>
  <Application>Microsoft Office Word</Application>
  <DocSecurity>0</DocSecurity>
  <Lines>311</Lines>
  <Paragraphs>87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apmbn</Company>
  <LinksUpToDate>false</LinksUpToDate>
  <CharactersWithSpaces>43785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Cordos Angela</dc:creator>
  <cp:keywords/>
  <dc:description/>
  <cp:lastModifiedBy>Cordos Angela</cp:lastModifiedBy>
  <cp:revision>8</cp:revision>
  <dcterms:created xsi:type="dcterms:W3CDTF">2023-06-26T07:00:00Z</dcterms:created>
  <dcterms:modified xsi:type="dcterms:W3CDTF">2023-06-26T08:04:00Z</dcterms:modified>
</cp:coreProperties>
</file>