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11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38183377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DF6D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NOIE</w:t>
      </w:r>
      <w:r w:rsidR="00192DF0">
        <w:rPr>
          <w:b/>
          <w:caps/>
          <w:sz w:val="28"/>
          <w:szCs w:val="28"/>
        </w:rPr>
        <w:t>m</w:t>
      </w:r>
      <w:r w:rsidR="000D2E0F" w:rsidRPr="00471286">
        <w:rPr>
          <w:b/>
          <w:caps/>
          <w:sz w:val="28"/>
          <w:szCs w:val="28"/>
        </w:rPr>
        <w:t>BRIE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201</w:t>
      </w:r>
      <w:r w:rsidR="001835D1" w:rsidRPr="00471286">
        <w:rPr>
          <w:b/>
          <w:caps/>
          <w:sz w:val="28"/>
          <w:szCs w:val="28"/>
        </w:rPr>
        <w:t>9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DF6D7C" w:rsidRPr="00351FD6" w:rsidRDefault="00DF6D7C" w:rsidP="00DF6D7C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noiembrie</w:t>
      </w:r>
      <w:proofErr w:type="spellEnd"/>
      <w:r>
        <w:rPr>
          <w:sz w:val="28"/>
          <w:szCs w:val="28"/>
          <w:lang w:val="fr-FR"/>
        </w:rPr>
        <w:t xml:space="preserve"> 2019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DF6D7C" w:rsidRPr="00351FD6" w:rsidTr="006A2141">
        <w:tc>
          <w:tcPr>
            <w:tcW w:w="657" w:type="dxa"/>
            <w:vMerge w:val="restart"/>
            <w:vAlign w:val="center"/>
          </w:tcPr>
          <w:p w:rsidR="00DF6D7C" w:rsidRPr="00351FD6" w:rsidRDefault="00DF6D7C" w:rsidP="006A2141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DF6D7C" w:rsidRPr="00351FD6" w:rsidRDefault="00DF6D7C" w:rsidP="006A214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DF6D7C" w:rsidRPr="00351FD6" w:rsidRDefault="00DF6D7C" w:rsidP="006A214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DF6D7C" w:rsidRPr="00351FD6" w:rsidRDefault="00DF6D7C" w:rsidP="006A214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DF6D7C" w:rsidRPr="00351FD6" w:rsidTr="006A2141">
        <w:trPr>
          <w:cantSplit/>
          <w:trHeight w:val="420"/>
        </w:trPr>
        <w:tc>
          <w:tcPr>
            <w:tcW w:w="657" w:type="dxa"/>
            <w:vMerge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DF6D7C" w:rsidRPr="00351FD6" w:rsidRDefault="00DF6D7C" w:rsidP="006A2141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DF6D7C" w:rsidRPr="00351FD6" w:rsidRDefault="00DF6D7C" w:rsidP="006A214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DF6D7C" w:rsidRPr="00351FD6" w:rsidRDefault="00DF6D7C" w:rsidP="006A214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DF6D7C" w:rsidRPr="001935DE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  <w:tc>
          <w:tcPr>
            <w:tcW w:w="2056" w:type="dxa"/>
          </w:tcPr>
          <w:p w:rsidR="00DF6D7C" w:rsidRPr="001935DE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1418" w:type="dxa"/>
          </w:tcPr>
          <w:p w:rsidR="00DF6D7C" w:rsidRPr="0077271F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Gh.Avramescu</w:t>
            </w:r>
            <w:proofErr w:type="spellEnd"/>
          </w:p>
        </w:tc>
        <w:tc>
          <w:tcPr>
            <w:tcW w:w="1884" w:type="dxa"/>
          </w:tcPr>
          <w:p w:rsidR="00DF6D7C" w:rsidRPr="00257125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2056" w:type="dxa"/>
          </w:tcPr>
          <w:p w:rsidR="00DF6D7C" w:rsidRPr="00257125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8,78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5,12</w:t>
            </w:r>
          </w:p>
        </w:tc>
        <w:tc>
          <w:tcPr>
            <w:tcW w:w="1418" w:type="dxa"/>
          </w:tcPr>
          <w:p w:rsidR="00DF6D7C" w:rsidRPr="009913EC" w:rsidRDefault="00DF6D7C" w:rsidP="006A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10,64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4,37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2,4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5,06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5,57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4,56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3,43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1,3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5,01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7,63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</w:t>
            </w:r>
          </w:p>
        </w:tc>
      </w:tr>
      <w:tr w:rsidR="00DF6D7C" w:rsidRPr="00351FD6" w:rsidTr="006A2141">
        <w:trPr>
          <w:cantSplit/>
        </w:trPr>
        <w:tc>
          <w:tcPr>
            <w:tcW w:w="65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15,94</w:t>
            </w:r>
          </w:p>
        </w:tc>
        <w:tc>
          <w:tcPr>
            <w:tcW w:w="2056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14,21</w:t>
            </w:r>
          </w:p>
        </w:tc>
        <w:tc>
          <w:tcPr>
            <w:tcW w:w="1418" w:type="dxa"/>
          </w:tcPr>
          <w:p w:rsidR="00DF6D7C" w:rsidRPr="00351FD6" w:rsidRDefault="00DF6D7C" w:rsidP="006A214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1,1</w:t>
            </w:r>
          </w:p>
        </w:tc>
      </w:tr>
    </w:tbl>
    <w:p w:rsidR="00DF6D7C" w:rsidRPr="00351FD6" w:rsidRDefault="00DF6D7C" w:rsidP="00DF6D7C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DF6D7C" w:rsidRDefault="00DF6D7C" w:rsidP="00DF6D7C">
      <w:pPr>
        <w:ind w:left="540" w:firstLine="708"/>
        <w:jc w:val="both"/>
        <w:rPr>
          <w:sz w:val="28"/>
          <w:szCs w:val="28"/>
        </w:rPr>
      </w:pPr>
      <w:r w:rsidRPr="003B1E19">
        <w:rPr>
          <w:sz w:val="28"/>
          <w:szCs w:val="28"/>
        </w:rPr>
        <w:t xml:space="preserve">În luna </w:t>
      </w:r>
      <w:r>
        <w:rPr>
          <w:sz w:val="28"/>
          <w:szCs w:val="28"/>
        </w:rPr>
        <w:t>noiembrie</w:t>
      </w:r>
      <w:r w:rsidRPr="003B1E19">
        <w:rPr>
          <w:sz w:val="28"/>
          <w:szCs w:val="28"/>
        </w:rPr>
        <w:t xml:space="preserve"> 2019,</w:t>
      </w:r>
      <w:r>
        <w:rPr>
          <w:sz w:val="28"/>
          <w:szCs w:val="28"/>
        </w:rPr>
        <w:t xml:space="preserve"> nu </w:t>
      </w:r>
      <w:r w:rsidRPr="003B1E19">
        <w:rPr>
          <w:sz w:val="28"/>
          <w:szCs w:val="28"/>
        </w:rPr>
        <w:t>s-a</w:t>
      </w:r>
      <w:r>
        <w:rPr>
          <w:sz w:val="28"/>
          <w:szCs w:val="28"/>
        </w:rPr>
        <w:t>u</w:t>
      </w:r>
      <w:r w:rsidRPr="003B1E19">
        <w:rPr>
          <w:sz w:val="28"/>
          <w:szCs w:val="28"/>
        </w:rPr>
        <w:t xml:space="preserve"> înregistrat </w:t>
      </w:r>
      <w:r>
        <w:rPr>
          <w:sz w:val="28"/>
          <w:szCs w:val="28"/>
        </w:rPr>
        <w:t xml:space="preserve">depășiri ale concentrației maxime </w:t>
      </w:r>
      <w:r w:rsidRPr="003B1E19">
        <w:rPr>
          <w:sz w:val="28"/>
          <w:szCs w:val="28"/>
        </w:rPr>
        <w:t>admis</w:t>
      </w:r>
      <w:r>
        <w:rPr>
          <w:sz w:val="28"/>
          <w:szCs w:val="28"/>
        </w:rPr>
        <w:t>e pentru pulberi sedimentabile .</w:t>
      </w:r>
    </w:p>
    <w:p w:rsidR="00DF6D7C" w:rsidRDefault="00DF6D7C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80010D" w:rsidRPr="00471286" w:rsidRDefault="0080010D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Această </w:t>
      </w:r>
      <w:r w:rsidR="00925488" w:rsidRPr="00471286">
        <w:rPr>
          <w:sz w:val="28"/>
          <w:szCs w:val="28"/>
        </w:rPr>
        <w:t>rețea</w:t>
      </w:r>
      <w:r w:rsidRPr="00471286">
        <w:rPr>
          <w:sz w:val="28"/>
          <w:szCs w:val="28"/>
        </w:rPr>
        <w:t xml:space="preserve"> are ca obiectiv monitorizarea calității aerului și </w:t>
      </w:r>
      <w:r w:rsidR="002F2827" w:rsidRPr="00471286">
        <w:rPr>
          <w:sz w:val="28"/>
          <w:szCs w:val="28"/>
        </w:rPr>
        <w:t>e</w:t>
      </w:r>
      <w:r w:rsidRPr="00471286">
        <w:rPr>
          <w:sz w:val="28"/>
          <w:szCs w:val="28"/>
        </w:rPr>
        <w:t xml:space="preserve">ste formată din 5 puncte de recoltare a probelor, amplasate la </w:t>
      </w:r>
      <w:r w:rsidR="000700E1" w:rsidRPr="00471286">
        <w:rPr>
          <w:sz w:val="28"/>
          <w:szCs w:val="28"/>
        </w:rPr>
        <w:t>s</w:t>
      </w:r>
      <w:r w:rsidRPr="00471286">
        <w:rPr>
          <w:sz w:val="28"/>
          <w:szCs w:val="28"/>
        </w:rPr>
        <w:t xml:space="preserve">ediul APM Brăila, </w:t>
      </w:r>
      <w:r w:rsidR="002371E8" w:rsidRPr="00471286">
        <w:rPr>
          <w:sz w:val="28"/>
          <w:szCs w:val="28"/>
        </w:rPr>
        <w:t>la</w:t>
      </w:r>
      <w:r w:rsidRPr="00471286">
        <w:rPr>
          <w:sz w:val="28"/>
          <w:szCs w:val="28"/>
        </w:rPr>
        <w:t xml:space="preserve"> stați</w:t>
      </w:r>
      <w:r w:rsidR="002371E8" w:rsidRPr="00471286">
        <w:rPr>
          <w:sz w:val="28"/>
          <w:szCs w:val="28"/>
        </w:rPr>
        <w:t>a</w:t>
      </w:r>
      <w:r w:rsidRPr="00471286">
        <w:rPr>
          <w:sz w:val="28"/>
          <w:szCs w:val="28"/>
        </w:rPr>
        <w:t xml:space="preserve"> automate de</w:t>
      </w:r>
      <w:r w:rsidR="002371E8" w:rsidRPr="00471286">
        <w:rPr>
          <w:sz w:val="28"/>
          <w:szCs w:val="28"/>
        </w:rPr>
        <w:t xml:space="preserve"> </w:t>
      </w:r>
      <w:r w:rsidR="002371E8" w:rsidRPr="00471286">
        <w:rPr>
          <w:sz w:val="28"/>
          <w:szCs w:val="28"/>
        </w:rPr>
        <w:lastRenderedPageBreak/>
        <w:t>monitorizare a dozei gama în timp real</w:t>
      </w:r>
      <w:r w:rsidRPr="00471286">
        <w:rPr>
          <w:sz w:val="28"/>
          <w:szCs w:val="28"/>
        </w:rPr>
        <w:t xml:space="preserve"> și în incinta stațiilor automate de măsurarea calității aerului astfel:</w:t>
      </w:r>
    </w:p>
    <w:p w:rsidR="00851534" w:rsidRPr="00471286" w:rsidRDefault="00851534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80010D" w:rsidRPr="00471286" w:rsidRDefault="0080010D" w:rsidP="00987DD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Sediul </w:t>
      </w:r>
      <w:proofErr w:type="spellStart"/>
      <w:r w:rsidRPr="00471286">
        <w:rPr>
          <w:b/>
          <w:sz w:val="28"/>
          <w:szCs w:val="28"/>
        </w:rPr>
        <w:t>Agenţiei</w:t>
      </w:r>
      <w:proofErr w:type="spellEnd"/>
      <w:r w:rsidRPr="00471286">
        <w:rPr>
          <w:b/>
          <w:sz w:val="28"/>
          <w:szCs w:val="28"/>
        </w:rPr>
        <w:t xml:space="preserve"> p</w:t>
      </w:r>
      <w:r w:rsidR="00213D82" w:rsidRPr="00471286">
        <w:rPr>
          <w:b/>
          <w:sz w:val="28"/>
          <w:szCs w:val="28"/>
        </w:rPr>
        <w:t xml:space="preserve">entru </w:t>
      </w:r>
      <w:proofErr w:type="spellStart"/>
      <w:r w:rsidR="00213D82" w:rsidRPr="00471286">
        <w:rPr>
          <w:b/>
          <w:sz w:val="28"/>
          <w:szCs w:val="28"/>
        </w:rPr>
        <w:t>Protecţia</w:t>
      </w:r>
      <w:proofErr w:type="spellEnd"/>
      <w:r w:rsidR="00213D82" w:rsidRPr="00471286">
        <w:rPr>
          <w:b/>
          <w:sz w:val="28"/>
          <w:szCs w:val="28"/>
        </w:rPr>
        <w:t xml:space="preserve"> Mediului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>, nr. 52</w:t>
      </w:r>
      <w:r w:rsidR="00213D82" w:rsidRPr="00471286">
        <w:rPr>
          <w:bCs/>
          <w:sz w:val="28"/>
          <w:szCs w:val="28"/>
        </w:rPr>
        <w:t>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</w:t>
      </w:r>
      <w:r w:rsidRPr="00471286">
        <w:rPr>
          <w:sz w:val="28"/>
          <w:szCs w:val="28"/>
        </w:rPr>
        <w:t xml:space="preserve"> suburban, care este situată în Comuna Cazasu, jud.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industrial, care </w:t>
      </w:r>
      <w:r w:rsidRPr="00471286">
        <w:rPr>
          <w:sz w:val="28"/>
          <w:szCs w:val="28"/>
        </w:rPr>
        <w:t xml:space="preserve">este amplasată pe </w:t>
      </w:r>
      <w:proofErr w:type="spellStart"/>
      <w:r w:rsidRPr="00471286">
        <w:rPr>
          <w:sz w:val="28"/>
          <w:szCs w:val="28"/>
        </w:rPr>
        <w:t>Şose</w:t>
      </w:r>
      <w:r w:rsidR="00213D82" w:rsidRPr="00471286">
        <w:rPr>
          <w:sz w:val="28"/>
          <w:szCs w:val="28"/>
        </w:rPr>
        <w:t>aua</w:t>
      </w:r>
      <w:proofErr w:type="spellEnd"/>
      <w:r w:rsidR="00213D82" w:rsidRPr="00471286">
        <w:rPr>
          <w:sz w:val="28"/>
          <w:szCs w:val="28"/>
        </w:rPr>
        <w:t xml:space="preserve"> </w:t>
      </w:r>
      <w:proofErr w:type="spellStart"/>
      <w:r w:rsidR="00213D82" w:rsidRPr="00471286">
        <w:rPr>
          <w:sz w:val="28"/>
          <w:szCs w:val="28"/>
        </w:rPr>
        <w:t>Baldovineşti</w:t>
      </w:r>
      <w:proofErr w:type="spellEnd"/>
      <w:r w:rsidR="00213D82" w:rsidRPr="00471286">
        <w:rPr>
          <w:sz w:val="28"/>
          <w:szCs w:val="28"/>
        </w:rPr>
        <w:t xml:space="preserve"> (</w:t>
      </w:r>
      <w:proofErr w:type="spellStart"/>
      <w:r w:rsidR="00213D82" w:rsidRPr="00471286">
        <w:rPr>
          <w:sz w:val="28"/>
          <w:szCs w:val="28"/>
        </w:rPr>
        <w:t>Staţia</w:t>
      </w:r>
      <w:proofErr w:type="spellEnd"/>
      <w:r w:rsidR="00213D82" w:rsidRPr="00471286">
        <w:rPr>
          <w:sz w:val="28"/>
          <w:szCs w:val="28"/>
        </w:rPr>
        <w:t xml:space="preserve"> Nord);</w:t>
      </w:r>
    </w:p>
    <w:p w:rsidR="0080010D" w:rsidRPr="00471286" w:rsidRDefault="0080010D" w:rsidP="00987DD8">
      <w:pPr>
        <w:pStyle w:val="Listparagraf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471286">
        <w:rPr>
          <w:rFonts w:ascii="Times New Roman" w:hAnsi="Times New Roman"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</w:t>
      </w:r>
      <w:r w:rsidRPr="00471286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471286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471286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471286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471286">
        <w:rPr>
          <w:rFonts w:ascii="Times New Roman" w:hAnsi="Times New Roman"/>
          <w:i/>
          <w:sz w:val="28"/>
          <w:szCs w:val="28"/>
        </w:rPr>
        <w:t>.</w:t>
      </w:r>
      <w:r w:rsidRPr="00471286">
        <w:rPr>
          <w:rFonts w:ascii="Times New Roman" w:hAnsi="Times New Roman"/>
          <w:sz w:val="28"/>
          <w:szCs w:val="28"/>
        </w:rPr>
        <w:t xml:space="preserve"> Termoelectrica S.A.</w:t>
      </w:r>
      <w:r w:rsidRPr="00471286">
        <w:rPr>
          <w:rFonts w:ascii="Times New Roman" w:hAnsi="Times New Roman"/>
          <w:sz w:val="28"/>
          <w:szCs w:val="28"/>
        </w:rPr>
        <w:tab/>
      </w:r>
    </w:p>
    <w:p w:rsidR="004330C5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F6D7C" w:rsidRPr="00842C5C" w:rsidRDefault="00DF6D7C" w:rsidP="00DF6D7C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noiembrie 2019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prelevare,</w:t>
      </w:r>
      <w:r w:rsidRPr="00842C5C">
        <w:rPr>
          <w:color w:val="191919"/>
          <w:sz w:val="28"/>
          <w:szCs w:val="28"/>
        </w:rPr>
        <w:t xml:space="preserve"> s-a măsurat și analizat</w:t>
      </w:r>
      <w:r>
        <w:rPr>
          <w:color w:val="191919"/>
          <w:sz w:val="28"/>
          <w:szCs w:val="28"/>
        </w:rPr>
        <w:t xml:space="preserve"> </w:t>
      </w:r>
      <w:r w:rsidRPr="00842C5C">
        <w:rPr>
          <w:color w:val="191919"/>
          <w:sz w:val="28"/>
          <w:szCs w:val="28"/>
        </w:rPr>
        <w:t xml:space="preserve"> o cantitate medie </w:t>
      </w:r>
      <w:r>
        <w:rPr>
          <w:color w:val="191919"/>
          <w:sz w:val="28"/>
          <w:szCs w:val="28"/>
        </w:rPr>
        <w:t xml:space="preserve">lunară </w:t>
      </w:r>
      <w:r w:rsidRPr="00842C5C">
        <w:rPr>
          <w:color w:val="191919"/>
          <w:sz w:val="28"/>
          <w:szCs w:val="28"/>
        </w:rPr>
        <w:t xml:space="preserve">de </w:t>
      </w:r>
      <w:r>
        <w:rPr>
          <w:color w:val="191919"/>
          <w:sz w:val="28"/>
          <w:szCs w:val="28"/>
        </w:rPr>
        <w:t>4,31 l</w:t>
      </w:r>
      <w:r w:rsidRPr="00842C5C">
        <w:rPr>
          <w:color w:val="191919"/>
          <w:sz w:val="28"/>
          <w:szCs w:val="28"/>
        </w:rPr>
        <w:t>/mp.</w:t>
      </w:r>
    </w:p>
    <w:p w:rsidR="00DF6D7C" w:rsidRPr="00351FD6" w:rsidRDefault="00DF6D7C" w:rsidP="00DF6D7C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6,9 – 7,5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</w:p>
    <w:p w:rsidR="00D630D1" w:rsidRPr="007F04D3" w:rsidRDefault="00D630D1" w:rsidP="00D630D1">
      <w:pPr>
        <w:rPr>
          <w:bCs/>
          <w:sz w:val="28"/>
          <w:szCs w:val="28"/>
          <w:lang w:val="it-IT"/>
        </w:rPr>
      </w:pPr>
      <w:r w:rsidRPr="007F04D3">
        <w:rPr>
          <w:bCs/>
          <w:sz w:val="28"/>
          <w:szCs w:val="28"/>
          <w:lang w:val="it-IT"/>
        </w:rPr>
        <w:t>APM -  Brăila a primit în cursul lunii noiembrie 2019 rezultatele automonitorizării calităţii apelor uzate de la următorii agenţi economici:</w:t>
      </w:r>
    </w:p>
    <w:p w:rsidR="00D630D1" w:rsidRPr="007F04D3" w:rsidRDefault="00D630D1" w:rsidP="00D630D1">
      <w:pPr>
        <w:rPr>
          <w:bCs/>
          <w:sz w:val="28"/>
          <w:szCs w:val="28"/>
          <w:lang w:val="it-IT"/>
        </w:rPr>
      </w:pPr>
    </w:p>
    <w:p w:rsidR="00D630D1" w:rsidRPr="007F04D3" w:rsidRDefault="00D630D1" w:rsidP="00D630D1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7F04D3">
        <w:rPr>
          <w:sz w:val="28"/>
          <w:szCs w:val="28"/>
        </w:rPr>
        <w:t xml:space="preserve">SC” Bona </w:t>
      </w:r>
      <w:proofErr w:type="spellStart"/>
      <w:r w:rsidRPr="007F04D3">
        <w:rPr>
          <w:sz w:val="28"/>
          <w:szCs w:val="28"/>
        </w:rPr>
        <w:t>Avis</w:t>
      </w:r>
      <w:proofErr w:type="spellEnd"/>
      <w:r w:rsidRPr="007F04D3">
        <w:rPr>
          <w:sz w:val="28"/>
          <w:szCs w:val="28"/>
        </w:rPr>
        <w:t>” SRL - Ianca</w:t>
      </w:r>
    </w:p>
    <w:p w:rsidR="00D630D1" w:rsidRPr="007F04D3" w:rsidRDefault="00D630D1" w:rsidP="00D630D1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7F04D3">
        <w:rPr>
          <w:sz w:val="28"/>
          <w:szCs w:val="28"/>
        </w:rPr>
        <w:t xml:space="preserve">SC” </w:t>
      </w:r>
      <w:proofErr w:type="spellStart"/>
      <w:r w:rsidRPr="007F04D3">
        <w:rPr>
          <w:sz w:val="28"/>
          <w:szCs w:val="28"/>
        </w:rPr>
        <w:t>Vard</w:t>
      </w:r>
      <w:proofErr w:type="spellEnd"/>
      <w:r w:rsidRPr="007F04D3">
        <w:rPr>
          <w:sz w:val="28"/>
          <w:szCs w:val="28"/>
        </w:rPr>
        <w:t xml:space="preserve"> Brăila” SA - Brăila</w:t>
      </w:r>
    </w:p>
    <w:p w:rsidR="00D630D1" w:rsidRPr="007F04D3" w:rsidRDefault="00D630D1" w:rsidP="00D630D1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7F04D3">
        <w:rPr>
          <w:sz w:val="28"/>
          <w:szCs w:val="28"/>
        </w:rPr>
        <w:t xml:space="preserve">SC” </w:t>
      </w:r>
      <w:proofErr w:type="spellStart"/>
      <w:r w:rsidRPr="007F04D3">
        <w:rPr>
          <w:sz w:val="28"/>
          <w:szCs w:val="28"/>
        </w:rPr>
        <w:t>Promex</w:t>
      </w:r>
      <w:proofErr w:type="spellEnd"/>
      <w:r w:rsidRPr="007F04D3">
        <w:rPr>
          <w:sz w:val="28"/>
          <w:szCs w:val="28"/>
        </w:rPr>
        <w:t>” SA – Brăila</w:t>
      </w:r>
    </w:p>
    <w:p w:rsidR="00D630D1" w:rsidRPr="007F04D3" w:rsidRDefault="00D630D1" w:rsidP="00D630D1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7F04D3">
        <w:rPr>
          <w:sz w:val="28"/>
          <w:szCs w:val="28"/>
        </w:rPr>
        <w:t xml:space="preserve">SC” Management </w:t>
      </w:r>
      <w:proofErr w:type="spellStart"/>
      <w:r w:rsidRPr="007F04D3">
        <w:rPr>
          <w:sz w:val="28"/>
          <w:szCs w:val="28"/>
        </w:rPr>
        <w:t>Objectives</w:t>
      </w:r>
      <w:proofErr w:type="spellEnd"/>
      <w:r w:rsidRPr="007F04D3">
        <w:rPr>
          <w:sz w:val="28"/>
          <w:szCs w:val="28"/>
        </w:rPr>
        <w:t>” SA - Brăila</w:t>
      </w:r>
    </w:p>
    <w:p w:rsidR="00D630D1" w:rsidRPr="007F04D3" w:rsidRDefault="00D630D1" w:rsidP="00D630D1">
      <w:pPr>
        <w:rPr>
          <w:bCs/>
          <w:sz w:val="28"/>
          <w:szCs w:val="28"/>
        </w:rPr>
      </w:pPr>
    </w:p>
    <w:p w:rsidR="00D630D1" w:rsidRPr="000A15C2" w:rsidRDefault="00D630D1" w:rsidP="00C234DA">
      <w:pPr>
        <w:ind w:firstLine="360"/>
        <w:rPr>
          <w:sz w:val="28"/>
          <w:szCs w:val="28"/>
          <w:lang w:val="it-IT"/>
        </w:rPr>
      </w:pPr>
      <w:proofErr w:type="spellStart"/>
      <w:r w:rsidRPr="000A15C2">
        <w:rPr>
          <w:bCs/>
          <w:sz w:val="28"/>
          <w:szCs w:val="28"/>
        </w:rPr>
        <w:lastRenderedPageBreak/>
        <w:t>Faţă</w:t>
      </w:r>
      <w:proofErr w:type="spellEnd"/>
      <w:r w:rsidRPr="000A15C2">
        <w:rPr>
          <w:bCs/>
          <w:sz w:val="28"/>
          <w:szCs w:val="28"/>
        </w:rPr>
        <w:t xml:space="preserve"> de </w:t>
      </w:r>
      <w:proofErr w:type="spellStart"/>
      <w:r w:rsidRPr="000A15C2">
        <w:rPr>
          <w:bCs/>
          <w:sz w:val="28"/>
          <w:szCs w:val="28"/>
        </w:rPr>
        <w:t>concentraţiile</w:t>
      </w:r>
      <w:proofErr w:type="spellEnd"/>
      <w:r w:rsidRPr="000A15C2">
        <w:rPr>
          <w:bCs/>
          <w:sz w:val="28"/>
          <w:szCs w:val="28"/>
        </w:rPr>
        <w:t xml:space="preserve"> maxime admise de Normativele </w:t>
      </w:r>
      <w:proofErr w:type="spellStart"/>
      <w:r w:rsidRPr="000A15C2">
        <w:rPr>
          <w:bCs/>
          <w:sz w:val="28"/>
          <w:szCs w:val="28"/>
        </w:rPr>
        <w:t>şi</w:t>
      </w:r>
      <w:proofErr w:type="spellEnd"/>
      <w:r w:rsidRPr="000A15C2">
        <w:rPr>
          <w:bCs/>
          <w:sz w:val="28"/>
          <w:szCs w:val="28"/>
        </w:rPr>
        <w:t xml:space="preserve"> actele de reglementare existente nu s-au înregistrat </w:t>
      </w:r>
      <w:proofErr w:type="spellStart"/>
      <w:r w:rsidRPr="000A15C2">
        <w:rPr>
          <w:bCs/>
          <w:sz w:val="28"/>
          <w:szCs w:val="28"/>
        </w:rPr>
        <w:t>depăşiri</w:t>
      </w:r>
      <w:proofErr w:type="spellEnd"/>
      <w:r w:rsidRPr="000A15C2">
        <w:rPr>
          <w:bCs/>
          <w:sz w:val="28"/>
          <w:szCs w:val="28"/>
        </w:rPr>
        <w:t xml:space="preserve"> ale indicatorilor </w:t>
      </w:r>
      <w:proofErr w:type="spellStart"/>
      <w:r w:rsidRPr="000A15C2">
        <w:rPr>
          <w:bCs/>
          <w:sz w:val="28"/>
          <w:szCs w:val="28"/>
        </w:rPr>
        <w:t>monitorizaţi</w:t>
      </w:r>
      <w:proofErr w:type="spellEnd"/>
      <w:r w:rsidRPr="000A15C2">
        <w:rPr>
          <w:sz w:val="28"/>
          <w:szCs w:val="28"/>
          <w:lang w:val="it-IT"/>
        </w:rPr>
        <w:t xml:space="preserve"> constatate în buletinele de analiză transmise de către operatorii economici mai sus menționați.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566057" w:rsidRPr="0003357F" w:rsidRDefault="00566057" w:rsidP="00566057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it-IT"/>
        </w:rPr>
        <w:t>În luna noiembrie 2019, l</w:t>
      </w:r>
      <w:r w:rsidRPr="0003357F">
        <w:rPr>
          <w:sz w:val="28"/>
          <w:szCs w:val="28"/>
          <w:lang w:val="it-IT"/>
        </w:rPr>
        <w:t xml:space="preserve">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566057" w:rsidRDefault="00566057" w:rsidP="00566057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Depășiri ale valorilor limită impuse de legislația în vigoare, s-au înregistrat la SC Ca</w:t>
      </w:r>
      <w:r>
        <w:rPr>
          <w:sz w:val="28"/>
          <w:szCs w:val="28"/>
        </w:rPr>
        <w:t>ș</w:t>
      </w:r>
      <w:r>
        <w:rPr>
          <w:sz w:val="28"/>
          <w:szCs w:val="28"/>
          <w:lang w:val="pt-BR"/>
        </w:rPr>
        <w:t xml:space="preserve"> SRL pentru indicatorii CBO</w:t>
      </w:r>
      <w:r w:rsidRPr="00233631">
        <w:rPr>
          <w:sz w:val="28"/>
          <w:szCs w:val="28"/>
          <w:vertAlign w:val="subscript"/>
          <w:lang w:val="pt-BR"/>
        </w:rPr>
        <w:t>5</w:t>
      </w:r>
      <w:r>
        <w:rPr>
          <w:sz w:val="28"/>
          <w:szCs w:val="28"/>
          <w:lang w:val="pt-BR"/>
        </w:rPr>
        <w:t xml:space="preserve">, CCOCr și substanțe extractibile. </w:t>
      </w: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lastRenderedPageBreak/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C234DA" w:rsidRPr="003F6B8D" w:rsidRDefault="00C234DA" w:rsidP="00C234DA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C234DA" w:rsidRPr="00BF6FD0" w:rsidRDefault="00C234DA" w:rsidP="00C234DA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C234DA" w:rsidRPr="00BF6FD0" w:rsidTr="006A2141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C234DA" w:rsidRPr="00BF6FD0" w:rsidTr="006A214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6.2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11.6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4.75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350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14.2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131.07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3.16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22.11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78.7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5.32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43.46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275.82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10.56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30/an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0.1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2.1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>
              <w:t>7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28,14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66,42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379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8.91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15.71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4.64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350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6.79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31.33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3.83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11.9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59.93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2.45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22.11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107.05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9.21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30/an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0.11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0.61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195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40.86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87.71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2.53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120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0.08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0.33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0.05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>
              <w:t>7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26.24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77.18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3.3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17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25</w:t>
            </w:r>
          </w:p>
        </w:tc>
      </w:tr>
      <w:tr w:rsidR="00C234DA" w:rsidRPr="00BF6FD0" w:rsidTr="006A214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350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C234DA" w:rsidRPr="00826230" w:rsidRDefault="00C234DA" w:rsidP="006A2141">
            <w:pPr>
              <w:jc w:val="center"/>
            </w:pPr>
            <w:r>
              <w:t>4.62</w:t>
            </w:r>
          </w:p>
        </w:tc>
        <w:tc>
          <w:tcPr>
            <w:tcW w:w="1054" w:type="dxa"/>
          </w:tcPr>
          <w:p w:rsidR="00C234DA" w:rsidRPr="00826230" w:rsidRDefault="00C234DA" w:rsidP="006A2141">
            <w:pPr>
              <w:jc w:val="center"/>
            </w:pPr>
            <w:r>
              <w:t>39.09</w:t>
            </w:r>
          </w:p>
        </w:tc>
        <w:tc>
          <w:tcPr>
            <w:tcW w:w="939" w:type="dxa"/>
          </w:tcPr>
          <w:p w:rsidR="00C234DA" w:rsidRPr="00826230" w:rsidRDefault="00C234DA" w:rsidP="006A2141">
            <w:pPr>
              <w:jc w:val="center"/>
            </w:pPr>
            <w:r>
              <w:t>3.24</w:t>
            </w:r>
          </w:p>
        </w:tc>
        <w:tc>
          <w:tcPr>
            <w:tcW w:w="1276" w:type="dxa"/>
          </w:tcPr>
          <w:p w:rsidR="00C234DA" w:rsidRPr="00826230" w:rsidRDefault="00C234DA" w:rsidP="006A2141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C234DA" w:rsidRPr="00826230" w:rsidRDefault="00C234DA" w:rsidP="006A2141">
            <w:pPr>
              <w:jc w:val="center"/>
            </w:pPr>
            <w:r>
              <w:t>10.6</w:t>
            </w:r>
          </w:p>
        </w:tc>
        <w:tc>
          <w:tcPr>
            <w:tcW w:w="1054" w:type="dxa"/>
          </w:tcPr>
          <w:p w:rsidR="00C234DA" w:rsidRPr="00826230" w:rsidRDefault="00C234DA" w:rsidP="006A2141">
            <w:pPr>
              <w:jc w:val="center"/>
            </w:pPr>
            <w:r>
              <w:t>33.48</w:t>
            </w:r>
          </w:p>
        </w:tc>
        <w:tc>
          <w:tcPr>
            <w:tcW w:w="939" w:type="dxa"/>
          </w:tcPr>
          <w:p w:rsidR="00C234DA" w:rsidRPr="00826230" w:rsidRDefault="00C234DA" w:rsidP="006A2141">
            <w:pPr>
              <w:jc w:val="center"/>
            </w:pPr>
            <w:r>
              <w:t>6.16</w:t>
            </w:r>
          </w:p>
        </w:tc>
        <w:tc>
          <w:tcPr>
            <w:tcW w:w="1276" w:type="dxa"/>
          </w:tcPr>
          <w:p w:rsidR="00C234DA" w:rsidRPr="00826230" w:rsidRDefault="00C234DA" w:rsidP="006A2141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C234DA" w:rsidRPr="00826230" w:rsidRDefault="00C234DA" w:rsidP="006A2141">
            <w:pPr>
              <w:jc w:val="center"/>
            </w:pPr>
            <w:r>
              <w:t>17.55</w:t>
            </w:r>
          </w:p>
        </w:tc>
        <w:tc>
          <w:tcPr>
            <w:tcW w:w="1054" w:type="dxa"/>
          </w:tcPr>
          <w:p w:rsidR="00C234DA" w:rsidRPr="00826230" w:rsidRDefault="00C234DA" w:rsidP="006A2141">
            <w:pPr>
              <w:jc w:val="center"/>
            </w:pPr>
            <w:r>
              <w:t>86.19</w:t>
            </w:r>
          </w:p>
        </w:tc>
        <w:tc>
          <w:tcPr>
            <w:tcW w:w="939" w:type="dxa"/>
          </w:tcPr>
          <w:p w:rsidR="00C234DA" w:rsidRPr="00826230" w:rsidRDefault="00C234DA" w:rsidP="006A2141">
            <w:pPr>
              <w:jc w:val="center"/>
            </w:pPr>
            <w:r>
              <w:t>11.66</w:t>
            </w:r>
          </w:p>
        </w:tc>
        <w:tc>
          <w:tcPr>
            <w:tcW w:w="1276" w:type="dxa"/>
          </w:tcPr>
          <w:p w:rsidR="00C234DA" w:rsidRPr="00826230" w:rsidRDefault="00C234DA" w:rsidP="006A2141">
            <w:pPr>
              <w:jc w:val="center"/>
            </w:pPr>
            <w:r>
              <w:t>689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30/an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39.42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86.7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2.37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120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3.69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15.3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0.43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>
              <w:t>7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21.12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147.78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3.74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4.5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11.25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2.02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350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3.11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35.39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2.27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8.53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34.98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2.75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13.21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78.83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6.42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30/an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0.07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1.21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38.16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80.98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1.81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683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120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22.45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67.45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8.59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  <w:tr w:rsidR="00C234DA" w:rsidRPr="00BF6FD0" w:rsidTr="006A214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C234DA" w:rsidRPr="00BF6FD0" w:rsidRDefault="00C234DA" w:rsidP="006A2141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3.5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10.74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0.66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34DA" w:rsidRPr="00BF6FD0" w:rsidRDefault="00C234DA" w:rsidP="006A2141">
            <w:pPr>
              <w:jc w:val="center"/>
            </w:pPr>
            <w:r w:rsidRPr="00BF6FD0">
              <w:t>350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10.72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25.19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9.61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10.29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49.96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3.82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200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26.42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84.92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18.74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30/an</w:t>
            </w:r>
          </w:p>
        </w:tc>
      </w:tr>
      <w:bookmarkEnd w:id="2"/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0.69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42.55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81.03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7.3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120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1.5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7.82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0.84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>
              <w:t>7</w:t>
            </w:r>
          </w:p>
        </w:tc>
      </w:tr>
      <w:tr w:rsidR="00C234DA" w:rsidRPr="00BF6FD0" w:rsidTr="006A2141">
        <w:trPr>
          <w:trHeight w:val="128"/>
          <w:jc w:val="center"/>
        </w:trPr>
        <w:tc>
          <w:tcPr>
            <w:tcW w:w="9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136" w:type="dxa"/>
            <w:vMerge/>
          </w:tcPr>
          <w:p w:rsidR="00C234DA" w:rsidRPr="00BF6FD0" w:rsidRDefault="00C234DA" w:rsidP="006A2141">
            <w:pPr>
              <w:jc w:val="center"/>
            </w:pPr>
          </w:p>
        </w:tc>
        <w:tc>
          <w:tcPr>
            <w:tcW w:w="1385" w:type="dxa"/>
          </w:tcPr>
          <w:p w:rsidR="00C234DA" w:rsidRPr="00BF6FD0" w:rsidRDefault="00C234DA" w:rsidP="006A2141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234DA" w:rsidRPr="00BF6FD0" w:rsidRDefault="00C234DA" w:rsidP="006A214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234DA" w:rsidRPr="008252CA" w:rsidRDefault="00C234DA" w:rsidP="006A214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234DA" w:rsidRPr="00BF6FD0" w:rsidRDefault="00C234DA" w:rsidP="006A2141">
            <w:pPr>
              <w:jc w:val="center"/>
            </w:pPr>
            <w:r w:rsidRPr="00BF6FD0">
              <w:t>50</w:t>
            </w:r>
          </w:p>
        </w:tc>
      </w:tr>
    </w:tbl>
    <w:p w:rsidR="00C234DA" w:rsidRPr="00BF6FD0" w:rsidRDefault="00C234DA" w:rsidP="00C234DA">
      <w:pPr>
        <w:jc w:val="center"/>
      </w:pPr>
    </w:p>
    <w:p w:rsidR="00C234DA" w:rsidRDefault="00C234DA" w:rsidP="00C234DA">
      <w:pPr>
        <w:jc w:val="center"/>
      </w:pPr>
    </w:p>
    <w:p w:rsidR="00C234DA" w:rsidRPr="00EF1F6D" w:rsidRDefault="00C234DA" w:rsidP="00C234D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7630" cy="2381885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4DA" w:rsidRDefault="00C234DA" w:rsidP="00C234D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noiembrie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C234DA" w:rsidRDefault="00C234DA" w:rsidP="00C234DA">
      <w:pPr>
        <w:ind w:firstLine="720"/>
        <w:jc w:val="both"/>
        <w:rPr>
          <w:rFonts w:ascii="Arial" w:hAnsi="Arial" w:cs="Arial"/>
        </w:rPr>
      </w:pPr>
    </w:p>
    <w:p w:rsidR="00C234DA" w:rsidRPr="00EF1F6D" w:rsidRDefault="00C234DA" w:rsidP="00C234D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7630" cy="2381885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34DA" w:rsidRDefault="00C234DA" w:rsidP="00C234D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noiembrie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C234DA" w:rsidRDefault="00C234DA" w:rsidP="00C234DA">
      <w:pPr>
        <w:ind w:firstLine="720"/>
        <w:jc w:val="both"/>
        <w:rPr>
          <w:rFonts w:ascii="Arial" w:hAnsi="Arial" w:cs="Arial"/>
        </w:rPr>
      </w:pPr>
    </w:p>
    <w:p w:rsidR="00C234DA" w:rsidRPr="00BF6FD0" w:rsidRDefault="00C234DA" w:rsidP="00C234DA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5" name="Casetă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DA" w:rsidRDefault="00C234DA" w:rsidP="00C234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5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">
                <v:textbox>
                  <w:txbxContent>
                    <w:p w:rsidR="00C234DA" w:rsidRDefault="00C234DA" w:rsidP="00C234DA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86400" cy="2243455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34DA" w:rsidRPr="0021670B" w:rsidRDefault="00C234DA" w:rsidP="00C234D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lastRenderedPageBreak/>
        <w:t xml:space="preserve">Valorile înregistrate în luna </w:t>
      </w:r>
      <w:r>
        <w:rPr>
          <w:rFonts w:ascii="Arial" w:hAnsi="Arial" w:cs="Arial"/>
        </w:rPr>
        <w:t>noiembrie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C234DA" w:rsidRPr="0021670B" w:rsidRDefault="00C234DA" w:rsidP="00C234DA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C234DA" w:rsidRPr="00B44F98" w:rsidRDefault="00C234DA" w:rsidP="00C234DA">
      <w:pPr>
        <w:ind w:left="22" w:firstLine="698"/>
        <w:jc w:val="both"/>
        <w:rPr>
          <w:sz w:val="28"/>
          <w:szCs w:val="28"/>
        </w:rPr>
      </w:pPr>
    </w:p>
    <w:p w:rsidR="00C234DA" w:rsidRPr="00EF1F6D" w:rsidRDefault="00C234DA" w:rsidP="00C234D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12360" cy="2243455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34DA" w:rsidRPr="0021670B" w:rsidRDefault="00C234DA" w:rsidP="00C234D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noiembrie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C234DA" w:rsidRPr="0021670B" w:rsidRDefault="00C234DA" w:rsidP="00C234DA">
      <w:pPr>
        <w:ind w:firstLine="720"/>
        <w:jc w:val="both"/>
        <w:rPr>
          <w:rFonts w:ascii="Arial" w:hAnsi="Arial" w:cs="Arial"/>
          <w:bCs/>
        </w:rPr>
      </w:pPr>
    </w:p>
    <w:p w:rsidR="00C234DA" w:rsidRPr="0021670B" w:rsidRDefault="00C234DA" w:rsidP="00C234D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 xml:space="preserve">n suspensie se aplică 2 metode, respectiv metoda automată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 xml:space="preserve">. </w:t>
      </w:r>
    </w:p>
    <w:p w:rsidR="00C234DA" w:rsidRDefault="00C234DA" w:rsidP="00C234DA">
      <w:pPr>
        <w:jc w:val="both"/>
        <w:rPr>
          <w:sz w:val="28"/>
          <w:szCs w:val="28"/>
        </w:rPr>
      </w:pPr>
    </w:p>
    <w:p w:rsidR="00C234DA" w:rsidRPr="00EF1F6D" w:rsidRDefault="00C234DA" w:rsidP="00C234DA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9560" cy="2371090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34DA" w:rsidRPr="00EF1F6D" w:rsidRDefault="00C234DA" w:rsidP="00C234DA">
      <w:pPr>
        <w:tabs>
          <w:tab w:val="left" w:pos="1875"/>
        </w:tabs>
        <w:rPr>
          <w:rFonts w:ascii="Arial" w:hAnsi="Arial" w:cs="Arial"/>
        </w:rPr>
      </w:pPr>
    </w:p>
    <w:p w:rsidR="00C234DA" w:rsidRPr="0021670B" w:rsidRDefault="00C234DA" w:rsidP="00C234D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noiembrie, la indicatorul PM10 (măsurat în sistem continuu) s-a înregistrat o singură depă</w:t>
      </w:r>
      <w:r w:rsidR="006139AA">
        <w:rPr>
          <w:rFonts w:ascii="Arial" w:hAnsi="Arial" w:cs="Arial"/>
          <w:bCs/>
        </w:rPr>
        <w:t>ș</w:t>
      </w:r>
      <w:bookmarkStart w:id="3" w:name="_GoBack"/>
      <w:bookmarkEnd w:id="3"/>
      <w:r>
        <w:rPr>
          <w:rFonts w:ascii="Arial" w:hAnsi="Arial" w:cs="Arial"/>
          <w:bCs/>
        </w:rPr>
        <w:t>ire a valorii limită admise la Stația Br1. Depășirea a fost posibilă din cauza condițiilor atmosferice specifice anotimpului rece dar și traficului intens înregistrat în perioadele de v</w:t>
      </w:r>
      <w:r w:rsidR="006139AA">
        <w:rPr>
          <w:rFonts w:ascii="Arial" w:hAnsi="Arial" w:cs="Arial"/>
          <w:bCs/>
        </w:rPr>
        <w:t>â</w:t>
      </w:r>
      <w:r>
        <w:rPr>
          <w:rFonts w:ascii="Arial" w:hAnsi="Arial" w:cs="Arial"/>
          <w:bCs/>
        </w:rPr>
        <w:t>rf.</w:t>
      </w:r>
    </w:p>
    <w:p w:rsidR="00C234DA" w:rsidRDefault="00C234DA" w:rsidP="00C234DA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noiembrie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 xml:space="preserve">nu </w:t>
      </w:r>
      <w:r w:rsidRPr="0021670B">
        <w:rPr>
          <w:rFonts w:ascii="Arial" w:hAnsi="Arial" w:cs="Arial"/>
          <w:bCs/>
        </w:rPr>
        <w:t xml:space="preserve">s-au </w:t>
      </w:r>
      <w:r>
        <w:rPr>
          <w:rFonts w:ascii="Arial" w:hAnsi="Arial" w:cs="Arial"/>
          <w:bCs/>
        </w:rPr>
        <w:t>efectuat măsurători – pompe Fox defecte.</w:t>
      </w:r>
    </w:p>
    <w:p w:rsidR="00C234DA" w:rsidRDefault="00C234DA" w:rsidP="00C234DA">
      <w:pPr>
        <w:ind w:firstLine="720"/>
        <w:jc w:val="both"/>
        <w:rPr>
          <w:rFonts w:ascii="Arial" w:hAnsi="Arial" w:cs="Arial"/>
          <w:bCs/>
        </w:rPr>
      </w:pPr>
    </w:p>
    <w:p w:rsidR="00C234DA" w:rsidRPr="00127D0B" w:rsidRDefault="00C234DA" w:rsidP="00C234DA">
      <w:pPr>
        <w:ind w:firstLine="720"/>
        <w:jc w:val="both"/>
        <w:rPr>
          <w:rFonts w:ascii="Arial" w:hAnsi="Arial" w:cs="Arial"/>
          <w:bCs/>
        </w:rPr>
      </w:pPr>
    </w:p>
    <w:p w:rsidR="00C234DA" w:rsidRPr="00C234DA" w:rsidRDefault="00C234DA" w:rsidP="00C234DA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C234DA">
        <w:rPr>
          <w:b/>
          <w:sz w:val="28"/>
          <w:szCs w:val="28"/>
        </w:rPr>
        <w:t>Evoluţia</w:t>
      </w:r>
      <w:proofErr w:type="spellEnd"/>
      <w:r w:rsidRPr="00C234DA">
        <w:rPr>
          <w:b/>
          <w:sz w:val="28"/>
          <w:szCs w:val="28"/>
        </w:rPr>
        <w:t xml:space="preserve"> indicelui general de calitatea aerului</w:t>
      </w:r>
    </w:p>
    <w:p w:rsidR="00C234DA" w:rsidRPr="00C234DA" w:rsidRDefault="00C234DA" w:rsidP="00C234DA">
      <w:pPr>
        <w:tabs>
          <w:tab w:val="left" w:pos="0"/>
        </w:tabs>
        <w:jc w:val="both"/>
        <w:rPr>
          <w:sz w:val="28"/>
          <w:szCs w:val="28"/>
        </w:rPr>
      </w:pPr>
      <w:r w:rsidRPr="00C234DA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C234DA">
        <w:rPr>
          <w:sz w:val="28"/>
          <w:szCs w:val="28"/>
        </w:rPr>
        <w:t>concentraţiilor</w:t>
      </w:r>
      <w:proofErr w:type="spellEnd"/>
      <w:r w:rsidRPr="00C234DA">
        <w:rPr>
          <w:sz w:val="28"/>
          <w:szCs w:val="28"/>
        </w:rPr>
        <w:t xml:space="preserve"> înregistrate pentru fiecare dintre </w:t>
      </w:r>
      <w:proofErr w:type="spellStart"/>
      <w:r w:rsidRPr="00C234DA">
        <w:rPr>
          <w:sz w:val="28"/>
          <w:szCs w:val="28"/>
        </w:rPr>
        <w:lastRenderedPageBreak/>
        <w:t>poluanţii</w:t>
      </w:r>
      <w:proofErr w:type="spellEnd"/>
      <w:r w:rsidRPr="00C234DA">
        <w:rPr>
          <w:sz w:val="28"/>
          <w:szCs w:val="28"/>
        </w:rPr>
        <w:t xml:space="preserve"> </w:t>
      </w:r>
      <w:proofErr w:type="spellStart"/>
      <w:r w:rsidRPr="00C234DA">
        <w:rPr>
          <w:sz w:val="28"/>
          <w:szCs w:val="28"/>
        </w:rPr>
        <w:t>monitorizaţi</w:t>
      </w:r>
      <w:proofErr w:type="spellEnd"/>
      <w:r w:rsidRPr="00C234DA">
        <w:rPr>
          <w:sz w:val="28"/>
          <w:szCs w:val="28"/>
        </w:rPr>
        <w:t>: dioxid de sulf (SO</w:t>
      </w:r>
      <w:r w:rsidRPr="00C234DA">
        <w:rPr>
          <w:sz w:val="28"/>
          <w:szCs w:val="28"/>
          <w:vertAlign w:val="subscript"/>
        </w:rPr>
        <w:t>2</w:t>
      </w:r>
      <w:r w:rsidRPr="00C234DA">
        <w:rPr>
          <w:sz w:val="28"/>
          <w:szCs w:val="28"/>
        </w:rPr>
        <w:t>), dioxid de azot (NO</w:t>
      </w:r>
      <w:r w:rsidRPr="00C234DA">
        <w:rPr>
          <w:sz w:val="28"/>
          <w:szCs w:val="28"/>
          <w:vertAlign w:val="subscript"/>
        </w:rPr>
        <w:t>2</w:t>
      </w:r>
      <w:r w:rsidRPr="00C234DA">
        <w:rPr>
          <w:sz w:val="28"/>
          <w:szCs w:val="28"/>
        </w:rPr>
        <w:t>), ozon (O</w:t>
      </w:r>
      <w:r w:rsidRPr="00C234DA">
        <w:rPr>
          <w:sz w:val="28"/>
          <w:szCs w:val="28"/>
          <w:vertAlign w:val="subscript"/>
        </w:rPr>
        <w:t>3</w:t>
      </w:r>
      <w:r w:rsidRPr="00C234DA">
        <w:rPr>
          <w:sz w:val="28"/>
          <w:szCs w:val="28"/>
        </w:rPr>
        <w:t xml:space="preserve">), </w:t>
      </w:r>
      <w:proofErr w:type="spellStart"/>
      <w:r w:rsidRPr="00C234DA">
        <w:rPr>
          <w:sz w:val="28"/>
          <w:szCs w:val="28"/>
        </w:rPr>
        <w:t>monooxid</w:t>
      </w:r>
      <w:proofErr w:type="spellEnd"/>
      <w:r w:rsidRPr="00C234DA">
        <w:rPr>
          <w:sz w:val="28"/>
          <w:szCs w:val="28"/>
        </w:rPr>
        <w:t xml:space="preserve"> de carbon (CO), pulberi în suspensie (PM 10).</w:t>
      </w:r>
    </w:p>
    <w:p w:rsidR="00C234DA" w:rsidRDefault="00C234DA" w:rsidP="00C234DA">
      <w:pPr>
        <w:jc w:val="center"/>
        <w:rPr>
          <w:rFonts w:ascii="Arial" w:hAnsi="Arial" w:cs="Arial"/>
          <w:sz w:val="28"/>
          <w:szCs w:val="28"/>
        </w:rPr>
      </w:pPr>
      <w:r w:rsidRPr="008A493E">
        <w:rPr>
          <w:rFonts w:ascii="Arial" w:hAnsi="Arial" w:cs="Arial"/>
          <w:sz w:val="28"/>
          <w:szCs w:val="28"/>
        </w:rPr>
        <w:t xml:space="preserve"> 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  <w:proofErr w:type="spellStart"/>
      <w:r w:rsidRPr="00B52BB4">
        <w:rPr>
          <w:sz w:val="28"/>
          <w:szCs w:val="28"/>
        </w:rPr>
        <w:t>Staţia</w:t>
      </w:r>
      <w:proofErr w:type="spellEnd"/>
      <w:r w:rsidRPr="00B52BB4">
        <w:rPr>
          <w:sz w:val="28"/>
          <w:szCs w:val="28"/>
        </w:rPr>
        <w:t xml:space="preserve"> BR - 1 TRAFIC adresa: Calea </w:t>
      </w:r>
      <w:proofErr w:type="spellStart"/>
      <w:r w:rsidRPr="00B52BB4">
        <w:rPr>
          <w:sz w:val="28"/>
          <w:szCs w:val="28"/>
        </w:rPr>
        <w:t>Galaţi</w:t>
      </w:r>
      <w:proofErr w:type="spellEnd"/>
      <w:r w:rsidRPr="00B52BB4">
        <w:rPr>
          <w:sz w:val="28"/>
          <w:szCs w:val="28"/>
        </w:rPr>
        <w:t xml:space="preserve"> nr. 53, Brăila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  <w:r w:rsidRPr="00B52BB4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6870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jc w:val="center"/>
        <w:rPr>
          <w:sz w:val="28"/>
          <w:szCs w:val="28"/>
        </w:rPr>
      </w:pPr>
      <w:proofErr w:type="spellStart"/>
      <w:r w:rsidRPr="00B52BB4">
        <w:rPr>
          <w:sz w:val="28"/>
          <w:szCs w:val="28"/>
        </w:rPr>
        <w:t>Staţia</w:t>
      </w:r>
      <w:proofErr w:type="spellEnd"/>
      <w:r w:rsidRPr="00B52BB4">
        <w:rPr>
          <w:sz w:val="28"/>
          <w:szCs w:val="28"/>
        </w:rPr>
        <w:t xml:space="preserve"> BR - 2 FOND URBAN adresa: </w:t>
      </w:r>
      <w:proofErr w:type="spellStart"/>
      <w:r w:rsidRPr="00B52BB4">
        <w:rPr>
          <w:sz w:val="28"/>
          <w:szCs w:val="28"/>
        </w:rPr>
        <w:t>Piaţa</w:t>
      </w:r>
      <w:proofErr w:type="spellEnd"/>
      <w:r w:rsidRPr="00B52BB4">
        <w:rPr>
          <w:sz w:val="28"/>
          <w:szCs w:val="28"/>
        </w:rPr>
        <w:t xml:space="preserve"> </w:t>
      </w:r>
      <w:proofErr w:type="spellStart"/>
      <w:r w:rsidRPr="00B52BB4">
        <w:rPr>
          <w:sz w:val="28"/>
          <w:szCs w:val="28"/>
        </w:rPr>
        <w:t>Independenţei</w:t>
      </w:r>
      <w:proofErr w:type="spellEnd"/>
      <w:r w:rsidRPr="00B52BB4">
        <w:rPr>
          <w:sz w:val="28"/>
          <w:szCs w:val="28"/>
        </w:rPr>
        <w:t xml:space="preserve"> nr. 1, Brăila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  <w:r w:rsidRPr="00B52BB4">
        <w:rPr>
          <w:noProof/>
          <w:sz w:val="28"/>
          <w:szCs w:val="28"/>
          <w:lang w:eastAsia="ro-RO"/>
        </w:rPr>
        <w:drawing>
          <wp:inline distT="0" distB="0" distL="0" distR="0">
            <wp:extent cx="5252720" cy="168021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jc w:val="center"/>
        <w:rPr>
          <w:sz w:val="28"/>
          <w:szCs w:val="28"/>
        </w:rPr>
      </w:pPr>
      <w:proofErr w:type="spellStart"/>
      <w:r w:rsidRPr="00B52BB4">
        <w:rPr>
          <w:sz w:val="28"/>
          <w:szCs w:val="28"/>
        </w:rPr>
        <w:t>Staţia</w:t>
      </w:r>
      <w:proofErr w:type="spellEnd"/>
      <w:r w:rsidRPr="00B52BB4">
        <w:rPr>
          <w:sz w:val="28"/>
          <w:szCs w:val="28"/>
        </w:rPr>
        <w:t xml:space="preserve"> BR - 3 FOND SUBURBAN adresa: Sat Cazasu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  <w:r w:rsidRPr="00B52BB4">
        <w:rPr>
          <w:noProof/>
          <w:sz w:val="28"/>
          <w:szCs w:val="28"/>
          <w:lang w:eastAsia="ro-RO"/>
        </w:rPr>
        <w:drawing>
          <wp:inline distT="0" distB="0" distL="0" distR="0">
            <wp:extent cx="5252720" cy="1680210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jc w:val="center"/>
        <w:rPr>
          <w:sz w:val="28"/>
          <w:szCs w:val="28"/>
        </w:rPr>
      </w:pPr>
      <w:proofErr w:type="spellStart"/>
      <w:r w:rsidRPr="00B52BB4">
        <w:rPr>
          <w:sz w:val="28"/>
          <w:szCs w:val="28"/>
        </w:rPr>
        <w:t>Staţia</w:t>
      </w:r>
      <w:proofErr w:type="spellEnd"/>
      <w:r w:rsidRPr="00B52BB4">
        <w:rPr>
          <w:sz w:val="28"/>
          <w:szCs w:val="28"/>
        </w:rPr>
        <w:t xml:space="preserve"> BR - 4 INDUSTRIAL 1 adresa: </w:t>
      </w:r>
      <w:proofErr w:type="spellStart"/>
      <w:r w:rsidRPr="00B52BB4">
        <w:rPr>
          <w:sz w:val="28"/>
          <w:szCs w:val="28"/>
        </w:rPr>
        <w:t>Şoseaua</w:t>
      </w:r>
      <w:proofErr w:type="spellEnd"/>
      <w:r w:rsidRPr="00B52BB4">
        <w:rPr>
          <w:sz w:val="28"/>
          <w:szCs w:val="28"/>
        </w:rPr>
        <w:t xml:space="preserve"> </w:t>
      </w:r>
      <w:proofErr w:type="spellStart"/>
      <w:r w:rsidRPr="00B52BB4">
        <w:rPr>
          <w:sz w:val="28"/>
          <w:szCs w:val="28"/>
        </w:rPr>
        <w:t>Baldovineşti</w:t>
      </w:r>
      <w:proofErr w:type="spellEnd"/>
      <w:r w:rsidRPr="00B52BB4">
        <w:rPr>
          <w:sz w:val="28"/>
          <w:szCs w:val="28"/>
        </w:rPr>
        <w:t xml:space="preserve"> nr. 22, 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  <w:r w:rsidRPr="00B52BB4">
        <w:rPr>
          <w:noProof/>
          <w:sz w:val="28"/>
          <w:szCs w:val="28"/>
          <w:lang w:eastAsia="ro-RO"/>
        </w:rPr>
        <w:drawing>
          <wp:inline distT="0" distB="0" distL="0" distR="0">
            <wp:extent cx="5316220" cy="1786255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jc w:val="center"/>
        <w:rPr>
          <w:sz w:val="28"/>
          <w:szCs w:val="28"/>
        </w:rPr>
      </w:pPr>
      <w:proofErr w:type="spellStart"/>
      <w:r w:rsidRPr="00B52BB4">
        <w:rPr>
          <w:sz w:val="28"/>
          <w:szCs w:val="28"/>
        </w:rPr>
        <w:t>Staţia</w:t>
      </w:r>
      <w:proofErr w:type="spellEnd"/>
      <w:r w:rsidRPr="00B52BB4">
        <w:rPr>
          <w:sz w:val="28"/>
          <w:szCs w:val="28"/>
        </w:rPr>
        <w:t xml:space="preserve"> BR - 5 INDUSTRIAL 2 adresa Sat Chiscani:</w:t>
      </w:r>
    </w:p>
    <w:p w:rsidR="00C234DA" w:rsidRPr="00B52BB4" w:rsidRDefault="00C234DA" w:rsidP="00C234DA">
      <w:pPr>
        <w:jc w:val="center"/>
        <w:rPr>
          <w:i/>
          <w:sz w:val="28"/>
          <w:szCs w:val="28"/>
        </w:rPr>
      </w:pPr>
      <w:r w:rsidRPr="00B52BB4">
        <w:rPr>
          <w:noProof/>
          <w:sz w:val="28"/>
          <w:szCs w:val="28"/>
          <w:lang w:eastAsia="ro-RO"/>
        </w:rPr>
        <w:drawing>
          <wp:inline distT="0" distB="0" distL="0" distR="0">
            <wp:extent cx="5390515" cy="1797050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B52BB4" w:rsidRDefault="00C234DA" w:rsidP="00C234DA">
      <w:pPr>
        <w:rPr>
          <w:sz w:val="28"/>
          <w:szCs w:val="28"/>
        </w:rPr>
      </w:pPr>
      <w:r w:rsidRPr="00B52BB4">
        <w:rPr>
          <w:sz w:val="28"/>
          <w:szCs w:val="28"/>
        </w:rPr>
        <w:tab/>
        <w:t xml:space="preserve">Datele sunt furnizate de </w:t>
      </w:r>
      <w:proofErr w:type="spellStart"/>
      <w:r w:rsidRPr="00B52BB4">
        <w:rPr>
          <w:sz w:val="28"/>
          <w:szCs w:val="28"/>
        </w:rPr>
        <w:t>staţiile</w:t>
      </w:r>
      <w:proofErr w:type="spellEnd"/>
      <w:r w:rsidRPr="00B52BB4">
        <w:rPr>
          <w:sz w:val="28"/>
          <w:szCs w:val="28"/>
        </w:rPr>
        <w:t xml:space="preserve"> automate din </w:t>
      </w:r>
      <w:proofErr w:type="spellStart"/>
      <w:r w:rsidRPr="00B52BB4">
        <w:rPr>
          <w:sz w:val="28"/>
          <w:szCs w:val="28"/>
        </w:rPr>
        <w:t>Reţeaua</w:t>
      </w:r>
      <w:proofErr w:type="spellEnd"/>
      <w:r w:rsidRPr="00B52BB4">
        <w:rPr>
          <w:sz w:val="28"/>
          <w:szCs w:val="28"/>
        </w:rPr>
        <w:t xml:space="preserve"> </w:t>
      </w:r>
      <w:proofErr w:type="spellStart"/>
      <w:r w:rsidRPr="00B52BB4">
        <w:rPr>
          <w:sz w:val="28"/>
          <w:szCs w:val="28"/>
        </w:rPr>
        <w:t>Naţională</w:t>
      </w:r>
      <w:proofErr w:type="spellEnd"/>
      <w:r w:rsidRPr="00B52BB4">
        <w:rPr>
          <w:sz w:val="28"/>
          <w:szCs w:val="28"/>
        </w:rPr>
        <w:t xml:space="preserve"> de Monitorizare a </w:t>
      </w:r>
      <w:proofErr w:type="spellStart"/>
      <w:r w:rsidRPr="00B52BB4">
        <w:rPr>
          <w:sz w:val="28"/>
          <w:szCs w:val="28"/>
        </w:rPr>
        <w:t>Calităţii</w:t>
      </w:r>
      <w:proofErr w:type="spellEnd"/>
      <w:r w:rsidRPr="00B52BB4">
        <w:rPr>
          <w:sz w:val="28"/>
          <w:szCs w:val="28"/>
        </w:rPr>
        <w:t xml:space="preserve"> Aerului </w:t>
      </w:r>
    </w:p>
    <w:p w:rsidR="00C234DA" w:rsidRPr="00B52BB4" w:rsidRDefault="00C234DA" w:rsidP="00C234DA">
      <w:pPr>
        <w:jc w:val="center"/>
        <w:rPr>
          <w:sz w:val="28"/>
          <w:szCs w:val="28"/>
        </w:rPr>
      </w:pPr>
    </w:p>
    <w:p w:rsidR="00C234DA" w:rsidRPr="00127D0B" w:rsidRDefault="00C234DA" w:rsidP="00C234DA">
      <w:pPr>
        <w:jc w:val="center"/>
        <w:rPr>
          <w:rFonts w:ascii="Arial" w:hAnsi="Arial" w:cs="Arial"/>
        </w:rPr>
      </w:pPr>
    </w:p>
    <w:p w:rsidR="008E68EA" w:rsidRPr="00127D0B" w:rsidRDefault="008E68EA" w:rsidP="008E68EA">
      <w:pPr>
        <w:ind w:left="567"/>
        <w:rPr>
          <w:rFonts w:ascii="Arial" w:hAnsi="Arial" w:cs="Arial"/>
          <w:b/>
        </w:rPr>
      </w:pP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980DBA" w:rsidRPr="00471286" w:rsidRDefault="00F41552" w:rsidP="00B43F5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490317" w:rsidRPr="000215F6">
        <w:rPr>
          <w:sz w:val="28"/>
          <w:szCs w:val="28"/>
        </w:rPr>
        <w:t>tația</w:t>
      </w:r>
      <w:r w:rsidR="0091452C" w:rsidRPr="000215F6">
        <w:rPr>
          <w:sz w:val="28"/>
          <w:szCs w:val="28"/>
        </w:rPr>
        <w:t xml:space="preserve"> automată de monitorizare </w:t>
      </w:r>
      <w:r w:rsidR="00772581" w:rsidRPr="000215F6">
        <w:rPr>
          <w:sz w:val="28"/>
          <w:szCs w:val="28"/>
        </w:rPr>
        <w:t xml:space="preserve">a </w:t>
      </w:r>
      <w:r w:rsidR="0091452C" w:rsidRPr="000215F6">
        <w:rPr>
          <w:sz w:val="28"/>
          <w:szCs w:val="28"/>
        </w:rPr>
        <w:t>doz</w:t>
      </w:r>
      <w:r w:rsidR="00772581" w:rsidRPr="000215F6">
        <w:rPr>
          <w:sz w:val="28"/>
          <w:szCs w:val="28"/>
        </w:rPr>
        <w:t>ei</w:t>
      </w:r>
      <w:r w:rsidR="002D5207" w:rsidRPr="000215F6">
        <w:rPr>
          <w:sz w:val="28"/>
          <w:szCs w:val="28"/>
        </w:rPr>
        <w:t xml:space="preserve"> gama</w:t>
      </w:r>
      <w:r w:rsidR="0091452C" w:rsidRPr="000215F6">
        <w:rPr>
          <w:sz w:val="28"/>
          <w:szCs w:val="28"/>
        </w:rPr>
        <w:t xml:space="preserve"> </w:t>
      </w:r>
      <w:r>
        <w:rPr>
          <w:sz w:val="28"/>
          <w:szCs w:val="28"/>
        </w:rPr>
        <w:t>în timp real în luna noiembrie nu a funcționat fiind trimisă la firma de service care a efectuat diagnosticarea și repararea componentelor defecte.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E6115B">
        <w:rPr>
          <w:bCs/>
          <w:sz w:val="28"/>
          <w:szCs w:val="28"/>
          <w:lang w:val="pt-BR"/>
        </w:rPr>
        <w:t>noie</w:t>
      </w:r>
      <w:r w:rsidRPr="005919C2">
        <w:rPr>
          <w:bCs/>
          <w:sz w:val="28"/>
          <w:szCs w:val="28"/>
          <w:lang w:val="pt-BR"/>
        </w:rPr>
        <w:t xml:space="preserve">mbrie 2019, conform programului de monitorizare, </w:t>
      </w:r>
      <w:r w:rsidR="00E6115B"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>s-au prelevat probe de sol</w:t>
      </w:r>
      <w:r w:rsidR="00E6115B">
        <w:rPr>
          <w:bCs/>
          <w:sz w:val="28"/>
          <w:szCs w:val="28"/>
          <w:lang w:val="pt-BR"/>
        </w:rPr>
        <w:t>.</w:t>
      </w:r>
      <w:r w:rsidRPr="005919C2">
        <w:rPr>
          <w:bCs/>
          <w:sz w:val="28"/>
          <w:szCs w:val="28"/>
          <w:lang w:val="pt-BR"/>
        </w:rPr>
        <w:t xml:space="preserve"> 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noie</w:t>
      </w:r>
      <w:r w:rsidRPr="005919C2">
        <w:rPr>
          <w:bCs/>
          <w:sz w:val="28"/>
          <w:szCs w:val="28"/>
          <w:lang w:val="pt-BR"/>
        </w:rPr>
        <w:t xml:space="preserve">mbrie 2019,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18580B" w:rsidRPr="00F16501" w:rsidRDefault="0018580B" w:rsidP="0018580B">
      <w:pPr>
        <w:jc w:val="both"/>
        <w:rPr>
          <w:sz w:val="28"/>
          <w:szCs w:val="28"/>
          <w:u w:val="single"/>
        </w:rPr>
      </w:pPr>
    </w:p>
    <w:p w:rsidR="00C058BD" w:rsidRPr="00F16501" w:rsidRDefault="00C058BD" w:rsidP="00C058BD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lastRenderedPageBreak/>
        <w:t>Colaborare cu Serviciul Avize Acorduri Autoriza</w:t>
      </w:r>
      <w:r w:rsidR="00280436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ii pentru elaborarea actelor de reglementare - s-au analizat </w:t>
      </w:r>
      <w:r>
        <w:rPr>
          <w:sz w:val="28"/>
          <w:szCs w:val="28"/>
        </w:rPr>
        <w:t>23</w:t>
      </w:r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documentaţii</w:t>
      </w:r>
      <w:proofErr w:type="spellEnd"/>
      <w:r w:rsidRPr="00F16501">
        <w:rPr>
          <w:sz w:val="28"/>
          <w:szCs w:val="28"/>
        </w:rPr>
        <w:t xml:space="preserve"> pentru emitere acte de reglementare, pentru care:</w:t>
      </w:r>
    </w:p>
    <w:p w:rsidR="00C058BD" w:rsidRPr="00F16501" w:rsidRDefault="00C058BD" w:rsidP="00C058BD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>s-au  făcut observa</w:t>
      </w:r>
      <w:r w:rsidR="00280436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ii în cadrul  </w:t>
      </w:r>
      <w:r w:rsidR="00280436">
        <w:rPr>
          <w:sz w:val="28"/>
          <w:szCs w:val="28"/>
        </w:rPr>
        <w:t>ș</w:t>
      </w:r>
      <w:r w:rsidRPr="00F16501">
        <w:rPr>
          <w:sz w:val="28"/>
          <w:szCs w:val="28"/>
        </w:rPr>
        <w:t>edin</w:t>
      </w:r>
      <w:r w:rsidR="00280436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elor CAT </w:t>
      </w:r>
    </w:p>
    <w:p w:rsidR="00C058BD" w:rsidRPr="00F16501" w:rsidRDefault="00C058BD" w:rsidP="00C058BD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emis </w:t>
      </w:r>
      <w:r>
        <w:rPr>
          <w:sz w:val="28"/>
          <w:szCs w:val="28"/>
        </w:rPr>
        <w:t>23</w:t>
      </w:r>
      <w:r w:rsidRPr="00F16501">
        <w:rPr>
          <w:sz w:val="28"/>
          <w:szCs w:val="28"/>
        </w:rPr>
        <w:t xml:space="preserve"> puncte de vedere pentru:  </w:t>
      </w:r>
    </w:p>
    <w:p w:rsidR="00C058BD" w:rsidRDefault="00C058BD" w:rsidP="00C058B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avizului de mediu pentru </w:t>
      </w:r>
      <w:r w:rsidRPr="00CE55FB">
        <w:rPr>
          <w:sz w:val="28"/>
          <w:szCs w:val="28"/>
        </w:rPr>
        <w:t>PUZ ” Depozit cereale</w:t>
      </w:r>
      <w:r w:rsidRPr="00CE55FB">
        <w:rPr>
          <w:i/>
          <w:sz w:val="28"/>
          <w:szCs w:val="28"/>
        </w:rPr>
        <w:t>, șopron, spațiu administrativ, laborator, cântar auto</w:t>
      </w:r>
      <w:r w:rsidRPr="00CE55FB">
        <w:rPr>
          <w:sz w:val="28"/>
          <w:szCs w:val="28"/>
        </w:rPr>
        <w:t xml:space="preserve">” propus în jud. Brăila, comuna Cireșu, satul Vultureni, str. Independenței, nr. 1 B </w:t>
      </w:r>
    </w:p>
    <w:p w:rsidR="00C058BD" w:rsidRPr="00CE55FB" w:rsidRDefault="00C058BD" w:rsidP="00C058B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CE55FB">
        <w:rPr>
          <w:sz w:val="28"/>
          <w:szCs w:val="28"/>
        </w:rPr>
        <w:t xml:space="preserve">emiterea acordului de mediu pentru:    </w:t>
      </w:r>
    </w:p>
    <w:p w:rsidR="00C058BD" w:rsidRPr="00CE55FB" w:rsidRDefault="00C058BD" w:rsidP="00C058B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un proiect</w:t>
      </w:r>
      <w:r>
        <w:t xml:space="preserve">” </w:t>
      </w:r>
      <w:r w:rsidRPr="00CE55FB">
        <w:rPr>
          <w:sz w:val="28"/>
          <w:szCs w:val="28"/>
        </w:rPr>
        <w:t>Înființare distribuție gaze naturale în satele Ulmu</w:t>
      </w:r>
      <w:r w:rsidRPr="00CE55FB">
        <w:rPr>
          <w:i/>
          <w:sz w:val="28"/>
          <w:szCs w:val="28"/>
        </w:rPr>
        <w:t xml:space="preserve">  și Jugureanu, aparținătoare comunei Ulmu, Județul Brăila</w:t>
      </w:r>
      <w:r w:rsidRPr="00CE55FB">
        <w:rPr>
          <w:sz w:val="28"/>
          <w:szCs w:val="28"/>
        </w:rPr>
        <w:t xml:space="preserve">” propus în jud. Brăila, satele  Ulmu și Jugureanu </w:t>
      </w:r>
      <w:r>
        <w:rPr>
          <w:sz w:val="28"/>
          <w:szCs w:val="28"/>
        </w:rPr>
        <w:t xml:space="preserve">amplasat în </w:t>
      </w:r>
      <w:r w:rsidRPr="00CE55FB">
        <w:rPr>
          <w:sz w:val="28"/>
          <w:szCs w:val="28"/>
        </w:rPr>
        <w:t>vecin</w:t>
      </w:r>
      <w:r w:rsidR="00280436">
        <w:rPr>
          <w:sz w:val="28"/>
          <w:szCs w:val="28"/>
        </w:rPr>
        <w:t>ă</w:t>
      </w:r>
      <w:r w:rsidRPr="00CE55FB">
        <w:rPr>
          <w:sz w:val="28"/>
          <w:szCs w:val="28"/>
        </w:rPr>
        <w:t>tatea SPA si SCI Valea C</w:t>
      </w:r>
      <w:r w:rsidR="00280436">
        <w:rPr>
          <w:sz w:val="28"/>
          <w:szCs w:val="28"/>
        </w:rPr>
        <w:t>ă</w:t>
      </w:r>
      <w:r w:rsidRPr="00CE55FB">
        <w:rPr>
          <w:sz w:val="28"/>
          <w:szCs w:val="28"/>
        </w:rPr>
        <w:t>lm</w:t>
      </w:r>
      <w:r w:rsidR="00280436">
        <w:rPr>
          <w:sz w:val="28"/>
          <w:szCs w:val="28"/>
        </w:rPr>
        <w:t>ăț</w:t>
      </w:r>
      <w:r w:rsidRPr="00CE55FB">
        <w:rPr>
          <w:sz w:val="28"/>
          <w:szCs w:val="28"/>
        </w:rPr>
        <w:t>uiului</w:t>
      </w:r>
    </w:p>
    <w:p w:rsidR="00C058BD" w:rsidRPr="00CE55FB" w:rsidRDefault="00C058BD" w:rsidP="00C058B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CE55FB">
        <w:rPr>
          <w:rFonts w:eastAsia="Calibri"/>
          <w:sz w:val="28"/>
          <w:szCs w:val="28"/>
        </w:rPr>
        <w:t>proiectul notificat de Primăria Municipiului Brăila ”Reabilitare și modernizare Parc Monument etapa a II</w:t>
      </w:r>
      <w:r w:rsidR="00280436">
        <w:rPr>
          <w:rFonts w:eastAsia="Calibri"/>
          <w:sz w:val="28"/>
          <w:szCs w:val="28"/>
        </w:rPr>
        <w:t xml:space="preserve"> </w:t>
      </w:r>
      <w:r w:rsidRPr="00CE55FB">
        <w:rPr>
          <w:rFonts w:eastAsia="Calibri"/>
          <w:sz w:val="28"/>
          <w:szCs w:val="28"/>
        </w:rPr>
        <w:t>a”</w:t>
      </w:r>
    </w:p>
    <w:p w:rsidR="00C058BD" w:rsidRPr="00CE55FB" w:rsidRDefault="00C058BD" w:rsidP="00C058B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CE55FB">
        <w:rPr>
          <w:sz w:val="28"/>
          <w:szCs w:val="28"/>
        </w:rPr>
        <w:t>proiectul</w:t>
      </w:r>
      <w:r w:rsidRPr="00CE55FB">
        <w:rPr>
          <w:i/>
          <w:sz w:val="28"/>
          <w:szCs w:val="28"/>
        </w:rPr>
        <w:t xml:space="preserve"> ”</w:t>
      </w:r>
      <w:r w:rsidRPr="00CE55FB">
        <w:rPr>
          <w:b/>
          <w:i/>
          <w:sz w:val="28"/>
          <w:szCs w:val="28"/>
        </w:rPr>
        <w:t>Desființare construcții C7, C8, C9, C10, C11, C12, C13, C14</w:t>
      </w:r>
      <w:r w:rsidRPr="00CE55FB">
        <w:rPr>
          <w:i/>
          <w:sz w:val="28"/>
          <w:szCs w:val="28"/>
        </w:rPr>
        <w:t xml:space="preserve">” </w:t>
      </w:r>
      <w:r w:rsidRPr="00CE55FB">
        <w:rPr>
          <w:sz w:val="28"/>
          <w:szCs w:val="28"/>
        </w:rPr>
        <w:t>propus a fi amplasat în jud. Braila, comuna Chiscani,  satul Chiscan</w:t>
      </w:r>
      <w:r>
        <w:rPr>
          <w:sz w:val="28"/>
          <w:szCs w:val="28"/>
        </w:rPr>
        <w:t>i, tarlaua 101, parcela 639/3/2, situat în</w:t>
      </w:r>
      <w:r w:rsidRPr="00CE55FB">
        <w:rPr>
          <w:sz w:val="28"/>
          <w:szCs w:val="28"/>
        </w:rPr>
        <w:t xml:space="preserve"> vecin</w:t>
      </w:r>
      <w:r w:rsidR="00280436">
        <w:rPr>
          <w:sz w:val="28"/>
          <w:szCs w:val="28"/>
        </w:rPr>
        <w:t>ă</w:t>
      </w:r>
      <w:r w:rsidRPr="00CE55FB">
        <w:rPr>
          <w:sz w:val="28"/>
          <w:szCs w:val="28"/>
        </w:rPr>
        <w:t>tatea SCI si SPA Balta Mica a Br</w:t>
      </w:r>
      <w:r w:rsidR="00280436">
        <w:rPr>
          <w:sz w:val="28"/>
          <w:szCs w:val="28"/>
        </w:rPr>
        <w:t>ă</w:t>
      </w:r>
      <w:r w:rsidRPr="00CE55FB">
        <w:rPr>
          <w:sz w:val="28"/>
          <w:szCs w:val="28"/>
        </w:rPr>
        <w:t>ilei</w:t>
      </w:r>
    </w:p>
    <w:p w:rsidR="00C058BD" w:rsidRDefault="00C058BD" w:rsidP="00C058B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CE55FB">
        <w:rPr>
          <w:sz w:val="28"/>
          <w:szCs w:val="28"/>
        </w:rPr>
        <w:t>proiectul</w:t>
      </w:r>
      <w:r w:rsidRPr="00CE55FB">
        <w:rPr>
          <w:i/>
          <w:sz w:val="28"/>
          <w:szCs w:val="28"/>
        </w:rPr>
        <w:t xml:space="preserve"> ”</w:t>
      </w:r>
      <w:r w:rsidRPr="00CE55FB">
        <w:rPr>
          <w:b/>
          <w:i/>
          <w:sz w:val="28"/>
          <w:szCs w:val="28"/>
        </w:rPr>
        <w:t>Construire și amenajare a unei platforme transbordare cereale</w:t>
      </w:r>
      <w:r w:rsidRPr="00CE55FB">
        <w:rPr>
          <w:i/>
          <w:sz w:val="28"/>
          <w:szCs w:val="28"/>
        </w:rPr>
        <w:t xml:space="preserve">” </w:t>
      </w:r>
      <w:r w:rsidRPr="00CE55FB">
        <w:rPr>
          <w:sz w:val="28"/>
          <w:szCs w:val="28"/>
        </w:rPr>
        <w:t>propus a fi amplasat în jud. Braila, comuna Chiscani,  satul Chiscan</w:t>
      </w:r>
      <w:r>
        <w:rPr>
          <w:sz w:val="28"/>
          <w:szCs w:val="28"/>
        </w:rPr>
        <w:t xml:space="preserve">i, tarlaua 101, parcela 639/3/2, situat în </w:t>
      </w:r>
      <w:r w:rsidRPr="00CE55FB">
        <w:rPr>
          <w:sz w:val="28"/>
          <w:szCs w:val="28"/>
        </w:rPr>
        <w:t xml:space="preserve"> vecin</w:t>
      </w:r>
      <w:r w:rsidR="00280436">
        <w:rPr>
          <w:sz w:val="28"/>
          <w:szCs w:val="28"/>
        </w:rPr>
        <w:t>ă</w:t>
      </w:r>
      <w:r w:rsidRPr="00CE55FB">
        <w:rPr>
          <w:sz w:val="28"/>
          <w:szCs w:val="28"/>
        </w:rPr>
        <w:t>tatea SCI si SPA Balta Mic</w:t>
      </w:r>
      <w:r w:rsidR="00A435DE">
        <w:rPr>
          <w:sz w:val="28"/>
          <w:szCs w:val="28"/>
        </w:rPr>
        <w:t>ă</w:t>
      </w:r>
      <w:r w:rsidRPr="00CE55FB">
        <w:rPr>
          <w:sz w:val="28"/>
          <w:szCs w:val="28"/>
        </w:rPr>
        <w:t xml:space="preserve"> a Br</w:t>
      </w:r>
      <w:r w:rsidR="00A435DE">
        <w:rPr>
          <w:sz w:val="28"/>
          <w:szCs w:val="28"/>
        </w:rPr>
        <w:t>ă</w:t>
      </w:r>
      <w:r w:rsidRPr="00CE55FB">
        <w:rPr>
          <w:sz w:val="28"/>
          <w:szCs w:val="28"/>
        </w:rPr>
        <w:t>ilei</w:t>
      </w:r>
    </w:p>
    <w:p w:rsidR="00C058BD" w:rsidRPr="002C7E0B" w:rsidRDefault="00C058BD" w:rsidP="00C058BD">
      <w:pPr>
        <w:pStyle w:val="Listparagraf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7E0B">
        <w:rPr>
          <w:rFonts w:ascii="Times New Roman" w:hAnsi="Times New Roman"/>
          <w:sz w:val="28"/>
          <w:szCs w:val="28"/>
        </w:rPr>
        <w:t xml:space="preserve">s-au emis 16 autorizații pentru </w:t>
      </w:r>
      <w:r>
        <w:rPr>
          <w:rFonts w:ascii="Times New Roman" w:hAnsi="Times New Roman"/>
          <w:sz w:val="28"/>
          <w:szCs w:val="28"/>
        </w:rPr>
        <w:t>activitatea de pescuit</w:t>
      </w:r>
      <w:r w:rsidRPr="002C7E0B">
        <w:rPr>
          <w:rFonts w:ascii="Times New Roman" w:hAnsi="Times New Roman"/>
          <w:sz w:val="28"/>
          <w:szCs w:val="28"/>
        </w:rPr>
        <w:t xml:space="preserve"> conform Ordin</w:t>
      </w:r>
      <w:r>
        <w:rPr>
          <w:rFonts w:ascii="Times New Roman" w:hAnsi="Times New Roman"/>
          <w:sz w:val="28"/>
          <w:szCs w:val="28"/>
        </w:rPr>
        <w:t>ului</w:t>
      </w:r>
      <w:r w:rsidRPr="002C7E0B">
        <w:rPr>
          <w:rFonts w:ascii="Times New Roman" w:hAnsi="Times New Roman"/>
          <w:sz w:val="28"/>
          <w:szCs w:val="28"/>
        </w:rPr>
        <w:t xml:space="preserve">  Nr. 410 / 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E0B">
        <w:rPr>
          <w:rFonts w:ascii="Times New Roman" w:hAnsi="Times New Roman"/>
          <w:i/>
          <w:sz w:val="28"/>
          <w:szCs w:val="28"/>
        </w:rPr>
        <w:t xml:space="preserve">pentru aprobarea Procedurii de autorizare a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activităţilor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de recoltare, capturare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/sau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achiziţie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/sau comercializare, pe teritoriul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naţional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sau la export, a florilor de mină, a fosilelor de plante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fosilelor de animale vertebrate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nevertebrate, precum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a plantelor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animalelor din flora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, respectiv, fauna sălbatice </w:t>
      </w:r>
      <w:proofErr w:type="spellStart"/>
      <w:r w:rsidRPr="002C7E0B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2C7E0B">
        <w:rPr>
          <w:rFonts w:ascii="Times New Roman" w:hAnsi="Times New Roman"/>
          <w:i/>
          <w:sz w:val="28"/>
          <w:szCs w:val="28"/>
        </w:rPr>
        <w:t xml:space="preserve"> a importului acestora</w:t>
      </w:r>
    </w:p>
    <w:p w:rsidR="00C058BD" w:rsidRPr="00603C57" w:rsidRDefault="00C058BD" w:rsidP="00C058BD">
      <w:pPr>
        <w:pStyle w:val="Listparagraf"/>
        <w:ind w:left="1440"/>
        <w:jc w:val="both"/>
        <w:rPr>
          <w:sz w:val="28"/>
          <w:szCs w:val="28"/>
        </w:rPr>
      </w:pPr>
    </w:p>
    <w:p w:rsidR="00C058BD" w:rsidRPr="00F16501" w:rsidRDefault="00C058BD" w:rsidP="00C058BD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16501">
        <w:rPr>
          <w:sz w:val="28"/>
          <w:szCs w:val="28"/>
        </w:rPr>
        <w:t>Fişa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judeţului</w:t>
      </w:r>
      <w:proofErr w:type="spellEnd"/>
      <w:r w:rsidRPr="00F16501">
        <w:rPr>
          <w:sz w:val="28"/>
          <w:szCs w:val="28"/>
        </w:rPr>
        <w:t xml:space="preserve">. </w:t>
      </w:r>
    </w:p>
    <w:p w:rsidR="00C058BD" w:rsidRPr="00F16501" w:rsidRDefault="00C058BD" w:rsidP="00C058BD">
      <w:pPr>
        <w:jc w:val="both"/>
        <w:rPr>
          <w:b/>
          <w:sz w:val="28"/>
          <w:szCs w:val="28"/>
          <w:u w:val="single"/>
        </w:rPr>
      </w:pPr>
    </w:p>
    <w:p w:rsidR="00C058BD" w:rsidRPr="00F16501" w:rsidRDefault="00C058BD" w:rsidP="00C058BD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SOL-SUBSOL</w:t>
      </w:r>
    </w:p>
    <w:p w:rsidR="00C058BD" w:rsidRPr="002C7E0B" w:rsidRDefault="00C058BD" w:rsidP="00C058BD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Colaborare cu Serviciul Avize Acorduri </w:t>
      </w:r>
      <w:proofErr w:type="spellStart"/>
      <w:r w:rsidRPr="002C7E0B">
        <w:rPr>
          <w:sz w:val="28"/>
          <w:szCs w:val="28"/>
        </w:rPr>
        <w:t>Autorizaţii</w:t>
      </w:r>
      <w:proofErr w:type="spellEnd"/>
      <w:r w:rsidRPr="002C7E0B">
        <w:rPr>
          <w:sz w:val="28"/>
          <w:szCs w:val="28"/>
        </w:rPr>
        <w:t xml:space="preserve"> pentru elaborarea actelor de reglementare: s-au emis 3 puncte de vedere pentru</w:t>
      </w:r>
    </w:p>
    <w:p w:rsidR="00C058BD" w:rsidRPr="002C7E0B" w:rsidRDefault="00C058BD" w:rsidP="00C058BD">
      <w:pPr>
        <w:pStyle w:val="Listparagraf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7E0B">
        <w:rPr>
          <w:rFonts w:ascii="Times New Roman" w:hAnsi="Times New Roman"/>
          <w:sz w:val="28"/>
          <w:szCs w:val="28"/>
        </w:rPr>
        <w:t xml:space="preserve">indicatorii necesari a fi analizați pentru sol și apa subterană, care să constituie situația de referință înainte de începerea activității aferente Stației de sortare și tratare mecano-chimică Vădeni </w:t>
      </w:r>
    </w:p>
    <w:p w:rsidR="00C058BD" w:rsidRPr="002C7E0B" w:rsidRDefault="00C058BD" w:rsidP="00C058BD">
      <w:pPr>
        <w:pStyle w:val="Listparagraf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7E0B">
        <w:rPr>
          <w:rFonts w:ascii="Times New Roman" w:hAnsi="Times New Roman"/>
          <w:sz w:val="28"/>
          <w:szCs w:val="28"/>
        </w:rPr>
        <w:t>rapoartele de încercare și  lucrările realizate de OMV PETROM SA pe amplasamentul fostului depozit PECO Ianca</w:t>
      </w:r>
    </w:p>
    <w:p w:rsidR="00C058BD" w:rsidRPr="002C7E0B" w:rsidRDefault="00C058BD" w:rsidP="00C058BD">
      <w:pPr>
        <w:pStyle w:val="Listparagraf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7E0B">
        <w:rPr>
          <w:rFonts w:ascii="Times New Roman" w:hAnsi="Times New Roman"/>
          <w:sz w:val="28"/>
          <w:szCs w:val="28"/>
        </w:rPr>
        <w:lastRenderedPageBreak/>
        <w:t xml:space="preserve">privind solicitarea permisului de aplicare conform </w:t>
      </w:r>
      <w:r w:rsidRPr="002C7E0B">
        <w:rPr>
          <w:rFonts w:ascii="Times New Roman" w:hAnsi="Times New Roman"/>
          <w:i/>
          <w:sz w:val="28"/>
          <w:szCs w:val="28"/>
        </w:rPr>
        <w:t>Ordinului MMGA și MAPDR nr. 344/2004 pentru aprobarea Normelor tehnice privind prote</w:t>
      </w:r>
      <w:r w:rsidR="00280436">
        <w:rPr>
          <w:rFonts w:ascii="Times New Roman" w:hAnsi="Times New Roman"/>
          <w:i/>
          <w:sz w:val="28"/>
          <w:szCs w:val="28"/>
        </w:rPr>
        <w:t>cț</w:t>
      </w:r>
      <w:r w:rsidRPr="002C7E0B">
        <w:rPr>
          <w:rFonts w:ascii="Times New Roman" w:hAnsi="Times New Roman"/>
          <w:i/>
          <w:sz w:val="28"/>
          <w:szCs w:val="28"/>
        </w:rPr>
        <w:t xml:space="preserve">ia mediului </w:t>
      </w:r>
      <w:r w:rsidR="00280436">
        <w:rPr>
          <w:rFonts w:ascii="Times New Roman" w:hAnsi="Times New Roman"/>
          <w:i/>
          <w:sz w:val="28"/>
          <w:szCs w:val="28"/>
        </w:rPr>
        <w:t>ș</w:t>
      </w:r>
      <w:r w:rsidRPr="002C7E0B">
        <w:rPr>
          <w:rFonts w:ascii="Times New Roman" w:hAnsi="Times New Roman"/>
          <w:i/>
          <w:sz w:val="28"/>
          <w:szCs w:val="28"/>
        </w:rPr>
        <w:t>i în special a solurilor, când se utilizează nămolurile de epurare în agricultură</w:t>
      </w:r>
    </w:p>
    <w:p w:rsidR="00C058BD" w:rsidRPr="00F16501" w:rsidRDefault="00C058BD" w:rsidP="00C058BD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16501">
        <w:rPr>
          <w:sz w:val="28"/>
          <w:szCs w:val="28"/>
        </w:rPr>
        <w:t>Fişa</w:t>
      </w:r>
      <w:proofErr w:type="spellEnd"/>
      <w:r w:rsidRPr="00F16501">
        <w:rPr>
          <w:sz w:val="28"/>
          <w:szCs w:val="28"/>
        </w:rPr>
        <w:t xml:space="preserve"> </w:t>
      </w:r>
      <w:proofErr w:type="spellStart"/>
      <w:r w:rsidRPr="00F16501">
        <w:rPr>
          <w:sz w:val="28"/>
          <w:szCs w:val="28"/>
        </w:rPr>
        <w:t>judeţului</w:t>
      </w:r>
      <w:proofErr w:type="spellEnd"/>
      <w:r w:rsidRPr="00F16501">
        <w:rPr>
          <w:sz w:val="28"/>
          <w:szCs w:val="28"/>
        </w:rPr>
        <w:t xml:space="preserve">. </w:t>
      </w:r>
    </w:p>
    <w:p w:rsidR="00556AD9" w:rsidRPr="00471286" w:rsidRDefault="00556AD9" w:rsidP="00450B02">
      <w:pPr>
        <w:ind w:left="426"/>
        <w:jc w:val="both"/>
        <w:rPr>
          <w:sz w:val="28"/>
          <w:szCs w:val="28"/>
        </w:rPr>
      </w:pP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4C2B11" w:rsidRPr="00F16501" w:rsidRDefault="004C2B11" w:rsidP="004C2B11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Colaborare cu Serviciul Avize Acorduri Autoriza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ii pentru elaborarea actelor de reglementare: au fost analizate </w:t>
      </w:r>
      <w:r>
        <w:rPr>
          <w:sz w:val="28"/>
          <w:szCs w:val="28"/>
        </w:rPr>
        <w:t>23</w:t>
      </w:r>
      <w:r w:rsidRPr="00F16501">
        <w:rPr>
          <w:sz w:val="28"/>
          <w:szCs w:val="28"/>
        </w:rPr>
        <w:t xml:space="preserve"> documenta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>ii pentru care:</w:t>
      </w:r>
    </w:p>
    <w:p w:rsidR="004C2B11" w:rsidRPr="00F16501" w:rsidRDefault="004C2B11" w:rsidP="004C2B11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>s-au  făcut observa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ii în cadrul  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>edin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elor CAT </w:t>
      </w:r>
    </w:p>
    <w:p w:rsidR="004C2B11" w:rsidRPr="00F16501" w:rsidRDefault="004C2B11" w:rsidP="004C2B11">
      <w:pPr>
        <w:numPr>
          <w:ilvl w:val="0"/>
          <w:numId w:val="28"/>
        </w:numPr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emis  </w:t>
      </w:r>
      <w:r>
        <w:rPr>
          <w:sz w:val="28"/>
          <w:szCs w:val="28"/>
        </w:rPr>
        <w:t>23</w:t>
      </w:r>
      <w:r w:rsidRPr="00F16501">
        <w:rPr>
          <w:sz w:val="28"/>
          <w:szCs w:val="28"/>
        </w:rPr>
        <w:t xml:space="preserve"> puncte de vedere pentru:</w:t>
      </w:r>
    </w:p>
    <w:p w:rsidR="004C2B11" w:rsidRPr="00F16501" w:rsidRDefault="004C2B11" w:rsidP="004C2B1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avizului de mediu pentru </w:t>
      </w:r>
    </w:p>
    <w:p w:rsidR="004C2B11" w:rsidRDefault="004C2B11" w:rsidP="004C2B1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emiterea avizului de mediu pentru </w:t>
      </w:r>
      <w:r w:rsidRPr="00CE55FB">
        <w:rPr>
          <w:sz w:val="28"/>
          <w:szCs w:val="28"/>
        </w:rPr>
        <w:t>PUZ ” Depozit cereale</w:t>
      </w:r>
      <w:r w:rsidRPr="00CE55FB">
        <w:rPr>
          <w:i/>
          <w:sz w:val="28"/>
          <w:szCs w:val="28"/>
        </w:rPr>
        <w:t>, șopron, spațiu administrativ, laborator, cântar auto</w:t>
      </w:r>
      <w:r w:rsidRPr="00CE55FB">
        <w:rPr>
          <w:sz w:val="28"/>
          <w:szCs w:val="28"/>
        </w:rPr>
        <w:t xml:space="preserve">” propus în jud. Brăila, comuna Cireșu, satul Vultureni, str. Independenței, nr. 1 B </w:t>
      </w:r>
    </w:p>
    <w:p w:rsidR="004C2B11" w:rsidRPr="00CE55FB" w:rsidRDefault="004C2B11" w:rsidP="004C2B1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CE55FB">
        <w:rPr>
          <w:sz w:val="28"/>
          <w:szCs w:val="28"/>
        </w:rPr>
        <w:t xml:space="preserve">emiterea acordului de mediu pentru:    </w:t>
      </w:r>
    </w:p>
    <w:p w:rsidR="004C2B11" w:rsidRPr="00CE55FB" w:rsidRDefault="004C2B11" w:rsidP="004C2B1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un proiect</w:t>
      </w:r>
      <w:r>
        <w:t xml:space="preserve">” </w:t>
      </w:r>
      <w:r w:rsidRPr="00CE55FB">
        <w:rPr>
          <w:sz w:val="28"/>
          <w:szCs w:val="28"/>
        </w:rPr>
        <w:t>Înființare distribuție gaze naturale în satele Ulmu</w:t>
      </w:r>
      <w:r w:rsidRPr="00CE55FB">
        <w:rPr>
          <w:i/>
          <w:sz w:val="28"/>
          <w:szCs w:val="28"/>
        </w:rPr>
        <w:t xml:space="preserve">  și Jugureanu, aparținătoare comunei Ulmu, Județul Brăila</w:t>
      </w:r>
      <w:r w:rsidRPr="00CE55FB">
        <w:rPr>
          <w:sz w:val="28"/>
          <w:szCs w:val="28"/>
        </w:rPr>
        <w:t xml:space="preserve">” propus în jud. Brăila, satele  Ulmu și Jugureanu </w:t>
      </w:r>
    </w:p>
    <w:p w:rsidR="004C2B11" w:rsidRPr="00CE55FB" w:rsidRDefault="004C2B11" w:rsidP="004C2B1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CE55FB">
        <w:rPr>
          <w:rFonts w:eastAsia="Calibri"/>
          <w:sz w:val="28"/>
          <w:szCs w:val="28"/>
        </w:rPr>
        <w:t>proiectul notificat de Primăria Municipiului Brăila ”Reabilitare și modernizare Parc Monument etapa a II</w:t>
      </w:r>
      <w:r w:rsidR="006C4EAD">
        <w:rPr>
          <w:rFonts w:eastAsia="Calibri"/>
          <w:sz w:val="28"/>
          <w:szCs w:val="28"/>
        </w:rPr>
        <w:t xml:space="preserve"> </w:t>
      </w:r>
      <w:r w:rsidRPr="00CE55FB">
        <w:rPr>
          <w:rFonts w:eastAsia="Calibri"/>
          <w:sz w:val="28"/>
          <w:szCs w:val="28"/>
        </w:rPr>
        <w:t>a”</w:t>
      </w:r>
    </w:p>
    <w:p w:rsidR="004C2B11" w:rsidRDefault="004C2B11" w:rsidP="004C2B1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CE55FB">
        <w:rPr>
          <w:sz w:val="28"/>
          <w:szCs w:val="28"/>
        </w:rPr>
        <w:t>proiectul</w:t>
      </w:r>
      <w:r w:rsidRPr="00CE55FB">
        <w:rPr>
          <w:i/>
          <w:sz w:val="28"/>
          <w:szCs w:val="28"/>
        </w:rPr>
        <w:t xml:space="preserve"> ”</w:t>
      </w:r>
      <w:r w:rsidRPr="00CE55FB">
        <w:rPr>
          <w:b/>
          <w:i/>
          <w:sz w:val="28"/>
          <w:szCs w:val="28"/>
        </w:rPr>
        <w:t>Desființare construcții C7, C8, C9, C10, C11, C12, C13, C14</w:t>
      </w:r>
      <w:r w:rsidRPr="00CE55FB">
        <w:rPr>
          <w:i/>
          <w:sz w:val="28"/>
          <w:szCs w:val="28"/>
        </w:rPr>
        <w:t xml:space="preserve">” </w:t>
      </w:r>
      <w:r w:rsidRPr="00CE55FB">
        <w:rPr>
          <w:sz w:val="28"/>
          <w:szCs w:val="28"/>
        </w:rPr>
        <w:t>propus a fi amplasat în jud. Braila, comuna Chiscani,  satul Chiscan</w:t>
      </w:r>
      <w:r>
        <w:rPr>
          <w:sz w:val="28"/>
          <w:szCs w:val="28"/>
        </w:rPr>
        <w:t>i, tarlaua 101, parcela 639/3/2</w:t>
      </w:r>
    </w:p>
    <w:p w:rsidR="004C2B11" w:rsidRPr="00603C57" w:rsidRDefault="004C2B11" w:rsidP="004C2B11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603C57">
        <w:rPr>
          <w:sz w:val="28"/>
          <w:szCs w:val="28"/>
        </w:rPr>
        <w:t>proiectul</w:t>
      </w:r>
      <w:r w:rsidRPr="00603C57">
        <w:rPr>
          <w:i/>
          <w:sz w:val="28"/>
          <w:szCs w:val="28"/>
        </w:rPr>
        <w:t xml:space="preserve"> ”</w:t>
      </w:r>
      <w:r w:rsidRPr="00603C57">
        <w:rPr>
          <w:b/>
          <w:i/>
          <w:sz w:val="28"/>
          <w:szCs w:val="28"/>
        </w:rPr>
        <w:t>Construire și amenajare a unei platforme transbordare cereale</w:t>
      </w:r>
      <w:r w:rsidRPr="00603C57">
        <w:rPr>
          <w:i/>
          <w:sz w:val="28"/>
          <w:szCs w:val="28"/>
        </w:rPr>
        <w:t xml:space="preserve">” </w:t>
      </w:r>
      <w:r w:rsidRPr="00603C57">
        <w:rPr>
          <w:sz w:val="28"/>
          <w:szCs w:val="28"/>
        </w:rPr>
        <w:t>propus a fi amplasat în jud. Braila, comuna Chiscani,  satul Chiscani, tarlaua 101, parcela 639/3/2</w:t>
      </w:r>
    </w:p>
    <w:p w:rsidR="004C2B11" w:rsidRPr="006658E5" w:rsidRDefault="004C2B11" w:rsidP="004C2B11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6658E5">
        <w:rPr>
          <w:sz w:val="28"/>
          <w:szCs w:val="28"/>
        </w:rPr>
        <w:t>emiter</w:t>
      </w:r>
      <w:r>
        <w:rPr>
          <w:sz w:val="28"/>
          <w:szCs w:val="28"/>
        </w:rPr>
        <w:t>ea autorizației de mediu pentru 14 solicit</w:t>
      </w:r>
      <w:r w:rsidR="006C4EAD">
        <w:rPr>
          <w:sz w:val="28"/>
          <w:szCs w:val="28"/>
        </w:rPr>
        <w:t>ă</w:t>
      </w:r>
      <w:r>
        <w:rPr>
          <w:sz w:val="28"/>
          <w:szCs w:val="28"/>
        </w:rPr>
        <w:t xml:space="preserve">ri ale serviciului  </w:t>
      </w:r>
      <w:r w:rsidRPr="00F16501">
        <w:rPr>
          <w:sz w:val="28"/>
          <w:szCs w:val="28"/>
        </w:rPr>
        <w:t>Avize Acorduri Autoriza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>ii</w:t>
      </w:r>
    </w:p>
    <w:p w:rsidR="001161BC" w:rsidRPr="00F16501" w:rsidRDefault="001161BC" w:rsidP="001161BC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S-au colectat, validat 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 xml:space="preserve">i prelucrat datele 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>i informa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 xml:space="preserve">iile necesare, s-au întocmit inventarele specifice 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>i s-au făcut raportările corespunzătoare privind: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fluxul de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>eurilor;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inventarul deșeurilor de ambalaje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capitolele corespunzătoare domeniului din raportul lunar Fi</w:t>
      </w:r>
      <w:r w:rsidR="006C4EAD">
        <w:rPr>
          <w:sz w:val="28"/>
          <w:szCs w:val="28"/>
        </w:rPr>
        <w:t>ș</w:t>
      </w:r>
      <w:r w:rsidRPr="00F16501">
        <w:rPr>
          <w:sz w:val="28"/>
          <w:szCs w:val="28"/>
        </w:rPr>
        <w:t>a jude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>ului;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situa</w:t>
      </w:r>
      <w:r w:rsidR="006C4EAD">
        <w:rPr>
          <w:sz w:val="28"/>
          <w:szCs w:val="28"/>
        </w:rPr>
        <w:t>ț</w:t>
      </w:r>
      <w:r w:rsidRPr="00F16501">
        <w:rPr>
          <w:sz w:val="28"/>
          <w:szCs w:val="28"/>
        </w:rPr>
        <w:t>ia depozitelor conforme de deșeuri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substanțe periculoase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statistica deșeurilor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deșeuri de echipamente electrice și electronice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t>implementarea sistemului de management integrat al deșeurilor</w:t>
      </w:r>
    </w:p>
    <w:p w:rsidR="001161BC" w:rsidRPr="00F16501" w:rsidRDefault="001161BC" w:rsidP="001161BC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16501">
        <w:rPr>
          <w:sz w:val="28"/>
          <w:szCs w:val="28"/>
        </w:rPr>
        <w:lastRenderedPageBreak/>
        <w:t xml:space="preserve">inventarul INEGES pentru sectorul incinerare deșeuri(5 operatori) și pentru metan recuperat  pe depozitul conform de </w:t>
      </w:r>
      <w:proofErr w:type="spellStart"/>
      <w:r w:rsidRPr="00F16501">
        <w:rPr>
          <w:sz w:val="28"/>
          <w:szCs w:val="28"/>
        </w:rPr>
        <w:t>deseuri</w:t>
      </w:r>
      <w:proofErr w:type="spellEnd"/>
      <w:r w:rsidRPr="00F16501">
        <w:rPr>
          <w:sz w:val="28"/>
          <w:szCs w:val="28"/>
        </w:rPr>
        <w:t xml:space="preserve"> nepericuloase Muchea administrat de SC </w:t>
      </w:r>
      <w:proofErr w:type="spellStart"/>
      <w:r w:rsidRPr="00F16501">
        <w:rPr>
          <w:sz w:val="28"/>
          <w:szCs w:val="28"/>
        </w:rPr>
        <w:t>Tracon</w:t>
      </w:r>
      <w:proofErr w:type="spellEnd"/>
      <w:r w:rsidRPr="00F16501">
        <w:rPr>
          <w:sz w:val="28"/>
          <w:szCs w:val="28"/>
        </w:rPr>
        <w:t xml:space="preserve"> SRL Braila</w:t>
      </w:r>
    </w:p>
    <w:p w:rsidR="001161BC" w:rsidRPr="00F16501" w:rsidRDefault="001161BC" w:rsidP="001161BC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Au fost validate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aprobate 6 formulare pentru transportul de </w:t>
      </w:r>
      <w:proofErr w:type="spellStart"/>
      <w:r w:rsidRPr="00F16501">
        <w:rPr>
          <w:sz w:val="28"/>
          <w:szCs w:val="28"/>
        </w:rPr>
        <w:t>deşeuri</w:t>
      </w:r>
      <w:proofErr w:type="spellEnd"/>
      <w:r w:rsidRPr="00F16501">
        <w:rPr>
          <w:sz w:val="28"/>
          <w:szCs w:val="28"/>
        </w:rPr>
        <w:t xml:space="preserve"> periculoase care se valorifică/reciclează/elimină în </w:t>
      </w:r>
      <w:proofErr w:type="spellStart"/>
      <w:r w:rsidRPr="00F16501">
        <w:rPr>
          <w:sz w:val="28"/>
          <w:szCs w:val="28"/>
        </w:rPr>
        <w:t>instalaţii</w:t>
      </w:r>
      <w:proofErr w:type="spellEnd"/>
      <w:r w:rsidRPr="00F16501">
        <w:rPr>
          <w:sz w:val="28"/>
          <w:szCs w:val="28"/>
        </w:rPr>
        <w:t xml:space="preserve"> din </w:t>
      </w:r>
      <w:proofErr w:type="spellStart"/>
      <w:r w:rsidRPr="00F16501">
        <w:rPr>
          <w:sz w:val="28"/>
          <w:szCs w:val="28"/>
        </w:rPr>
        <w:t>judeţul</w:t>
      </w:r>
      <w:proofErr w:type="spellEnd"/>
      <w:r w:rsidRPr="00F16501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F16501">
        <w:rPr>
          <w:sz w:val="28"/>
          <w:szCs w:val="28"/>
        </w:rPr>
        <w:t>şi</w:t>
      </w:r>
      <w:proofErr w:type="spellEnd"/>
      <w:r w:rsidRPr="00F16501">
        <w:rPr>
          <w:sz w:val="28"/>
          <w:szCs w:val="28"/>
        </w:rPr>
        <w:t xml:space="preserve"> control al transportului </w:t>
      </w:r>
      <w:proofErr w:type="spellStart"/>
      <w:r w:rsidRPr="00F16501">
        <w:rPr>
          <w:sz w:val="28"/>
          <w:szCs w:val="28"/>
        </w:rPr>
        <w:t>deşeurilor</w:t>
      </w:r>
      <w:proofErr w:type="spellEnd"/>
      <w:r w:rsidRPr="00F16501">
        <w:rPr>
          <w:sz w:val="28"/>
          <w:szCs w:val="28"/>
        </w:rPr>
        <w:t xml:space="preserve"> pe teritoriul României.  S-au înregistrat în baza de date </w:t>
      </w:r>
      <w:r>
        <w:rPr>
          <w:sz w:val="28"/>
          <w:szCs w:val="28"/>
        </w:rPr>
        <w:t>192</w:t>
      </w:r>
      <w:r w:rsidRPr="00F16501">
        <w:rPr>
          <w:sz w:val="28"/>
          <w:szCs w:val="28"/>
        </w:rPr>
        <w:t xml:space="preserve"> formulare de </w:t>
      </w:r>
      <w:proofErr w:type="spellStart"/>
      <w:r w:rsidRPr="00F16501">
        <w:rPr>
          <w:sz w:val="28"/>
          <w:szCs w:val="28"/>
        </w:rPr>
        <w:t>expediţie</w:t>
      </w:r>
      <w:proofErr w:type="spellEnd"/>
      <w:r w:rsidRPr="00F16501">
        <w:rPr>
          <w:sz w:val="28"/>
          <w:szCs w:val="28"/>
        </w:rPr>
        <w:t xml:space="preserve">/transport </w:t>
      </w:r>
      <w:proofErr w:type="spellStart"/>
      <w:r w:rsidRPr="00F16501">
        <w:rPr>
          <w:sz w:val="28"/>
          <w:szCs w:val="28"/>
        </w:rPr>
        <w:t>substanţe</w:t>
      </w:r>
      <w:proofErr w:type="spellEnd"/>
      <w:r w:rsidRPr="00F16501">
        <w:rPr>
          <w:sz w:val="28"/>
          <w:szCs w:val="28"/>
        </w:rPr>
        <w:t xml:space="preserve"> periculoase.</w:t>
      </w:r>
    </w:p>
    <w:p w:rsidR="001161BC" w:rsidRPr="00F16501" w:rsidRDefault="001161BC" w:rsidP="001161BC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16501">
        <w:rPr>
          <w:sz w:val="28"/>
          <w:szCs w:val="28"/>
        </w:rPr>
        <w:t xml:space="preserve">Au fost acordate operatorilor economici </w:t>
      </w:r>
      <w:proofErr w:type="spellStart"/>
      <w:r w:rsidRPr="00F16501">
        <w:rPr>
          <w:sz w:val="28"/>
          <w:szCs w:val="28"/>
        </w:rPr>
        <w:t>consultaţii</w:t>
      </w:r>
      <w:proofErr w:type="spellEnd"/>
      <w:r w:rsidRPr="00F16501">
        <w:rPr>
          <w:sz w:val="28"/>
          <w:szCs w:val="28"/>
        </w:rPr>
        <w:t xml:space="preserve"> tehnice pentru diferite tematici privind gestiunea </w:t>
      </w:r>
      <w:proofErr w:type="spellStart"/>
      <w:r w:rsidRPr="00F16501">
        <w:rPr>
          <w:sz w:val="28"/>
          <w:szCs w:val="28"/>
        </w:rPr>
        <w:t>deşeurilor</w:t>
      </w:r>
      <w:proofErr w:type="spellEnd"/>
      <w:r w:rsidRPr="00F16501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F16501">
        <w:rPr>
          <w:sz w:val="28"/>
          <w:szCs w:val="28"/>
        </w:rPr>
        <w:t>informaţii</w:t>
      </w:r>
      <w:proofErr w:type="spellEnd"/>
      <w:r w:rsidRPr="00F16501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1161BC" w:rsidRDefault="001161BC" w:rsidP="001161BC"/>
    <w:p w:rsidR="0018580B" w:rsidRPr="00471286" w:rsidRDefault="0018580B" w:rsidP="00DB2083">
      <w:pPr>
        <w:pStyle w:val="Listparagraf"/>
        <w:ind w:left="1353"/>
        <w:jc w:val="center"/>
        <w:rPr>
          <w:rFonts w:ascii="Times New Roman" w:hAnsi="Times New Roman"/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396854" w:rsidRPr="0047128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DE29F3" w:rsidRPr="00471286" w:rsidRDefault="00DE29F3" w:rsidP="00DE29F3">
      <w:pPr>
        <w:ind w:firstLine="720"/>
        <w:jc w:val="center"/>
        <w:rPr>
          <w:sz w:val="28"/>
          <w:szCs w:val="28"/>
          <w:lang w:val="it-IT"/>
        </w:rPr>
      </w:pPr>
    </w:p>
    <w:p w:rsidR="009F621A" w:rsidRPr="00F922BA" w:rsidRDefault="00613BB2" w:rsidP="00F922BA">
      <w:pPr>
        <w:autoSpaceDE w:val="0"/>
        <w:autoSpaceDN w:val="0"/>
        <w:adjustRightInd w:val="0"/>
        <w:rPr>
          <w:b/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0D72C5">
        <w:rPr>
          <w:sz w:val="28"/>
          <w:szCs w:val="28"/>
          <w:lang w:val="it-IT"/>
        </w:rPr>
        <w:t>noiem</w:t>
      </w:r>
      <w:r w:rsidR="004B776E" w:rsidRPr="00471286">
        <w:rPr>
          <w:sz w:val="28"/>
          <w:szCs w:val="28"/>
          <w:lang w:val="it-IT"/>
        </w:rPr>
        <w:t>brie</w:t>
      </w:r>
      <w:r w:rsidRPr="00471286">
        <w:rPr>
          <w:sz w:val="28"/>
          <w:szCs w:val="28"/>
          <w:lang w:val="it-IT"/>
        </w:rPr>
        <w:t xml:space="preserve"> 2019 la APM Brăila</w:t>
      </w:r>
      <w:r w:rsidR="008C62A1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 xml:space="preserve"> s-a raportat</w:t>
      </w:r>
      <w:r w:rsidR="00F922BA">
        <w:rPr>
          <w:sz w:val="28"/>
          <w:szCs w:val="28"/>
          <w:lang w:val="it-IT"/>
        </w:rPr>
        <w:t xml:space="preserve"> un </w:t>
      </w:r>
      <w:r w:rsidR="007127D1" w:rsidRPr="00471286">
        <w:rPr>
          <w:sz w:val="28"/>
          <w:szCs w:val="28"/>
          <w:lang w:val="it-IT"/>
        </w:rPr>
        <w:t xml:space="preserve"> </w:t>
      </w:r>
      <w:r w:rsidR="00F922BA" w:rsidRPr="00F922BA">
        <w:rPr>
          <w:sz w:val="28"/>
          <w:szCs w:val="28"/>
          <w:lang w:val="it-IT"/>
        </w:rPr>
        <w:t>i</w:t>
      </w:r>
      <w:proofErr w:type="spellStart"/>
      <w:r w:rsidR="000D72C5" w:rsidRPr="00F922BA">
        <w:rPr>
          <w:sz w:val="28"/>
          <w:szCs w:val="28"/>
        </w:rPr>
        <w:t>ncendiu</w:t>
      </w:r>
      <w:proofErr w:type="spellEnd"/>
      <w:r w:rsidR="000D72C5" w:rsidRPr="00F922BA">
        <w:rPr>
          <w:sz w:val="28"/>
          <w:szCs w:val="28"/>
        </w:rPr>
        <w:t xml:space="preserve"> izbucnit la bordul navei împingător Sidex 2, aflată în marș aval pe fluviu (cu o </w:t>
      </w:r>
      <w:proofErr w:type="spellStart"/>
      <w:r w:rsidR="000D72C5" w:rsidRPr="00F922BA">
        <w:rPr>
          <w:sz w:val="28"/>
          <w:szCs w:val="28"/>
        </w:rPr>
        <w:t>barjă</w:t>
      </w:r>
      <w:proofErr w:type="spellEnd"/>
      <w:r w:rsidR="000D72C5" w:rsidRPr="00F922BA">
        <w:rPr>
          <w:sz w:val="28"/>
          <w:szCs w:val="28"/>
        </w:rPr>
        <w:t xml:space="preserve"> încărcată cu bauxită</w:t>
      </w:r>
      <w:r w:rsidR="00F922BA">
        <w:rPr>
          <w:sz w:val="28"/>
          <w:szCs w:val="28"/>
        </w:rPr>
        <w:t>).</w:t>
      </w:r>
      <w:r w:rsidR="004B776E" w:rsidRPr="00F922BA">
        <w:rPr>
          <w:sz w:val="28"/>
          <w:szCs w:val="28"/>
          <w:lang w:val="it-IT"/>
        </w:rPr>
        <w:t xml:space="preserve"> </w:t>
      </w:r>
    </w:p>
    <w:p w:rsidR="008C62A1" w:rsidRDefault="008C62A1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922BA" w:rsidRDefault="00F922BA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F621A" w:rsidRPr="00471286" w:rsidRDefault="009F621A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</w:t>
      </w:r>
    </w:p>
    <w:p w:rsidR="002C7978" w:rsidRPr="00471286" w:rsidRDefault="002C7978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  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1"/>
      <w:footerReference w:type="default" r:id="rId22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11" w:rsidRDefault="006B6311">
      <w:r>
        <w:separator/>
      </w:r>
    </w:p>
  </w:endnote>
  <w:endnote w:type="continuationSeparator" w:id="0">
    <w:p w:rsidR="006B6311" w:rsidRDefault="006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139AA">
      <w:rPr>
        <w:rStyle w:val="Numrdepagin"/>
        <w:noProof/>
      </w:rPr>
      <w:t>10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11" w:rsidRDefault="006B6311">
      <w:r>
        <w:separator/>
      </w:r>
    </w:p>
  </w:footnote>
  <w:footnote w:type="continuationSeparator" w:id="0">
    <w:p w:rsidR="006B6311" w:rsidRDefault="006B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2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7"/>
  </w:num>
  <w:num w:numId="4">
    <w:abstractNumId w:val="8"/>
  </w:num>
  <w:num w:numId="5">
    <w:abstractNumId w:val="14"/>
  </w:num>
  <w:num w:numId="6">
    <w:abstractNumId w:val="5"/>
  </w:num>
  <w:num w:numId="7">
    <w:abstractNumId w:val="31"/>
  </w:num>
  <w:num w:numId="8">
    <w:abstractNumId w:val="16"/>
  </w:num>
  <w:num w:numId="9">
    <w:abstractNumId w:val="7"/>
  </w:num>
  <w:num w:numId="10">
    <w:abstractNumId w:val="11"/>
  </w:num>
  <w:num w:numId="11">
    <w:abstractNumId w:val="33"/>
  </w:num>
  <w:num w:numId="12">
    <w:abstractNumId w:val="27"/>
  </w:num>
  <w:num w:numId="13">
    <w:abstractNumId w:val="24"/>
  </w:num>
  <w:num w:numId="14">
    <w:abstractNumId w:val="13"/>
  </w:num>
  <w:num w:numId="15">
    <w:abstractNumId w:val="25"/>
  </w:num>
  <w:num w:numId="16">
    <w:abstractNumId w:val="15"/>
  </w:num>
  <w:num w:numId="17">
    <w:abstractNumId w:val="36"/>
  </w:num>
  <w:num w:numId="18">
    <w:abstractNumId w:val="20"/>
  </w:num>
  <w:num w:numId="19">
    <w:abstractNumId w:val="10"/>
  </w:num>
  <w:num w:numId="20">
    <w:abstractNumId w:val="35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9"/>
  </w:num>
  <w:num w:numId="26">
    <w:abstractNumId w:val="3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8"/>
  </w:num>
  <w:num w:numId="32">
    <w:abstractNumId w:val="34"/>
  </w:num>
  <w:num w:numId="33">
    <w:abstractNumId w:val="1"/>
  </w:num>
  <w:num w:numId="34">
    <w:abstractNumId w:val="32"/>
  </w:num>
  <w:num w:numId="35">
    <w:abstractNumId w:val="19"/>
  </w:num>
  <w:num w:numId="36">
    <w:abstractNumId w:val="29"/>
  </w:num>
  <w:num w:numId="37">
    <w:abstractNumId w:val="38"/>
  </w:num>
  <w:num w:numId="38">
    <w:abstractNumId w:val="26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ABA"/>
    <w:rsid w:val="005F1E49"/>
    <w:rsid w:val="005F2376"/>
    <w:rsid w:val="005F2BD5"/>
    <w:rsid w:val="005F3BF0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458D"/>
    <w:rsid w:val="006A5A6D"/>
    <w:rsid w:val="006A6132"/>
    <w:rsid w:val="006A69AB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CCB"/>
    <w:rsid w:val="006C4042"/>
    <w:rsid w:val="006C4EAD"/>
    <w:rsid w:val="006C52D6"/>
    <w:rsid w:val="006C563A"/>
    <w:rsid w:val="006C74F7"/>
    <w:rsid w:val="006D061C"/>
    <w:rsid w:val="006D1535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60800"/>
    <w:rsid w:val="00861381"/>
    <w:rsid w:val="0086152C"/>
    <w:rsid w:val="0086219C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748"/>
    <w:rsid w:val="00B42F15"/>
    <w:rsid w:val="00B43C8F"/>
    <w:rsid w:val="00B43F57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1169"/>
    <w:rsid w:val="00D223AF"/>
    <w:rsid w:val="00D22DEE"/>
    <w:rsid w:val="00D26E44"/>
    <w:rsid w:val="00D274CB"/>
    <w:rsid w:val="00D27DB2"/>
    <w:rsid w:val="00D300C8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5E6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DFD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41B0"/>
    <w:rsid w:val="00E64644"/>
    <w:rsid w:val="00E6505B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FAD934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40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3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7.06</c:v>
                </c:pt>
                <c:pt idx="1">
                  <c:v>5.71</c:v>
                </c:pt>
                <c:pt idx="2">
                  <c:v>6.33</c:v>
                </c:pt>
                <c:pt idx="3">
                  <c:v>7.34</c:v>
                </c:pt>
                <c:pt idx="4">
                  <c:v>7.11</c:v>
                </c:pt>
                <c:pt idx="5">
                  <c:v>7.32</c:v>
                </c:pt>
                <c:pt idx="6">
                  <c:v>7.32</c:v>
                </c:pt>
                <c:pt idx="7">
                  <c:v>6.63</c:v>
                </c:pt>
                <c:pt idx="8">
                  <c:v>6.72</c:v>
                </c:pt>
                <c:pt idx="9">
                  <c:v>6.94</c:v>
                </c:pt>
                <c:pt idx="10">
                  <c:v>6.75</c:v>
                </c:pt>
                <c:pt idx="11">
                  <c:v>6.64</c:v>
                </c:pt>
                <c:pt idx="12">
                  <c:v>5.32</c:v>
                </c:pt>
                <c:pt idx="13">
                  <c:v>5.48</c:v>
                </c:pt>
                <c:pt idx="14">
                  <c:v>5.8</c:v>
                </c:pt>
                <c:pt idx="15">
                  <c:v>6.26</c:v>
                </c:pt>
                <c:pt idx="16">
                  <c:v>5.8</c:v>
                </c:pt>
                <c:pt idx="17">
                  <c:v>6.21</c:v>
                </c:pt>
                <c:pt idx="18">
                  <c:v>5.45</c:v>
                </c:pt>
                <c:pt idx="19">
                  <c:v>5.36</c:v>
                </c:pt>
                <c:pt idx="20">
                  <c:v>5.07</c:v>
                </c:pt>
                <c:pt idx="21">
                  <c:v>6.05</c:v>
                </c:pt>
                <c:pt idx="22">
                  <c:v>5.68</c:v>
                </c:pt>
                <c:pt idx="23">
                  <c:v>6.02</c:v>
                </c:pt>
                <c:pt idx="24">
                  <c:v>5.41</c:v>
                </c:pt>
                <c:pt idx="25">
                  <c:v>5.94</c:v>
                </c:pt>
                <c:pt idx="26">
                  <c:v>6.51</c:v>
                </c:pt>
                <c:pt idx="27">
                  <c:v>5.58</c:v>
                </c:pt>
                <c:pt idx="28">
                  <c:v>6.46</c:v>
                </c:pt>
                <c:pt idx="29">
                  <c:v>5.65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72-497B-A197-BB6ED2EF248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3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8.32</c:v>
                </c:pt>
                <c:pt idx="1">
                  <c:v>9.07</c:v>
                </c:pt>
                <c:pt idx="2">
                  <c:v>11.25</c:v>
                </c:pt>
                <c:pt idx="3">
                  <c:v>11.14</c:v>
                </c:pt>
                <c:pt idx="4">
                  <c:v>10.56</c:v>
                </c:pt>
                <c:pt idx="5">
                  <c:v>10.29</c:v>
                </c:pt>
                <c:pt idx="6">
                  <c:v>9.66</c:v>
                </c:pt>
                <c:pt idx="7">
                  <c:v>10.050000000000001</c:v>
                </c:pt>
                <c:pt idx="8">
                  <c:v>9.89</c:v>
                </c:pt>
                <c:pt idx="9">
                  <c:v>9.9700000000000006</c:v>
                </c:pt>
                <c:pt idx="10">
                  <c:v>9.6300000000000008</c:v>
                </c:pt>
                <c:pt idx="11">
                  <c:v>9.6</c:v>
                </c:pt>
                <c:pt idx="12">
                  <c:v>8.2100000000000009</c:v>
                </c:pt>
                <c:pt idx="13">
                  <c:v>9.3800000000000008</c:v>
                </c:pt>
                <c:pt idx="14">
                  <c:v>9.43</c:v>
                </c:pt>
                <c:pt idx="15">
                  <c:v>7.39</c:v>
                </c:pt>
                <c:pt idx="16">
                  <c:v>7.12</c:v>
                </c:pt>
                <c:pt idx="17">
                  <c:v>9.34</c:v>
                </c:pt>
                <c:pt idx="18">
                  <c:v>8.4</c:v>
                </c:pt>
                <c:pt idx="19">
                  <c:v>7.27</c:v>
                </c:pt>
                <c:pt idx="20">
                  <c:v>5.4</c:v>
                </c:pt>
                <c:pt idx="21">
                  <c:v>7.9</c:v>
                </c:pt>
                <c:pt idx="22">
                  <c:v>8.15</c:v>
                </c:pt>
                <c:pt idx="23">
                  <c:v>8.14</c:v>
                </c:pt>
                <c:pt idx="24">
                  <c:v>8.25</c:v>
                </c:pt>
                <c:pt idx="25">
                  <c:v>7.7</c:v>
                </c:pt>
                <c:pt idx="26">
                  <c:v>9.5299999999999994</c:v>
                </c:pt>
                <c:pt idx="27">
                  <c:v>8.09</c:v>
                </c:pt>
                <c:pt idx="28">
                  <c:v>9.58</c:v>
                </c:pt>
                <c:pt idx="29">
                  <c:v>8.7100000000000009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72-497B-A197-BB6ED2EF248D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3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72-497B-A197-BB6ED2EF248D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4.46</c:v>
                </c:pt>
                <c:pt idx="1">
                  <c:v>2.58</c:v>
                </c:pt>
                <c:pt idx="2">
                  <c:v>4.5199999999999996</c:v>
                </c:pt>
                <c:pt idx="3">
                  <c:v>6.29</c:v>
                </c:pt>
                <c:pt idx="4">
                  <c:v>4.6399999999999997</c:v>
                </c:pt>
                <c:pt idx="5">
                  <c:v>5.92</c:v>
                </c:pt>
                <c:pt idx="6">
                  <c:v>5.6</c:v>
                </c:pt>
                <c:pt idx="7">
                  <c:v>4.6500000000000004</c:v>
                </c:pt>
                <c:pt idx="8">
                  <c:v>5.52</c:v>
                </c:pt>
                <c:pt idx="9">
                  <c:v>5.1100000000000003</c:v>
                </c:pt>
                <c:pt idx="10">
                  <c:v>4.57</c:v>
                </c:pt>
                <c:pt idx="11">
                  <c:v>5.0999999999999996</c:v>
                </c:pt>
                <c:pt idx="12">
                  <c:v>4.78</c:v>
                </c:pt>
                <c:pt idx="13">
                  <c:v>3.55</c:v>
                </c:pt>
                <c:pt idx="14">
                  <c:v>3.4</c:v>
                </c:pt>
                <c:pt idx="15">
                  <c:v>4.5999999999999996</c:v>
                </c:pt>
                <c:pt idx="16">
                  <c:v>2.66</c:v>
                </c:pt>
                <c:pt idx="17">
                  <c:v>4.0199999999999996</c:v>
                </c:pt>
                <c:pt idx="18">
                  <c:v>5.14</c:v>
                </c:pt>
                <c:pt idx="19">
                  <c:v>3.55</c:v>
                </c:pt>
                <c:pt idx="20">
                  <c:v>4.6500000000000004</c:v>
                </c:pt>
                <c:pt idx="21">
                  <c:v>3.39</c:v>
                </c:pt>
                <c:pt idx="22">
                  <c:v>4.08</c:v>
                </c:pt>
                <c:pt idx="23">
                  <c:v>4.09</c:v>
                </c:pt>
                <c:pt idx="24">
                  <c:v>2.95</c:v>
                </c:pt>
                <c:pt idx="25">
                  <c:v>5.25</c:v>
                </c:pt>
                <c:pt idx="26">
                  <c:v>5.24</c:v>
                </c:pt>
                <c:pt idx="27">
                  <c:v>4.87</c:v>
                </c:pt>
                <c:pt idx="28">
                  <c:v>4.6900000000000004</c:v>
                </c:pt>
                <c:pt idx="29">
                  <c:v>5.04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72-497B-A197-BB6ED2EF248D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3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3.45</c:v>
                </c:pt>
                <c:pt idx="1">
                  <c:v>2.67</c:v>
                </c:pt>
                <c:pt idx="2">
                  <c:v>4.7</c:v>
                </c:pt>
                <c:pt idx="3">
                  <c:v>5.08</c:v>
                </c:pt>
                <c:pt idx="4">
                  <c:v>4.41</c:v>
                </c:pt>
                <c:pt idx="5">
                  <c:v>5.64</c:v>
                </c:pt>
                <c:pt idx="6">
                  <c:v>4.3899999999999997</c:v>
                </c:pt>
                <c:pt idx="7">
                  <c:v>4.08</c:v>
                </c:pt>
                <c:pt idx="8">
                  <c:v>5.3</c:v>
                </c:pt>
                <c:pt idx="9">
                  <c:v>1.83</c:v>
                </c:pt>
                <c:pt idx="10">
                  <c:v>2.62</c:v>
                </c:pt>
                <c:pt idx="11">
                  <c:v>3.5</c:v>
                </c:pt>
                <c:pt idx="12">
                  <c:v>2.5099999999999998</c:v>
                </c:pt>
                <c:pt idx="13">
                  <c:v>2.68</c:v>
                </c:pt>
                <c:pt idx="14">
                  <c:v>5.18</c:v>
                </c:pt>
                <c:pt idx="15">
                  <c:v>3.35</c:v>
                </c:pt>
                <c:pt idx="16">
                  <c:v>2.15</c:v>
                </c:pt>
                <c:pt idx="17">
                  <c:v>2.6</c:v>
                </c:pt>
                <c:pt idx="18">
                  <c:v>1.81</c:v>
                </c:pt>
                <c:pt idx="19">
                  <c:v>3.29</c:v>
                </c:pt>
                <c:pt idx="20">
                  <c:v>3.82</c:v>
                </c:pt>
                <c:pt idx="21">
                  <c:v>3.51</c:v>
                </c:pt>
                <c:pt idx="22">
                  <c:v>3.8</c:v>
                </c:pt>
                <c:pt idx="23">
                  <c:v>4.63</c:v>
                </c:pt>
                <c:pt idx="24">
                  <c:v>3.17</c:v>
                </c:pt>
                <c:pt idx="25">
                  <c:v>3.95</c:v>
                </c:pt>
                <c:pt idx="26">
                  <c:v>3.06</c:v>
                </c:pt>
                <c:pt idx="27">
                  <c:v>1.38</c:v>
                </c:pt>
                <c:pt idx="28">
                  <c:v>4.46</c:v>
                </c:pt>
                <c:pt idx="29">
                  <c:v>2.04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72-497B-A197-BB6ED2EF2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05176"/>
        <c:axId val="1"/>
      </c:lineChart>
      <c:catAx>
        <c:axId val="209305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406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30517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8195488721805"/>
          <c:y val="0.25833333333333336"/>
          <c:w val="0.11842105263157894"/>
          <c:h val="0.4416666666666666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358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F7-4397-8DAB-276FA9614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35240"/>
        <c:axId val="1"/>
      </c:lineChart>
      <c:catAx>
        <c:axId val="141735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7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7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7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1735240"/>
        <c:crosses val="autoZero"/>
        <c:crossBetween val="between"/>
      </c:valAx>
      <c:spPr>
        <a:solidFill>
          <a:srgbClr val="FFFFFF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40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36.5</c:v>
                </c:pt>
                <c:pt idx="1">
                  <c:v>23.22</c:v>
                </c:pt>
                <c:pt idx="2">
                  <c:v>14.17</c:v>
                </c:pt>
                <c:pt idx="3">
                  <c:v>16.829999999999998</c:v>
                </c:pt>
                <c:pt idx="4">
                  <c:v>21.02</c:v>
                </c:pt>
                <c:pt idx="5">
                  <c:v>21.47</c:v>
                </c:pt>
                <c:pt idx="6">
                  <c:v>26.39</c:v>
                </c:pt>
                <c:pt idx="7">
                  <c:v>30.28</c:v>
                </c:pt>
                <c:pt idx="8">
                  <c:v>26.45</c:v>
                </c:pt>
                <c:pt idx="9">
                  <c:v>19.07</c:v>
                </c:pt>
                <c:pt idx="10">
                  <c:v>24.96</c:v>
                </c:pt>
                <c:pt idx="11">
                  <c:v>29.33</c:v>
                </c:pt>
                <c:pt idx="12">
                  <c:v>25.48</c:v>
                </c:pt>
                <c:pt idx="13">
                  <c:v>19.03</c:v>
                </c:pt>
                <c:pt idx="14">
                  <c:v>16.16</c:v>
                </c:pt>
                <c:pt idx="15">
                  <c:v>26.59</c:v>
                </c:pt>
                <c:pt idx="16">
                  <c:v>23.94</c:v>
                </c:pt>
                <c:pt idx="17">
                  <c:v>29.2</c:v>
                </c:pt>
                <c:pt idx="18">
                  <c:v>28.39</c:v>
                </c:pt>
                <c:pt idx="19">
                  <c:v>20.18</c:v>
                </c:pt>
                <c:pt idx="20">
                  <c:v>12.73</c:v>
                </c:pt>
                <c:pt idx="21">
                  <c:v>16.12</c:v>
                </c:pt>
                <c:pt idx="22">
                  <c:v>15.86</c:v>
                </c:pt>
                <c:pt idx="23">
                  <c:v>16.7</c:v>
                </c:pt>
                <c:pt idx="24">
                  <c:v>17.809999999999999</c:v>
                </c:pt>
                <c:pt idx="25">
                  <c:v>21.3</c:v>
                </c:pt>
                <c:pt idx="26">
                  <c:v>21.31</c:v>
                </c:pt>
                <c:pt idx="27">
                  <c:v>19.2</c:v>
                </c:pt>
                <c:pt idx="28">
                  <c:v>25.93</c:v>
                </c:pt>
                <c:pt idx="29">
                  <c:v>17.8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AC-447E-9D63-06140F6FAC5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6">
              <a:solidFill>
                <a:srgbClr val="3399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21.74</c:v>
                </c:pt>
                <c:pt idx="1">
                  <c:v>12.77</c:v>
                </c:pt>
                <c:pt idx="2">
                  <c:v>7.92</c:v>
                </c:pt>
                <c:pt idx="3">
                  <c:v>8.9</c:v>
                </c:pt>
                <c:pt idx="4">
                  <c:v>13.84</c:v>
                </c:pt>
                <c:pt idx="5">
                  <c:v>12.89</c:v>
                </c:pt>
                <c:pt idx="6">
                  <c:v>12.91</c:v>
                </c:pt>
                <c:pt idx="7">
                  <c:v>15.4</c:v>
                </c:pt>
                <c:pt idx="8">
                  <c:v>8.83</c:v>
                </c:pt>
                <c:pt idx="9">
                  <c:v>5.57</c:v>
                </c:pt>
                <c:pt idx="10">
                  <c:v>15.31</c:v>
                </c:pt>
                <c:pt idx="11">
                  <c:v>7.81</c:v>
                </c:pt>
                <c:pt idx="12">
                  <c:v>8.4559999999999995</c:v>
                </c:pt>
                <c:pt idx="13">
                  <c:v>6.57</c:v>
                </c:pt>
                <c:pt idx="14">
                  <c:v>13.55</c:v>
                </c:pt>
                <c:pt idx="15">
                  <c:v>9.49</c:v>
                </c:pt>
                <c:pt idx="16">
                  <c:v>16.399999999999999</c:v>
                </c:pt>
                <c:pt idx="17">
                  <c:v>12.56</c:v>
                </c:pt>
                <c:pt idx="18">
                  <c:v>9.57</c:v>
                </c:pt>
                <c:pt idx="19">
                  <c:v>11.04</c:v>
                </c:pt>
                <c:pt idx="20">
                  <c:v>8.5299999999999994</c:v>
                </c:pt>
                <c:pt idx="21">
                  <c:v>9.9499999999999993</c:v>
                </c:pt>
                <c:pt idx="22">
                  <c:v>10.48</c:v>
                </c:pt>
                <c:pt idx="23">
                  <c:v>10.11</c:v>
                </c:pt>
                <c:pt idx="24">
                  <c:v>9.1999999999999993</c:v>
                </c:pt>
                <c:pt idx="25">
                  <c:v>19.96</c:v>
                </c:pt>
                <c:pt idx="26">
                  <c:v>17.190000000000001</c:v>
                </c:pt>
                <c:pt idx="27">
                  <c:v>11.72</c:v>
                </c:pt>
                <c:pt idx="28">
                  <c:v>16.14</c:v>
                </c:pt>
                <c:pt idx="29">
                  <c:v>14.93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AC-447E-9D63-06140F6FAC5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3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14.49</c:v>
                </c:pt>
                <c:pt idx="1">
                  <c:v>11.45</c:v>
                </c:pt>
                <c:pt idx="2">
                  <c:v>8.85</c:v>
                </c:pt>
                <c:pt idx="3">
                  <c:v>9.23</c:v>
                </c:pt>
                <c:pt idx="4">
                  <c:v>9.6300000000000008</c:v>
                </c:pt>
                <c:pt idx="5">
                  <c:v>9.92</c:v>
                </c:pt>
                <c:pt idx="6">
                  <c:v>12.3</c:v>
                </c:pt>
                <c:pt idx="7">
                  <c:v>15.26</c:v>
                </c:pt>
                <c:pt idx="8">
                  <c:v>11.27</c:v>
                </c:pt>
                <c:pt idx="9">
                  <c:v>8.81</c:v>
                </c:pt>
                <c:pt idx="10">
                  <c:v>13.31</c:v>
                </c:pt>
                <c:pt idx="11">
                  <c:v>12.78</c:v>
                </c:pt>
                <c:pt idx="12">
                  <c:v>11.11</c:v>
                </c:pt>
                <c:pt idx="13">
                  <c:v>9.2100000000000009</c:v>
                </c:pt>
                <c:pt idx="14">
                  <c:v>9.0500000000000007</c:v>
                </c:pt>
                <c:pt idx="15">
                  <c:v>11.02</c:v>
                </c:pt>
                <c:pt idx="16">
                  <c:v>10.01</c:v>
                </c:pt>
                <c:pt idx="17">
                  <c:v>12.55</c:v>
                </c:pt>
                <c:pt idx="18">
                  <c:v>10.57</c:v>
                </c:pt>
                <c:pt idx="19">
                  <c:v>9.75</c:v>
                </c:pt>
                <c:pt idx="20">
                  <c:v>7.71</c:v>
                </c:pt>
                <c:pt idx="21">
                  <c:v>8.32</c:v>
                </c:pt>
                <c:pt idx="22">
                  <c:v>9.0500000000000007</c:v>
                </c:pt>
                <c:pt idx="23">
                  <c:v>9.5299999999999994</c:v>
                </c:pt>
                <c:pt idx="24">
                  <c:v>9.5399999999999991</c:v>
                </c:pt>
                <c:pt idx="25">
                  <c:v>10.1</c:v>
                </c:pt>
                <c:pt idx="26">
                  <c:v>10.39</c:v>
                </c:pt>
                <c:pt idx="27">
                  <c:v>9.82</c:v>
                </c:pt>
                <c:pt idx="28">
                  <c:v>12.69</c:v>
                </c:pt>
                <c:pt idx="29">
                  <c:v>10.26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AC-447E-9D63-06140F6FAC5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6">
              <a:solidFill>
                <a:srgbClr val="00FFFF"/>
              </a:solidFill>
              <a:prstDash val="solid"/>
            </a:ln>
          </c:spPr>
          <c:marker>
            <c:symbol val="x"/>
            <c:size val="7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11.91</c:v>
                </c:pt>
                <c:pt idx="1">
                  <c:v>11.53</c:v>
                </c:pt>
                <c:pt idx="2">
                  <c:v>8.0299999999999994</c:v>
                </c:pt>
                <c:pt idx="3">
                  <c:v>9.31</c:v>
                </c:pt>
                <c:pt idx="4">
                  <c:v>8.9</c:v>
                </c:pt>
                <c:pt idx="5">
                  <c:v>8.9499999999999993</c:v>
                </c:pt>
                <c:pt idx="6">
                  <c:v>13.43</c:v>
                </c:pt>
                <c:pt idx="7">
                  <c:v>9.0399999999999991</c:v>
                </c:pt>
                <c:pt idx="8">
                  <c:v>10.48</c:v>
                </c:pt>
                <c:pt idx="9">
                  <c:v>7.48</c:v>
                </c:pt>
                <c:pt idx="10">
                  <c:v>12.15</c:v>
                </c:pt>
                <c:pt idx="11">
                  <c:v>8.19</c:v>
                </c:pt>
                <c:pt idx="12">
                  <c:v>7.73</c:v>
                </c:pt>
                <c:pt idx="13">
                  <c:v>6.24</c:v>
                </c:pt>
                <c:pt idx="14">
                  <c:v>7.62</c:v>
                </c:pt>
                <c:pt idx="15">
                  <c:v>9.35</c:v>
                </c:pt>
                <c:pt idx="16">
                  <c:v>6.38</c:v>
                </c:pt>
                <c:pt idx="17">
                  <c:v>8.77</c:v>
                </c:pt>
                <c:pt idx="18">
                  <c:v>9.34</c:v>
                </c:pt>
                <c:pt idx="19">
                  <c:v>6.08</c:v>
                </c:pt>
                <c:pt idx="20">
                  <c:v>4.91</c:v>
                </c:pt>
                <c:pt idx="21">
                  <c:v>5.19</c:v>
                </c:pt>
                <c:pt idx="22">
                  <c:v>6.09</c:v>
                </c:pt>
                <c:pt idx="23">
                  <c:v>5.89</c:v>
                </c:pt>
                <c:pt idx="24">
                  <c:v>5.87</c:v>
                </c:pt>
                <c:pt idx="25">
                  <c:v>6.41</c:v>
                </c:pt>
                <c:pt idx="26">
                  <c:v>9.16</c:v>
                </c:pt>
                <c:pt idx="27">
                  <c:v>10.050000000000001</c:v>
                </c:pt>
                <c:pt idx="28">
                  <c:v>12.77</c:v>
                </c:pt>
                <c:pt idx="29">
                  <c:v>8.6199999999999992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EAC-447E-9D63-06140F6FAC5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3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18.04</c:v>
                </c:pt>
                <c:pt idx="1">
                  <c:v>9.64</c:v>
                </c:pt>
                <c:pt idx="2">
                  <c:v>8.15</c:v>
                </c:pt>
                <c:pt idx="3">
                  <c:v>9.07</c:v>
                </c:pt>
                <c:pt idx="4">
                  <c:v>10.24</c:v>
                </c:pt>
                <c:pt idx="5">
                  <c:v>10.33</c:v>
                </c:pt>
                <c:pt idx="6">
                  <c:v>12.43</c:v>
                </c:pt>
                <c:pt idx="7">
                  <c:v>15.18</c:v>
                </c:pt>
                <c:pt idx="8">
                  <c:v>9.6300000000000008</c:v>
                </c:pt>
                <c:pt idx="9">
                  <c:v>9.09</c:v>
                </c:pt>
                <c:pt idx="10">
                  <c:v>10.72</c:v>
                </c:pt>
                <c:pt idx="11">
                  <c:v>9.82</c:v>
                </c:pt>
                <c:pt idx="12">
                  <c:v>11.41</c:v>
                </c:pt>
                <c:pt idx="13">
                  <c:v>10.87</c:v>
                </c:pt>
                <c:pt idx="14">
                  <c:v>9.2799999999999994</c:v>
                </c:pt>
                <c:pt idx="15">
                  <c:v>8.49</c:v>
                </c:pt>
                <c:pt idx="16">
                  <c:v>9.2899999999999991</c:v>
                </c:pt>
                <c:pt idx="17">
                  <c:v>10.63</c:v>
                </c:pt>
                <c:pt idx="18">
                  <c:v>8.18</c:v>
                </c:pt>
                <c:pt idx="19">
                  <c:v>7.04</c:v>
                </c:pt>
                <c:pt idx="20">
                  <c:v>6.35</c:v>
                </c:pt>
                <c:pt idx="21">
                  <c:v>8.16</c:v>
                </c:pt>
                <c:pt idx="22">
                  <c:v>9.74</c:v>
                </c:pt>
                <c:pt idx="23">
                  <c:v>9.35</c:v>
                </c:pt>
                <c:pt idx="24">
                  <c:v>8.8800000000000008</c:v>
                </c:pt>
                <c:pt idx="25">
                  <c:v>12.92</c:v>
                </c:pt>
                <c:pt idx="26">
                  <c:v>10.91</c:v>
                </c:pt>
                <c:pt idx="27">
                  <c:v>9.16</c:v>
                </c:pt>
                <c:pt idx="28">
                  <c:v>13.58</c:v>
                </c:pt>
                <c:pt idx="29">
                  <c:v>12.29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EAC-447E-9D63-06140F6FA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04192"/>
        <c:axId val="1"/>
      </c:lineChart>
      <c:catAx>
        <c:axId val="20930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406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3041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250000000000001"/>
          <c:w val="0.12030075187969924"/>
          <c:h val="0.4416666666666666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106194690265483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0.28999999999999998</c:v>
                </c:pt>
                <c:pt idx="1">
                  <c:v>0.28999999999999998</c:v>
                </c:pt>
                <c:pt idx="2">
                  <c:v>0.03</c:v>
                </c:pt>
                <c:pt idx="3">
                  <c:v>0.09</c:v>
                </c:pt>
                <c:pt idx="4">
                  <c:v>0.03</c:v>
                </c:pt>
                <c:pt idx="5">
                  <c:v>0.03</c:v>
                </c:pt>
                <c:pt idx="6">
                  <c:v>7.0000000000000007E-2</c:v>
                </c:pt>
                <c:pt idx="7">
                  <c:v>0.17</c:v>
                </c:pt>
                <c:pt idx="8">
                  <c:v>0.08</c:v>
                </c:pt>
                <c:pt idx="9">
                  <c:v>0.05</c:v>
                </c:pt>
                <c:pt idx="10">
                  <c:v>0.12</c:v>
                </c:pt>
                <c:pt idx="11">
                  <c:v>0.09</c:v>
                </c:pt>
                <c:pt idx="12">
                  <c:v>0.12</c:v>
                </c:pt>
                <c:pt idx="13">
                  <c:v>0.06</c:v>
                </c:pt>
                <c:pt idx="14">
                  <c:v>0.1</c:v>
                </c:pt>
                <c:pt idx="15">
                  <c:v>0.15</c:v>
                </c:pt>
                <c:pt idx="16">
                  <c:v>0.11</c:v>
                </c:pt>
                <c:pt idx="17">
                  <c:v>0.19</c:v>
                </c:pt>
                <c:pt idx="18">
                  <c:v>0.12</c:v>
                </c:pt>
                <c:pt idx="19">
                  <c:v>0.06</c:v>
                </c:pt>
                <c:pt idx="20">
                  <c:v>0.03</c:v>
                </c:pt>
                <c:pt idx="21">
                  <c:v>0.03</c:v>
                </c:pt>
                <c:pt idx="22">
                  <c:v>0.06</c:v>
                </c:pt>
                <c:pt idx="23">
                  <c:v>0.09</c:v>
                </c:pt>
                <c:pt idx="24">
                  <c:v>0.05</c:v>
                </c:pt>
                <c:pt idx="25">
                  <c:v>0.08</c:v>
                </c:pt>
                <c:pt idx="26">
                  <c:v>0.14000000000000001</c:v>
                </c:pt>
                <c:pt idx="27">
                  <c:v>0.1</c:v>
                </c:pt>
                <c:pt idx="28">
                  <c:v>0.21</c:v>
                </c:pt>
                <c:pt idx="29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F8-4B75-A526-FDC49FC34A4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51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21">
                  <c:v>0.06</c:v>
                </c:pt>
                <c:pt idx="22">
                  <c:v>0.06</c:v>
                </c:pt>
                <c:pt idx="23">
                  <c:v>0.05</c:v>
                </c:pt>
                <c:pt idx="24">
                  <c:v>0.03</c:v>
                </c:pt>
                <c:pt idx="25">
                  <c:v>0.14000000000000001</c:v>
                </c:pt>
                <c:pt idx="26">
                  <c:v>0.17</c:v>
                </c:pt>
                <c:pt idx="27">
                  <c:v>0.1</c:v>
                </c:pt>
                <c:pt idx="28">
                  <c:v>0.17</c:v>
                </c:pt>
                <c:pt idx="29">
                  <c:v>0.17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F8-4B75-A526-FDC49FC34A4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351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F8-4B75-A526-FDC49FC34A4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51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0.15</c:v>
                </c:pt>
                <c:pt idx="1">
                  <c:v>0.15</c:v>
                </c:pt>
                <c:pt idx="2">
                  <c:v>0.06</c:v>
                </c:pt>
                <c:pt idx="3">
                  <c:v>0.04</c:v>
                </c:pt>
                <c:pt idx="4">
                  <c:v>0.06</c:v>
                </c:pt>
                <c:pt idx="5">
                  <c:v>0.02</c:v>
                </c:pt>
                <c:pt idx="6">
                  <c:v>0.09</c:v>
                </c:pt>
                <c:pt idx="7">
                  <c:v>0.06</c:v>
                </c:pt>
                <c:pt idx="8">
                  <c:v>0.06</c:v>
                </c:pt>
                <c:pt idx="9">
                  <c:v>0.02</c:v>
                </c:pt>
                <c:pt idx="10">
                  <c:v>0.13</c:v>
                </c:pt>
                <c:pt idx="11">
                  <c:v>0.05</c:v>
                </c:pt>
                <c:pt idx="12">
                  <c:v>0.05</c:v>
                </c:pt>
                <c:pt idx="13">
                  <c:v>0.03</c:v>
                </c:pt>
                <c:pt idx="14">
                  <c:v>0.03</c:v>
                </c:pt>
                <c:pt idx="15">
                  <c:v>0.08</c:v>
                </c:pt>
                <c:pt idx="16">
                  <c:v>0.02</c:v>
                </c:pt>
                <c:pt idx="17">
                  <c:v>0.06</c:v>
                </c:pt>
                <c:pt idx="18">
                  <c:v>0.05</c:v>
                </c:pt>
                <c:pt idx="19">
                  <c:v>0.02</c:v>
                </c:pt>
                <c:pt idx="20">
                  <c:v>0.01</c:v>
                </c:pt>
                <c:pt idx="21">
                  <c:v>0.01</c:v>
                </c:pt>
                <c:pt idx="22">
                  <c:v>0.04</c:v>
                </c:pt>
                <c:pt idx="23">
                  <c:v>0.03</c:v>
                </c:pt>
                <c:pt idx="24">
                  <c:v>0.04</c:v>
                </c:pt>
                <c:pt idx="25">
                  <c:v>0.04</c:v>
                </c:pt>
                <c:pt idx="26">
                  <c:v>0.17</c:v>
                </c:pt>
                <c:pt idx="27">
                  <c:v>0.09</c:v>
                </c:pt>
                <c:pt idx="28">
                  <c:v>0.18</c:v>
                </c:pt>
                <c:pt idx="29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F8-4B75-A526-FDC49FC34A4E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351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0.12</c:v>
                </c:pt>
                <c:pt idx="1">
                  <c:v>0.04</c:v>
                </c:pt>
                <c:pt idx="2">
                  <c:v>0.05</c:v>
                </c:pt>
                <c:pt idx="3">
                  <c:v>0.06</c:v>
                </c:pt>
                <c:pt idx="4">
                  <c:v>0.05</c:v>
                </c:pt>
                <c:pt idx="5">
                  <c:v>0.03</c:v>
                </c:pt>
                <c:pt idx="6">
                  <c:v>0.05</c:v>
                </c:pt>
                <c:pt idx="7">
                  <c:v>7.0000000000000007E-2</c:v>
                </c:pt>
                <c:pt idx="8">
                  <c:v>0.04</c:v>
                </c:pt>
                <c:pt idx="9">
                  <c:v>7.0000000000000007E-2</c:v>
                </c:pt>
                <c:pt idx="10">
                  <c:v>0.03</c:v>
                </c:pt>
                <c:pt idx="11">
                  <c:v>0.04</c:v>
                </c:pt>
                <c:pt idx="12">
                  <c:v>7.0000000000000007E-2</c:v>
                </c:pt>
                <c:pt idx="13">
                  <c:v>0.04</c:v>
                </c:pt>
                <c:pt idx="14">
                  <c:v>0.06</c:v>
                </c:pt>
                <c:pt idx="15">
                  <c:v>0.06</c:v>
                </c:pt>
                <c:pt idx="16">
                  <c:v>0.06</c:v>
                </c:pt>
                <c:pt idx="17">
                  <c:v>0.04</c:v>
                </c:pt>
                <c:pt idx="18">
                  <c:v>0.06</c:v>
                </c:pt>
                <c:pt idx="19">
                  <c:v>0.03</c:v>
                </c:pt>
                <c:pt idx="20">
                  <c:v>0.03</c:v>
                </c:pt>
                <c:pt idx="21">
                  <c:v>0.04</c:v>
                </c:pt>
                <c:pt idx="22">
                  <c:v>0.08</c:v>
                </c:pt>
                <c:pt idx="23">
                  <c:v>0.06</c:v>
                </c:pt>
                <c:pt idx="24">
                  <c:v>0.06</c:v>
                </c:pt>
                <c:pt idx="25">
                  <c:v>0.09</c:v>
                </c:pt>
                <c:pt idx="26">
                  <c:v>0.08</c:v>
                </c:pt>
                <c:pt idx="27">
                  <c:v>7.0000000000000007E-2</c:v>
                </c:pt>
                <c:pt idx="28">
                  <c:v>0.12</c:v>
                </c:pt>
                <c:pt idx="29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F8-4B75-A526-FDC49FC34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01896"/>
        <c:axId val="1"/>
      </c:lineChart>
      <c:catAx>
        <c:axId val="209301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592920353982299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30189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67326732673268"/>
          <c:y val="0.26106194690265488"/>
          <c:w val="0.7168316831683168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67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37.44</c:v>
                </c:pt>
                <c:pt idx="1">
                  <c:v>51.68</c:v>
                </c:pt>
                <c:pt idx="2">
                  <c:v>59.07</c:v>
                </c:pt>
                <c:pt idx="3">
                  <c:v>56.25</c:v>
                </c:pt>
                <c:pt idx="4">
                  <c:v>46.15</c:v>
                </c:pt>
                <c:pt idx="5">
                  <c:v>49.63</c:v>
                </c:pt>
                <c:pt idx="6">
                  <c:v>36.51</c:v>
                </c:pt>
                <c:pt idx="7">
                  <c:v>34.979999999999997</c:v>
                </c:pt>
                <c:pt idx="8">
                  <c:v>47.15</c:v>
                </c:pt>
                <c:pt idx="9">
                  <c:v>60.36</c:v>
                </c:pt>
                <c:pt idx="10">
                  <c:v>38.54</c:v>
                </c:pt>
                <c:pt idx="11">
                  <c:v>56.99</c:v>
                </c:pt>
                <c:pt idx="12">
                  <c:v>60.7</c:v>
                </c:pt>
                <c:pt idx="13">
                  <c:v>49.56</c:v>
                </c:pt>
                <c:pt idx="14">
                  <c:v>28.73</c:v>
                </c:pt>
                <c:pt idx="15">
                  <c:v>44.4</c:v>
                </c:pt>
                <c:pt idx="16">
                  <c:v>40.61</c:v>
                </c:pt>
                <c:pt idx="17">
                  <c:v>45.7</c:v>
                </c:pt>
                <c:pt idx="18">
                  <c:v>52.03</c:v>
                </c:pt>
                <c:pt idx="19">
                  <c:v>56.06</c:v>
                </c:pt>
                <c:pt idx="20">
                  <c:v>42.78</c:v>
                </c:pt>
                <c:pt idx="21">
                  <c:v>33.04</c:v>
                </c:pt>
                <c:pt idx="22">
                  <c:v>26.11</c:v>
                </c:pt>
                <c:pt idx="23">
                  <c:v>30.75</c:v>
                </c:pt>
                <c:pt idx="24">
                  <c:v>32.07</c:v>
                </c:pt>
                <c:pt idx="25">
                  <c:v>26.23</c:v>
                </c:pt>
                <c:pt idx="26">
                  <c:v>19.850000000000001</c:v>
                </c:pt>
                <c:pt idx="27">
                  <c:v>30.29</c:v>
                </c:pt>
                <c:pt idx="28">
                  <c:v>14.85</c:v>
                </c:pt>
                <c:pt idx="29">
                  <c:v>17.48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EF-47C6-9AD1-2DC1297AF86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67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35.049999999999997</c:v>
                </c:pt>
                <c:pt idx="1">
                  <c:v>44.58</c:v>
                </c:pt>
                <c:pt idx="2">
                  <c:v>58.39</c:v>
                </c:pt>
                <c:pt idx="3">
                  <c:v>54.68</c:v>
                </c:pt>
                <c:pt idx="4">
                  <c:v>46.65</c:v>
                </c:pt>
                <c:pt idx="5">
                  <c:v>46.85</c:v>
                </c:pt>
                <c:pt idx="6">
                  <c:v>33.74</c:v>
                </c:pt>
                <c:pt idx="7">
                  <c:v>25.03</c:v>
                </c:pt>
                <c:pt idx="8">
                  <c:v>42.57</c:v>
                </c:pt>
                <c:pt idx="9">
                  <c:v>61.52</c:v>
                </c:pt>
                <c:pt idx="10">
                  <c:v>32.76</c:v>
                </c:pt>
                <c:pt idx="11">
                  <c:v>43.8</c:v>
                </c:pt>
                <c:pt idx="12">
                  <c:v>53.75</c:v>
                </c:pt>
                <c:pt idx="13">
                  <c:v>47.21</c:v>
                </c:pt>
                <c:pt idx="14">
                  <c:v>33.19</c:v>
                </c:pt>
                <c:pt idx="15">
                  <c:v>37.99</c:v>
                </c:pt>
                <c:pt idx="16">
                  <c:v>42.44</c:v>
                </c:pt>
                <c:pt idx="17">
                  <c:v>42.15</c:v>
                </c:pt>
                <c:pt idx="18">
                  <c:v>48.71</c:v>
                </c:pt>
                <c:pt idx="19">
                  <c:v>54.95</c:v>
                </c:pt>
                <c:pt idx="20">
                  <c:v>44.22</c:v>
                </c:pt>
                <c:pt idx="21">
                  <c:v>35.04</c:v>
                </c:pt>
                <c:pt idx="22">
                  <c:v>27.46</c:v>
                </c:pt>
                <c:pt idx="23">
                  <c:v>31.95</c:v>
                </c:pt>
                <c:pt idx="24">
                  <c:v>32.799999999999997</c:v>
                </c:pt>
                <c:pt idx="25">
                  <c:v>30.62</c:v>
                </c:pt>
                <c:pt idx="26">
                  <c:v>26.98</c:v>
                </c:pt>
                <c:pt idx="27">
                  <c:v>30.62</c:v>
                </c:pt>
                <c:pt idx="28">
                  <c:v>15.11</c:v>
                </c:pt>
                <c:pt idx="29">
                  <c:v>21.19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EF-47C6-9AD1-2DC1297AF86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676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39.65</c:v>
                </c:pt>
                <c:pt idx="1">
                  <c:v>49.5</c:v>
                </c:pt>
                <c:pt idx="2">
                  <c:v>57.26</c:v>
                </c:pt>
                <c:pt idx="3">
                  <c:v>52.22</c:v>
                </c:pt>
                <c:pt idx="4">
                  <c:v>43.91</c:v>
                </c:pt>
                <c:pt idx="5">
                  <c:v>46.78</c:v>
                </c:pt>
                <c:pt idx="6">
                  <c:v>30.04</c:v>
                </c:pt>
                <c:pt idx="7">
                  <c:v>30.53</c:v>
                </c:pt>
                <c:pt idx="8">
                  <c:v>40.130000000000003</c:v>
                </c:pt>
                <c:pt idx="9">
                  <c:v>58.23</c:v>
                </c:pt>
                <c:pt idx="10">
                  <c:v>32.96</c:v>
                </c:pt>
                <c:pt idx="11">
                  <c:v>48.5</c:v>
                </c:pt>
                <c:pt idx="12">
                  <c:v>55.37</c:v>
                </c:pt>
                <c:pt idx="13">
                  <c:v>48.76</c:v>
                </c:pt>
                <c:pt idx="14">
                  <c:v>30.59</c:v>
                </c:pt>
                <c:pt idx="15">
                  <c:v>34.44</c:v>
                </c:pt>
                <c:pt idx="16">
                  <c:v>42.88</c:v>
                </c:pt>
                <c:pt idx="17">
                  <c:v>37.54</c:v>
                </c:pt>
                <c:pt idx="18">
                  <c:v>44.54</c:v>
                </c:pt>
                <c:pt idx="19">
                  <c:v>55.25</c:v>
                </c:pt>
                <c:pt idx="20">
                  <c:v>41.74</c:v>
                </c:pt>
                <c:pt idx="21">
                  <c:v>33.36</c:v>
                </c:pt>
                <c:pt idx="22">
                  <c:v>26.81</c:v>
                </c:pt>
                <c:pt idx="23">
                  <c:v>31.23</c:v>
                </c:pt>
                <c:pt idx="24">
                  <c:v>31.77</c:v>
                </c:pt>
                <c:pt idx="25">
                  <c:v>29.43</c:v>
                </c:pt>
                <c:pt idx="26">
                  <c:v>20.03</c:v>
                </c:pt>
                <c:pt idx="27">
                  <c:v>25.02</c:v>
                </c:pt>
                <c:pt idx="28">
                  <c:v>10.27</c:v>
                </c:pt>
                <c:pt idx="29">
                  <c:v>18.87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EF-47C6-9AD1-2DC1297AF86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42.96</c:v>
                </c:pt>
                <c:pt idx="1">
                  <c:v>50.48</c:v>
                </c:pt>
                <c:pt idx="2">
                  <c:v>57.43</c:v>
                </c:pt>
                <c:pt idx="3">
                  <c:v>53.25</c:v>
                </c:pt>
                <c:pt idx="4">
                  <c:v>47.25</c:v>
                </c:pt>
                <c:pt idx="5">
                  <c:v>48.42</c:v>
                </c:pt>
                <c:pt idx="6">
                  <c:v>42.96</c:v>
                </c:pt>
                <c:pt idx="7">
                  <c:v>35.68</c:v>
                </c:pt>
                <c:pt idx="8">
                  <c:v>49.04</c:v>
                </c:pt>
                <c:pt idx="9">
                  <c:v>56.52</c:v>
                </c:pt>
                <c:pt idx="10">
                  <c:v>42.38</c:v>
                </c:pt>
                <c:pt idx="11">
                  <c:v>56.26</c:v>
                </c:pt>
                <c:pt idx="12">
                  <c:v>54.15</c:v>
                </c:pt>
                <c:pt idx="13">
                  <c:v>43.46</c:v>
                </c:pt>
                <c:pt idx="14">
                  <c:v>30.97</c:v>
                </c:pt>
                <c:pt idx="15">
                  <c:v>46.06</c:v>
                </c:pt>
                <c:pt idx="16">
                  <c:v>47.43</c:v>
                </c:pt>
                <c:pt idx="17">
                  <c:v>52.5</c:v>
                </c:pt>
                <c:pt idx="18">
                  <c:v>47.33</c:v>
                </c:pt>
                <c:pt idx="19">
                  <c:v>58.6</c:v>
                </c:pt>
                <c:pt idx="20">
                  <c:v>46.89</c:v>
                </c:pt>
                <c:pt idx="21">
                  <c:v>36.74</c:v>
                </c:pt>
                <c:pt idx="22">
                  <c:v>29.12</c:v>
                </c:pt>
                <c:pt idx="23">
                  <c:v>33.19</c:v>
                </c:pt>
                <c:pt idx="24">
                  <c:v>34.15</c:v>
                </c:pt>
                <c:pt idx="25">
                  <c:v>30.33</c:v>
                </c:pt>
                <c:pt idx="26">
                  <c:v>28.96</c:v>
                </c:pt>
                <c:pt idx="27">
                  <c:v>32.78</c:v>
                </c:pt>
                <c:pt idx="28">
                  <c:v>19.34</c:v>
                </c:pt>
                <c:pt idx="29">
                  <c:v>22.52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AEF-47C6-9AD1-2DC1297AF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08784"/>
        <c:axId val="1"/>
      </c:lineChart>
      <c:catAx>
        <c:axId val="20930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3663366336633666E-2"/>
              <c:y val="0.4336283185840708"/>
            </c:manualLayout>
          </c:layout>
          <c:overlay val="0"/>
          <c:spPr>
            <a:noFill/>
            <a:ln w="2535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3087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495575221238937"/>
          <c:w val="0.12475247524752475"/>
          <c:h val="0.3761061946902654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13">
                  <c:v>24.77</c:v>
                </c:pt>
                <c:pt idx="14">
                  <c:v>24.52</c:v>
                </c:pt>
                <c:pt idx="15">
                  <c:v>36.479999999999997</c:v>
                </c:pt>
                <c:pt idx="16">
                  <c:v>9.92</c:v>
                </c:pt>
                <c:pt idx="17">
                  <c:v>15.05</c:v>
                </c:pt>
                <c:pt idx="18">
                  <c:v>38.25</c:v>
                </c:pt>
                <c:pt idx="19">
                  <c:v>21.88</c:v>
                </c:pt>
                <c:pt idx="20">
                  <c:v>18.62</c:v>
                </c:pt>
                <c:pt idx="21">
                  <c:v>21.03</c:v>
                </c:pt>
                <c:pt idx="22">
                  <c:v>28.27</c:v>
                </c:pt>
                <c:pt idx="23">
                  <c:v>24.75</c:v>
                </c:pt>
                <c:pt idx="24">
                  <c:v>26.51</c:v>
                </c:pt>
                <c:pt idx="25">
                  <c:v>30.09</c:v>
                </c:pt>
                <c:pt idx="26">
                  <c:v>39.409999999999997</c:v>
                </c:pt>
                <c:pt idx="27">
                  <c:v>30.06</c:v>
                </c:pt>
                <c:pt idx="28">
                  <c:v>47.89</c:v>
                </c:pt>
                <c:pt idx="29">
                  <c:v>30.91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33-492C-80B5-A382BABFA8FB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26.94</c:v>
                </c:pt>
                <c:pt idx="1">
                  <c:v>16.07</c:v>
                </c:pt>
                <c:pt idx="2">
                  <c:v>13.31</c:v>
                </c:pt>
                <c:pt idx="3">
                  <c:v>21.45</c:v>
                </c:pt>
                <c:pt idx="4">
                  <c:v>16.739999999999998</c:v>
                </c:pt>
                <c:pt idx="5">
                  <c:v>16.89</c:v>
                </c:pt>
                <c:pt idx="7">
                  <c:v>28.69</c:v>
                </c:pt>
                <c:pt idx="8">
                  <c:v>22.27</c:v>
                </c:pt>
                <c:pt idx="9">
                  <c:v>25.94</c:v>
                </c:pt>
                <c:pt idx="10">
                  <c:v>15.03</c:v>
                </c:pt>
                <c:pt idx="11">
                  <c:v>19.97</c:v>
                </c:pt>
                <c:pt idx="12">
                  <c:v>38.25</c:v>
                </c:pt>
                <c:pt idx="13">
                  <c:v>42.81</c:v>
                </c:pt>
                <c:pt idx="14">
                  <c:v>40.6</c:v>
                </c:pt>
                <c:pt idx="15">
                  <c:v>44.46</c:v>
                </c:pt>
                <c:pt idx="16">
                  <c:v>39.93</c:v>
                </c:pt>
                <c:pt idx="17">
                  <c:v>46.7</c:v>
                </c:pt>
                <c:pt idx="18">
                  <c:v>50.3</c:v>
                </c:pt>
                <c:pt idx="19">
                  <c:v>22.83</c:v>
                </c:pt>
                <c:pt idx="20">
                  <c:v>13.42</c:v>
                </c:pt>
                <c:pt idx="21">
                  <c:v>12.19</c:v>
                </c:pt>
                <c:pt idx="22">
                  <c:v>19.510000000000002</c:v>
                </c:pt>
                <c:pt idx="23">
                  <c:v>18.12</c:v>
                </c:pt>
                <c:pt idx="24">
                  <c:v>18.96</c:v>
                </c:pt>
                <c:pt idx="25">
                  <c:v>21.44</c:v>
                </c:pt>
                <c:pt idx="26">
                  <c:v>26.88</c:v>
                </c:pt>
                <c:pt idx="27">
                  <c:v>23.05</c:v>
                </c:pt>
                <c:pt idx="28">
                  <c:v>33.06</c:v>
                </c:pt>
                <c:pt idx="29">
                  <c:v>25.99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33-492C-80B5-A382BABFA8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393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33.520000000000003</c:v>
                </c:pt>
                <c:pt idx="1">
                  <c:v>22.27</c:v>
                </c:pt>
                <c:pt idx="2">
                  <c:v>9.3000000000000007</c:v>
                </c:pt>
                <c:pt idx="3">
                  <c:v>13.61</c:v>
                </c:pt>
                <c:pt idx="4">
                  <c:v>13.19</c:v>
                </c:pt>
                <c:pt idx="5">
                  <c:v>13.65</c:v>
                </c:pt>
                <c:pt idx="6">
                  <c:v>26.19</c:v>
                </c:pt>
                <c:pt idx="7">
                  <c:v>30.64</c:v>
                </c:pt>
                <c:pt idx="8">
                  <c:v>20.8</c:v>
                </c:pt>
                <c:pt idx="9">
                  <c:v>14.79</c:v>
                </c:pt>
                <c:pt idx="10">
                  <c:v>24.56</c:v>
                </c:pt>
                <c:pt idx="11">
                  <c:v>20.62</c:v>
                </c:pt>
                <c:pt idx="12">
                  <c:v>26.66</c:v>
                </c:pt>
                <c:pt idx="13">
                  <c:v>25.71</c:v>
                </c:pt>
                <c:pt idx="14">
                  <c:v>19.989999999999998</c:v>
                </c:pt>
                <c:pt idx="15">
                  <c:v>22.76</c:v>
                </c:pt>
                <c:pt idx="16">
                  <c:v>19.71</c:v>
                </c:pt>
                <c:pt idx="17">
                  <c:v>28.46</c:v>
                </c:pt>
                <c:pt idx="18">
                  <c:v>36.630000000000003</c:v>
                </c:pt>
                <c:pt idx="19">
                  <c:v>23.39</c:v>
                </c:pt>
                <c:pt idx="20">
                  <c:v>10.99</c:v>
                </c:pt>
                <c:pt idx="21">
                  <c:v>11.83</c:v>
                </c:pt>
                <c:pt idx="22">
                  <c:v>19.87</c:v>
                </c:pt>
                <c:pt idx="23">
                  <c:v>17.54</c:v>
                </c:pt>
                <c:pt idx="24">
                  <c:v>16.63</c:v>
                </c:pt>
                <c:pt idx="25">
                  <c:v>19.84</c:v>
                </c:pt>
                <c:pt idx="26">
                  <c:v>22.82</c:v>
                </c:pt>
                <c:pt idx="27">
                  <c:v>20.61</c:v>
                </c:pt>
                <c:pt idx="28">
                  <c:v>28.12</c:v>
                </c:pt>
                <c:pt idx="29">
                  <c:v>18.940000000000001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33-492C-80B5-A382BABFA8FB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6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28.25</c:v>
                </c:pt>
                <c:pt idx="1">
                  <c:v>23.09</c:v>
                </c:pt>
                <c:pt idx="2">
                  <c:v>15.19</c:v>
                </c:pt>
                <c:pt idx="3">
                  <c:v>18.100000000000001</c:v>
                </c:pt>
                <c:pt idx="4">
                  <c:v>15.8</c:v>
                </c:pt>
                <c:pt idx="5">
                  <c:v>15.65</c:v>
                </c:pt>
                <c:pt idx="6">
                  <c:v>24.1</c:v>
                </c:pt>
                <c:pt idx="7">
                  <c:v>27.41</c:v>
                </c:pt>
                <c:pt idx="8">
                  <c:v>21.19</c:v>
                </c:pt>
                <c:pt idx="9">
                  <c:v>19.059999999999999</c:v>
                </c:pt>
                <c:pt idx="10">
                  <c:v>22.23</c:v>
                </c:pt>
                <c:pt idx="11">
                  <c:v>17.489999999999998</c:v>
                </c:pt>
                <c:pt idx="12">
                  <c:v>27.8</c:v>
                </c:pt>
                <c:pt idx="13">
                  <c:v>24.96</c:v>
                </c:pt>
                <c:pt idx="14">
                  <c:v>20.93</c:v>
                </c:pt>
                <c:pt idx="15">
                  <c:v>29.71</c:v>
                </c:pt>
                <c:pt idx="16">
                  <c:v>21.41</c:v>
                </c:pt>
                <c:pt idx="17">
                  <c:v>26.12</c:v>
                </c:pt>
                <c:pt idx="18">
                  <c:v>31.7</c:v>
                </c:pt>
                <c:pt idx="19">
                  <c:v>23.01</c:v>
                </c:pt>
                <c:pt idx="20">
                  <c:v>15.07</c:v>
                </c:pt>
                <c:pt idx="21">
                  <c:v>15.5</c:v>
                </c:pt>
                <c:pt idx="22">
                  <c:v>21.63</c:v>
                </c:pt>
                <c:pt idx="23">
                  <c:v>19.22</c:v>
                </c:pt>
                <c:pt idx="24">
                  <c:v>20.13</c:v>
                </c:pt>
                <c:pt idx="25">
                  <c:v>24.23</c:v>
                </c:pt>
                <c:pt idx="27">
                  <c:v>19.309999999999999</c:v>
                </c:pt>
                <c:pt idx="28">
                  <c:v>37.270000000000003</c:v>
                </c:pt>
                <c:pt idx="29">
                  <c:v>25.45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33-492C-80B5-A382BABFA8FB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6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933-492C-80B5-A382BABFA8FB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393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933-492C-80B5-A382BABFA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796448"/>
        <c:axId val="1"/>
      </c:lineChart>
      <c:catAx>
        <c:axId val="16479644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393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479644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73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1</c:v>
                </c:pt>
                <c:pt idx="17">
                  <c:v>2</c:v>
                </c:pt>
                <c:pt idx="18">
                  <c:v>4</c:v>
                </c:pt>
                <c:pt idx="19">
                  <c:v>3</c:v>
                </c:pt>
                <c:pt idx="20">
                  <c:v>1</c:v>
                </c:pt>
                <c:pt idx="21">
                  <c:v>1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B1-4113-94D1-C2037008E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60440"/>
        <c:axId val="1"/>
      </c:lineChart>
      <c:catAx>
        <c:axId val="165760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8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86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8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760440"/>
        <c:crosses val="autoZero"/>
        <c:crossBetween val="between"/>
      </c:valAx>
      <c:spPr>
        <a:solidFill>
          <a:srgbClr val="FFFFFF"/>
        </a:solidFill>
        <a:ln w="1268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22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DD-4465-AC3F-F1EBD0754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61096"/>
        <c:axId val="1"/>
      </c:lineChart>
      <c:catAx>
        <c:axId val="165761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1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761096"/>
        <c:crosses val="autoZero"/>
        <c:crossBetween val="between"/>
      </c:valAx>
      <c:spPr>
        <a:solidFill>
          <a:srgbClr val="FFFFFF"/>
        </a:solidFill>
        <a:ln w="1271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22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06-40A6-8D21-474DFB8C5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08784"/>
        <c:axId val="1"/>
      </c:lineChart>
      <c:catAx>
        <c:axId val="20930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1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9308784"/>
        <c:crosses val="autoZero"/>
        <c:crossBetween val="between"/>
      </c:valAx>
      <c:spPr>
        <a:solidFill>
          <a:srgbClr val="FFFFFF"/>
        </a:solidFill>
        <a:ln w="1271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33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1</c:v>
                </c:pt>
                <c:pt idx="27">
                  <c:v>2</c:v>
                </c:pt>
                <c:pt idx="28">
                  <c:v>4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A-4C83-AE62-E5AF2E05E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32944"/>
        <c:axId val="1"/>
      </c:lineChart>
      <c:catAx>
        <c:axId val="14173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6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6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6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1732944"/>
        <c:crosses val="autoZero"/>
        <c:crossBetween val="between"/>
      </c:valAx>
      <c:spPr>
        <a:solidFill>
          <a:srgbClr val="FFFFFF"/>
        </a:solidFill>
        <a:ln w="1266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445E-977D-4093-9DAB-F5138510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2472</Words>
  <Characters>14338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86</cp:revision>
  <cp:lastPrinted>2017-01-18T10:03:00Z</cp:lastPrinted>
  <dcterms:created xsi:type="dcterms:W3CDTF">2019-10-14T11:13:00Z</dcterms:created>
  <dcterms:modified xsi:type="dcterms:W3CDTF">2019-12-18T12:10:00Z</dcterms:modified>
</cp:coreProperties>
</file>