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CCA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57605441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8440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IUNIE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84401D" w:rsidRPr="00351FD6" w:rsidRDefault="0084401D" w:rsidP="0084401D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iunie</w:t>
      </w:r>
      <w:proofErr w:type="spellEnd"/>
      <w:r>
        <w:rPr>
          <w:sz w:val="28"/>
          <w:szCs w:val="28"/>
          <w:lang w:val="fr-FR"/>
        </w:rPr>
        <w:t xml:space="preserve">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84401D" w:rsidRPr="00351FD6" w:rsidRDefault="0084401D" w:rsidP="0084401D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84401D" w:rsidRPr="00351FD6" w:rsidTr="00B073FC">
        <w:tc>
          <w:tcPr>
            <w:tcW w:w="992" w:type="dxa"/>
            <w:vMerge w:val="restart"/>
            <w:vAlign w:val="center"/>
          </w:tcPr>
          <w:p w:rsidR="0084401D" w:rsidRPr="00351FD6" w:rsidRDefault="0084401D" w:rsidP="00B073FC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84401D" w:rsidRPr="00351FD6" w:rsidRDefault="0084401D" w:rsidP="00B073FC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84401D" w:rsidRPr="00351FD6" w:rsidRDefault="0084401D" w:rsidP="00B073F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84401D" w:rsidRPr="00351FD6" w:rsidRDefault="0084401D" w:rsidP="00B073F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84401D" w:rsidRPr="00351FD6" w:rsidTr="00B073FC">
        <w:trPr>
          <w:cantSplit/>
          <w:trHeight w:val="420"/>
        </w:trPr>
        <w:tc>
          <w:tcPr>
            <w:tcW w:w="992" w:type="dxa"/>
            <w:vMerge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84401D" w:rsidRPr="00351FD6" w:rsidRDefault="0084401D" w:rsidP="00B073FC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84401D" w:rsidRPr="00351FD6" w:rsidRDefault="0084401D" w:rsidP="00B073FC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84401D" w:rsidRPr="00351FD6" w:rsidRDefault="0084401D" w:rsidP="00B073FC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</w:rPr>
            </w:pPr>
            <w:r w:rsidRPr="007064D8">
              <w:rPr>
                <w:sz w:val="28"/>
                <w:szCs w:val="28"/>
              </w:rPr>
              <w:t>3,23</w:t>
            </w:r>
          </w:p>
        </w:tc>
        <w:tc>
          <w:tcPr>
            <w:tcW w:w="2056" w:type="dxa"/>
          </w:tcPr>
          <w:p w:rsidR="0084401D" w:rsidRPr="001935DE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</w:tcPr>
          <w:p w:rsidR="0084401D" w:rsidRPr="0077271F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</w:rPr>
            </w:pPr>
            <w:r w:rsidRPr="007064D8">
              <w:rPr>
                <w:sz w:val="28"/>
                <w:szCs w:val="28"/>
              </w:rPr>
              <w:t>4,87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</w:rPr>
            </w:pPr>
            <w:r w:rsidRPr="007064D8">
              <w:rPr>
                <w:sz w:val="28"/>
                <w:szCs w:val="28"/>
              </w:rPr>
              <w:t>6,77</w:t>
            </w:r>
          </w:p>
        </w:tc>
        <w:tc>
          <w:tcPr>
            <w:tcW w:w="2056" w:type="dxa"/>
          </w:tcPr>
          <w:p w:rsidR="0084401D" w:rsidRPr="00257125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</w:rPr>
            </w:pPr>
            <w:r w:rsidRPr="007064D8">
              <w:rPr>
                <w:sz w:val="28"/>
                <w:szCs w:val="28"/>
              </w:rPr>
              <w:t>4,93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6,80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8,5</w:t>
            </w:r>
          </w:p>
        </w:tc>
        <w:tc>
          <w:tcPr>
            <w:tcW w:w="1418" w:type="dxa"/>
          </w:tcPr>
          <w:p w:rsidR="0084401D" w:rsidRPr="009913EC" w:rsidRDefault="0084401D" w:rsidP="00B07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5,29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12,5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0,42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3,99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7,4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0,53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3,78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7,8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0,48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5,10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6,5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0,78</w:t>
            </w:r>
          </w:p>
        </w:tc>
      </w:tr>
      <w:tr w:rsidR="0084401D" w:rsidRPr="00351FD6" w:rsidTr="00B073FC">
        <w:trPr>
          <w:cantSplit/>
        </w:trPr>
        <w:tc>
          <w:tcPr>
            <w:tcW w:w="992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84401D" w:rsidRPr="007064D8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 w:rsidRPr="007064D8">
              <w:rPr>
                <w:sz w:val="28"/>
                <w:szCs w:val="28"/>
                <w:lang w:val="fr-FR"/>
              </w:rPr>
              <w:t>10,55</w:t>
            </w:r>
          </w:p>
        </w:tc>
        <w:tc>
          <w:tcPr>
            <w:tcW w:w="2056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15,5</w:t>
            </w:r>
          </w:p>
        </w:tc>
        <w:tc>
          <w:tcPr>
            <w:tcW w:w="1418" w:type="dxa"/>
          </w:tcPr>
          <w:p w:rsidR="0084401D" w:rsidRPr="00351FD6" w:rsidRDefault="0084401D" w:rsidP="00B073F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0,68</w:t>
            </w:r>
          </w:p>
        </w:tc>
      </w:tr>
    </w:tbl>
    <w:p w:rsidR="0084401D" w:rsidRPr="00351FD6" w:rsidRDefault="0084401D" w:rsidP="0084401D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84401D" w:rsidRPr="00EA41BF" w:rsidRDefault="0084401D" w:rsidP="0084401D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iunie </w:t>
      </w:r>
      <w:r w:rsidRPr="008C0CA5">
        <w:rPr>
          <w:sz w:val="28"/>
          <w:szCs w:val="28"/>
        </w:rPr>
        <w:t xml:space="preserve">2020, </w:t>
      </w:r>
      <w:r>
        <w:rPr>
          <w:sz w:val="28"/>
          <w:szCs w:val="28"/>
        </w:rPr>
        <w:t xml:space="preserve">nu </w:t>
      </w:r>
      <w:r w:rsidRPr="00EA41BF">
        <w:rPr>
          <w:sz w:val="28"/>
          <w:szCs w:val="28"/>
        </w:rPr>
        <w:t>s-au înregistrat depășiri ale concentrației maxime admise</w:t>
      </w:r>
      <w:r>
        <w:rPr>
          <w:sz w:val="28"/>
          <w:szCs w:val="28"/>
        </w:rPr>
        <w:t xml:space="preserve"> l</w:t>
      </w:r>
      <w:r w:rsidRPr="008C0CA5">
        <w:rPr>
          <w:sz w:val="28"/>
          <w:szCs w:val="28"/>
        </w:rPr>
        <w:t>a indicatorul pu</w:t>
      </w:r>
      <w:r>
        <w:rPr>
          <w:sz w:val="28"/>
          <w:szCs w:val="28"/>
        </w:rPr>
        <w:t>lberi sedimentabile</w:t>
      </w:r>
      <w:r w:rsidRPr="00EA41BF">
        <w:rPr>
          <w:sz w:val="28"/>
          <w:szCs w:val="28"/>
        </w:rPr>
        <w:t xml:space="preserve">. </w:t>
      </w:r>
    </w:p>
    <w:p w:rsidR="00FC12A2" w:rsidRDefault="00FC12A2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27485C" w:rsidRPr="0027485C" w:rsidRDefault="0080010D" w:rsidP="0027485C">
      <w:pPr>
        <w:shd w:val="clear" w:color="auto" w:fill="FFFFFF"/>
        <w:jc w:val="both"/>
        <w:rPr>
          <w:sz w:val="28"/>
          <w:szCs w:val="28"/>
        </w:rPr>
      </w:pPr>
      <w:r w:rsidRPr="0027485C">
        <w:rPr>
          <w:sz w:val="28"/>
          <w:szCs w:val="28"/>
        </w:rPr>
        <w:t xml:space="preserve">Această </w:t>
      </w:r>
      <w:r w:rsidR="00925488" w:rsidRPr="0027485C">
        <w:rPr>
          <w:sz w:val="28"/>
          <w:szCs w:val="28"/>
        </w:rPr>
        <w:t>rețea</w:t>
      </w:r>
      <w:r w:rsidRPr="0027485C">
        <w:rPr>
          <w:sz w:val="28"/>
          <w:szCs w:val="28"/>
        </w:rPr>
        <w:t xml:space="preserve"> are ca obiectiv monitorizarea calității aerului și </w:t>
      </w:r>
      <w:r w:rsidR="002F2827" w:rsidRPr="0027485C">
        <w:rPr>
          <w:sz w:val="28"/>
          <w:szCs w:val="28"/>
        </w:rPr>
        <w:t>e</w:t>
      </w:r>
      <w:r w:rsidRPr="0027485C">
        <w:rPr>
          <w:sz w:val="28"/>
          <w:szCs w:val="28"/>
        </w:rPr>
        <w:t xml:space="preserve">ste formată din 5 puncte de recoltare a probelor, amplasate </w:t>
      </w:r>
      <w:r w:rsidR="0027485C" w:rsidRPr="0027485C">
        <w:rPr>
          <w:sz w:val="28"/>
          <w:szCs w:val="28"/>
        </w:rPr>
        <w:t>în</w:t>
      </w:r>
      <w:r w:rsidRPr="0027485C">
        <w:rPr>
          <w:sz w:val="28"/>
          <w:szCs w:val="28"/>
        </w:rPr>
        <w:t xml:space="preserve"> </w:t>
      </w:r>
      <w:r w:rsidR="0027485C" w:rsidRPr="0027485C">
        <w:rPr>
          <w:sz w:val="28"/>
          <w:szCs w:val="28"/>
        </w:rPr>
        <w:t>:</w:t>
      </w:r>
    </w:p>
    <w:p w:rsidR="0027485C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lastRenderedPageBreak/>
        <w:t xml:space="preserve">Incinta stației </w:t>
      </w:r>
      <w:r w:rsidR="0080010D" w:rsidRPr="0027485C">
        <w:rPr>
          <w:rFonts w:ascii="Times New Roman" w:hAnsi="Times New Roman"/>
          <w:sz w:val="28"/>
          <w:szCs w:val="28"/>
        </w:rPr>
        <w:t xml:space="preserve"> automat</w:t>
      </w:r>
      <w:r w:rsidRPr="0027485C">
        <w:rPr>
          <w:rFonts w:ascii="Times New Roman" w:hAnsi="Times New Roman"/>
          <w:sz w:val="28"/>
          <w:szCs w:val="28"/>
        </w:rPr>
        <w:t>e</w:t>
      </w:r>
      <w:r w:rsidR="0080010D" w:rsidRPr="0027485C">
        <w:rPr>
          <w:rFonts w:ascii="Times New Roman" w:hAnsi="Times New Roman"/>
          <w:sz w:val="28"/>
          <w:szCs w:val="28"/>
        </w:rPr>
        <w:t xml:space="preserve"> de</w:t>
      </w:r>
      <w:r w:rsidR="002371E8" w:rsidRPr="0027485C">
        <w:rPr>
          <w:rFonts w:ascii="Times New Roman" w:hAnsi="Times New Roman"/>
          <w:sz w:val="28"/>
          <w:szCs w:val="28"/>
        </w:rPr>
        <w:t xml:space="preserve"> monitorizare a dozei gama în timp real</w:t>
      </w:r>
      <w:r w:rsidRPr="0027485C">
        <w:rPr>
          <w:rFonts w:ascii="Times New Roman" w:hAnsi="Times New Roman"/>
          <w:sz w:val="28"/>
          <w:szCs w:val="28"/>
        </w:rPr>
        <w:t xml:space="preserve"> de la sediul APM Brăila</w:t>
      </w:r>
    </w:p>
    <w:p w:rsidR="00851534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>I</w:t>
      </w:r>
      <w:r w:rsidR="0080010D" w:rsidRPr="0027485C">
        <w:rPr>
          <w:rFonts w:ascii="Times New Roman" w:hAnsi="Times New Roman"/>
          <w:sz w:val="28"/>
          <w:szCs w:val="28"/>
        </w:rPr>
        <w:t>ncint</w:t>
      </w:r>
      <w:r w:rsidR="009B08F5" w:rsidRPr="0027485C">
        <w:rPr>
          <w:rFonts w:ascii="Times New Roman" w:hAnsi="Times New Roman"/>
          <w:sz w:val="28"/>
          <w:szCs w:val="28"/>
        </w:rPr>
        <w:t>ele</w:t>
      </w:r>
      <w:r w:rsidR="0080010D" w:rsidRPr="0027485C">
        <w:rPr>
          <w:rFonts w:ascii="Times New Roman" w:hAnsi="Times New Roman"/>
          <w:sz w:val="28"/>
          <w:szCs w:val="28"/>
        </w:rPr>
        <w:t xml:space="preserve"> stațiilor automate de măsurarea calității aerului </w:t>
      </w:r>
      <w:r w:rsidRPr="0027485C">
        <w:rPr>
          <w:rFonts w:ascii="Times New Roman" w:hAnsi="Times New Roman"/>
          <w:sz w:val="28"/>
          <w:szCs w:val="28"/>
        </w:rPr>
        <w:t>după cum urmează</w:t>
      </w:r>
      <w:r w:rsidR="0080010D" w:rsidRPr="0027485C">
        <w:rPr>
          <w:rFonts w:ascii="Times New Roman" w:hAnsi="Times New Roman"/>
          <w:sz w:val="28"/>
          <w:szCs w:val="28"/>
        </w:rPr>
        <w:t>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84401D" w:rsidRPr="00842C5C" w:rsidRDefault="0084401D" w:rsidP="0084401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iunie 2020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prelevare,</w:t>
      </w:r>
      <w:r w:rsidRPr="00842C5C">
        <w:rPr>
          <w:color w:val="191919"/>
          <w:sz w:val="28"/>
          <w:szCs w:val="28"/>
        </w:rPr>
        <w:t xml:space="preserve"> s-a măsurat și analizat</w:t>
      </w:r>
      <w:r>
        <w:rPr>
          <w:color w:val="191919"/>
          <w:sz w:val="28"/>
          <w:szCs w:val="28"/>
        </w:rPr>
        <w:t xml:space="preserve"> </w:t>
      </w:r>
      <w:r w:rsidRPr="00842C5C">
        <w:rPr>
          <w:color w:val="191919"/>
          <w:sz w:val="28"/>
          <w:szCs w:val="28"/>
        </w:rPr>
        <w:t xml:space="preserve"> o cantitate medie </w:t>
      </w:r>
      <w:r>
        <w:rPr>
          <w:color w:val="191919"/>
          <w:sz w:val="28"/>
          <w:szCs w:val="28"/>
        </w:rPr>
        <w:t>lunară de 17,29 l/</w:t>
      </w:r>
      <w:r w:rsidRPr="00842C5C">
        <w:rPr>
          <w:color w:val="191919"/>
          <w:sz w:val="28"/>
          <w:szCs w:val="28"/>
        </w:rPr>
        <w:t>mp.</w:t>
      </w:r>
    </w:p>
    <w:p w:rsidR="00F131C1" w:rsidRPr="00471286" w:rsidRDefault="0084401D" w:rsidP="00411CBF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6,90  – 7,2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697EC9" w:rsidRPr="002A5067" w:rsidRDefault="00697EC9" w:rsidP="00697EC9">
      <w:pPr>
        <w:rPr>
          <w:bCs/>
          <w:sz w:val="28"/>
          <w:szCs w:val="28"/>
          <w:lang w:val="it-IT"/>
        </w:rPr>
      </w:pPr>
      <w:r w:rsidRPr="002A5067">
        <w:rPr>
          <w:bCs/>
          <w:sz w:val="28"/>
          <w:szCs w:val="28"/>
          <w:lang w:val="it-IT"/>
        </w:rPr>
        <w:t>APM -  Brăila a primit în cursul lunii iunie 2020 rezultatele automonitorizării calităţii apelor uzate de la următorii agenţi economici:</w:t>
      </w:r>
    </w:p>
    <w:p w:rsidR="00697EC9" w:rsidRPr="002A5067" w:rsidRDefault="00697EC9" w:rsidP="00697EC9">
      <w:pPr>
        <w:rPr>
          <w:bCs/>
          <w:sz w:val="28"/>
          <w:szCs w:val="28"/>
          <w:lang w:val="it-IT"/>
        </w:rPr>
      </w:pPr>
    </w:p>
    <w:p w:rsidR="00697EC9" w:rsidRPr="002A5067" w:rsidRDefault="00697EC9" w:rsidP="00697EC9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2A5067">
        <w:rPr>
          <w:sz w:val="28"/>
          <w:szCs w:val="28"/>
        </w:rPr>
        <w:t>SC ”</w:t>
      </w:r>
      <w:proofErr w:type="spellStart"/>
      <w:r w:rsidRPr="002A5067">
        <w:rPr>
          <w:sz w:val="28"/>
          <w:szCs w:val="28"/>
        </w:rPr>
        <w:t>Vard</w:t>
      </w:r>
      <w:proofErr w:type="spellEnd"/>
      <w:r w:rsidRPr="002A5067">
        <w:rPr>
          <w:sz w:val="28"/>
          <w:szCs w:val="28"/>
        </w:rPr>
        <w:t xml:space="preserve"> Brăila” SA – Brăila</w:t>
      </w:r>
    </w:p>
    <w:p w:rsidR="00697EC9" w:rsidRPr="002A5067" w:rsidRDefault="00697EC9" w:rsidP="00697EC9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2A5067">
        <w:rPr>
          <w:sz w:val="28"/>
          <w:szCs w:val="28"/>
        </w:rPr>
        <w:t>SC ”Dedeman” SRL – Brăila</w:t>
      </w:r>
    </w:p>
    <w:p w:rsidR="00697EC9" w:rsidRPr="002A5067" w:rsidRDefault="00697EC9" w:rsidP="00697EC9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2A5067">
        <w:rPr>
          <w:sz w:val="28"/>
          <w:szCs w:val="28"/>
        </w:rPr>
        <w:t xml:space="preserve">SC ”Bona </w:t>
      </w:r>
      <w:proofErr w:type="spellStart"/>
      <w:r w:rsidRPr="002A5067">
        <w:rPr>
          <w:sz w:val="28"/>
          <w:szCs w:val="28"/>
        </w:rPr>
        <w:t>Avis</w:t>
      </w:r>
      <w:proofErr w:type="spellEnd"/>
      <w:r w:rsidRPr="002A5067">
        <w:rPr>
          <w:sz w:val="28"/>
          <w:szCs w:val="28"/>
        </w:rPr>
        <w:t>” SRL – Brăila</w:t>
      </w:r>
    </w:p>
    <w:p w:rsidR="00697EC9" w:rsidRPr="002A5067" w:rsidRDefault="00697EC9" w:rsidP="00697EC9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2A5067">
        <w:rPr>
          <w:sz w:val="28"/>
          <w:szCs w:val="28"/>
        </w:rPr>
        <w:t>SC ”</w:t>
      </w:r>
      <w:proofErr w:type="spellStart"/>
      <w:r w:rsidRPr="002A5067">
        <w:rPr>
          <w:sz w:val="28"/>
          <w:szCs w:val="28"/>
        </w:rPr>
        <w:t>Miflobu</w:t>
      </w:r>
      <w:proofErr w:type="spellEnd"/>
      <w:r w:rsidRPr="002A5067">
        <w:rPr>
          <w:sz w:val="28"/>
          <w:szCs w:val="28"/>
        </w:rPr>
        <w:t xml:space="preserve"> </w:t>
      </w:r>
      <w:proofErr w:type="spellStart"/>
      <w:r w:rsidRPr="002A5067">
        <w:rPr>
          <w:sz w:val="28"/>
          <w:szCs w:val="28"/>
        </w:rPr>
        <w:t>Wash</w:t>
      </w:r>
      <w:proofErr w:type="spellEnd"/>
      <w:r w:rsidRPr="002A5067">
        <w:rPr>
          <w:sz w:val="28"/>
          <w:szCs w:val="28"/>
        </w:rPr>
        <w:t>” SRL – Brăila</w:t>
      </w:r>
    </w:p>
    <w:p w:rsidR="00697EC9" w:rsidRPr="002A5067" w:rsidRDefault="00697EC9" w:rsidP="00697EC9">
      <w:pPr>
        <w:tabs>
          <w:tab w:val="left" w:pos="1276"/>
        </w:tabs>
        <w:ind w:left="1211"/>
        <w:rPr>
          <w:sz w:val="28"/>
          <w:szCs w:val="28"/>
        </w:rPr>
      </w:pPr>
    </w:p>
    <w:p w:rsidR="00697EC9" w:rsidRPr="002A5067" w:rsidRDefault="00697EC9" w:rsidP="00697EC9">
      <w:pPr>
        <w:ind w:firstLine="360"/>
        <w:rPr>
          <w:sz w:val="28"/>
          <w:szCs w:val="28"/>
        </w:rPr>
      </w:pPr>
      <w:r w:rsidRPr="002A5067">
        <w:rPr>
          <w:bCs/>
          <w:sz w:val="28"/>
          <w:szCs w:val="28"/>
        </w:rPr>
        <w:t xml:space="preserve">Față de concentrațiile maxime admise de normativele </w:t>
      </w:r>
      <w:proofErr w:type="spellStart"/>
      <w:r w:rsidRPr="002A5067">
        <w:rPr>
          <w:bCs/>
          <w:sz w:val="28"/>
          <w:szCs w:val="28"/>
        </w:rPr>
        <w:t>şi</w:t>
      </w:r>
      <w:proofErr w:type="spellEnd"/>
      <w:r w:rsidRPr="002A5067">
        <w:rPr>
          <w:bCs/>
          <w:sz w:val="28"/>
          <w:szCs w:val="28"/>
        </w:rPr>
        <w:t xml:space="preserve"> actele de reglementare existente nu s-au înregistrat depășiri ale indicatorilor monitorizați</w:t>
      </w:r>
      <w:r w:rsidRPr="002A5067">
        <w:rPr>
          <w:sz w:val="28"/>
          <w:szCs w:val="28"/>
          <w:lang w:val="it-IT"/>
        </w:rPr>
        <w:t xml:space="preserve"> constatate în buletinele de analiză transmise de către agenții economici.</w:t>
      </w:r>
    </w:p>
    <w:p w:rsidR="00664182" w:rsidRDefault="00664182" w:rsidP="0036729D">
      <w:pPr>
        <w:rPr>
          <w:b/>
          <w:bCs/>
          <w:sz w:val="28"/>
          <w:szCs w:val="28"/>
          <w:lang w:val="it-IT"/>
        </w:rPr>
      </w:pPr>
    </w:p>
    <w:p w:rsidR="0015754D" w:rsidRPr="00471286" w:rsidRDefault="007F37F5" w:rsidP="00FA78A2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FA78A2" w:rsidRDefault="0039605B" w:rsidP="00F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Programul de monitorizare a apelor uzate nu s-a putut efectuat pentru agenți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economici, datorită stării de alertă instituită la nivel național pentru pandemia de corona virus.</w:t>
      </w:r>
    </w:p>
    <w:p w:rsidR="00B6247E" w:rsidRPr="00471286" w:rsidRDefault="00B6247E" w:rsidP="00FA78A2">
      <w:pPr>
        <w:ind w:firstLine="708"/>
        <w:jc w:val="both"/>
        <w:rPr>
          <w:b/>
          <w:bCs/>
          <w:sz w:val="28"/>
          <w:szCs w:val="28"/>
          <w:lang w:val="it-IT"/>
        </w:rPr>
      </w:pPr>
    </w:p>
    <w:p w:rsidR="0015754D" w:rsidRPr="00471286" w:rsidRDefault="007B5A0D" w:rsidP="00FA78A2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</w:t>
      </w:r>
      <w:proofErr w:type="spellStart"/>
      <w:r w:rsidR="0084796D" w:rsidRPr="00471286">
        <w:rPr>
          <w:sz w:val="28"/>
          <w:szCs w:val="28"/>
        </w:rPr>
        <w:t>europene.Rezultatele</w:t>
      </w:r>
      <w:proofErr w:type="spellEnd"/>
      <w:r w:rsidR="0084796D" w:rsidRPr="00471286">
        <w:rPr>
          <w:sz w:val="28"/>
          <w:szCs w:val="28"/>
        </w:rPr>
        <w:t xml:space="preserve">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A4369E" w:rsidRDefault="00A4369E" w:rsidP="00846391">
      <w:pPr>
        <w:ind w:firstLine="720"/>
        <w:jc w:val="both"/>
        <w:rPr>
          <w:bCs/>
          <w:sz w:val="28"/>
          <w:szCs w:val="28"/>
        </w:rPr>
      </w:pPr>
    </w:p>
    <w:p w:rsidR="00B6247E" w:rsidRPr="003F6B8D" w:rsidRDefault="00B6247E" w:rsidP="00B6247E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B6247E" w:rsidRPr="00BF6FD0" w:rsidRDefault="00B6247E" w:rsidP="00B6247E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B6247E" w:rsidRPr="00BF6FD0" w:rsidTr="00B073FC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B6247E" w:rsidRPr="00BF6FD0" w:rsidTr="00B073FC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6.16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21.02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4.31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350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30/an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>
              <w:t>7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6.06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11.19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4.12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692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350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4.26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13.95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2.24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11.87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36.81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5.19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18.28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47.15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10.12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30/an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0.56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68.12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122.72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17.12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690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120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1.01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23.18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0.45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709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>
              <w:t>7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17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25</w:t>
            </w:r>
          </w:p>
        </w:tc>
      </w:tr>
      <w:tr w:rsidR="00B6247E" w:rsidRPr="00BF6FD0" w:rsidTr="00B073FC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350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3.84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7.74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2.91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8.55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20.57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4.69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14.32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26.93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9.91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30/an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0.05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0.2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68.3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129.93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7.65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690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120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>
              <w:t>7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350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2.67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4.25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2.33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591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6.55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30.84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2.03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591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10.58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35.15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5.87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591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30/an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0.02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0.22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491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66.51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121.49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6.82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588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120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  <w:tr w:rsidR="00B6247E" w:rsidRPr="00BF6FD0" w:rsidTr="00B073FC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6247E" w:rsidRPr="00BF6FD0" w:rsidRDefault="00B6247E" w:rsidP="00B073FC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4.44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18.65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0.44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>
              <w:t>677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247E" w:rsidRPr="00BF6FD0" w:rsidRDefault="00B6247E" w:rsidP="00B073FC">
            <w:pPr>
              <w:jc w:val="center"/>
            </w:pPr>
            <w:r w:rsidRPr="00BF6FD0">
              <w:t>350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200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30/an</w:t>
            </w:r>
          </w:p>
        </w:tc>
      </w:tr>
      <w:bookmarkEnd w:id="2"/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0.03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0.1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56.79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102.13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7.83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120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1.14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10.43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0.36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709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>
              <w:t>7</w:t>
            </w:r>
          </w:p>
        </w:tc>
      </w:tr>
      <w:tr w:rsidR="00B6247E" w:rsidRPr="00BF6FD0" w:rsidTr="00B073FC">
        <w:trPr>
          <w:trHeight w:val="128"/>
          <w:jc w:val="center"/>
        </w:trPr>
        <w:tc>
          <w:tcPr>
            <w:tcW w:w="9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136" w:type="dxa"/>
            <w:vMerge/>
          </w:tcPr>
          <w:p w:rsidR="00B6247E" w:rsidRPr="00BF6FD0" w:rsidRDefault="00B6247E" w:rsidP="00B073FC">
            <w:pPr>
              <w:jc w:val="center"/>
            </w:pPr>
          </w:p>
        </w:tc>
        <w:tc>
          <w:tcPr>
            <w:tcW w:w="1385" w:type="dxa"/>
          </w:tcPr>
          <w:p w:rsidR="00B6247E" w:rsidRPr="00BF6FD0" w:rsidRDefault="00B6247E" w:rsidP="00B073FC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247E" w:rsidRPr="00BF6FD0" w:rsidRDefault="00B6247E" w:rsidP="00B073F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247E" w:rsidRPr="008252CA" w:rsidRDefault="00B6247E" w:rsidP="00B073FC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6247E" w:rsidRPr="00BF6FD0" w:rsidRDefault="00B6247E" w:rsidP="00B073FC">
            <w:pPr>
              <w:jc w:val="center"/>
            </w:pPr>
            <w:r w:rsidRPr="00BF6FD0">
              <w:t>50</w:t>
            </w:r>
          </w:p>
        </w:tc>
      </w:tr>
    </w:tbl>
    <w:p w:rsidR="00B6247E" w:rsidRPr="00BF6FD0" w:rsidRDefault="00B6247E" w:rsidP="00B6247E">
      <w:pPr>
        <w:jc w:val="center"/>
      </w:pPr>
    </w:p>
    <w:p w:rsidR="00B6247E" w:rsidRDefault="00B6247E" w:rsidP="00B6247E">
      <w:pPr>
        <w:jc w:val="center"/>
      </w:pPr>
    </w:p>
    <w:p w:rsidR="00B6247E" w:rsidRPr="00EF1F6D" w:rsidRDefault="00B6247E" w:rsidP="00B6247E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247E" w:rsidRPr="00B6247E" w:rsidRDefault="00B6247E" w:rsidP="00B6247E">
      <w:pPr>
        <w:ind w:firstLine="72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Valorile înregistrate în luna iunie pentru SO</w:t>
      </w:r>
      <w:r w:rsidRPr="00B6247E">
        <w:rPr>
          <w:sz w:val="28"/>
          <w:szCs w:val="28"/>
          <w:vertAlign w:val="subscript"/>
        </w:rPr>
        <w:t>2</w:t>
      </w:r>
      <w:r w:rsidRPr="00B6247E">
        <w:rPr>
          <w:sz w:val="28"/>
          <w:szCs w:val="28"/>
        </w:rPr>
        <w:t xml:space="preserve"> s-au situat sub valorile limită admise.</w:t>
      </w:r>
    </w:p>
    <w:p w:rsidR="00B6247E" w:rsidRDefault="00B6247E" w:rsidP="00B6247E">
      <w:pPr>
        <w:ind w:firstLine="720"/>
        <w:jc w:val="both"/>
        <w:rPr>
          <w:rFonts w:ascii="Arial" w:hAnsi="Arial" w:cs="Arial"/>
        </w:rPr>
      </w:pPr>
    </w:p>
    <w:p w:rsidR="00B6247E" w:rsidRPr="00EF1F6D" w:rsidRDefault="00B6247E" w:rsidP="00B6247E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47E" w:rsidRPr="00B6247E" w:rsidRDefault="00B6247E" w:rsidP="00B6247E">
      <w:pPr>
        <w:ind w:firstLine="72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Valorile înregistrate în luna iunie pentru NO</w:t>
      </w:r>
      <w:r w:rsidRPr="00B6247E">
        <w:rPr>
          <w:sz w:val="28"/>
          <w:szCs w:val="28"/>
          <w:vertAlign w:val="subscript"/>
        </w:rPr>
        <w:t>2</w:t>
      </w:r>
      <w:r w:rsidRPr="00B6247E">
        <w:rPr>
          <w:sz w:val="28"/>
          <w:szCs w:val="28"/>
        </w:rPr>
        <w:t xml:space="preserve"> s-au situat sub valorile limită zilnice admise de Legea 104/2011.</w:t>
      </w:r>
    </w:p>
    <w:p w:rsidR="00B6247E" w:rsidRDefault="00B6247E" w:rsidP="00B6247E">
      <w:pPr>
        <w:ind w:firstLine="720"/>
        <w:jc w:val="both"/>
        <w:rPr>
          <w:rFonts w:ascii="Arial" w:hAnsi="Arial" w:cs="Arial"/>
        </w:rPr>
      </w:pPr>
    </w:p>
    <w:p w:rsidR="00B6247E" w:rsidRPr="00BF6FD0" w:rsidRDefault="00B6247E" w:rsidP="00B6247E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10160" t="8255" r="8890" b="10795"/>
                <wp:wrapNone/>
                <wp:docPr id="18" name="Casetă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47E" w:rsidRDefault="00B6247E" w:rsidP="00B6247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8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Jz9VZU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B6247E" w:rsidRDefault="00B6247E" w:rsidP="00B6247E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4790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47E" w:rsidRPr="00B6247E" w:rsidRDefault="00B6247E" w:rsidP="00B6247E">
      <w:pPr>
        <w:ind w:firstLine="720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Valorile înregistrate în luna iunie pentru CO, se situează sub valorile limită admise.</w:t>
      </w:r>
    </w:p>
    <w:p w:rsidR="00B6247E" w:rsidRPr="00B6247E" w:rsidRDefault="00B6247E" w:rsidP="00B6247E">
      <w:pPr>
        <w:ind w:left="22" w:firstLine="698"/>
        <w:jc w:val="both"/>
        <w:rPr>
          <w:sz w:val="28"/>
          <w:szCs w:val="28"/>
        </w:rPr>
      </w:pPr>
      <w:r w:rsidRPr="00B6247E">
        <w:rPr>
          <w:sz w:val="28"/>
          <w:szCs w:val="28"/>
        </w:rPr>
        <w:t xml:space="preserve">Poluantul CO rezultă din arderea incompletă a combustibililor </w:t>
      </w:r>
      <w:proofErr w:type="spellStart"/>
      <w:r w:rsidRPr="00B6247E">
        <w:rPr>
          <w:sz w:val="28"/>
          <w:szCs w:val="28"/>
        </w:rPr>
        <w:t>şi</w:t>
      </w:r>
      <w:proofErr w:type="spellEnd"/>
      <w:r w:rsidRPr="00B6247E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B6247E">
        <w:rPr>
          <w:sz w:val="28"/>
          <w:szCs w:val="28"/>
        </w:rPr>
        <w:t>poluanţilor</w:t>
      </w:r>
      <w:proofErr w:type="spellEnd"/>
      <w:r w:rsidRPr="00B6247E">
        <w:rPr>
          <w:sz w:val="28"/>
          <w:szCs w:val="28"/>
        </w:rPr>
        <w:t xml:space="preserve"> specifici </w:t>
      </w:r>
      <w:proofErr w:type="spellStart"/>
      <w:r w:rsidRPr="00B6247E">
        <w:rPr>
          <w:sz w:val="28"/>
          <w:szCs w:val="28"/>
        </w:rPr>
        <w:t>rezultaţi</w:t>
      </w:r>
      <w:proofErr w:type="spellEnd"/>
      <w:r w:rsidRPr="00B6247E">
        <w:rPr>
          <w:sz w:val="28"/>
          <w:szCs w:val="28"/>
        </w:rPr>
        <w:t xml:space="preserve"> din trafic.</w:t>
      </w:r>
    </w:p>
    <w:p w:rsidR="00B6247E" w:rsidRPr="00B44F98" w:rsidRDefault="00B6247E" w:rsidP="00B6247E">
      <w:pPr>
        <w:ind w:left="22" w:firstLine="698"/>
        <w:jc w:val="both"/>
        <w:rPr>
          <w:sz w:val="28"/>
          <w:szCs w:val="28"/>
        </w:rPr>
      </w:pPr>
    </w:p>
    <w:p w:rsidR="00B6247E" w:rsidRPr="00EF1F6D" w:rsidRDefault="00B6247E" w:rsidP="00B6247E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4914900" cy="224790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247E" w:rsidRPr="00B6247E" w:rsidRDefault="00B6247E" w:rsidP="00B6247E">
      <w:pPr>
        <w:ind w:firstLine="720"/>
        <w:jc w:val="both"/>
        <w:rPr>
          <w:bCs/>
          <w:sz w:val="28"/>
          <w:szCs w:val="28"/>
        </w:rPr>
      </w:pPr>
      <w:r w:rsidRPr="00B6247E">
        <w:rPr>
          <w:sz w:val="28"/>
          <w:szCs w:val="28"/>
        </w:rPr>
        <w:t xml:space="preserve">În luna iunie media orară a indicatorului ozon nu a </w:t>
      </w:r>
      <w:proofErr w:type="spellStart"/>
      <w:r w:rsidRPr="00B6247E">
        <w:rPr>
          <w:sz w:val="28"/>
          <w:szCs w:val="28"/>
        </w:rPr>
        <w:t>depăşit</w:t>
      </w:r>
      <w:proofErr w:type="spellEnd"/>
      <w:r w:rsidRPr="00B6247E">
        <w:rPr>
          <w:sz w:val="28"/>
          <w:szCs w:val="28"/>
        </w:rPr>
        <w:t xml:space="preserve"> pragul de informare de 180 </w:t>
      </w:r>
      <w:r w:rsidRPr="00B6247E">
        <w:rPr>
          <w:sz w:val="28"/>
          <w:szCs w:val="28"/>
        </w:rPr>
        <w:sym w:font="Symbol" w:char="F06D"/>
      </w:r>
      <w:r w:rsidRPr="00B6247E">
        <w:rPr>
          <w:sz w:val="28"/>
          <w:szCs w:val="28"/>
        </w:rPr>
        <w:t>g/m</w:t>
      </w:r>
      <w:r w:rsidRPr="00B6247E">
        <w:rPr>
          <w:sz w:val="28"/>
          <w:szCs w:val="28"/>
          <w:vertAlign w:val="superscript"/>
        </w:rPr>
        <w:t>3</w:t>
      </w:r>
      <w:r w:rsidRPr="00B6247E">
        <w:rPr>
          <w:sz w:val="28"/>
          <w:szCs w:val="28"/>
        </w:rPr>
        <w:t>.</w:t>
      </w:r>
    </w:p>
    <w:p w:rsidR="00B6247E" w:rsidRPr="00B6247E" w:rsidRDefault="00B6247E" w:rsidP="00B6247E">
      <w:pPr>
        <w:ind w:firstLine="720"/>
        <w:jc w:val="both"/>
        <w:rPr>
          <w:sz w:val="28"/>
          <w:szCs w:val="28"/>
        </w:rPr>
      </w:pPr>
      <w:r w:rsidRPr="00B6247E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B6247E">
        <w:rPr>
          <w:bCs/>
          <w:sz w:val="28"/>
          <w:szCs w:val="28"/>
        </w:rPr>
        <w:t>şi</w:t>
      </w:r>
      <w:proofErr w:type="spellEnd"/>
      <w:r w:rsidRPr="00B6247E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B6247E">
        <w:rPr>
          <w:bCs/>
          <w:sz w:val="28"/>
          <w:szCs w:val="28"/>
        </w:rPr>
        <w:t>referinţă</w:t>
      </w:r>
      <w:proofErr w:type="spellEnd"/>
      <w:r w:rsidRPr="00B6247E">
        <w:rPr>
          <w:bCs/>
          <w:sz w:val="28"/>
          <w:szCs w:val="28"/>
        </w:rPr>
        <w:t>.</w:t>
      </w:r>
    </w:p>
    <w:p w:rsidR="00B6247E" w:rsidRPr="00B6247E" w:rsidRDefault="00B6247E" w:rsidP="00B6247E">
      <w:pPr>
        <w:ind w:firstLine="720"/>
        <w:jc w:val="both"/>
        <w:rPr>
          <w:bCs/>
          <w:sz w:val="28"/>
          <w:szCs w:val="28"/>
        </w:rPr>
      </w:pPr>
      <w:r w:rsidRPr="00B6247E">
        <w:rPr>
          <w:bCs/>
          <w:sz w:val="28"/>
          <w:szCs w:val="28"/>
        </w:rPr>
        <w:t xml:space="preserve">În luna iunie, la indicatorul PM10 (măsurat în sistem continuu) nu s-au efectuat măsurători având pompele Fox defecte. </w:t>
      </w:r>
    </w:p>
    <w:p w:rsidR="00B6247E" w:rsidRPr="00B6247E" w:rsidRDefault="00B6247E" w:rsidP="00B6247E">
      <w:pPr>
        <w:ind w:firstLine="720"/>
        <w:jc w:val="both"/>
        <w:rPr>
          <w:bCs/>
          <w:sz w:val="28"/>
          <w:szCs w:val="28"/>
        </w:rPr>
      </w:pPr>
      <w:r w:rsidRPr="00B6247E">
        <w:rPr>
          <w:bCs/>
          <w:sz w:val="28"/>
          <w:szCs w:val="28"/>
        </w:rPr>
        <w:t>În luna iunie, la indicatorul PM10 (măsurat în sistem gravimetric), nu s-au efectuat probe.</w:t>
      </w:r>
    </w:p>
    <w:p w:rsidR="00B6247E" w:rsidRPr="00B6247E" w:rsidRDefault="00B6247E" w:rsidP="00B6247E">
      <w:pPr>
        <w:ind w:firstLine="720"/>
        <w:jc w:val="both"/>
        <w:rPr>
          <w:bCs/>
          <w:sz w:val="28"/>
          <w:szCs w:val="28"/>
        </w:rPr>
      </w:pPr>
    </w:p>
    <w:p w:rsidR="00B6247E" w:rsidRPr="00B6247E" w:rsidRDefault="00B6247E" w:rsidP="00B6247E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B6247E">
        <w:rPr>
          <w:b/>
          <w:sz w:val="28"/>
          <w:szCs w:val="28"/>
        </w:rPr>
        <w:t>Evoluţia</w:t>
      </w:r>
      <w:proofErr w:type="spellEnd"/>
      <w:r w:rsidRPr="00B6247E">
        <w:rPr>
          <w:b/>
          <w:sz w:val="28"/>
          <w:szCs w:val="28"/>
        </w:rPr>
        <w:t xml:space="preserve"> indicelui general de calitatea aerului</w:t>
      </w:r>
    </w:p>
    <w:p w:rsidR="00B6247E" w:rsidRPr="00B6247E" w:rsidRDefault="00B6247E" w:rsidP="00B6247E">
      <w:pPr>
        <w:tabs>
          <w:tab w:val="left" w:pos="0"/>
        </w:tabs>
        <w:jc w:val="both"/>
        <w:rPr>
          <w:sz w:val="28"/>
          <w:szCs w:val="28"/>
        </w:rPr>
      </w:pPr>
      <w:r w:rsidRPr="00B6247E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B6247E">
        <w:rPr>
          <w:sz w:val="28"/>
          <w:szCs w:val="28"/>
        </w:rPr>
        <w:t>concentraţiilor</w:t>
      </w:r>
      <w:proofErr w:type="spellEnd"/>
      <w:r w:rsidRPr="00B6247E">
        <w:rPr>
          <w:sz w:val="28"/>
          <w:szCs w:val="28"/>
        </w:rPr>
        <w:t xml:space="preserve"> înregistrate pentru fiecare dintre </w:t>
      </w:r>
      <w:proofErr w:type="spellStart"/>
      <w:r w:rsidRPr="00B6247E">
        <w:rPr>
          <w:sz w:val="28"/>
          <w:szCs w:val="28"/>
        </w:rPr>
        <w:t>poluanţii</w:t>
      </w:r>
      <w:proofErr w:type="spellEnd"/>
      <w:r w:rsidRPr="00B6247E">
        <w:rPr>
          <w:sz w:val="28"/>
          <w:szCs w:val="28"/>
        </w:rPr>
        <w:t xml:space="preserve"> </w:t>
      </w:r>
      <w:proofErr w:type="spellStart"/>
      <w:r w:rsidRPr="00B6247E">
        <w:rPr>
          <w:sz w:val="28"/>
          <w:szCs w:val="28"/>
        </w:rPr>
        <w:t>monitorizaţi</w:t>
      </w:r>
      <w:proofErr w:type="spellEnd"/>
      <w:r w:rsidRPr="00B6247E">
        <w:rPr>
          <w:sz w:val="28"/>
          <w:szCs w:val="28"/>
        </w:rPr>
        <w:t>: dioxid de sulf (SO</w:t>
      </w:r>
      <w:r w:rsidRPr="00B6247E">
        <w:rPr>
          <w:sz w:val="28"/>
          <w:szCs w:val="28"/>
          <w:vertAlign w:val="subscript"/>
        </w:rPr>
        <w:t>2</w:t>
      </w:r>
      <w:r w:rsidRPr="00B6247E">
        <w:rPr>
          <w:sz w:val="28"/>
          <w:szCs w:val="28"/>
        </w:rPr>
        <w:t>), dioxid de azot (NO</w:t>
      </w:r>
      <w:r w:rsidRPr="00B6247E">
        <w:rPr>
          <w:sz w:val="28"/>
          <w:szCs w:val="28"/>
          <w:vertAlign w:val="subscript"/>
        </w:rPr>
        <w:t>2</w:t>
      </w:r>
      <w:r w:rsidRPr="00B6247E">
        <w:rPr>
          <w:sz w:val="28"/>
          <w:szCs w:val="28"/>
        </w:rPr>
        <w:t>), ozon (O</w:t>
      </w:r>
      <w:r w:rsidRPr="00B6247E">
        <w:rPr>
          <w:sz w:val="28"/>
          <w:szCs w:val="28"/>
          <w:vertAlign w:val="subscript"/>
        </w:rPr>
        <w:t>3</w:t>
      </w:r>
      <w:r w:rsidRPr="00B6247E">
        <w:rPr>
          <w:sz w:val="28"/>
          <w:szCs w:val="28"/>
        </w:rPr>
        <w:t>), monoxid de carbon (CO), pulberi în suspensie (PM 10).</w:t>
      </w:r>
    </w:p>
    <w:p w:rsidR="00B6247E" w:rsidRPr="000C2873" w:rsidRDefault="00B6247E" w:rsidP="00B6247E">
      <w:pPr>
        <w:tabs>
          <w:tab w:val="left" w:pos="0"/>
        </w:tabs>
        <w:jc w:val="both"/>
        <w:rPr>
          <w:sz w:val="28"/>
          <w:szCs w:val="28"/>
        </w:rPr>
      </w:pPr>
    </w:p>
    <w:p w:rsidR="00B6247E" w:rsidRPr="000C2873" w:rsidRDefault="00B6247E" w:rsidP="00B6247E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B6247E" w:rsidRPr="000C2873" w:rsidRDefault="00B6247E" w:rsidP="00B6247E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247E" w:rsidRPr="000C2873" w:rsidRDefault="00B6247E" w:rsidP="00B6247E">
      <w:pPr>
        <w:jc w:val="center"/>
        <w:rPr>
          <w:sz w:val="28"/>
          <w:szCs w:val="28"/>
        </w:rPr>
      </w:pPr>
    </w:p>
    <w:p w:rsidR="00B6247E" w:rsidRPr="000C2873" w:rsidRDefault="00B6247E" w:rsidP="00B6247E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B6247E" w:rsidRPr="000C2873" w:rsidRDefault="00B6247E" w:rsidP="00B6247E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247E" w:rsidRPr="000C2873" w:rsidRDefault="00B6247E" w:rsidP="00B6247E">
      <w:pPr>
        <w:jc w:val="center"/>
        <w:rPr>
          <w:sz w:val="28"/>
          <w:szCs w:val="28"/>
        </w:rPr>
      </w:pPr>
    </w:p>
    <w:p w:rsidR="00B6247E" w:rsidRDefault="00B6247E" w:rsidP="00B6247E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B6247E" w:rsidRPr="000C2873" w:rsidRDefault="00B6247E" w:rsidP="00B6247E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247E" w:rsidRDefault="00B6247E" w:rsidP="00B6247E">
      <w:pPr>
        <w:jc w:val="center"/>
        <w:rPr>
          <w:sz w:val="28"/>
          <w:szCs w:val="28"/>
        </w:rPr>
      </w:pPr>
    </w:p>
    <w:p w:rsidR="00B6247E" w:rsidRPr="000C2873" w:rsidRDefault="00B6247E" w:rsidP="00B6247E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B6247E" w:rsidRPr="000C2873" w:rsidRDefault="00B6247E" w:rsidP="00B6247E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247E" w:rsidRPr="000C2873" w:rsidRDefault="00B6247E" w:rsidP="00B6247E">
      <w:pPr>
        <w:jc w:val="center"/>
        <w:rPr>
          <w:sz w:val="28"/>
          <w:szCs w:val="28"/>
        </w:rPr>
      </w:pPr>
    </w:p>
    <w:p w:rsidR="00B6247E" w:rsidRPr="000C2873" w:rsidRDefault="00B6247E" w:rsidP="00B6247E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B6247E" w:rsidRPr="000C2873" w:rsidRDefault="00B6247E" w:rsidP="00B6247E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400675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247E" w:rsidRPr="000C2873" w:rsidRDefault="00B6247E" w:rsidP="00B6247E">
      <w:pPr>
        <w:jc w:val="center"/>
        <w:rPr>
          <w:sz w:val="28"/>
          <w:szCs w:val="28"/>
        </w:rPr>
      </w:pPr>
    </w:p>
    <w:p w:rsidR="00B6247E" w:rsidRPr="00F80BC1" w:rsidRDefault="00B6247E" w:rsidP="00B6247E">
      <w:pPr>
        <w:jc w:val="center"/>
        <w:rPr>
          <w:sz w:val="28"/>
          <w:szCs w:val="28"/>
        </w:rPr>
      </w:pPr>
      <w:r w:rsidRPr="00F80BC1">
        <w:rPr>
          <w:sz w:val="28"/>
          <w:szCs w:val="28"/>
        </w:rPr>
        <w:t xml:space="preserve">Datele sunt furnizate de </w:t>
      </w:r>
      <w:proofErr w:type="spellStart"/>
      <w:r w:rsidRPr="00F80BC1">
        <w:rPr>
          <w:sz w:val="28"/>
          <w:szCs w:val="28"/>
        </w:rPr>
        <w:t>staţiile</w:t>
      </w:r>
      <w:proofErr w:type="spellEnd"/>
      <w:r w:rsidRPr="00F80BC1">
        <w:rPr>
          <w:sz w:val="28"/>
          <w:szCs w:val="28"/>
        </w:rPr>
        <w:t xml:space="preserve"> automate din </w:t>
      </w:r>
      <w:proofErr w:type="spellStart"/>
      <w:r w:rsidRPr="00F80BC1">
        <w:rPr>
          <w:sz w:val="28"/>
          <w:szCs w:val="28"/>
        </w:rPr>
        <w:t>Reţeaua</w:t>
      </w:r>
      <w:proofErr w:type="spellEnd"/>
      <w:r w:rsidRPr="00F80BC1">
        <w:rPr>
          <w:sz w:val="28"/>
          <w:szCs w:val="28"/>
        </w:rPr>
        <w:t xml:space="preserve"> </w:t>
      </w:r>
      <w:proofErr w:type="spellStart"/>
      <w:r w:rsidRPr="00F80BC1">
        <w:rPr>
          <w:sz w:val="28"/>
          <w:szCs w:val="28"/>
        </w:rPr>
        <w:t>Naţională</w:t>
      </w:r>
      <w:proofErr w:type="spellEnd"/>
      <w:r w:rsidRPr="00F80BC1">
        <w:rPr>
          <w:sz w:val="28"/>
          <w:szCs w:val="28"/>
        </w:rPr>
        <w:t xml:space="preserve"> de Monitorizare a </w:t>
      </w:r>
      <w:proofErr w:type="spellStart"/>
      <w:r w:rsidRPr="00F80BC1">
        <w:rPr>
          <w:sz w:val="28"/>
          <w:szCs w:val="28"/>
        </w:rPr>
        <w:t>Calităţii</w:t>
      </w:r>
      <w:proofErr w:type="spellEnd"/>
      <w:r w:rsidRPr="00F80BC1">
        <w:rPr>
          <w:sz w:val="28"/>
          <w:szCs w:val="28"/>
        </w:rPr>
        <w:t xml:space="preserve">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lastRenderedPageBreak/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 w:rsidR="0068660B">
        <w:rPr>
          <w:sz w:val="28"/>
          <w:szCs w:val="28"/>
        </w:rPr>
        <w:t xml:space="preserve">în luna </w:t>
      </w:r>
      <w:r w:rsidR="00926D23">
        <w:rPr>
          <w:sz w:val="28"/>
          <w:szCs w:val="28"/>
        </w:rPr>
        <w:t>iunie</w:t>
      </w:r>
      <w:r>
        <w:rPr>
          <w:sz w:val="28"/>
          <w:szCs w:val="28"/>
        </w:rPr>
        <w:t xml:space="preserve">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E3733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6B65C7" w:rsidRPr="006B65C7" w:rsidRDefault="006B65C7" w:rsidP="006B65C7">
      <w:pPr>
        <w:ind w:firstLine="720"/>
        <w:jc w:val="both"/>
        <w:rPr>
          <w:bCs/>
          <w:sz w:val="28"/>
          <w:szCs w:val="28"/>
          <w:lang w:val="pt-BR"/>
        </w:rPr>
      </w:pPr>
      <w:r w:rsidRPr="006B65C7">
        <w:rPr>
          <w:bCs/>
          <w:sz w:val="28"/>
          <w:szCs w:val="28"/>
          <w:lang w:val="pt-BR"/>
        </w:rPr>
        <w:t xml:space="preserve">În luna iunie 2020, conform programului de monitorizare, s-au prelevat probe de sol de la </w:t>
      </w:r>
      <w:r w:rsidR="004D4266">
        <w:rPr>
          <w:bCs/>
          <w:sz w:val="28"/>
          <w:szCs w:val="28"/>
          <w:lang w:val="pt-BR"/>
        </w:rPr>
        <w:t xml:space="preserve">SC </w:t>
      </w:r>
      <w:r w:rsidRPr="006B65C7">
        <w:rPr>
          <w:bCs/>
          <w:sz w:val="28"/>
          <w:szCs w:val="28"/>
          <w:lang w:val="pt-BR"/>
        </w:rPr>
        <w:t>Tracon</w:t>
      </w:r>
      <w:r w:rsidR="004D4266">
        <w:rPr>
          <w:bCs/>
          <w:sz w:val="28"/>
          <w:szCs w:val="28"/>
          <w:lang w:val="pt-BR"/>
        </w:rPr>
        <w:t xml:space="preserve"> SRL Brăila</w:t>
      </w:r>
      <w:r w:rsidRPr="006B65C7">
        <w:rPr>
          <w:bCs/>
          <w:sz w:val="28"/>
          <w:szCs w:val="28"/>
          <w:lang w:val="pt-BR"/>
        </w:rPr>
        <w:t>, recoltate pe două adâncimi 0 – 20 cm și 20 – 40 cm, ne arată următoarele:</w:t>
      </w:r>
    </w:p>
    <w:p w:rsidR="006B65C7" w:rsidRPr="006B65C7" w:rsidRDefault="006B65C7" w:rsidP="006B65C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5C7">
        <w:rPr>
          <w:rFonts w:ascii="Times New Roman" w:hAnsi="Times New Roman"/>
          <w:sz w:val="28"/>
          <w:szCs w:val="28"/>
        </w:rPr>
        <w:t>Reacţia</w:t>
      </w:r>
      <w:proofErr w:type="spellEnd"/>
      <w:r w:rsidRPr="006B65C7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6B65C7">
        <w:rPr>
          <w:rFonts w:ascii="Times New Roman" w:hAnsi="Times New Roman"/>
          <w:sz w:val="28"/>
          <w:szCs w:val="28"/>
        </w:rPr>
        <w:t>pH-ul</w:t>
      </w:r>
      <w:proofErr w:type="spellEnd"/>
      <w:r w:rsidRPr="006B65C7">
        <w:rPr>
          <w:rFonts w:ascii="Times New Roman" w:hAnsi="Times New Roman"/>
          <w:sz w:val="28"/>
          <w:szCs w:val="28"/>
        </w:rPr>
        <w:t>), în această lună, se încadrează în domeniul slab alcalin</w:t>
      </w:r>
      <w:r w:rsidRPr="006B65C7">
        <w:rPr>
          <w:rFonts w:ascii="Times New Roman" w:hAnsi="Times New Roman"/>
          <w:bCs/>
          <w:sz w:val="28"/>
          <w:szCs w:val="28"/>
          <w:lang w:val="pt-BR"/>
        </w:rPr>
        <w:t xml:space="preserve"> pentru toate probele monitorizate</w:t>
      </w:r>
      <w:r w:rsidRPr="006B65C7">
        <w:rPr>
          <w:rFonts w:ascii="Times New Roman" w:hAnsi="Times New Roman"/>
          <w:sz w:val="28"/>
          <w:szCs w:val="28"/>
        </w:rPr>
        <w:t>;</w:t>
      </w:r>
    </w:p>
    <w:p w:rsidR="006B65C7" w:rsidRPr="006B65C7" w:rsidRDefault="006B65C7" w:rsidP="006B65C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5C7">
        <w:rPr>
          <w:rFonts w:ascii="Times New Roman" w:hAnsi="Times New Roman"/>
          <w:sz w:val="28"/>
          <w:szCs w:val="28"/>
        </w:rPr>
        <w:t>Conţinutul</w:t>
      </w:r>
      <w:proofErr w:type="spellEnd"/>
      <w:r w:rsidRPr="006B65C7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6B65C7">
        <w:rPr>
          <w:rFonts w:ascii="Times New Roman" w:hAnsi="Times New Roman"/>
          <w:sz w:val="28"/>
          <w:szCs w:val="28"/>
        </w:rPr>
        <w:t>depăşiri</w:t>
      </w:r>
      <w:proofErr w:type="spellEnd"/>
      <w:r w:rsidRPr="006B65C7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6B65C7">
        <w:rPr>
          <w:rFonts w:ascii="Times New Roman" w:hAnsi="Times New Roman"/>
          <w:sz w:val="28"/>
          <w:szCs w:val="28"/>
        </w:rPr>
        <w:t>nesalinizate</w:t>
      </w:r>
      <w:proofErr w:type="spellEnd"/>
      <w:r w:rsidRPr="006B65C7">
        <w:rPr>
          <w:rFonts w:ascii="Times New Roman" w:hAnsi="Times New Roman"/>
          <w:sz w:val="28"/>
          <w:szCs w:val="28"/>
        </w:rPr>
        <w:t>;</w:t>
      </w:r>
    </w:p>
    <w:p w:rsidR="006B65C7" w:rsidRPr="006B65C7" w:rsidRDefault="006B65C7" w:rsidP="006B65C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C7">
        <w:rPr>
          <w:rFonts w:ascii="Times New Roman" w:hAnsi="Times New Roman"/>
          <w:sz w:val="28"/>
          <w:szCs w:val="28"/>
          <w:lang w:val="it-IT"/>
        </w:rPr>
        <w:t xml:space="preserve">Conţinutul în substanţă organică (Corg %) şi humus, </w:t>
      </w:r>
      <w:r w:rsidRPr="006B65C7">
        <w:rPr>
          <w:rFonts w:ascii="Times New Roman" w:hAnsi="Times New Roman"/>
          <w:sz w:val="28"/>
          <w:szCs w:val="28"/>
        </w:rPr>
        <w:t>prezintă valori specifice solurilor ușor poluate.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EE6CB1" w:rsidRPr="00471286" w:rsidRDefault="004C7EDD" w:rsidP="00263258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F7003D" w:rsidRDefault="00EF5D40" w:rsidP="00F7003D">
      <w:pPr>
        <w:rPr>
          <w:sz w:val="28"/>
          <w:szCs w:val="28"/>
        </w:rPr>
      </w:pPr>
      <w:r w:rsidRPr="00B863B5">
        <w:rPr>
          <w:sz w:val="28"/>
          <w:szCs w:val="28"/>
        </w:rPr>
        <w:t>Rezultatele măsurătorilor</w:t>
      </w:r>
      <w:r w:rsidR="00263258" w:rsidRPr="00263258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înregistrate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cursul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lunii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F7003D">
        <w:rPr>
          <w:sz w:val="28"/>
          <w:szCs w:val="28"/>
          <w:lang w:val="fr-FR"/>
        </w:rPr>
        <w:t>iunie</w:t>
      </w:r>
      <w:proofErr w:type="spellEnd"/>
      <w:r w:rsidR="00263258">
        <w:rPr>
          <w:sz w:val="28"/>
          <w:szCs w:val="28"/>
          <w:lang w:val="fr-FR"/>
        </w:rPr>
        <w:t xml:space="preserve"> 2020</w:t>
      </w:r>
      <w:r w:rsidRPr="00B863B5">
        <w:rPr>
          <w:sz w:val="28"/>
          <w:szCs w:val="28"/>
        </w:rPr>
        <w:t xml:space="preserve"> sunt prezentate sintetic în tabelul de mai jos:</w:t>
      </w:r>
      <w:r w:rsidR="00F7003D" w:rsidRPr="00F7003D">
        <w:rPr>
          <w:sz w:val="28"/>
          <w:szCs w:val="28"/>
        </w:rPr>
        <w:t xml:space="preserve"> </w:t>
      </w:r>
    </w:p>
    <w:p w:rsidR="00F7003D" w:rsidRPr="00AB316C" w:rsidRDefault="00F7003D" w:rsidP="00F7003D">
      <w:pPr>
        <w:rPr>
          <w:sz w:val="28"/>
          <w:szCs w:val="28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2055"/>
        <w:gridCol w:w="877"/>
        <w:gridCol w:w="3640"/>
        <w:gridCol w:w="1430"/>
        <w:gridCol w:w="2178"/>
      </w:tblGrid>
      <w:tr w:rsidR="00F7003D" w:rsidRPr="00AB316C" w:rsidTr="00B073FC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both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NIVEL DE ZGOMOT, dB (A)</w:t>
            </w:r>
          </w:p>
        </w:tc>
      </w:tr>
      <w:tr w:rsidR="00F7003D" w:rsidRPr="00AB316C" w:rsidTr="00B073FC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PUNCT DE MĂSURARE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echivalent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Maxim admisibil</w:t>
            </w: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Stradă de categorie tehnică IV de deservire locală -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3m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Orientului/</w:t>
            </w:r>
            <w:proofErr w:type="spellStart"/>
            <w:r w:rsidRPr="00AB316C">
              <w:rPr>
                <w:sz w:val="28"/>
                <w:szCs w:val="28"/>
              </w:rPr>
              <w:t>Poliţie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54,50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60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Rubinelor/Univ. Brâncoveanu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56,76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Stradă de categorie tehnică III de colectare -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7m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Rahova/</w:t>
            </w:r>
            <w:proofErr w:type="spellStart"/>
            <w:r w:rsidRPr="00AB316C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Chişinău</w:t>
            </w:r>
            <w:proofErr w:type="spellEnd"/>
            <w:r w:rsidRPr="00AB316C">
              <w:rPr>
                <w:sz w:val="28"/>
                <w:szCs w:val="28"/>
              </w:rPr>
              <w:t>/Grigore Alexandrescu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64,85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Rosiori</w:t>
            </w:r>
            <w:proofErr w:type="spellEnd"/>
            <w:r w:rsidRPr="00AB316C">
              <w:rPr>
                <w:sz w:val="28"/>
                <w:szCs w:val="28"/>
              </w:rPr>
              <w:t>/</w:t>
            </w:r>
            <w:proofErr w:type="spellStart"/>
            <w:r w:rsidRPr="00AB316C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57,54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Stradă de categorie tehnică II de legătură –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14m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Centură - IDMS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71,80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70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Galaţi</w:t>
            </w:r>
            <w:proofErr w:type="spellEnd"/>
            <w:r w:rsidRPr="00AB316C">
              <w:rPr>
                <w:sz w:val="28"/>
                <w:szCs w:val="28"/>
              </w:rPr>
              <w:t xml:space="preserve"> (</w:t>
            </w:r>
            <w:proofErr w:type="spellStart"/>
            <w:r w:rsidRPr="00AB316C">
              <w:rPr>
                <w:sz w:val="28"/>
                <w:szCs w:val="28"/>
              </w:rPr>
              <w:t>Pţa</w:t>
            </w:r>
            <w:proofErr w:type="spellEnd"/>
            <w:r w:rsidRPr="00AB316C">
              <w:rPr>
                <w:sz w:val="28"/>
                <w:szCs w:val="28"/>
              </w:rPr>
              <w:t>. Traian)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66,39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 Decembrie 1918/</w:t>
            </w:r>
            <w:proofErr w:type="spellStart"/>
            <w:r w:rsidRPr="00AB316C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63,27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 Decembrie 1918/</w:t>
            </w:r>
            <w:proofErr w:type="spellStart"/>
            <w:r w:rsidRPr="00AB316C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66,51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Comuna din Paris/</w:t>
            </w:r>
            <w:proofErr w:type="spellStart"/>
            <w:r w:rsidRPr="00AB316C">
              <w:rPr>
                <w:sz w:val="28"/>
                <w:szCs w:val="28"/>
              </w:rPr>
              <w:t>Focşani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67,99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Stradă de categorie tehnică I -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21m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B-dul </w:t>
            </w:r>
            <w:proofErr w:type="spellStart"/>
            <w:r w:rsidRPr="00AB316C">
              <w:rPr>
                <w:sz w:val="28"/>
                <w:szCs w:val="28"/>
              </w:rPr>
              <w:t>Dorobanţilor</w:t>
            </w:r>
            <w:proofErr w:type="spellEnd"/>
            <w:r w:rsidRPr="00AB316C">
              <w:rPr>
                <w:sz w:val="28"/>
                <w:szCs w:val="28"/>
              </w:rPr>
              <w:t>/Apollo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71,98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85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B-dul </w:t>
            </w:r>
            <w:proofErr w:type="spellStart"/>
            <w:r w:rsidRPr="00AB316C">
              <w:rPr>
                <w:sz w:val="28"/>
                <w:szCs w:val="28"/>
              </w:rPr>
              <w:t>Independenţei</w:t>
            </w:r>
            <w:proofErr w:type="spellEnd"/>
            <w:r w:rsidRPr="00AB316C">
              <w:rPr>
                <w:sz w:val="28"/>
                <w:szCs w:val="28"/>
              </w:rPr>
              <w:t xml:space="preserve"> - APM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61,18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Călăraşi</w:t>
            </w:r>
            <w:proofErr w:type="spellEnd"/>
            <w:r w:rsidRPr="00AB316C">
              <w:rPr>
                <w:sz w:val="28"/>
                <w:szCs w:val="28"/>
              </w:rPr>
              <w:t xml:space="preserve"> IAS-IMB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71,94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Călăraşi</w:t>
            </w:r>
            <w:proofErr w:type="spellEnd"/>
            <w:r w:rsidRPr="00AB316C">
              <w:rPr>
                <w:sz w:val="28"/>
                <w:szCs w:val="28"/>
              </w:rPr>
              <w:t>/</w:t>
            </w:r>
            <w:proofErr w:type="spellStart"/>
            <w:r w:rsidRPr="00AB316C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71,79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Galaţi</w:t>
            </w:r>
            <w:proofErr w:type="spellEnd"/>
            <w:r w:rsidRPr="00AB316C">
              <w:rPr>
                <w:sz w:val="28"/>
                <w:szCs w:val="28"/>
              </w:rPr>
              <w:t>/</w:t>
            </w:r>
            <w:proofErr w:type="spellStart"/>
            <w:r w:rsidRPr="00AB316C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72,31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Călăraşi</w:t>
            </w:r>
            <w:proofErr w:type="spellEnd"/>
            <w:r w:rsidRPr="00AB316C">
              <w:rPr>
                <w:sz w:val="28"/>
                <w:szCs w:val="28"/>
              </w:rPr>
              <w:t xml:space="preserve">/B-dul </w:t>
            </w:r>
            <w:proofErr w:type="spellStart"/>
            <w:r w:rsidRPr="00AB316C">
              <w:rPr>
                <w:sz w:val="28"/>
                <w:szCs w:val="28"/>
              </w:rPr>
              <w:t>Independenţei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68,53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Calea </w:t>
            </w:r>
            <w:proofErr w:type="spellStart"/>
            <w:r w:rsidRPr="00AB316C">
              <w:rPr>
                <w:sz w:val="28"/>
                <w:szCs w:val="28"/>
              </w:rPr>
              <w:t>Călăraşi</w:t>
            </w:r>
            <w:proofErr w:type="spellEnd"/>
            <w:r w:rsidRPr="00AB316C">
              <w:rPr>
                <w:sz w:val="28"/>
                <w:szCs w:val="28"/>
              </w:rPr>
              <w:t xml:space="preserve">/ </w:t>
            </w:r>
            <w:proofErr w:type="spellStart"/>
            <w:r w:rsidRPr="00AB316C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71,67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Parcuri, zone de recreere, tratament medical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şi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balneoclimateric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Parcul Grădina Mare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47,35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Parcul Monument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52,03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Faleza Dunării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50,44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Staţiunea</w:t>
            </w:r>
            <w:proofErr w:type="spellEnd"/>
            <w:r w:rsidRPr="00AB316C">
              <w:rPr>
                <w:sz w:val="28"/>
                <w:szCs w:val="28"/>
              </w:rPr>
              <w:t xml:space="preserve"> Lacu - Sărat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44,71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Spitalul Sf. Spiridon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55,08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 Incinte de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şcoli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creşe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grădiniţe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de joacă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Liceul Gh. M. Murgoci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58,29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Liceul N. Iorga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56,41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Liceul N. Bălcescu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58,82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Şcoala</w:t>
            </w:r>
            <w:proofErr w:type="spellEnd"/>
            <w:r w:rsidRPr="00AB316C">
              <w:rPr>
                <w:sz w:val="28"/>
                <w:szCs w:val="28"/>
              </w:rPr>
              <w:t xml:space="preserve"> Generală nr.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51,94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B316C">
              <w:rPr>
                <w:b/>
                <w:bCs/>
                <w:sz w:val="28"/>
                <w:szCs w:val="28"/>
              </w:rPr>
              <w:t>Pieţe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AB316C">
              <w:rPr>
                <w:b/>
                <w:bCs/>
                <w:sz w:val="28"/>
                <w:szCs w:val="28"/>
              </w:rPr>
              <w:t xml:space="preserve"> comerciale, restaurante în aer liber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Piaţa</w:t>
            </w:r>
            <w:proofErr w:type="spellEnd"/>
            <w:r w:rsidRPr="00AB316C">
              <w:rPr>
                <w:sz w:val="28"/>
                <w:szCs w:val="28"/>
              </w:rPr>
              <w:t xml:space="preserve"> Concordia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58,40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Piaţa</w:t>
            </w:r>
            <w:proofErr w:type="spellEnd"/>
            <w:r w:rsidRPr="00AB316C">
              <w:rPr>
                <w:sz w:val="28"/>
                <w:szCs w:val="28"/>
              </w:rPr>
              <w:t xml:space="preserve"> Halelor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56,07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Piaţa</w:t>
            </w:r>
            <w:proofErr w:type="spellEnd"/>
            <w:r w:rsidRPr="00AB316C">
              <w:rPr>
                <w:sz w:val="28"/>
                <w:szCs w:val="28"/>
              </w:rPr>
              <w:t xml:space="preserve"> Radu Negru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50,03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Piaţa</w:t>
            </w:r>
            <w:proofErr w:type="spellEnd"/>
            <w:r w:rsidRPr="00AB316C">
              <w:rPr>
                <w:sz w:val="28"/>
                <w:szCs w:val="28"/>
              </w:rPr>
              <w:t xml:space="preserve"> Microhala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58,43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Terasa Aroma </w:t>
            </w:r>
            <w:proofErr w:type="spellStart"/>
            <w:r w:rsidRPr="00AB316C">
              <w:rPr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55,97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Restaurant Swing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50,30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Incinte industriale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S.C. </w:t>
            </w:r>
            <w:proofErr w:type="spellStart"/>
            <w:r w:rsidRPr="00AB316C">
              <w:rPr>
                <w:sz w:val="28"/>
                <w:szCs w:val="28"/>
              </w:rPr>
              <w:t>Promex</w:t>
            </w:r>
            <w:proofErr w:type="spellEnd"/>
            <w:r w:rsidRPr="00AB316C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49,49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65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S.C. </w:t>
            </w:r>
            <w:proofErr w:type="spellStart"/>
            <w:r w:rsidRPr="00AB316C">
              <w:rPr>
                <w:sz w:val="28"/>
                <w:szCs w:val="28"/>
              </w:rPr>
              <w:t>Farex</w:t>
            </w:r>
            <w:proofErr w:type="spellEnd"/>
            <w:r w:rsidRPr="00AB316C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56,16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S.C. </w:t>
            </w:r>
            <w:proofErr w:type="spellStart"/>
            <w:r w:rsidRPr="00AB316C">
              <w:rPr>
                <w:sz w:val="28"/>
                <w:szCs w:val="28"/>
              </w:rPr>
              <w:t>Laminoru</w:t>
            </w:r>
            <w:proofErr w:type="spellEnd"/>
            <w:r w:rsidRPr="00AB316C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63,60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proofErr w:type="spellStart"/>
            <w:r w:rsidRPr="00AB316C">
              <w:rPr>
                <w:sz w:val="28"/>
                <w:szCs w:val="28"/>
              </w:rPr>
              <w:t>Şantierul</w:t>
            </w:r>
            <w:proofErr w:type="spellEnd"/>
            <w:r w:rsidRPr="00AB316C">
              <w:rPr>
                <w:sz w:val="28"/>
                <w:szCs w:val="28"/>
              </w:rPr>
              <w:t xml:space="preserve"> naval VARD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56,21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>Parcaje auto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Supermarket XXL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56,64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70</w:t>
            </w: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Supermarket Praktiker/Carrefour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58,44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rPr>
                <w:b/>
                <w:bCs/>
                <w:sz w:val="28"/>
                <w:szCs w:val="28"/>
              </w:rPr>
            </w:pPr>
            <w:r w:rsidRPr="00AB316C">
              <w:rPr>
                <w:b/>
                <w:bCs/>
                <w:sz w:val="28"/>
                <w:szCs w:val="28"/>
              </w:rPr>
              <w:t xml:space="preserve">Zone </w:t>
            </w:r>
            <w:proofErr w:type="spellStart"/>
            <w:r w:rsidRPr="00AB316C">
              <w:rPr>
                <w:b/>
                <w:bCs/>
                <w:sz w:val="28"/>
                <w:szCs w:val="28"/>
              </w:rPr>
              <w:t>rezidenţiale</w:t>
            </w:r>
            <w:proofErr w:type="spellEnd"/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Teatrul Maria Filotti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51,87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50</w:t>
            </w:r>
          </w:p>
        </w:tc>
      </w:tr>
      <w:tr w:rsidR="00F7003D" w:rsidRPr="00AB316C" w:rsidTr="00B073FC">
        <w:trPr>
          <w:trHeight w:val="28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Simion </w:t>
            </w:r>
            <w:proofErr w:type="spellStart"/>
            <w:r w:rsidRPr="00AB316C">
              <w:rPr>
                <w:sz w:val="28"/>
                <w:szCs w:val="28"/>
              </w:rPr>
              <w:t>Barnutiu</w:t>
            </w:r>
            <w:proofErr w:type="spellEnd"/>
            <w:r w:rsidRPr="00AB316C">
              <w:rPr>
                <w:sz w:val="28"/>
                <w:szCs w:val="28"/>
              </w:rPr>
              <w:t xml:space="preserve"> ( Penny XXL)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48,24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 xml:space="preserve">Cartier Hipodrom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50,56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  <w:tr w:rsidR="00F7003D" w:rsidRPr="00AB316C" w:rsidTr="00B073FC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3D" w:rsidRPr="00AB316C" w:rsidRDefault="00F7003D" w:rsidP="00B073FC">
            <w:pPr>
              <w:jc w:val="center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Faleza Dunării (</w:t>
            </w:r>
            <w:proofErr w:type="spellStart"/>
            <w:r w:rsidRPr="00AB316C">
              <w:rPr>
                <w:sz w:val="28"/>
                <w:szCs w:val="28"/>
              </w:rPr>
              <w:t>Direcţia</w:t>
            </w:r>
            <w:proofErr w:type="spellEnd"/>
            <w:r w:rsidRPr="00AB316C">
              <w:rPr>
                <w:sz w:val="28"/>
                <w:szCs w:val="28"/>
              </w:rPr>
              <w:t xml:space="preserve"> de </w:t>
            </w:r>
            <w:proofErr w:type="spellStart"/>
            <w:r w:rsidRPr="00AB316C">
              <w:rPr>
                <w:sz w:val="28"/>
                <w:szCs w:val="28"/>
              </w:rPr>
              <w:t>Finanţe</w:t>
            </w:r>
            <w:proofErr w:type="spellEnd"/>
            <w:r w:rsidRPr="00AB316C">
              <w:rPr>
                <w:sz w:val="28"/>
                <w:szCs w:val="2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3D" w:rsidRPr="00AB316C" w:rsidRDefault="00F7003D" w:rsidP="00B073FC">
            <w:pPr>
              <w:jc w:val="right"/>
              <w:rPr>
                <w:sz w:val="28"/>
                <w:szCs w:val="28"/>
              </w:rPr>
            </w:pPr>
            <w:r w:rsidRPr="00AB316C">
              <w:rPr>
                <w:sz w:val="28"/>
                <w:szCs w:val="28"/>
              </w:rPr>
              <w:t>49,30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3D" w:rsidRPr="00AB316C" w:rsidRDefault="00F7003D" w:rsidP="00B073FC">
            <w:pPr>
              <w:rPr>
                <w:sz w:val="28"/>
                <w:szCs w:val="28"/>
              </w:rPr>
            </w:pPr>
          </w:p>
        </w:tc>
      </w:tr>
    </w:tbl>
    <w:p w:rsidR="00F7003D" w:rsidRPr="00AB316C" w:rsidRDefault="00F7003D" w:rsidP="00F7003D">
      <w:pPr>
        <w:rPr>
          <w:sz w:val="28"/>
          <w:szCs w:val="28"/>
        </w:rPr>
      </w:pPr>
    </w:p>
    <w:p w:rsidR="00F7003D" w:rsidRPr="00AB316C" w:rsidRDefault="00F7003D" w:rsidP="00F7003D">
      <w:pPr>
        <w:tabs>
          <w:tab w:val="num" w:pos="0"/>
        </w:tabs>
        <w:jc w:val="both"/>
        <w:rPr>
          <w:sz w:val="28"/>
          <w:szCs w:val="28"/>
        </w:rPr>
      </w:pPr>
      <w:r w:rsidRPr="00AB316C">
        <w:rPr>
          <w:sz w:val="28"/>
          <w:szCs w:val="28"/>
        </w:rPr>
        <w:t xml:space="preserve">În urma măsurătorilor efectuate s-au constatat următoarele </w:t>
      </w:r>
      <w:proofErr w:type="spellStart"/>
      <w:r w:rsidRPr="00AB316C">
        <w:rPr>
          <w:sz w:val="28"/>
          <w:szCs w:val="28"/>
        </w:rPr>
        <w:t>depăşiri</w:t>
      </w:r>
      <w:proofErr w:type="spellEnd"/>
      <w:r w:rsidRPr="00AB316C">
        <w:rPr>
          <w:sz w:val="28"/>
          <w:szCs w:val="28"/>
        </w:rPr>
        <w:t>:</w:t>
      </w:r>
    </w:p>
    <w:p w:rsidR="00F7003D" w:rsidRPr="00AB316C" w:rsidRDefault="00F7003D" w:rsidP="00F7003D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AB316C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II, limita admisă de 70 dB a fost depășită cu 2,6% în punctul </w:t>
      </w:r>
      <w:r w:rsidRPr="00AB316C">
        <w:rPr>
          <w:rFonts w:ascii="Times New Roman" w:eastAsia="Times New Roman" w:hAnsi="Times New Roman"/>
          <w:sz w:val="28"/>
          <w:szCs w:val="28"/>
        </w:rPr>
        <w:t>Centură - IDMS</w:t>
      </w:r>
      <w:r w:rsidRPr="00AB316C">
        <w:rPr>
          <w:rFonts w:ascii="Times New Roman" w:hAnsi="Times New Roman"/>
          <w:sz w:val="28"/>
          <w:szCs w:val="28"/>
          <w:lang w:eastAsia="ro-RO"/>
        </w:rPr>
        <w:t xml:space="preserve">, datorită traficului rutier intens; </w:t>
      </w:r>
    </w:p>
    <w:p w:rsidR="00F7003D" w:rsidRPr="00AB316C" w:rsidRDefault="00F7003D" w:rsidP="00F7003D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B316C">
        <w:rPr>
          <w:rFonts w:ascii="Times New Roman" w:hAnsi="Times New Roman"/>
          <w:sz w:val="28"/>
          <w:szCs w:val="28"/>
          <w:lang w:eastAsia="ro-RO"/>
        </w:rPr>
        <w:t xml:space="preserve">La limita exterioară a parcurilor, zonelor de recreere, tratament medical </w:t>
      </w:r>
      <w:proofErr w:type="spellStart"/>
      <w:r w:rsidRPr="00AB316C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AB316C">
        <w:rPr>
          <w:rFonts w:ascii="Times New Roman" w:hAnsi="Times New Roman"/>
          <w:sz w:val="28"/>
          <w:szCs w:val="28"/>
          <w:lang w:eastAsia="ro-RO"/>
        </w:rPr>
        <w:t xml:space="preserve"> balneoclimateric, nivelul de zgomot echivalent </w:t>
      </w:r>
      <w:proofErr w:type="spellStart"/>
      <w:r w:rsidRPr="00AB316C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AB316C">
        <w:rPr>
          <w:rFonts w:ascii="Times New Roman" w:hAnsi="Times New Roman"/>
          <w:sz w:val="28"/>
          <w:szCs w:val="28"/>
          <w:lang w:eastAsia="ro-RO"/>
        </w:rPr>
        <w:t xml:space="preserve"> limita admisă de 45 dB în 4 din cele 5 puncte expertizate. Cea mai mare valoare a nivelului de zgomot echivalent </w:t>
      </w:r>
      <w:proofErr w:type="spellStart"/>
      <w:r w:rsidRPr="00AB316C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AB316C">
        <w:rPr>
          <w:rFonts w:ascii="Times New Roman" w:hAnsi="Times New Roman"/>
          <w:sz w:val="28"/>
          <w:szCs w:val="28"/>
          <w:lang w:eastAsia="ro-RO"/>
        </w:rPr>
        <w:t xml:space="preserve"> limita maximă admisă cu aproximativ 22,4% în punctul „Spitalul Sf. Spiridon”. </w:t>
      </w:r>
      <w:proofErr w:type="spellStart"/>
      <w:r w:rsidRPr="00AB316C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AB316C">
        <w:rPr>
          <w:rFonts w:ascii="Times New Roman" w:hAnsi="Times New Roman"/>
          <w:sz w:val="28"/>
          <w:szCs w:val="28"/>
          <w:lang w:eastAsia="ro-RO"/>
        </w:rPr>
        <w:t xml:space="preserve"> se datorează traficului rutier intens existent în zonă.</w:t>
      </w:r>
    </w:p>
    <w:p w:rsidR="00EE6CB1" w:rsidRPr="004D4266" w:rsidRDefault="00F7003D" w:rsidP="00DA128E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4D4266">
        <w:rPr>
          <w:rFonts w:ascii="Times New Roman" w:hAnsi="Times New Roman"/>
          <w:sz w:val="28"/>
          <w:szCs w:val="28"/>
        </w:rPr>
        <w:t xml:space="preserve">În zonele </w:t>
      </w:r>
      <w:proofErr w:type="spellStart"/>
      <w:r w:rsidRPr="004D4266">
        <w:rPr>
          <w:rFonts w:ascii="Times New Roman" w:hAnsi="Times New Roman"/>
          <w:sz w:val="28"/>
          <w:szCs w:val="28"/>
        </w:rPr>
        <w:t>rezidenţiale</w:t>
      </w:r>
      <w:proofErr w:type="spellEnd"/>
      <w:r w:rsidRPr="004D4266">
        <w:rPr>
          <w:rFonts w:ascii="Times New Roman" w:hAnsi="Times New Roman"/>
          <w:sz w:val="28"/>
          <w:szCs w:val="28"/>
        </w:rPr>
        <w:t xml:space="preserve">, aflate în vecinătatea unor străzi intens circulate sau în apropierea unor </w:t>
      </w:r>
      <w:proofErr w:type="spellStart"/>
      <w:r w:rsidRPr="004D4266">
        <w:rPr>
          <w:rFonts w:ascii="Times New Roman" w:hAnsi="Times New Roman"/>
          <w:sz w:val="28"/>
          <w:szCs w:val="28"/>
        </w:rPr>
        <w:t>pieţe</w:t>
      </w:r>
      <w:proofErr w:type="spellEnd"/>
      <w:r w:rsidRPr="004D42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66">
        <w:rPr>
          <w:rFonts w:ascii="Times New Roman" w:hAnsi="Times New Roman"/>
          <w:sz w:val="28"/>
          <w:szCs w:val="28"/>
        </w:rPr>
        <w:t>şi</w:t>
      </w:r>
      <w:proofErr w:type="spellEnd"/>
      <w:r w:rsidRPr="004D4266">
        <w:rPr>
          <w:rFonts w:ascii="Times New Roman" w:hAnsi="Times New Roman"/>
          <w:sz w:val="28"/>
          <w:szCs w:val="28"/>
        </w:rPr>
        <w:t xml:space="preserve"> supermarketuri, s-au înregistrat </w:t>
      </w:r>
      <w:proofErr w:type="spellStart"/>
      <w:r w:rsidRPr="004D4266">
        <w:rPr>
          <w:rFonts w:ascii="Times New Roman" w:hAnsi="Times New Roman"/>
          <w:sz w:val="28"/>
          <w:szCs w:val="28"/>
        </w:rPr>
        <w:t>depăşiri</w:t>
      </w:r>
      <w:proofErr w:type="spellEnd"/>
      <w:r w:rsidRPr="004D4266">
        <w:rPr>
          <w:rFonts w:ascii="Times New Roman" w:hAnsi="Times New Roman"/>
          <w:sz w:val="28"/>
          <w:szCs w:val="28"/>
        </w:rPr>
        <w:t xml:space="preserve"> ale limitei admise de 50 dB, în 2 din  cele 4 puncte expertizate. Valoarea maximă a fost înregistrată în punctul </w:t>
      </w:r>
      <w:r w:rsidRPr="004D4266">
        <w:rPr>
          <w:rFonts w:ascii="Times New Roman" w:hAnsi="Times New Roman"/>
          <w:sz w:val="28"/>
          <w:szCs w:val="28"/>
          <w:lang w:eastAsia="ro-RO"/>
        </w:rPr>
        <w:t>„</w:t>
      </w:r>
      <w:r w:rsidRPr="004D4266">
        <w:rPr>
          <w:rFonts w:ascii="Times New Roman" w:eastAsia="Times New Roman" w:hAnsi="Times New Roman"/>
          <w:sz w:val="28"/>
          <w:szCs w:val="28"/>
        </w:rPr>
        <w:t>Teatrul Maria Filotti”</w:t>
      </w:r>
      <w:r w:rsidRPr="004D4266">
        <w:rPr>
          <w:rFonts w:ascii="Times New Roman" w:hAnsi="Times New Roman"/>
          <w:sz w:val="28"/>
          <w:szCs w:val="28"/>
        </w:rPr>
        <w:t xml:space="preserve"> punct în care limita maximă admisă a fost </w:t>
      </w:r>
      <w:proofErr w:type="spellStart"/>
      <w:r w:rsidRPr="004D4266">
        <w:rPr>
          <w:rFonts w:ascii="Times New Roman" w:hAnsi="Times New Roman"/>
          <w:sz w:val="28"/>
          <w:szCs w:val="28"/>
        </w:rPr>
        <w:t>depăşită</w:t>
      </w:r>
      <w:proofErr w:type="spellEnd"/>
      <w:r w:rsidRPr="004D4266">
        <w:rPr>
          <w:rFonts w:ascii="Times New Roman" w:hAnsi="Times New Roman"/>
          <w:sz w:val="28"/>
          <w:szCs w:val="28"/>
        </w:rPr>
        <w:t xml:space="preserve"> cu 3,7 %.</w:t>
      </w:r>
      <w:r w:rsidRPr="004D4266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D4266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4D4266">
        <w:rPr>
          <w:rFonts w:ascii="Times New Roman" w:hAnsi="Times New Roman"/>
          <w:sz w:val="28"/>
          <w:szCs w:val="28"/>
          <w:lang w:eastAsia="ro-RO"/>
        </w:rPr>
        <w:t xml:space="preserve"> se datorează traficului rutier aferent </w:t>
      </w:r>
      <w:proofErr w:type="spellStart"/>
      <w:r w:rsidRPr="004D4266">
        <w:rPr>
          <w:rFonts w:ascii="Times New Roman" w:hAnsi="Times New Roman"/>
          <w:sz w:val="28"/>
          <w:szCs w:val="28"/>
          <w:lang w:eastAsia="ro-RO"/>
        </w:rPr>
        <w:t>intersecţiei</w:t>
      </w:r>
      <w:proofErr w:type="spellEnd"/>
      <w:r w:rsidRPr="004D4266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D4266">
        <w:rPr>
          <w:rFonts w:ascii="Times New Roman" w:hAnsi="Times New Roman"/>
          <w:sz w:val="28"/>
          <w:szCs w:val="28"/>
          <w:lang w:eastAsia="ro-RO"/>
        </w:rPr>
        <w:t>Piaţa</w:t>
      </w:r>
      <w:proofErr w:type="spellEnd"/>
      <w:r w:rsidRPr="004D4266">
        <w:rPr>
          <w:rFonts w:ascii="Times New Roman" w:hAnsi="Times New Roman"/>
          <w:sz w:val="28"/>
          <w:szCs w:val="28"/>
          <w:lang w:eastAsia="ro-RO"/>
        </w:rPr>
        <w:t xml:space="preserve"> Traian.</w:t>
      </w: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2E24CB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642BB8" w:rsidRPr="0047128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471286">
        <w:rPr>
          <w:sz w:val="28"/>
          <w:szCs w:val="28"/>
        </w:rPr>
        <w:t>PROTECŢIA NATURII ŞI ARII PROTEJATE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7F159D" w:rsidRPr="000C07CA" w:rsidRDefault="007F159D" w:rsidP="007F159D">
      <w:pPr>
        <w:jc w:val="both"/>
        <w:rPr>
          <w:b/>
          <w:sz w:val="28"/>
          <w:szCs w:val="28"/>
          <w:u w:val="single"/>
        </w:rPr>
      </w:pPr>
      <w:r w:rsidRPr="000C07CA">
        <w:rPr>
          <w:b/>
          <w:sz w:val="28"/>
          <w:szCs w:val="28"/>
          <w:u w:val="single"/>
        </w:rPr>
        <w:t>DOMENIUL BIODIVERSITATE</w:t>
      </w:r>
    </w:p>
    <w:p w:rsidR="00DA60B1" w:rsidRPr="004D4266" w:rsidRDefault="00DA60B1" w:rsidP="00E163E0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4D4266">
        <w:rPr>
          <w:sz w:val="28"/>
          <w:szCs w:val="28"/>
        </w:rPr>
        <w:t xml:space="preserve">Colaborare cu Serviciul Avize Acorduri </w:t>
      </w:r>
      <w:proofErr w:type="spellStart"/>
      <w:r w:rsidRPr="004D4266">
        <w:rPr>
          <w:sz w:val="28"/>
          <w:szCs w:val="28"/>
        </w:rPr>
        <w:t>Autorizaţii</w:t>
      </w:r>
      <w:proofErr w:type="spellEnd"/>
      <w:r w:rsidRPr="004D4266">
        <w:rPr>
          <w:sz w:val="28"/>
          <w:szCs w:val="28"/>
        </w:rPr>
        <w:t xml:space="preserve"> pentru elaborarea actelor de reglementare - s-au analizat  8 </w:t>
      </w:r>
      <w:proofErr w:type="spellStart"/>
      <w:r w:rsidRPr="004D4266">
        <w:rPr>
          <w:sz w:val="28"/>
          <w:szCs w:val="28"/>
        </w:rPr>
        <w:t>documentaţii</w:t>
      </w:r>
      <w:proofErr w:type="spellEnd"/>
      <w:r w:rsidRPr="004D4266">
        <w:rPr>
          <w:sz w:val="28"/>
          <w:szCs w:val="28"/>
        </w:rPr>
        <w:t xml:space="preserve"> pentru emitere acte de reglementare, pentru care:</w:t>
      </w:r>
    </w:p>
    <w:p w:rsidR="00DA60B1" w:rsidRPr="00F15CFA" w:rsidRDefault="00DA60B1" w:rsidP="00DA6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s-au  făcut </w:t>
      </w:r>
      <w:proofErr w:type="spellStart"/>
      <w:r w:rsidRPr="00F15CFA">
        <w:rPr>
          <w:sz w:val="28"/>
          <w:szCs w:val="28"/>
        </w:rPr>
        <w:t>observaţii</w:t>
      </w:r>
      <w:proofErr w:type="spellEnd"/>
      <w:r w:rsidRPr="00F15CFA">
        <w:rPr>
          <w:sz w:val="28"/>
          <w:szCs w:val="28"/>
        </w:rPr>
        <w:t xml:space="preserve"> în cadrul  </w:t>
      </w:r>
      <w:proofErr w:type="spellStart"/>
      <w:r w:rsidRPr="00F15CFA">
        <w:rPr>
          <w:sz w:val="28"/>
          <w:szCs w:val="28"/>
        </w:rPr>
        <w:t>şedinţelor</w:t>
      </w:r>
      <w:proofErr w:type="spellEnd"/>
      <w:r w:rsidRPr="00F15CFA">
        <w:rPr>
          <w:sz w:val="28"/>
          <w:szCs w:val="28"/>
        </w:rPr>
        <w:t xml:space="preserve"> CIA, CAT și CSC </w:t>
      </w:r>
    </w:p>
    <w:p w:rsidR="00DA60B1" w:rsidRPr="00F15CFA" w:rsidRDefault="00DA60B1" w:rsidP="00DA6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15CFA">
        <w:rPr>
          <w:sz w:val="28"/>
          <w:szCs w:val="28"/>
        </w:rPr>
        <w:t>s-au emis  7 puncte de vedere pentru:</w:t>
      </w:r>
    </w:p>
    <w:p w:rsidR="00DA60B1" w:rsidRPr="00F15CFA" w:rsidRDefault="00DA60B1" w:rsidP="00DA60B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emiterea acordului de mediu pentru proiecte referitoare la :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desființarea unor construcții cu rol de captare și stocare a apei din râul Buzău situate în perimetrul ROSPA0160 și ROSCI0103 Lunca Buzăului 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proofErr w:type="spellStart"/>
      <w:r w:rsidRPr="00F15CFA">
        <w:rPr>
          <w:sz w:val="28"/>
          <w:szCs w:val="28"/>
        </w:rPr>
        <w:t>lucrari</w:t>
      </w:r>
      <w:proofErr w:type="spellEnd"/>
      <w:r w:rsidRPr="00F15CFA">
        <w:rPr>
          <w:sz w:val="28"/>
          <w:szCs w:val="28"/>
        </w:rPr>
        <w:t xml:space="preserve"> de intervenție în perimetrul unei </w:t>
      </w:r>
      <w:proofErr w:type="spellStart"/>
      <w:r w:rsidRPr="00F15CFA">
        <w:rPr>
          <w:sz w:val="28"/>
          <w:szCs w:val="28"/>
        </w:rPr>
        <w:t>cazarme</w:t>
      </w:r>
      <w:proofErr w:type="spellEnd"/>
      <w:r w:rsidRPr="00F15CFA">
        <w:rPr>
          <w:sz w:val="28"/>
          <w:szCs w:val="28"/>
        </w:rPr>
        <w:t xml:space="preserve"> situată pe malul fluviului Dunărea, în perimetrul arilor naturale protejate suprapuse Balta Mică a Brăilei cu statut de protecție ca sit de importanță comunitară, arie de protecție specială </w:t>
      </w:r>
      <w:proofErr w:type="spellStart"/>
      <w:r w:rsidRPr="00F15CFA">
        <w:rPr>
          <w:sz w:val="28"/>
          <w:szCs w:val="28"/>
        </w:rPr>
        <w:t>avifaunistică</w:t>
      </w:r>
      <w:proofErr w:type="spellEnd"/>
      <w:r w:rsidRPr="00F15CFA">
        <w:rPr>
          <w:sz w:val="28"/>
          <w:szCs w:val="28"/>
        </w:rPr>
        <w:t xml:space="preserve"> și parc natural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două proiecte privind amenajare parcări și modernizare străzi în municipiul Brăila care implică și spații verzi</w:t>
      </w:r>
    </w:p>
    <w:p w:rsidR="00DA60B1" w:rsidRPr="00F15CFA" w:rsidRDefault="00DA60B1" w:rsidP="00DA60B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emiterea autorizației de mediu pentru: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două ferme vegetale situate în incinta îndiguită Insula Mare a Brăilei situată în vecinătatea ariilor naturale protejate aferente fluviului Dunărea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o fermă piscicolă, pentru creșterea speciilor locale și a sturionilor</w:t>
      </w:r>
    </w:p>
    <w:p w:rsidR="00DA60B1" w:rsidRPr="00F15CFA" w:rsidRDefault="00DA60B1" w:rsidP="00DA60B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Analiza unei teme de proiectare pentru plantații de  plop situate în situri Natura 2000 care fac parte din amenajamentul UPX Berteștii de jos, Șuțești, Siliștea și persoane fizice (fond forestier </w:t>
      </w:r>
      <w:proofErr w:type="spellStart"/>
      <w:r w:rsidRPr="00F15CFA">
        <w:rPr>
          <w:sz w:val="28"/>
          <w:szCs w:val="28"/>
        </w:rPr>
        <w:t>propietate</w:t>
      </w:r>
      <w:proofErr w:type="spellEnd"/>
      <w:r w:rsidRPr="00F15CFA">
        <w:rPr>
          <w:sz w:val="28"/>
          <w:szCs w:val="28"/>
        </w:rPr>
        <w:t xml:space="preserve"> privată) .</w:t>
      </w:r>
    </w:p>
    <w:p w:rsidR="00DA60B1" w:rsidRPr="00F15CFA" w:rsidRDefault="00DA60B1" w:rsidP="00DA60B1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lastRenderedPageBreak/>
        <w:t xml:space="preserve">S-a emis o </w:t>
      </w:r>
      <w:proofErr w:type="spellStart"/>
      <w:r w:rsidRPr="00F15CFA">
        <w:rPr>
          <w:sz w:val="28"/>
          <w:szCs w:val="28"/>
        </w:rPr>
        <w:t>autorizaţie</w:t>
      </w:r>
      <w:proofErr w:type="spellEnd"/>
      <w:r w:rsidRPr="00F15CFA">
        <w:rPr>
          <w:sz w:val="28"/>
          <w:szCs w:val="28"/>
        </w:rPr>
        <w:t xml:space="preserve">  în baza Ord. MMDD nr. 410/2008 </w:t>
      </w:r>
      <w:r w:rsidRPr="00F15CFA">
        <w:rPr>
          <w:i/>
          <w:sz w:val="28"/>
          <w:szCs w:val="28"/>
        </w:rPr>
        <w:t xml:space="preserve">pentru aprobarea Procedurii de autorizare a </w:t>
      </w:r>
      <w:proofErr w:type="spellStart"/>
      <w:r w:rsidRPr="00F15CFA">
        <w:rPr>
          <w:i/>
          <w:sz w:val="28"/>
          <w:szCs w:val="28"/>
        </w:rPr>
        <w:t>activităţilor</w:t>
      </w:r>
      <w:proofErr w:type="spellEnd"/>
      <w:r w:rsidRPr="00F15CFA">
        <w:rPr>
          <w:i/>
          <w:sz w:val="28"/>
          <w:szCs w:val="28"/>
        </w:rPr>
        <w:t xml:space="preserve"> de recoltare, capturare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/sau </w:t>
      </w:r>
      <w:proofErr w:type="spellStart"/>
      <w:r w:rsidRPr="00F15CFA">
        <w:rPr>
          <w:i/>
          <w:sz w:val="28"/>
          <w:szCs w:val="28"/>
        </w:rPr>
        <w:t>achiziţie</w:t>
      </w:r>
      <w:proofErr w:type="spellEnd"/>
      <w:r w:rsidRPr="00F15CFA">
        <w:rPr>
          <w:i/>
          <w:sz w:val="28"/>
          <w:szCs w:val="28"/>
        </w:rPr>
        <w:t xml:space="preserve">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/sau comercializare, pe teritoriul </w:t>
      </w:r>
      <w:proofErr w:type="spellStart"/>
      <w:r w:rsidRPr="00F15CFA">
        <w:rPr>
          <w:i/>
          <w:sz w:val="28"/>
          <w:szCs w:val="28"/>
        </w:rPr>
        <w:t>naţional</w:t>
      </w:r>
      <w:proofErr w:type="spellEnd"/>
      <w:r w:rsidRPr="00F15CFA">
        <w:rPr>
          <w:i/>
          <w:sz w:val="28"/>
          <w:szCs w:val="28"/>
        </w:rPr>
        <w:t xml:space="preserve"> sau la export, a florilor de mină, a fosilelor de plante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 fosilelor de animale vertebrate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 nevertebrate, precum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 a plantelor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 animalelor din flora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, respectiv, fauna sălbatice </w:t>
      </w:r>
      <w:proofErr w:type="spellStart"/>
      <w:r w:rsidRPr="00F15CFA">
        <w:rPr>
          <w:i/>
          <w:sz w:val="28"/>
          <w:szCs w:val="28"/>
        </w:rPr>
        <w:t>şi</w:t>
      </w:r>
      <w:proofErr w:type="spellEnd"/>
      <w:r w:rsidRPr="00F15CFA">
        <w:rPr>
          <w:i/>
          <w:sz w:val="28"/>
          <w:szCs w:val="28"/>
        </w:rPr>
        <w:t xml:space="preserve"> a importului acestora,</w:t>
      </w:r>
      <w:r w:rsidRPr="00F15CFA">
        <w:rPr>
          <w:sz w:val="28"/>
          <w:szCs w:val="28"/>
        </w:rPr>
        <w:t xml:space="preserve"> pentru o asociație de pescari, pentru activitatea de pescuit în fluviul Dunărea, pentru cantitățile nerealizate din cotele alocate pentru anul 2019. </w:t>
      </w:r>
    </w:p>
    <w:p w:rsidR="00DA60B1" w:rsidRPr="004D4266" w:rsidRDefault="00DA60B1" w:rsidP="001B14F9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4D4266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4D4266">
        <w:rPr>
          <w:sz w:val="28"/>
          <w:szCs w:val="28"/>
        </w:rPr>
        <w:t>Fişa</w:t>
      </w:r>
      <w:proofErr w:type="spellEnd"/>
      <w:r w:rsidRPr="004D4266">
        <w:rPr>
          <w:sz w:val="28"/>
          <w:szCs w:val="28"/>
        </w:rPr>
        <w:t xml:space="preserve"> </w:t>
      </w:r>
      <w:proofErr w:type="spellStart"/>
      <w:r w:rsidRPr="004D4266">
        <w:rPr>
          <w:sz w:val="28"/>
          <w:szCs w:val="28"/>
        </w:rPr>
        <w:t>judeţului</w:t>
      </w:r>
      <w:proofErr w:type="spellEnd"/>
      <w:r w:rsidRPr="004D4266">
        <w:rPr>
          <w:sz w:val="28"/>
          <w:szCs w:val="28"/>
        </w:rPr>
        <w:t xml:space="preserve">. </w:t>
      </w:r>
      <w:bookmarkStart w:id="3" w:name="_GoBack"/>
      <w:bookmarkEnd w:id="3"/>
    </w:p>
    <w:p w:rsidR="00DA60B1" w:rsidRPr="00F15CFA" w:rsidRDefault="00DA60B1" w:rsidP="00DA60B1">
      <w:pPr>
        <w:jc w:val="both"/>
        <w:rPr>
          <w:b/>
          <w:sz w:val="28"/>
          <w:szCs w:val="28"/>
          <w:u w:val="single"/>
        </w:rPr>
      </w:pPr>
      <w:r w:rsidRPr="00F15CFA">
        <w:rPr>
          <w:b/>
          <w:sz w:val="28"/>
          <w:szCs w:val="28"/>
          <w:u w:val="single"/>
        </w:rPr>
        <w:t>DOMENIUL SOL-SUBSOL</w:t>
      </w:r>
    </w:p>
    <w:p w:rsidR="00DA60B1" w:rsidRPr="00F15CFA" w:rsidRDefault="00DA60B1" w:rsidP="00DA60B1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Colaborare cu Serviciul Avize Acorduri </w:t>
      </w:r>
      <w:proofErr w:type="spellStart"/>
      <w:r w:rsidRPr="00F15CFA">
        <w:rPr>
          <w:sz w:val="28"/>
          <w:szCs w:val="28"/>
        </w:rPr>
        <w:t>Autorizaţii</w:t>
      </w:r>
      <w:proofErr w:type="spellEnd"/>
      <w:r w:rsidRPr="00F15CFA">
        <w:rPr>
          <w:sz w:val="28"/>
          <w:szCs w:val="28"/>
        </w:rPr>
        <w:t xml:space="preserve"> pentru elaborarea actelor de reglementare - s-au analizat două </w:t>
      </w:r>
      <w:proofErr w:type="spellStart"/>
      <w:r w:rsidRPr="00F15CFA">
        <w:rPr>
          <w:sz w:val="28"/>
          <w:szCs w:val="28"/>
        </w:rPr>
        <w:t>documentaţii</w:t>
      </w:r>
      <w:proofErr w:type="spellEnd"/>
      <w:r w:rsidRPr="00F15CFA">
        <w:rPr>
          <w:sz w:val="28"/>
          <w:szCs w:val="28"/>
        </w:rPr>
        <w:t xml:space="preserve"> pentru stabilirea condițiilor de monitorizare a solului pentru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emiterea autorizației integrate de mediu pentru un complex de creștere a suinelor, </w:t>
      </w:r>
    </w:p>
    <w:p w:rsidR="00DA60B1" w:rsidRPr="00F15CFA" w:rsidRDefault="00DA60B1" w:rsidP="00DA60B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autorizarea un parc de separatoare țiței din localitatea Ianca </w:t>
      </w:r>
    </w:p>
    <w:p w:rsidR="00DA60B1" w:rsidRPr="00F15CFA" w:rsidRDefault="00DA60B1" w:rsidP="00DA60B1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F15CFA">
        <w:rPr>
          <w:sz w:val="28"/>
          <w:szCs w:val="28"/>
        </w:rPr>
        <w:t>potenţial</w:t>
      </w:r>
      <w:proofErr w:type="spellEnd"/>
      <w:r w:rsidRPr="00F15CFA">
        <w:rPr>
          <w:sz w:val="28"/>
          <w:szCs w:val="28"/>
        </w:rPr>
        <w:t xml:space="preserve"> contaminate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a celor contaminate s-a continuat informarea și solicitarea documentelor prevăzute de lege pentru identificarea siturilor </w:t>
      </w:r>
      <w:proofErr w:type="spellStart"/>
      <w:r w:rsidRPr="00F15CFA">
        <w:rPr>
          <w:sz w:val="28"/>
          <w:szCs w:val="28"/>
        </w:rPr>
        <w:t>potential</w:t>
      </w:r>
      <w:proofErr w:type="spellEnd"/>
      <w:r w:rsidRPr="00F15CFA">
        <w:rPr>
          <w:sz w:val="28"/>
          <w:szCs w:val="28"/>
        </w:rPr>
        <w:t xml:space="preserve"> contaminate . </w:t>
      </w:r>
    </w:p>
    <w:p w:rsidR="00DA60B1" w:rsidRPr="00F15CFA" w:rsidRDefault="00DA60B1" w:rsidP="00DA60B1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15CFA">
        <w:rPr>
          <w:sz w:val="28"/>
          <w:szCs w:val="28"/>
        </w:rPr>
        <w:t>Fişa</w:t>
      </w:r>
      <w:proofErr w:type="spellEnd"/>
      <w:r w:rsidRPr="00F15CFA">
        <w:rPr>
          <w:sz w:val="28"/>
          <w:szCs w:val="28"/>
        </w:rPr>
        <w:t xml:space="preserve"> </w:t>
      </w:r>
      <w:proofErr w:type="spellStart"/>
      <w:r w:rsidRPr="00F15CFA">
        <w:rPr>
          <w:sz w:val="28"/>
          <w:szCs w:val="28"/>
        </w:rPr>
        <w:t>judeţului</w:t>
      </w:r>
      <w:proofErr w:type="spellEnd"/>
      <w:r w:rsidRPr="00F15CFA">
        <w:rPr>
          <w:sz w:val="28"/>
          <w:szCs w:val="28"/>
        </w:rPr>
        <w:t xml:space="preserve">. </w:t>
      </w:r>
    </w:p>
    <w:p w:rsidR="007F159D" w:rsidRPr="00471286" w:rsidRDefault="007F159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0C07CA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Colaborare cu Serviciul Avize Acorduri </w:t>
      </w:r>
      <w:proofErr w:type="spellStart"/>
      <w:r w:rsidRPr="00F15CFA">
        <w:rPr>
          <w:sz w:val="28"/>
          <w:szCs w:val="28"/>
        </w:rPr>
        <w:t>Autorizaţii</w:t>
      </w:r>
      <w:proofErr w:type="spellEnd"/>
      <w:r w:rsidRPr="00F15CFA">
        <w:rPr>
          <w:sz w:val="28"/>
          <w:szCs w:val="28"/>
        </w:rPr>
        <w:t xml:space="preserve"> pentru elaborarea actelor de reglementare: au fost analizate 23 </w:t>
      </w:r>
      <w:proofErr w:type="spellStart"/>
      <w:r w:rsidRPr="00F15CFA">
        <w:rPr>
          <w:sz w:val="28"/>
          <w:szCs w:val="28"/>
        </w:rPr>
        <w:t>documentaţii</w:t>
      </w:r>
      <w:proofErr w:type="spellEnd"/>
      <w:r w:rsidRPr="00F15CFA">
        <w:rPr>
          <w:sz w:val="28"/>
          <w:szCs w:val="28"/>
        </w:rPr>
        <w:t xml:space="preserve"> pentru care:</w:t>
      </w:r>
    </w:p>
    <w:p w:rsidR="0032362F" w:rsidRPr="00F15CFA" w:rsidRDefault="0032362F" w:rsidP="0032362F">
      <w:pPr>
        <w:numPr>
          <w:ilvl w:val="0"/>
          <w:numId w:val="28"/>
        </w:numPr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s-au  făcut </w:t>
      </w:r>
      <w:proofErr w:type="spellStart"/>
      <w:r w:rsidRPr="00F15CFA">
        <w:rPr>
          <w:sz w:val="28"/>
          <w:szCs w:val="28"/>
        </w:rPr>
        <w:t>observaţii</w:t>
      </w:r>
      <w:proofErr w:type="spellEnd"/>
      <w:r w:rsidRPr="00F15CFA">
        <w:rPr>
          <w:sz w:val="28"/>
          <w:szCs w:val="28"/>
        </w:rPr>
        <w:t xml:space="preserve"> în cadrul  </w:t>
      </w:r>
      <w:proofErr w:type="spellStart"/>
      <w:r w:rsidRPr="00F15CFA">
        <w:rPr>
          <w:sz w:val="28"/>
          <w:szCs w:val="28"/>
        </w:rPr>
        <w:t>şedinţelor</w:t>
      </w:r>
      <w:proofErr w:type="spellEnd"/>
      <w:r w:rsidRPr="00F15CFA">
        <w:rPr>
          <w:sz w:val="28"/>
          <w:szCs w:val="28"/>
        </w:rPr>
        <w:t xml:space="preserve"> CIA, CAT și CSC </w:t>
      </w:r>
    </w:p>
    <w:p w:rsidR="0032362F" w:rsidRPr="00F15CFA" w:rsidRDefault="0032362F" w:rsidP="0032362F">
      <w:pPr>
        <w:numPr>
          <w:ilvl w:val="0"/>
          <w:numId w:val="28"/>
        </w:numPr>
        <w:jc w:val="both"/>
        <w:rPr>
          <w:sz w:val="28"/>
          <w:szCs w:val="28"/>
        </w:rPr>
      </w:pPr>
      <w:r w:rsidRPr="00F15CFA">
        <w:rPr>
          <w:sz w:val="28"/>
          <w:szCs w:val="28"/>
        </w:rPr>
        <w:t>s-au emis  21 puncte de vedere pentru:</w:t>
      </w:r>
    </w:p>
    <w:p w:rsidR="0032362F" w:rsidRPr="00F15CFA" w:rsidRDefault="0032362F" w:rsidP="0032362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emiterea acordului de mediu pentru 5 proiecte referitoare la:   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desființarea unor construcții cu rol de captare și stocare a apei din râul Buzău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două proiecte privind amenajare parcări și modernizare străzi în municipiul Brăila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proofErr w:type="spellStart"/>
      <w:r w:rsidRPr="00F15CFA">
        <w:rPr>
          <w:sz w:val="28"/>
          <w:szCs w:val="28"/>
        </w:rPr>
        <w:t>lucrari</w:t>
      </w:r>
      <w:proofErr w:type="spellEnd"/>
      <w:r w:rsidRPr="00F15CFA">
        <w:rPr>
          <w:sz w:val="28"/>
          <w:szCs w:val="28"/>
        </w:rPr>
        <w:t xml:space="preserve"> de intervenție în perimetrul unei </w:t>
      </w:r>
      <w:proofErr w:type="spellStart"/>
      <w:r w:rsidRPr="00F15CFA">
        <w:rPr>
          <w:sz w:val="28"/>
          <w:szCs w:val="28"/>
        </w:rPr>
        <w:t>cazarme</w:t>
      </w:r>
      <w:proofErr w:type="spellEnd"/>
      <w:r w:rsidRPr="00F15CFA">
        <w:rPr>
          <w:sz w:val="28"/>
          <w:szCs w:val="28"/>
        </w:rPr>
        <w:t xml:space="preserve"> militare</w:t>
      </w:r>
    </w:p>
    <w:p w:rsidR="0032362F" w:rsidRPr="00F15CFA" w:rsidRDefault="0032362F" w:rsidP="0032362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emiterea autorizației de mediu pentru: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o fermă piscicolă, pentru creșterea speciilor locale și a sturionilor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șapte ferme vegetale și instalații de stocare, tratare și livrare a cerealelor situate în incinta îndiguită Insula Mare a Brăilei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stația de sortare și tratare </w:t>
      </w:r>
      <w:proofErr w:type="spellStart"/>
      <w:r w:rsidRPr="00F15CFA">
        <w:rPr>
          <w:sz w:val="28"/>
          <w:szCs w:val="28"/>
        </w:rPr>
        <w:t>mecano</w:t>
      </w:r>
      <w:proofErr w:type="spellEnd"/>
      <w:r w:rsidRPr="00F15CFA">
        <w:rPr>
          <w:sz w:val="28"/>
          <w:szCs w:val="28"/>
        </w:rPr>
        <w:t>-biologică Vădeni, componentă a sistemului de management integrat al deșeurilor  (SMID) în județul Brăila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punctele de stocare temporară a deșeurilor municipale colectate în mediul rural (soluție tranzitorie până la punerea în funcțiune a SMID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un operator care desfășoară activități comerciale cu deșeuri fără a intra fizic în posesia acestora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lastRenderedPageBreak/>
        <w:t xml:space="preserve">un operator care desfășoară activități de comerț cu deșeuri (punct de colectare)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  <w:lang w:eastAsia="ro-RO"/>
        </w:rPr>
        <w:t>o unitate de fabricare a elementelor de dulgherie și tâmplărie, pentru construcții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o </w:t>
      </w:r>
      <w:proofErr w:type="spellStart"/>
      <w:r w:rsidRPr="00F15CFA">
        <w:rPr>
          <w:sz w:val="28"/>
          <w:szCs w:val="28"/>
        </w:rPr>
        <w:t>spalatorie</w:t>
      </w:r>
      <w:proofErr w:type="spellEnd"/>
      <w:r w:rsidRPr="00F15CFA">
        <w:rPr>
          <w:sz w:val="28"/>
          <w:szCs w:val="28"/>
        </w:rPr>
        <w:t xml:space="preserve"> auto 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analiza completărilor pentru autorizarea activităților de salubrizare pe teritoriul administrativ al  UAT Ianca </w:t>
      </w:r>
    </w:p>
    <w:p w:rsidR="0032362F" w:rsidRPr="00F15CFA" w:rsidRDefault="0032362F" w:rsidP="0032362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s-au analizat două documentații referitoare la închiderea depozitelor neconforme: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pentru depozitul SC  </w:t>
      </w:r>
      <w:proofErr w:type="spellStart"/>
      <w:r w:rsidRPr="00F15CFA">
        <w:rPr>
          <w:sz w:val="28"/>
          <w:szCs w:val="28"/>
        </w:rPr>
        <w:t>Celhart</w:t>
      </w:r>
      <w:proofErr w:type="spellEnd"/>
      <w:r w:rsidRPr="00F15CFA">
        <w:rPr>
          <w:sz w:val="28"/>
          <w:szCs w:val="28"/>
        </w:rPr>
        <w:t xml:space="preserve"> </w:t>
      </w:r>
      <w:proofErr w:type="spellStart"/>
      <w:r w:rsidRPr="00F15CFA">
        <w:rPr>
          <w:sz w:val="28"/>
          <w:szCs w:val="28"/>
        </w:rPr>
        <w:t>Donaris</w:t>
      </w:r>
      <w:proofErr w:type="spellEnd"/>
      <w:r w:rsidRPr="00F15CFA">
        <w:rPr>
          <w:sz w:val="28"/>
          <w:szCs w:val="28"/>
        </w:rPr>
        <w:t xml:space="preserve"> SA  ( inclus în lista depozitelor care fac obiectul scrisorii de punere în întârziere a Comisiei Europene în cauza 2012/2007) care solicită aprobarea unui plan simplificat de închidere. În data de 11.06.2020 APM Brăila a participat la o nouă sesiune de consultări la sediul Ministerului Mediului, Apelor și Pădurilor, împreună cu  deținătorul depozitului.</w:t>
      </w:r>
    </w:p>
    <w:p w:rsidR="0032362F" w:rsidRPr="00F15CFA" w:rsidRDefault="0032362F" w:rsidP="0032362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pentru depozitul de deșeuri nepericuloase (municipale) din orașul Făurei-pentru care Primăria Făurei a solicitat să decaleze sau să nu realizeze o parte din lucrările de închidere </w:t>
      </w:r>
    </w:p>
    <w:p w:rsidR="0032362F" w:rsidRPr="00F15CFA" w:rsidRDefault="0032362F" w:rsidP="0032362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pentru depozitul conform Muchea administrat de SC TRACON SRL s-a analizat planul stării de fapt pentru celula nr. 2 care a sistat depozitarea în anul 2019 </w:t>
      </w:r>
    </w:p>
    <w:p w:rsidR="0032362F" w:rsidRPr="00F15CFA" w:rsidRDefault="0032362F" w:rsidP="0032362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s-a reanalizat situația unor condensatori cu PCB situați într-o instalație care a încetat activitatea și s-au solicitat informații la lichidator. S-a făcut și verificarea situației condensatorilor cu PCB de pe amplasament împreună cu CJGNM Brăila</w:t>
      </w:r>
    </w:p>
    <w:p w:rsidR="0032362F" w:rsidRPr="00F15CFA" w:rsidRDefault="0032362F" w:rsidP="0032362F">
      <w:pPr>
        <w:ind w:left="1418"/>
        <w:jc w:val="both"/>
        <w:rPr>
          <w:sz w:val="28"/>
          <w:szCs w:val="28"/>
        </w:rPr>
      </w:pP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S-au colectat, validat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prelucrat datele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</w:t>
      </w:r>
      <w:proofErr w:type="spellStart"/>
      <w:r w:rsidRPr="00F15CFA">
        <w:rPr>
          <w:sz w:val="28"/>
          <w:szCs w:val="28"/>
        </w:rPr>
        <w:t>informaţiile</w:t>
      </w:r>
      <w:proofErr w:type="spellEnd"/>
      <w:r w:rsidRPr="00F15CFA">
        <w:rPr>
          <w:sz w:val="28"/>
          <w:szCs w:val="28"/>
        </w:rPr>
        <w:t xml:space="preserve"> necesare, s-au întocmit inventarele specifice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s-au făcut raportările corespunzătoare privind: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fluxul </w:t>
      </w:r>
      <w:proofErr w:type="spellStart"/>
      <w:r w:rsidRPr="00F15CFA">
        <w:rPr>
          <w:sz w:val="28"/>
          <w:szCs w:val="28"/>
        </w:rPr>
        <w:t>deşeurilor</w:t>
      </w:r>
      <w:proofErr w:type="spellEnd"/>
      <w:r w:rsidRPr="00F15CFA">
        <w:rPr>
          <w:sz w:val="28"/>
          <w:szCs w:val="28"/>
        </w:rPr>
        <w:t>;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inventarul deșeurilor de ambalaje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capitolele corespunzătoare domeniului din raportul lunar </w:t>
      </w:r>
      <w:proofErr w:type="spellStart"/>
      <w:r w:rsidRPr="00F15CFA">
        <w:rPr>
          <w:sz w:val="28"/>
          <w:szCs w:val="28"/>
        </w:rPr>
        <w:t>Fişa</w:t>
      </w:r>
      <w:proofErr w:type="spellEnd"/>
      <w:r w:rsidRPr="00F15CFA">
        <w:rPr>
          <w:sz w:val="28"/>
          <w:szCs w:val="28"/>
        </w:rPr>
        <w:t xml:space="preserve"> </w:t>
      </w:r>
      <w:proofErr w:type="spellStart"/>
      <w:r w:rsidRPr="00F15CFA">
        <w:rPr>
          <w:sz w:val="28"/>
          <w:szCs w:val="28"/>
        </w:rPr>
        <w:t>judeţului</w:t>
      </w:r>
      <w:proofErr w:type="spellEnd"/>
      <w:r w:rsidRPr="00F15CFA">
        <w:rPr>
          <w:sz w:val="28"/>
          <w:szCs w:val="28"/>
        </w:rPr>
        <w:t>;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operatori economici care desfășoară activități cu substanțe  periculoase ca atare, în amestecuri sau în articole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deșeuri de echipamente cu PCB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vehicule scoase din uz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depozite conforme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statistica deșeurilor </w:t>
      </w:r>
    </w:p>
    <w:p w:rsidR="0032362F" w:rsidRPr="00F15CFA" w:rsidRDefault="0032362F" w:rsidP="0032362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deșeuri de echipamente electrice și electronice 2018</w:t>
      </w:r>
    </w:p>
    <w:p w:rsidR="0032362F" w:rsidRPr="00F15CFA" w:rsidRDefault="0032362F" w:rsidP="0032362F">
      <w:pPr>
        <w:tabs>
          <w:tab w:val="num" w:pos="927"/>
        </w:tabs>
        <w:ind w:left="935"/>
        <w:jc w:val="both"/>
        <w:rPr>
          <w:sz w:val="28"/>
          <w:szCs w:val="28"/>
        </w:rPr>
      </w:pP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S au furnizat informații pentru elaborarea Planului Județean de Gestionare a Deșeurilor pentru județul Brăila</w:t>
      </w: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>S-au solicitat și colectat date pentru întocmirea raportului anual privind starea mediului în județul Brăila</w:t>
      </w:r>
    </w:p>
    <w:p w:rsidR="0032362F" w:rsidRPr="00F15CFA" w:rsidRDefault="0032362F" w:rsidP="0032362F">
      <w:pPr>
        <w:jc w:val="both"/>
        <w:rPr>
          <w:sz w:val="28"/>
          <w:szCs w:val="28"/>
        </w:rPr>
      </w:pP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A fost validat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aprobat 1 formular pentru transportul de </w:t>
      </w:r>
      <w:proofErr w:type="spellStart"/>
      <w:r w:rsidRPr="00F15CFA">
        <w:rPr>
          <w:sz w:val="28"/>
          <w:szCs w:val="28"/>
        </w:rPr>
        <w:t>deşeuri</w:t>
      </w:r>
      <w:proofErr w:type="spellEnd"/>
      <w:r w:rsidRPr="00F15CFA">
        <w:rPr>
          <w:sz w:val="28"/>
          <w:szCs w:val="28"/>
        </w:rPr>
        <w:t xml:space="preserve"> periculoase care se valorifică/reciclează/elimină în </w:t>
      </w:r>
      <w:proofErr w:type="spellStart"/>
      <w:r w:rsidRPr="00F15CFA">
        <w:rPr>
          <w:sz w:val="28"/>
          <w:szCs w:val="28"/>
        </w:rPr>
        <w:t>instalaţii</w:t>
      </w:r>
      <w:proofErr w:type="spellEnd"/>
      <w:r w:rsidRPr="00F15CFA">
        <w:rPr>
          <w:sz w:val="28"/>
          <w:szCs w:val="28"/>
        </w:rPr>
        <w:t xml:space="preserve"> din </w:t>
      </w:r>
      <w:proofErr w:type="spellStart"/>
      <w:r w:rsidRPr="00F15CFA">
        <w:rPr>
          <w:sz w:val="28"/>
          <w:szCs w:val="28"/>
        </w:rPr>
        <w:t>judeţul</w:t>
      </w:r>
      <w:proofErr w:type="spellEnd"/>
      <w:r w:rsidRPr="00F15CFA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control al transportului </w:t>
      </w:r>
      <w:proofErr w:type="spellStart"/>
      <w:r w:rsidRPr="00F15CFA">
        <w:rPr>
          <w:sz w:val="28"/>
          <w:szCs w:val="28"/>
        </w:rPr>
        <w:t>deşeurilor</w:t>
      </w:r>
      <w:proofErr w:type="spellEnd"/>
      <w:r w:rsidRPr="00F15CFA">
        <w:rPr>
          <w:sz w:val="28"/>
          <w:szCs w:val="28"/>
        </w:rPr>
        <w:t xml:space="preserve"> pe teritoriul României. S-au înregistrat în baza de date 28 formulare de </w:t>
      </w:r>
      <w:proofErr w:type="spellStart"/>
      <w:r w:rsidRPr="00F15CFA">
        <w:rPr>
          <w:sz w:val="28"/>
          <w:szCs w:val="28"/>
        </w:rPr>
        <w:t>expediţie</w:t>
      </w:r>
      <w:proofErr w:type="spellEnd"/>
      <w:r w:rsidRPr="00F15CFA">
        <w:rPr>
          <w:sz w:val="28"/>
          <w:szCs w:val="28"/>
        </w:rPr>
        <w:t xml:space="preserve">/transport </w:t>
      </w:r>
      <w:proofErr w:type="spellStart"/>
      <w:r w:rsidRPr="00F15CFA">
        <w:rPr>
          <w:sz w:val="28"/>
          <w:szCs w:val="28"/>
        </w:rPr>
        <w:t>substanţe</w:t>
      </w:r>
      <w:proofErr w:type="spellEnd"/>
      <w:r w:rsidRPr="00F15CFA">
        <w:rPr>
          <w:sz w:val="28"/>
          <w:szCs w:val="28"/>
        </w:rPr>
        <w:t xml:space="preserve"> periculoase.</w:t>
      </w:r>
    </w:p>
    <w:p w:rsidR="0032362F" w:rsidRPr="00F15CFA" w:rsidRDefault="0032362F" w:rsidP="0032362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5CFA">
        <w:rPr>
          <w:sz w:val="28"/>
          <w:szCs w:val="28"/>
        </w:rPr>
        <w:t xml:space="preserve">Participare la o </w:t>
      </w:r>
      <w:proofErr w:type="spellStart"/>
      <w:r w:rsidRPr="00F15CFA">
        <w:rPr>
          <w:sz w:val="28"/>
          <w:szCs w:val="28"/>
        </w:rPr>
        <w:t>acţiune</w:t>
      </w:r>
      <w:proofErr w:type="spellEnd"/>
      <w:r w:rsidRPr="00F15CFA">
        <w:rPr>
          <w:sz w:val="28"/>
          <w:szCs w:val="28"/>
        </w:rPr>
        <w:t xml:space="preserve"> de preluare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distrugere a deșeurilor conform OG </w:t>
      </w:r>
      <w:hyperlink r:id="rId20" w:history="1">
        <w:r w:rsidRPr="00F15CFA">
          <w:rPr>
            <w:sz w:val="28"/>
            <w:szCs w:val="28"/>
          </w:rPr>
          <w:t>14/2007</w:t>
        </w:r>
      </w:hyperlink>
      <w:r w:rsidRPr="00F15CFA">
        <w:rPr>
          <w:sz w:val="28"/>
          <w:szCs w:val="28"/>
        </w:rPr>
        <w:t xml:space="preserve"> pentru reglementarea modului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</w:t>
      </w:r>
      <w:proofErr w:type="spellStart"/>
      <w:r w:rsidRPr="00F15CFA">
        <w:rPr>
          <w:sz w:val="28"/>
          <w:szCs w:val="28"/>
        </w:rPr>
        <w:t>condiţiilor</w:t>
      </w:r>
      <w:proofErr w:type="spellEnd"/>
      <w:r w:rsidRPr="00F15CFA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F15CFA">
        <w:rPr>
          <w:sz w:val="28"/>
          <w:szCs w:val="28"/>
        </w:rPr>
        <w:t>şi</w:t>
      </w:r>
      <w:proofErr w:type="spellEnd"/>
      <w:r w:rsidRPr="00F15CFA">
        <w:rPr>
          <w:sz w:val="28"/>
          <w:szCs w:val="28"/>
        </w:rPr>
        <w:t xml:space="preserve"> a normelor metodologice de aplicare stabilite prin HG 371/2007 Republicată.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32362F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32362F">
        <w:rPr>
          <w:sz w:val="28"/>
          <w:szCs w:val="28"/>
          <w:lang w:val="it-IT"/>
        </w:rPr>
        <w:t>iunie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="0032362F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32362F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3335FE">
        <w:rPr>
          <w:sz w:val="28"/>
          <w:szCs w:val="28"/>
          <w:lang w:val="it-IT"/>
        </w:rPr>
        <w:t xml:space="preserve"> </w:t>
      </w:r>
      <w:r w:rsidR="0032362F">
        <w:rPr>
          <w:sz w:val="28"/>
          <w:szCs w:val="28"/>
          <w:lang w:val="it-IT"/>
        </w:rPr>
        <w:t>polu</w:t>
      </w:r>
      <w:proofErr w:type="spellStart"/>
      <w:r w:rsidR="0032362F">
        <w:rPr>
          <w:sz w:val="28"/>
          <w:szCs w:val="28"/>
        </w:rPr>
        <w:t>ări</w:t>
      </w:r>
      <w:proofErr w:type="spellEnd"/>
      <w:r w:rsidR="0032362F">
        <w:rPr>
          <w:sz w:val="28"/>
          <w:szCs w:val="28"/>
        </w:rPr>
        <w:t xml:space="preserve"> accidentale produse pe raza județului Brăila.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2362F" w:rsidRDefault="005B164E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</w:p>
    <w:p w:rsidR="0032362F" w:rsidRDefault="0032362F" w:rsidP="00BC230A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471286" w:rsidRDefault="0032362F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C805EC" w:rsidP="00C805E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223AF"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32362F" w:rsidRDefault="0032362F" w:rsidP="002C7978">
      <w:pPr>
        <w:rPr>
          <w:sz w:val="28"/>
          <w:szCs w:val="28"/>
        </w:rPr>
      </w:pPr>
    </w:p>
    <w:p w:rsidR="0032362F" w:rsidRDefault="0032362F" w:rsidP="002C7978">
      <w:pPr>
        <w:rPr>
          <w:sz w:val="28"/>
          <w:szCs w:val="28"/>
        </w:rPr>
      </w:pPr>
    </w:p>
    <w:p w:rsidR="0032362F" w:rsidRDefault="0032362F" w:rsidP="002C7978">
      <w:pPr>
        <w:rPr>
          <w:sz w:val="28"/>
          <w:szCs w:val="28"/>
        </w:rPr>
      </w:pPr>
    </w:p>
    <w:p w:rsidR="0032362F" w:rsidRDefault="0032362F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1"/>
      <w:footerReference w:type="default" r:id="rId22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CA" w:rsidRDefault="00D95CCA">
      <w:r>
        <w:separator/>
      </w:r>
    </w:p>
  </w:endnote>
  <w:endnote w:type="continuationSeparator" w:id="0">
    <w:p w:rsidR="00D95CCA" w:rsidRDefault="00D9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51" w:rsidRDefault="000C485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C4851" w:rsidRDefault="000C485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51" w:rsidRDefault="000C485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D4266">
      <w:rPr>
        <w:rStyle w:val="Numrdepagin"/>
        <w:noProof/>
      </w:rPr>
      <w:t>14</w:t>
    </w:r>
    <w:r>
      <w:rPr>
        <w:rStyle w:val="Numrdepagin"/>
      </w:rPr>
      <w:fldChar w:fldCharType="end"/>
    </w:r>
  </w:p>
  <w:p w:rsidR="000C4851" w:rsidRDefault="000C485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CA" w:rsidRDefault="00D95CCA">
      <w:r>
        <w:separator/>
      </w:r>
    </w:p>
  </w:footnote>
  <w:footnote w:type="continuationSeparator" w:id="0">
    <w:p w:rsidR="00D95CCA" w:rsidRDefault="00D9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10"/>
  </w:num>
  <w:num w:numId="5">
    <w:abstractNumId w:val="17"/>
  </w:num>
  <w:num w:numId="6">
    <w:abstractNumId w:val="7"/>
  </w:num>
  <w:num w:numId="7">
    <w:abstractNumId w:val="34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18"/>
  </w:num>
  <w:num w:numId="17">
    <w:abstractNumId w:val="39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15"/>
  </w:num>
  <w:num w:numId="31">
    <w:abstractNumId w:val="21"/>
  </w:num>
  <w:num w:numId="32">
    <w:abstractNumId w:val="37"/>
  </w:num>
  <w:num w:numId="33">
    <w:abstractNumId w:val="1"/>
  </w:num>
  <w:num w:numId="34">
    <w:abstractNumId w:val="35"/>
  </w:num>
  <w:num w:numId="35">
    <w:abstractNumId w:val="22"/>
  </w:num>
  <w:num w:numId="36">
    <w:abstractNumId w:val="32"/>
  </w:num>
  <w:num w:numId="37">
    <w:abstractNumId w:val="41"/>
  </w:num>
  <w:num w:numId="38">
    <w:abstractNumId w:val="29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258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0A07"/>
    <w:rsid w:val="002E12FC"/>
    <w:rsid w:val="002E24CB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62F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05B"/>
    <w:rsid w:val="00396854"/>
    <w:rsid w:val="00397233"/>
    <w:rsid w:val="0039766B"/>
    <w:rsid w:val="003977D2"/>
    <w:rsid w:val="00397DE2"/>
    <w:rsid w:val="003A0BBC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07AE3"/>
    <w:rsid w:val="00410FC6"/>
    <w:rsid w:val="00411C6F"/>
    <w:rsid w:val="00411CB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266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5634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770F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97EC9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B65C7"/>
    <w:rsid w:val="006C175F"/>
    <w:rsid w:val="006C2420"/>
    <w:rsid w:val="006C28D8"/>
    <w:rsid w:val="006C389B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DA1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1D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23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D3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579F3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69E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47E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1DE7"/>
    <w:rsid w:val="00D9305B"/>
    <w:rsid w:val="00D93B22"/>
    <w:rsid w:val="00D94419"/>
    <w:rsid w:val="00D94A69"/>
    <w:rsid w:val="00D950BF"/>
    <w:rsid w:val="00D95CCA"/>
    <w:rsid w:val="00D96262"/>
    <w:rsid w:val="00D96CD8"/>
    <w:rsid w:val="00D9746B"/>
    <w:rsid w:val="00DA0E73"/>
    <w:rsid w:val="00DA1BDA"/>
    <w:rsid w:val="00DA286D"/>
    <w:rsid w:val="00DA2FBB"/>
    <w:rsid w:val="00DA31EB"/>
    <w:rsid w:val="00DA5804"/>
    <w:rsid w:val="00DA60B1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3F9C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03D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0BC1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0B64EE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file:///C:\Documents%20and%20Settings\Administrator\sintact%203.0\cache\Legislatie\temp1115056\0012044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6015037593984"/>
          <c:y val="0.20833333333333334"/>
          <c:w val="0.73120300751879697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5.79</c:v>
                </c:pt>
                <c:pt idx="1">
                  <c:v>4.7699999999999996</c:v>
                </c:pt>
                <c:pt idx="2">
                  <c:v>5.6</c:v>
                </c:pt>
                <c:pt idx="3">
                  <c:v>6.06</c:v>
                </c:pt>
                <c:pt idx="4">
                  <c:v>6.81</c:v>
                </c:pt>
                <c:pt idx="5">
                  <c:v>6.73</c:v>
                </c:pt>
                <c:pt idx="6">
                  <c:v>7.29</c:v>
                </c:pt>
                <c:pt idx="7">
                  <c:v>6.28</c:v>
                </c:pt>
                <c:pt idx="8">
                  <c:v>5.98</c:v>
                </c:pt>
                <c:pt idx="9">
                  <c:v>6.58</c:v>
                </c:pt>
                <c:pt idx="10">
                  <c:v>8.26</c:v>
                </c:pt>
                <c:pt idx="11">
                  <c:v>6.04</c:v>
                </c:pt>
                <c:pt idx="12">
                  <c:v>6.25</c:v>
                </c:pt>
                <c:pt idx="13">
                  <c:v>5.2</c:v>
                </c:pt>
                <c:pt idx="14">
                  <c:v>5.41</c:v>
                </c:pt>
                <c:pt idx="15">
                  <c:v>5.31</c:v>
                </c:pt>
                <c:pt idx="16">
                  <c:v>5.26</c:v>
                </c:pt>
                <c:pt idx="17">
                  <c:v>5.35</c:v>
                </c:pt>
                <c:pt idx="18">
                  <c:v>6.56</c:v>
                </c:pt>
                <c:pt idx="19">
                  <c:v>5.78</c:v>
                </c:pt>
                <c:pt idx="20">
                  <c:v>5.96</c:v>
                </c:pt>
                <c:pt idx="21">
                  <c:v>5.98</c:v>
                </c:pt>
                <c:pt idx="22">
                  <c:v>6.28</c:v>
                </c:pt>
                <c:pt idx="23">
                  <c:v>6.26</c:v>
                </c:pt>
                <c:pt idx="24">
                  <c:v>6.42</c:v>
                </c:pt>
                <c:pt idx="25">
                  <c:v>6.34</c:v>
                </c:pt>
                <c:pt idx="26">
                  <c:v>6.83</c:v>
                </c:pt>
                <c:pt idx="27">
                  <c:v>5.79</c:v>
                </c:pt>
                <c:pt idx="28">
                  <c:v>6.63</c:v>
                </c:pt>
                <c:pt idx="29">
                  <c:v>7.11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1-400B-A27A-46E4B817BDB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6.66</c:v>
                </c:pt>
                <c:pt idx="1">
                  <c:v>6.36</c:v>
                </c:pt>
                <c:pt idx="2">
                  <c:v>5.48</c:v>
                </c:pt>
                <c:pt idx="3">
                  <c:v>6.49</c:v>
                </c:pt>
                <c:pt idx="4">
                  <c:v>7.31</c:v>
                </c:pt>
                <c:pt idx="5">
                  <c:v>5.79</c:v>
                </c:pt>
                <c:pt idx="6">
                  <c:v>6.38</c:v>
                </c:pt>
                <c:pt idx="7">
                  <c:v>6.16</c:v>
                </c:pt>
                <c:pt idx="8">
                  <c:v>5.9</c:v>
                </c:pt>
                <c:pt idx="9">
                  <c:v>6.1</c:v>
                </c:pt>
                <c:pt idx="10">
                  <c:v>6.69</c:v>
                </c:pt>
                <c:pt idx="11">
                  <c:v>5.41</c:v>
                </c:pt>
                <c:pt idx="12">
                  <c:v>5.63</c:v>
                </c:pt>
                <c:pt idx="13">
                  <c:v>5.76</c:v>
                </c:pt>
                <c:pt idx="14">
                  <c:v>6.3</c:v>
                </c:pt>
                <c:pt idx="15">
                  <c:v>5.9</c:v>
                </c:pt>
                <c:pt idx="16">
                  <c:v>6.3</c:v>
                </c:pt>
                <c:pt idx="17">
                  <c:v>5.86</c:v>
                </c:pt>
                <c:pt idx="18">
                  <c:v>6.15</c:v>
                </c:pt>
                <c:pt idx="19">
                  <c:v>4.49</c:v>
                </c:pt>
                <c:pt idx="20">
                  <c:v>6.16</c:v>
                </c:pt>
                <c:pt idx="21">
                  <c:v>5.52</c:v>
                </c:pt>
                <c:pt idx="22">
                  <c:v>5.69</c:v>
                </c:pt>
                <c:pt idx="23">
                  <c:v>6.01</c:v>
                </c:pt>
                <c:pt idx="24">
                  <c:v>6.82</c:v>
                </c:pt>
                <c:pt idx="25">
                  <c:v>5.96</c:v>
                </c:pt>
                <c:pt idx="26">
                  <c:v>6.54</c:v>
                </c:pt>
                <c:pt idx="27">
                  <c:v>5.65</c:v>
                </c:pt>
                <c:pt idx="28">
                  <c:v>6.25</c:v>
                </c:pt>
                <c:pt idx="29">
                  <c:v>6.03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71-400B-A27A-46E4B817BDB9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71-400B-A27A-46E4B817BDB9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71-400B-A27A-46E4B817BDB9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3.79</c:v>
                </c:pt>
                <c:pt idx="1">
                  <c:v>2.14</c:v>
                </c:pt>
                <c:pt idx="2">
                  <c:v>3.19</c:v>
                </c:pt>
                <c:pt idx="3">
                  <c:v>2.19</c:v>
                </c:pt>
                <c:pt idx="4">
                  <c:v>3.77</c:v>
                </c:pt>
                <c:pt idx="5">
                  <c:v>2.85</c:v>
                </c:pt>
                <c:pt idx="6">
                  <c:v>1.1200000000000001</c:v>
                </c:pt>
                <c:pt idx="7">
                  <c:v>1.94</c:v>
                </c:pt>
                <c:pt idx="8">
                  <c:v>3.29</c:v>
                </c:pt>
                <c:pt idx="9">
                  <c:v>7.49</c:v>
                </c:pt>
                <c:pt idx="10">
                  <c:v>6.74</c:v>
                </c:pt>
                <c:pt idx="11">
                  <c:v>5.26</c:v>
                </c:pt>
                <c:pt idx="12">
                  <c:v>4.38</c:v>
                </c:pt>
                <c:pt idx="13">
                  <c:v>5.0599999999999996</c:v>
                </c:pt>
                <c:pt idx="14">
                  <c:v>3.83</c:v>
                </c:pt>
                <c:pt idx="15">
                  <c:v>3.41</c:v>
                </c:pt>
                <c:pt idx="16">
                  <c:v>3.4</c:v>
                </c:pt>
                <c:pt idx="17">
                  <c:v>4.29</c:v>
                </c:pt>
                <c:pt idx="18">
                  <c:v>3.78</c:v>
                </c:pt>
                <c:pt idx="19">
                  <c:v>5.41</c:v>
                </c:pt>
                <c:pt idx="20">
                  <c:v>5.17</c:v>
                </c:pt>
                <c:pt idx="21">
                  <c:v>4.96</c:v>
                </c:pt>
                <c:pt idx="22">
                  <c:v>4.57</c:v>
                </c:pt>
                <c:pt idx="23">
                  <c:v>8.4600000000000009</c:v>
                </c:pt>
                <c:pt idx="24">
                  <c:v>7.01</c:v>
                </c:pt>
                <c:pt idx="25">
                  <c:v>5.39</c:v>
                </c:pt>
                <c:pt idx="26">
                  <c:v>8.18</c:v>
                </c:pt>
                <c:pt idx="27">
                  <c:v>4.25</c:v>
                </c:pt>
                <c:pt idx="28">
                  <c:v>3.15</c:v>
                </c:pt>
                <c:pt idx="29">
                  <c:v>4.07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71-400B-A27A-46E4B817B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97112"/>
        <c:axId val="1"/>
      </c:lineChart>
      <c:catAx>
        <c:axId val="192697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269711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25000000000000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BF-48AB-A003-C4095074D92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12.49</c:v>
                </c:pt>
                <c:pt idx="1">
                  <c:v>10.9</c:v>
                </c:pt>
                <c:pt idx="2">
                  <c:v>12.82</c:v>
                </c:pt>
                <c:pt idx="3">
                  <c:v>10.7</c:v>
                </c:pt>
                <c:pt idx="4">
                  <c:v>8.68</c:v>
                </c:pt>
                <c:pt idx="5">
                  <c:v>8.11</c:v>
                </c:pt>
                <c:pt idx="6">
                  <c:v>7.81</c:v>
                </c:pt>
                <c:pt idx="7">
                  <c:v>9.1</c:v>
                </c:pt>
                <c:pt idx="8">
                  <c:v>9.44</c:v>
                </c:pt>
                <c:pt idx="9">
                  <c:v>10.88</c:v>
                </c:pt>
                <c:pt idx="10">
                  <c:v>14.45</c:v>
                </c:pt>
                <c:pt idx="11">
                  <c:v>11.93</c:v>
                </c:pt>
                <c:pt idx="12">
                  <c:v>14.22</c:v>
                </c:pt>
                <c:pt idx="13">
                  <c:v>12.43</c:v>
                </c:pt>
                <c:pt idx="14">
                  <c:v>10.119999999999999</c:v>
                </c:pt>
                <c:pt idx="15">
                  <c:v>15.69</c:v>
                </c:pt>
                <c:pt idx="16">
                  <c:v>10.36</c:v>
                </c:pt>
                <c:pt idx="17">
                  <c:v>11.68</c:v>
                </c:pt>
                <c:pt idx="18">
                  <c:v>14.12</c:v>
                </c:pt>
                <c:pt idx="19">
                  <c:v>12.57</c:v>
                </c:pt>
                <c:pt idx="20">
                  <c:v>14.3</c:v>
                </c:pt>
                <c:pt idx="21">
                  <c:v>12.48</c:v>
                </c:pt>
                <c:pt idx="22">
                  <c:v>13.46</c:v>
                </c:pt>
                <c:pt idx="23">
                  <c:v>13.86</c:v>
                </c:pt>
                <c:pt idx="24">
                  <c:v>13.59</c:v>
                </c:pt>
                <c:pt idx="25">
                  <c:v>11.1</c:v>
                </c:pt>
                <c:pt idx="26">
                  <c:v>12.28</c:v>
                </c:pt>
                <c:pt idx="27">
                  <c:v>10.8</c:v>
                </c:pt>
                <c:pt idx="28">
                  <c:v>12.81</c:v>
                </c:pt>
                <c:pt idx="29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BF-48AB-A003-C4095074D92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7.61</c:v>
                </c:pt>
                <c:pt idx="1">
                  <c:v>8.77</c:v>
                </c:pt>
                <c:pt idx="2">
                  <c:v>8.66</c:v>
                </c:pt>
                <c:pt idx="3">
                  <c:v>8.1300000000000008</c:v>
                </c:pt>
                <c:pt idx="4">
                  <c:v>7.31</c:v>
                </c:pt>
                <c:pt idx="5">
                  <c:v>6.88</c:v>
                </c:pt>
                <c:pt idx="6">
                  <c:v>6.92</c:v>
                </c:pt>
                <c:pt idx="7">
                  <c:v>7.66</c:v>
                </c:pt>
                <c:pt idx="8">
                  <c:v>8.0399999999999991</c:v>
                </c:pt>
                <c:pt idx="9">
                  <c:v>8.4700000000000006</c:v>
                </c:pt>
                <c:pt idx="10">
                  <c:v>8.57</c:v>
                </c:pt>
                <c:pt idx="11">
                  <c:v>8.8000000000000007</c:v>
                </c:pt>
                <c:pt idx="12">
                  <c:v>11.09</c:v>
                </c:pt>
                <c:pt idx="13">
                  <c:v>10.65</c:v>
                </c:pt>
                <c:pt idx="14">
                  <c:v>8.3000000000000007</c:v>
                </c:pt>
                <c:pt idx="15">
                  <c:v>10.96</c:v>
                </c:pt>
                <c:pt idx="16">
                  <c:v>10.81</c:v>
                </c:pt>
                <c:pt idx="17">
                  <c:v>10</c:v>
                </c:pt>
                <c:pt idx="18">
                  <c:v>9.49</c:v>
                </c:pt>
                <c:pt idx="19">
                  <c:v>9.0299999999999994</c:v>
                </c:pt>
                <c:pt idx="20">
                  <c:v>7.89</c:v>
                </c:pt>
                <c:pt idx="21">
                  <c:v>7.83</c:v>
                </c:pt>
                <c:pt idx="22">
                  <c:v>8.4499999999999993</c:v>
                </c:pt>
                <c:pt idx="23">
                  <c:v>7.8</c:v>
                </c:pt>
                <c:pt idx="24">
                  <c:v>8.0500000000000007</c:v>
                </c:pt>
                <c:pt idx="25">
                  <c:v>8.0399999999999991</c:v>
                </c:pt>
                <c:pt idx="26">
                  <c:v>8.2200000000000006</c:v>
                </c:pt>
                <c:pt idx="27">
                  <c:v>7.24</c:v>
                </c:pt>
                <c:pt idx="28">
                  <c:v>8.5299999999999994</c:v>
                </c:pt>
                <c:pt idx="29">
                  <c:v>8.41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BF-48AB-A003-C4095074D92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4">
                  <c:v>4.8899999999999997</c:v>
                </c:pt>
                <c:pt idx="5">
                  <c:v>3.39</c:v>
                </c:pt>
                <c:pt idx="6">
                  <c:v>2.62</c:v>
                </c:pt>
                <c:pt idx="7">
                  <c:v>2.9</c:v>
                </c:pt>
                <c:pt idx="8">
                  <c:v>6.62</c:v>
                </c:pt>
                <c:pt idx="9">
                  <c:v>6.73</c:v>
                </c:pt>
                <c:pt idx="10">
                  <c:v>7.62</c:v>
                </c:pt>
                <c:pt idx="11">
                  <c:v>7.17</c:v>
                </c:pt>
                <c:pt idx="12">
                  <c:v>8.23</c:v>
                </c:pt>
                <c:pt idx="13">
                  <c:v>7.51</c:v>
                </c:pt>
                <c:pt idx="14">
                  <c:v>6.32</c:v>
                </c:pt>
                <c:pt idx="15">
                  <c:v>8.61</c:v>
                </c:pt>
                <c:pt idx="16">
                  <c:v>8.1199999999999992</c:v>
                </c:pt>
                <c:pt idx="17">
                  <c:v>7.78</c:v>
                </c:pt>
                <c:pt idx="18">
                  <c:v>7.31</c:v>
                </c:pt>
                <c:pt idx="19">
                  <c:v>6.44</c:v>
                </c:pt>
                <c:pt idx="20">
                  <c:v>7.05</c:v>
                </c:pt>
                <c:pt idx="21">
                  <c:v>7.25</c:v>
                </c:pt>
                <c:pt idx="22">
                  <c:v>7.05</c:v>
                </c:pt>
                <c:pt idx="23">
                  <c:v>6.51</c:v>
                </c:pt>
                <c:pt idx="24">
                  <c:v>6.36</c:v>
                </c:pt>
                <c:pt idx="25">
                  <c:v>6.24</c:v>
                </c:pt>
                <c:pt idx="26">
                  <c:v>6.35</c:v>
                </c:pt>
                <c:pt idx="27">
                  <c:v>6.48</c:v>
                </c:pt>
                <c:pt idx="28">
                  <c:v>6.24</c:v>
                </c:pt>
                <c:pt idx="29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BF-48AB-A003-C4095074D92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3.79</c:v>
                </c:pt>
                <c:pt idx="1">
                  <c:v>2.14</c:v>
                </c:pt>
                <c:pt idx="2">
                  <c:v>3.19</c:v>
                </c:pt>
                <c:pt idx="3">
                  <c:v>2.19</c:v>
                </c:pt>
                <c:pt idx="4">
                  <c:v>3.77</c:v>
                </c:pt>
                <c:pt idx="5">
                  <c:v>2.85</c:v>
                </c:pt>
                <c:pt idx="6">
                  <c:v>1.1200000000000001</c:v>
                </c:pt>
                <c:pt idx="7">
                  <c:v>1.94</c:v>
                </c:pt>
                <c:pt idx="8">
                  <c:v>3.29</c:v>
                </c:pt>
                <c:pt idx="9">
                  <c:v>7.49</c:v>
                </c:pt>
                <c:pt idx="10">
                  <c:v>6.74</c:v>
                </c:pt>
                <c:pt idx="11">
                  <c:v>5.26</c:v>
                </c:pt>
                <c:pt idx="12">
                  <c:v>4.38</c:v>
                </c:pt>
                <c:pt idx="13">
                  <c:v>5.0599999999999996</c:v>
                </c:pt>
                <c:pt idx="14">
                  <c:v>3.63</c:v>
                </c:pt>
                <c:pt idx="15">
                  <c:v>3.41</c:v>
                </c:pt>
                <c:pt idx="16">
                  <c:v>3.4</c:v>
                </c:pt>
                <c:pt idx="17">
                  <c:v>4.29</c:v>
                </c:pt>
                <c:pt idx="18">
                  <c:v>3.78</c:v>
                </c:pt>
                <c:pt idx="19">
                  <c:v>5.41</c:v>
                </c:pt>
                <c:pt idx="20">
                  <c:v>5.17</c:v>
                </c:pt>
                <c:pt idx="21">
                  <c:v>4.9800000000000004</c:v>
                </c:pt>
                <c:pt idx="22">
                  <c:v>4.57</c:v>
                </c:pt>
                <c:pt idx="23">
                  <c:v>8.4600000000000009</c:v>
                </c:pt>
                <c:pt idx="24">
                  <c:v>7.01</c:v>
                </c:pt>
                <c:pt idx="25">
                  <c:v>5.39</c:v>
                </c:pt>
                <c:pt idx="26">
                  <c:v>8.18</c:v>
                </c:pt>
                <c:pt idx="27">
                  <c:v>4.25</c:v>
                </c:pt>
                <c:pt idx="28">
                  <c:v>3.15</c:v>
                </c:pt>
                <c:pt idx="29">
                  <c:v>4.07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7BF-48AB-A003-C4095074D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97440"/>
        <c:axId val="1"/>
      </c:lineChart>
      <c:catAx>
        <c:axId val="19269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26974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666666666666666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106194690265483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B0-443C-A1A4-33428F6FB75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0.02</c:v>
                </c:pt>
                <c:pt idx="4">
                  <c:v>0.03</c:v>
                </c:pt>
                <c:pt idx="5">
                  <c:v>0.03</c:v>
                </c:pt>
                <c:pt idx="6">
                  <c:v>0.03</c:v>
                </c:pt>
                <c:pt idx="7">
                  <c:v>0.06</c:v>
                </c:pt>
                <c:pt idx="8">
                  <c:v>0.05</c:v>
                </c:pt>
                <c:pt idx="9">
                  <c:v>0.06</c:v>
                </c:pt>
                <c:pt idx="10">
                  <c:v>0.06</c:v>
                </c:pt>
                <c:pt idx="11">
                  <c:v>0.06</c:v>
                </c:pt>
                <c:pt idx="12">
                  <c:v>0.06</c:v>
                </c:pt>
                <c:pt idx="13">
                  <c:v>0.06</c:v>
                </c:pt>
                <c:pt idx="14">
                  <c:v>0.06</c:v>
                </c:pt>
                <c:pt idx="15">
                  <c:v>0.05</c:v>
                </c:pt>
                <c:pt idx="16">
                  <c:v>0.04</c:v>
                </c:pt>
                <c:pt idx="17">
                  <c:v>0.04</c:v>
                </c:pt>
                <c:pt idx="18">
                  <c:v>0.08</c:v>
                </c:pt>
                <c:pt idx="19">
                  <c:v>0.06</c:v>
                </c:pt>
                <c:pt idx="20">
                  <c:v>0.09</c:v>
                </c:pt>
                <c:pt idx="21">
                  <c:v>0.06</c:v>
                </c:pt>
                <c:pt idx="22">
                  <c:v>0.06</c:v>
                </c:pt>
                <c:pt idx="23">
                  <c:v>0.06</c:v>
                </c:pt>
                <c:pt idx="24">
                  <c:v>0.06</c:v>
                </c:pt>
                <c:pt idx="25">
                  <c:v>0.06</c:v>
                </c:pt>
                <c:pt idx="26">
                  <c:v>0.06</c:v>
                </c:pt>
                <c:pt idx="27">
                  <c:v>0.09</c:v>
                </c:pt>
                <c:pt idx="28">
                  <c:v>0.09</c:v>
                </c:pt>
                <c:pt idx="29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B0-443C-A1A4-33428F6FB75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0.03</c:v>
                </c:pt>
                <c:pt idx="6">
                  <c:v>0.04</c:v>
                </c:pt>
                <c:pt idx="7">
                  <c:v>0.04</c:v>
                </c:pt>
                <c:pt idx="8">
                  <c:v>0.05</c:v>
                </c:pt>
                <c:pt idx="9">
                  <c:v>0.04</c:v>
                </c:pt>
                <c:pt idx="10">
                  <c:v>0.04</c:v>
                </c:pt>
                <c:pt idx="11">
                  <c:v>0.05</c:v>
                </c:pt>
                <c:pt idx="12">
                  <c:v>0.05</c:v>
                </c:pt>
                <c:pt idx="13">
                  <c:v>7.0000000000000007E-2</c:v>
                </c:pt>
                <c:pt idx="14">
                  <c:v>0.06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0.06</c:v>
                </c:pt>
                <c:pt idx="19">
                  <c:v>0.04</c:v>
                </c:pt>
                <c:pt idx="20">
                  <c:v>0.06</c:v>
                </c:pt>
                <c:pt idx="21">
                  <c:v>0.05</c:v>
                </c:pt>
                <c:pt idx="22">
                  <c:v>0.04</c:v>
                </c:pt>
                <c:pt idx="23">
                  <c:v>0.04</c:v>
                </c:pt>
                <c:pt idx="24">
                  <c:v>0.04</c:v>
                </c:pt>
                <c:pt idx="25">
                  <c:v>0.05</c:v>
                </c:pt>
                <c:pt idx="26">
                  <c:v>0.05</c:v>
                </c:pt>
                <c:pt idx="27">
                  <c:v>0.03</c:v>
                </c:pt>
                <c:pt idx="28">
                  <c:v>0.08</c:v>
                </c:pt>
                <c:pt idx="29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B0-443C-A1A4-33428F6FB75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8">
                  <c:v>0.01</c:v>
                </c:pt>
                <c:pt idx="9">
                  <c:v>0.04</c:v>
                </c:pt>
                <c:pt idx="10">
                  <c:v>0.05</c:v>
                </c:pt>
                <c:pt idx="11">
                  <c:v>0.02</c:v>
                </c:pt>
                <c:pt idx="12">
                  <c:v>0.06</c:v>
                </c:pt>
                <c:pt idx="13">
                  <c:v>0.03</c:v>
                </c:pt>
                <c:pt idx="14">
                  <c:v>0.02</c:v>
                </c:pt>
                <c:pt idx="15">
                  <c:v>0.01</c:v>
                </c:pt>
                <c:pt idx="16">
                  <c:v>0.02</c:v>
                </c:pt>
                <c:pt idx="17">
                  <c:v>0.02</c:v>
                </c:pt>
                <c:pt idx="18">
                  <c:v>0.04</c:v>
                </c:pt>
                <c:pt idx="19">
                  <c:v>0.01</c:v>
                </c:pt>
                <c:pt idx="20">
                  <c:v>0.01</c:v>
                </c:pt>
                <c:pt idx="21">
                  <c:v>0.02</c:v>
                </c:pt>
                <c:pt idx="22">
                  <c:v>0.02</c:v>
                </c:pt>
                <c:pt idx="23">
                  <c:v>0.01</c:v>
                </c:pt>
                <c:pt idx="24">
                  <c:v>0.02</c:v>
                </c:pt>
                <c:pt idx="25">
                  <c:v>0</c:v>
                </c:pt>
                <c:pt idx="26">
                  <c:v>0.02</c:v>
                </c:pt>
                <c:pt idx="27">
                  <c:v>0</c:v>
                </c:pt>
                <c:pt idx="28">
                  <c:v>0.01</c:v>
                </c:pt>
                <c:pt idx="29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B0-443C-A1A4-33428F6FB75A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0.05</c:v>
                </c:pt>
                <c:pt idx="10">
                  <c:v>0.04</c:v>
                </c:pt>
                <c:pt idx="11">
                  <c:v>0.05</c:v>
                </c:pt>
                <c:pt idx="12">
                  <c:v>0.04</c:v>
                </c:pt>
                <c:pt idx="13">
                  <c:v>0.05</c:v>
                </c:pt>
                <c:pt idx="14">
                  <c:v>0.05</c:v>
                </c:pt>
                <c:pt idx="15">
                  <c:v>0.02</c:v>
                </c:pt>
                <c:pt idx="16">
                  <c:v>0.04</c:v>
                </c:pt>
                <c:pt idx="17">
                  <c:v>0.04</c:v>
                </c:pt>
                <c:pt idx="18">
                  <c:v>0.04</c:v>
                </c:pt>
                <c:pt idx="19">
                  <c:v>0.03</c:v>
                </c:pt>
                <c:pt idx="20">
                  <c:v>0.03</c:v>
                </c:pt>
                <c:pt idx="21">
                  <c:v>0.03</c:v>
                </c:pt>
                <c:pt idx="22">
                  <c:v>0.03</c:v>
                </c:pt>
                <c:pt idx="23">
                  <c:v>0.05</c:v>
                </c:pt>
                <c:pt idx="24">
                  <c:v>0.03</c:v>
                </c:pt>
                <c:pt idx="25">
                  <c:v>0.03</c:v>
                </c:pt>
                <c:pt idx="26">
                  <c:v>0.04</c:v>
                </c:pt>
                <c:pt idx="27">
                  <c:v>0.03</c:v>
                </c:pt>
                <c:pt idx="28">
                  <c:v>0.04</c:v>
                </c:pt>
                <c:pt idx="29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B0-443C-A1A4-33428F6FB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34776"/>
        <c:axId val="1"/>
      </c:lineChart>
      <c:catAx>
        <c:axId val="150934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093477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59.35</c:v>
                </c:pt>
                <c:pt idx="1">
                  <c:v>58.67</c:v>
                </c:pt>
                <c:pt idx="2">
                  <c:v>49.21</c:v>
                </c:pt>
                <c:pt idx="3">
                  <c:v>69.5</c:v>
                </c:pt>
                <c:pt idx="4">
                  <c:v>77.45</c:v>
                </c:pt>
                <c:pt idx="5">
                  <c:v>82.32</c:v>
                </c:pt>
                <c:pt idx="6">
                  <c:v>83.97</c:v>
                </c:pt>
                <c:pt idx="7">
                  <c:v>81.56</c:v>
                </c:pt>
                <c:pt idx="8">
                  <c:v>78.900000000000006</c:v>
                </c:pt>
                <c:pt idx="9">
                  <c:v>80.56</c:v>
                </c:pt>
                <c:pt idx="10">
                  <c:v>63.21</c:v>
                </c:pt>
                <c:pt idx="11">
                  <c:v>66.95</c:v>
                </c:pt>
                <c:pt idx="12">
                  <c:v>56.27</c:v>
                </c:pt>
                <c:pt idx="13">
                  <c:v>49.2</c:v>
                </c:pt>
                <c:pt idx="14">
                  <c:v>74.569999999999993</c:v>
                </c:pt>
                <c:pt idx="15">
                  <c:v>69.7</c:v>
                </c:pt>
                <c:pt idx="16">
                  <c:v>65</c:v>
                </c:pt>
                <c:pt idx="17">
                  <c:v>69.17</c:v>
                </c:pt>
                <c:pt idx="18">
                  <c:v>70.67</c:v>
                </c:pt>
                <c:pt idx="19">
                  <c:v>55.73</c:v>
                </c:pt>
                <c:pt idx="20">
                  <c:v>55.06</c:v>
                </c:pt>
                <c:pt idx="21">
                  <c:v>61.86</c:v>
                </c:pt>
                <c:pt idx="22">
                  <c:v>64.48</c:v>
                </c:pt>
                <c:pt idx="23">
                  <c:v>66.56</c:v>
                </c:pt>
                <c:pt idx="24">
                  <c:v>70.73</c:v>
                </c:pt>
                <c:pt idx="25">
                  <c:v>81.069999999999993</c:v>
                </c:pt>
                <c:pt idx="26">
                  <c:v>75.92</c:v>
                </c:pt>
                <c:pt idx="27">
                  <c:v>76.260000000000005</c:v>
                </c:pt>
                <c:pt idx="28">
                  <c:v>73.209999999999994</c:v>
                </c:pt>
                <c:pt idx="29">
                  <c:v>57.09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3B-4949-AFE8-2FB2997ED38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58.87</c:v>
                </c:pt>
                <c:pt idx="1">
                  <c:v>55.74</c:v>
                </c:pt>
                <c:pt idx="2">
                  <c:v>52.77</c:v>
                </c:pt>
                <c:pt idx="3">
                  <c:v>72.77</c:v>
                </c:pt>
                <c:pt idx="4">
                  <c:v>78.38</c:v>
                </c:pt>
                <c:pt idx="5">
                  <c:v>84.37</c:v>
                </c:pt>
                <c:pt idx="6">
                  <c:v>80.849999999999994</c:v>
                </c:pt>
                <c:pt idx="7">
                  <c:v>79.77</c:v>
                </c:pt>
                <c:pt idx="8">
                  <c:v>78.73</c:v>
                </c:pt>
                <c:pt idx="9">
                  <c:v>78.56</c:v>
                </c:pt>
                <c:pt idx="10">
                  <c:v>67.38</c:v>
                </c:pt>
                <c:pt idx="11">
                  <c:v>67.59</c:v>
                </c:pt>
                <c:pt idx="12">
                  <c:v>58.41</c:v>
                </c:pt>
                <c:pt idx="13">
                  <c:v>49.75</c:v>
                </c:pt>
                <c:pt idx="14">
                  <c:v>76.38</c:v>
                </c:pt>
                <c:pt idx="15">
                  <c:v>61.53</c:v>
                </c:pt>
                <c:pt idx="16">
                  <c:v>52.01</c:v>
                </c:pt>
                <c:pt idx="17">
                  <c:v>66.8</c:v>
                </c:pt>
                <c:pt idx="18">
                  <c:v>69.37</c:v>
                </c:pt>
                <c:pt idx="19">
                  <c:v>59.08</c:v>
                </c:pt>
                <c:pt idx="20">
                  <c:v>57.31</c:v>
                </c:pt>
                <c:pt idx="21">
                  <c:v>60.63</c:v>
                </c:pt>
                <c:pt idx="22">
                  <c:v>65.52</c:v>
                </c:pt>
                <c:pt idx="23">
                  <c:v>68.23</c:v>
                </c:pt>
                <c:pt idx="24">
                  <c:v>70.67</c:v>
                </c:pt>
                <c:pt idx="25">
                  <c:v>82.56</c:v>
                </c:pt>
                <c:pt idx="26">
                  <c:v>73.39</c:v>
                </c:pt>
                <c:pt idx="27">
                  <c:v>80.92</c:v>
                </c:pt>
                <c:pt idx="28">
                  <c:v>76.67</c:v>
                </c:pt>
                <c:pt idx="29">
                  <c:v>64.56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3B-4949-AFE8-2FB2997ED387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4">
                  <c:v>85.77</c:v>
                </c:pt>
                <c:pt idx="5">
                  <c:v>81.099999999999994</c:v>
                </c:pt>
                <c:pt idx="6">
                  <c:v>76.680000000000007</c:v>
                </c:pt>
                <c:pt idx="7">
                  <c:v>77.819999999999993</c:v>
                </c:pt>
                <c:pt idx="8">
                  <c:v>77</c:v>
                </c:pt>
                <c:pt idx="9">
                  <c:v>77.790000000000006</c:v>
                </c:pt>
                <c:pt idx="10">
                  <c:v>62.57</c:v>
                </c:pt>
                <c:pt idx="11">
                  <c:v>63.43</c:v>
                </c:pt>
                <c:pt idx="12">
                  <c:v>54.86</c:v>
                </c:pt>
                <c:pt idx="13">
                  <c:v>44.23</c:v>
                </c:pt>
                <c:pt idx="14">
                  <c:v>74.69</c:v>
                </c:pt>
                <c:pt idx="15">
                  <c:v>57.02</c:v>
                </c:pt>
                <c:pt idx="16">
                  <c:v>54.52</c:v>
                </c:pt>
                <c:pt idx="17">
                  <c:v>65.56</c:v>
                </c:pt>
                <c:pt idx="18">
                  <c:v>65.83</c:v>
                </c:pt>
                <c:pt idx="19">
                  <c:v>56.59</c:v>
                </c:pt>
                <c:pt idx="20">
                  <c:v>50.41</c:v>
                </c:pt>
                <c:pt idx="21">
                  <c:v>58.75</c:v>
                </c:pt>
                <c:pt idx="22">
                  <c:v>61.89</c:v>
                </c:pt>
                <c:pt idx="23">
                  <c:v>64.31</c:v>
                </c:pt>
                <c:pt idx="24">
                  <c:v>68.48</c:v>
                </c:pt>
                <c:pt idx="25">
                  <c:v>78.11</c:v>
                </c:pt>
                <c:pt idx="26">
                  <c:v>73.06</c:v>
                </c:pt>
                <c:pt idx="27">
                  <c:v>78.900000000000006</c:v>
                </c:pt>
                <c:pt idx="28">
                  <c:v>70.819999999999993</c:v>
                </c:pt>
                <c:pt idx="29">
                  <c:v>54.98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3B-4949-AFE8-2FB2997ED387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47.79</c:v>
                </c:pt>
                <c:pt idx="1">
                  <c:v>46.25</c:v>
                </c:pt>
                <c:pt idx="2">
                  <c:v>42.78</c:v>
                </c:pt>
                <c:pt idx="3">
                  <c:v>58.9</c:v>
                </c:pt>
                <c:pt idx="4">
                  <c:v>62.26</c:v>
                </c:pt>
                <c:pt idx="5">
                  <c:v>65.59</c:v>
                </c:pt>
                <c:pt idx="6">
                  <c:v>64.52</c:v>
                </c:pt>
                <c:pt idx="7">
                  <c:v>63.66</c:v>
                </c:pt>
                <c:pt idx="8">
                  <c:v>63.12</c:v>
                </c:pt>
                <c:pt idx="9">
                  <c:v>65.260000000000005</c:v>
                </c:pt>
                <c:pt idx="10">
                  <c:v>52.56</c:v>
                </c:pt>
                <c:pt idx="11">
                  <c:v>55.45</c:v>
                </c:pt>
                <c:pt idx="12">
                  <c:v>49.36</c:v>
                </c:pt>
                <c:pt idx="13">
                  <c:v>39.64</c:v>
                </c:pt>
                <c:pt idx="14">
                  <c:v>62.01</c:v>
                </c:pt>
                <c:pt idx="15">
                  <c:v>56.59</c:v>
                </c:pt>
                <c:pt idx="16">
                  <c:v>51.82</c:v>
                </c:pt>
                <c:pt idx="17">
                  <c:v>57.59</c:v>
                </c:pt>
                <c:pt idx="18">
                  <c:v>57.72</c:v>
                </c:pt>
                <c:pt idx="19">
                  <c:v>44.82</c:v>
                </c:pt>
                <c:pt idx="20">
                  <c:v>48.29</c:v>
                </c:pt>
                <c:pt idx="21">
                  <c:v>55.52</c:v>
                </c:pt>
                <c:pt idx="22">
                  <c:v>55.86</c:v>
                </c:pt>
                <c:pt idx="23">
                  <c:v>57.6</c:v>
                </c:pt>
                <c:pt idx="24">
                  <c:v>56.98</c:v>
                </c:pt>
                <c:pt idx="25">
                  <c:v>70.38</c:v>
                </c:pt>
                <c:pt idx="26">
                  <c:v>63.85</c:v>
                </c:pt>
                <c:pt idx="27">
                  <c:v>69.17</c:v>
                </c:pt>
                <c:pt idx="28">
                  <c:v>63.09</c:v>
                </c:pt>
                <c:pt idx="29">
                  <c:v>54.72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3B-4949-AFE8-2FB2997ED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32536"/>
        <c:axId val="1"/>
      </c:lineChart>
      <c:catAx>
        <c:axId val="127432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2743253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2F-4743-ABD8-E5BE32BE0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30896"/>
        <c:axId val="1"/>
      </c:lineChart>
      <c:catAx>
        <c:axId val="12743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274308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C6-48CD-88E2-D0E14C76D5D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C6-48CD-88E2-D0E14C76D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190848"/>
        <c:axId val="1"/>
      </c:lineChart>
      <c:catAx>
        <c:axId val="19119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11908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3A-42AD-AF7E-53A6363F5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28920"/>
        <c:axId val="1"/>
      </c:lineChart>
      <c:catAx>
        <c:axId val="151128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11289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4D-43A0-BB0D-BF1C3906D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26952"/>
        <c:axId val="1"/>
      </c:lineChart>
      <c:catAx>
        <c:axId val="151126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11269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01-451E-BF53-781A771DA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25640"/>
        <c:axId val="1"/>
      </c:lineChart>
      <c:catAx>
        <c:axId val="151125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11256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E6CF-3183-4DE4-A106-A7A3BE5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3121</Words>
  <Characters>18102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198</cp:revision>
  <cp:lastPrinted>2017-01-18T10:03:00Z</cp:lastPrinted>
  <dcterms:created xsi:type="dcterms:W3CDTF">2019-10-14T11:13:00Z</dcterms:created>
  <dcterms:modified xsi:type="dcterms:W3CDTF">2020-07-30T06:11:00Z</dcterms:modified>
</cp:coreProperties>
</file>