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FCA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49057237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5E062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MART</w:t>
      </w:r>
      <w:r w:rsidR="000D2E0F" w:rsidRPr="00471286">
        <w:rPr>
          <w:b/>
          <w:caps/>
          <w:sz w:val="28"/>
          <w:szCs w:val="28"/>
        </w:rPr>
        <w:t>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FC12A2" w:rsidRDefault="00FC12A2" w:rsidP="005720A1">
      <w:pPr>
        <w:pStyle w:val="Titlu1"/>
        <w:rPr>
          <w:sz w:val="28"/>
          <w:szCs w:val="28"/>
        </w:rPr>
      </w:pPr>
    </w:p>
    <w:p w:rsidR="00FC12A2" w:rsidRPr="00351FD6" w:rsidRDefault="00FC12A2" w:rsidP="00FC12A2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martie</w:t>
      </w:r>
      <w:proofErr w:type="spellEnd"/>
      <w:r>
        <w:rPr>
          <w:sz w:val="28"/>
          <w:szCs w:val="28"/>
          <w:lang w:val="fr-FR"/>
        </w:rPr>
        <w:t xml:space="preserve"> 2020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FC12A2" w:rsidRPr="00351FD6" w:rsidRDefault="00FC12A2" w:rsidP="00FC12A2">
      <w:pPr>
        <w:jc w:val="both"/>
        <w:rPr>
          <w:sz w:val="28"/>
          <w:szCs w:val="28"/>
          <w:lang w:val="fr-FR"/>
        </w:rPr>
      </w:pP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FC12A2" w:rsidRPr="00351FD6" w:rsidTr="00B058EF">
        <w:tc>
          <w:tcPr>
            <w:tcW w:w="657" w:type="dxa"/>
            <w:vMerge w:val="restart"/>
            <w:vAlign w:val="center"/>
          </w:tcPr>
          <w:p w:rsidR="00FC12A2" w:rsidRPr="00351FD6" w:rsidRDefault="00FC12A2" w:rsidP="00B058EF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FC12A2" w:rsidRPr="00351FD6" w:rsidRDefault="00FC12A2" w:rsidP="00B058EF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FC12A2" w:rsidRPr="00351FD6" w:rsidRDefault="00FC12A2" w:rsidP="00B058EF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FC12A2" w:rsidRPr="00351FD6" w:rsidRDefault="00FC12A2" w:rsidP="00B058EF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FC12A2" w:rsidRPr="00351FD6" w:rsidTr="00B058EF">
        <w:trPr>
          <w:cantSplit/>
          <w:trHeight w:val="420"/>
        </w:trPr>
        <w:tc>
          <w:tcPr>
            <w:tcW w:w="657" w:type="dxa"/>
            <w:vMerge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FC12A2" w:rsidRPr="00351FD6" w:rsidRDefault="00FC12A2" w:rsidP="00B058EF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FC12A2" w:rsidRPr="00351FD6" w:rsidRDefault="00FC12A2" w:rsidP="00B058EF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FC12A2" w:rsidRPr="00351FD6" w:rsidRDefault="00FC12A2" w:rsidP="00B058EF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FC12A2" w:rsidRPr="001935DE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056" w:type="dxa"/>
          </w:tcPr>
          <w:p w:rsidR="00FC12A2" w:rsidRPr="001935DE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</w:tcPr>
          <w:p w:rsidR="00FC12A2" w:rsidRPr="0077271F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6,26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FC12A2" w:rsidRPr="00257125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2056" w:type="dxa"/>
          </w:tcPr>
          <w:p w:rsidR="00FC12A2" w:rsidRPr="00257125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22,03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11,7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9,69</w:t>
            </w:r>
          </w:p>
        </w:tc>
        <w:tc>
          <w:tcPr>
            <w:tcW w:w="1418" w:type="dxa"/>
          </w:tcPr>
          <w:p w:rsidR="00FC12A2" w:rsidRPr="009913EC" w:rsidRDefault="00FC12A2" w:rsidP="00B0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7,3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7,92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8,7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7,9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1,1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7,2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7,84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5,6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6,43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</w:t>
            </w:r>
          </w:p>
        </w:tc>
      </w:tr>
      <w:tr w:rsidR="00FC12A2" w:rsidRPr="00351FD6" w:rsidTr="00B058EF">
        <w:trPr>
          <w:cantSplit/>
        </w:trPr>
        <w:tc>
          <w:tcPr>
            <w:tcW w:w="65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13,2</w:t>
            </w:r>
          </w:p>
        </w:tc>
        <w:tc>
          <w:tcPr>
            <w:tcW w:w="2056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16,47</w:t>
            </w:r>
          </w:p>
        </w:tc>
        <w:tc>
          <w:tcPr>
            <w:tcW w:w="1418" w:type="dxa"/>
          </w:tcPr>
          <w:p w:rsidR="00FC12A2" w:rsidRPr="00351FD6" w:rsidRDefault="00FC12A2" w:rsidP="00B058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0,8</w:t>
            </w:r>
          </w:p>
        </w:tc>
      </w:tr>
    </w:tbl>
    <w:p w:rsidR="00FC12A2" w:rsidRPr="00351FD6" w:rsidRDefault="00FC12A2" w:rsidP="00FC12A2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FC12A2" w:rsidRPr="00EA41BF" w:rsidRDefault="00FC12A2" w:rsidP="00FC12A2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luna martie </w:t>
      </w:r>
      <w:r w:rsidRPr="008C0CA5">
        <w:rPr>
          <w:sz w:val="28"/>
          <w:szCs w:val="28"/>
        </w:rPr>
        <w:t xml:space="preserve">2020, </w:t>
      </w:r>
      <w:r>
        <w:rPr>
          <w:sz w:val="28"/>
          <w:szCs w:val="28"/>
        </w:rPr>
        <w:t xml:space="preserve">nu </w:t>
      </w:r>
      <w:r w:rsidRPr="00EA41BF">
        <w:rPr>
          <w:sz w:val="28"/>
          <w:szCs w:val="28"/>
        </w:rPr>
        <w:t>s-au înregistrat depășiri ale concentrației maxime admise</w:t>
      </w:r>
      <w:r>
        <w:rPr>
          <w:sz w:val="28"/>
          <w:szCs w:val="28"/>
        </w:rPr>
        <w:t xml:space="preserve"> l</w:t>
      </w:r>
      <w:r w:rsidRPr="008C0CA5">
        <w:rPr>
          <w:sz w:val="28"/>
          <w:szCs w:val="28"/>
        </w:rPr>
        <w:t>a indicatorul pu</w:t>
      </w:r>
      <w:r>
        <w:rPr>
          <w:sz w:val="28"/>
          <w:szCs w:val="28"/>
        </w:rPr>
        <w:t>lberi sedimentabile</w:t>
      </w:r>
      <w:r w:rsidRPr="00EA41BF">
        <w:rPr>
          <w:sz w:val="28"/>
          <w:szCs w:val="28"/>
        </w:rPr>
        <w:t xml:space="preserve">. </w:t>
      </w:r>
    </w:p>
    <w:p w:rsidR="00FC12A2" w:rsidRDefault="00FC12A2" w:rsidP="005720A1">
      <w:pPr>
        <w:pStyle w:val="Titlu1"/>
        <w:rPr>
          <w:sz w:val="28"/>
          <w:szCs w:val="28"/>
        </w:rPr>
      </w:pPr>
    </w:p>
    <w:p w:rsidR="00FC12A2" w:rsidRDefault="00FC12A2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27485C" w:rsidRPr="0027485C" w:rsidRDefault="0080010D" w:rsidP="0027485C">
      <w:pPr>
        <w:shd w:val="clear" w:color="auto" w:fill="FFFFFF"/>
        <w:jc w:val="both"/>
        <w:rPr>
          <w:sz w:val="28"/>
          <w:szCs w:val="28"/>
        </w:rPr>
      </w:pPr>
      <w:r w:rsidRPr="0027485C">
        <w:rPr>
          <w:sz w:val="28"/>
          <w:szCs w:val="28"/>
        </w:rPr>
        <w:t xml:space="preserve">Această </w:t>
      </w:r>
      <w:r w:rsidR="00925488" w:rsidRPr="0027485C">
        <w:rPr>
          <w:sz w:val="28"/>
          <w:szCs w:val="28"/>
        </w:rPr>
        <w:t>rețea</w:t>
      </w:r>
      <w:r w:rsidRPr="0027485C">
        <w:rPr>
          <w:sz w:val="28"/>
          <w:szCs w:val="28"/>
        </w:rPr>
        <w:t xml:space="preserve"> are ca obiectiv monitorizarea calității aerului și </w:t>
      </w:r>
      <w:r w:rsidR="002F2827" w:rsidRPr="0027485C">
        <w:rPr>
          <w:sz w:val="28"/>
          <w:szCs w:val="28"/>
        </w:rPr>
        <w:t>e</w:t>
      </w:r>
      <w:r w:rsidRPr="0027485C">
        <w:rPr>
          <w:sz w:val="28"/>
          <w:szCs w:val="28"/>
        </w:rPr>
        <w:t xml:space="preserve">ste formată din 5 puncte de recoltare a probelor, amplasate </w:t>
      </w:r>
      <w:r w:rsidR="0027485C" w:rsidRPr="0027485C">
        <w:rPr>
          <w:sz w:val="28"/>
          <w:szCs w:val="28"/>
        </w:rPr>
        <w:t>în</w:t>
      </w:r>
      <w:r w:rsidRPr="0027485C">
        <w:rPr>
          <w:sz w:val="28"/>
          <w:szCs w:val="28"/>
        </w:rPr>
        <w:t xml:space="preserve"> </w:t>
      </w:r>
      <w:r w:rsidR="0027485C" w:rsidRPr="0027485C">
        <w:rPr>
          <w:sz w:val="28"/>
          <w:szCs w:val="28"/>
        </w:rPr>
        <w:t>:</w:t>
      </w:r>
    </w:p>
    <w:p w:rsidR="0027485C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 xml:space="preserve">Incinta stației </w:t>
      </w:r>
      <w:r w:rsidR="0080010D" w:rsidRPr="0027485C">
        <w:rPr>
          <w:rFonts w:ascii="Times New Roman" w:hAnsi="Times New Roman"/>
          <w:sz w:val="28"/>
          <w:szCs w:val="28"/>
        </w:rPr>
        <w:t xml:space="preserve"> automat</w:t>
      </w:r>
      <w:r w:rsidRPr="0027485C">
        <w:rPr>
          <w:rFonts w:ascii="Times New Roman" w:hAnsi="Times New Roman"/>
          <w:sz w:val="28"/>
          <w:szCs w:val="28"/>
        </w:rPr>
        <w:t>e</w:t>
      </w:r>
      <w:r w:rsidR="0080010D" w:rsidRPr="0027485C">
        <w:rPr>
          <w:rFonts w:ascii="Times New Roman" w:hAnsi="Times New Roman"/>
          <w:sz w:val="28"/>
          <w:szCs w:val="28"/>
        </w:rPr>
        <w:t xml:space="preserve"> de</w:t>
      </w:r>
      <w:r w:rsidR="002371E8" w:rsidRPr="0027485C">
        <w:rPr>
          <w:rFonts w:ascii="Times New Roman" w:hAnsi="Times New Roman"/>
          <w:sz w:val="28"/>
          <w:szCs w:val="28"/>
        </w:rPr>
        <w:t xml:space="preserve"> monitorizare a dozei gama în timp real</w:t>
      </w:r>
      <w:r w:rsidRPr="0027485C">
        <w:rPr>
          <w:rFonts w:ascii="Times New Roman" w:hAnsi="Times New Roman"/>
          <w:sz w:val="28"/>
          <w:szCs w:val="28"/>
        </w:rPr>
        <w:t xml:space="preserve"> de la sediul APM Brăila</w:t>
      </w:r>
    </w:p>
    <w:p w:rsidR="00851534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>I</w:t>
      </w:r>
      <w:r w:rsidR="0080010D" w:rsidRPr="0027485C">
        <w:rPr>
          <w:rFonts w:ascii="Times New Roman" w:hAnsi="Times New Roman"/>
          <w:sz w:val="28"/>
          <w:szCs w:val="28"/>
        </w:rPr>
        <w:t>ncint</w:t>
      </w:r>
      <w:r w:rsidR="009B08F5" w:rsidRPr="0027485C">
        <w:rPr>
          <w:rFonts w:ascii="Times New Roman" w:hAnsi="Times New Roman"/>
          <w:sz w:val="28"/>
          <w:szCs w:val="28"/>
        </w:rPr>
        <w:t>ele</w:t>
      </w:r>
      <w:r w:rsidR="0080010D" w:rsidRPr="0027485C">
        <w:rPr>
          <w:rFonts w:ascii="Times New Roman" w:hAnsi="Times New Roman"/>
          <w:sz w:val="28"/>
          <w:szCs w:val="28"/>
        </w:rPr>
        <w:t xml:space="preserve"> stațiilor automate de măsurarea calității aerului </w:t>
      </w:r>
      <w:r w:rsidRPr="0027485C">
        <w:rPr>
          <w:rFonts w:ascii="Times New Roman" w:hAnsi="Times New Roman"/>
          <w:sz w:val="28"/>
          <w:szCs w:val="28"/>
        </w:rPr>
        <w:t>după cum urmează</w:t>
      </w:r>
      <w:r w:rsidR="0080010D" w:rsidRPr="0027485C">
        <w:rPr>
          <w:rFonts w:ascii="Times New Roman" w:hAnsi="Times New Roman"/>
          <w:sz w:val="28"/>
          <w:szCs w:val="28"/>
        </w:rPr>
        <w:t>: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1- </w:t>
      </w:r>
      <w:proofErr w:type="spellStart"/>
      <w:r w:rsidRPr="0027485C">
        <w:rPr>
          <w:bCs/>
          <w:sz w:val="28"/>
          <w:szCs w:val="28"/>
        </w:rPr>
        <w:t>Staţia</w:t>
      </w:r>
      <w:proofErr w:type="spellEnd"/>
      <w:r w:rsidRPr="0027485C">
        <w:rPr>
          <w:bCs/>
          <w:sz w:val="28"/>
          <w:szCs w:val="28"/>
        </w:rPr>
        <w:t xml:space="preserve"> 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27485C">
        <w:rPr>
          <w:bCs/>
          <w:sz w:val="28"/>
          <w:szCs w:val="28"/>
        </w:rPr>
        <w:t>Galaţi</w:t>
      </w:r>
      <w:proofErr w:type="spellEnd"/>
      <w:r w:rsidRPr="0027485C">
        <w:rPr>
          <w:bCs/>
          <w:sz w:val="28"/>
          <w:szCs w:val="28"/>
        </w:rPr>
        <w:t>, nr. 52</w:t>
      </w:r>
      <w:r w:rsidR="00213D82" w:rsidRPr="0027485C">
        <w:rPr>
          <w:bCs/>
          <w:sz w:val="28"/>
          <w:szCs w:val="28"/>
        </w:rPr>
        <w:t>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3 -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</w:t>
      </w:r>
      <w:r w:rsidRPr="0027485C">
        <w:rPr>
          <w:sz w:val="28"/>
          <w:szCs w:val="28"/>
        </w:rPr>
        <w:t xml:space="preserve"> suburban, care este situată în Comuna Cazasu, jud. Brăila;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4 -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industrial, care </w:t>
      </w:r>
      <w:r w:rsidRPr="0027485C">
        <w:rPr>
          <w:sz w:val="28"/>
          <w:szCs w:val="28"/>
        </w:rPr>
        <w:t xml:space="preserve">este amplasată pe </w:t>
      </w:r>
      <w:proofErr w:type="spellStart"/>
      <w:r w:rsidRPr="0027485C">
        <w:rPr>
          <w:sz w:val="28"/>
          <w:szCs w:val="28"/>
        </w:rPr>
        <w:t>Şose</w:t>
      </w:r>
      <w:r w:rsidR="00213D82" w:rsidRPr="0027485C">
        <w:rPr>
          <w:sz w:val="28"/>
          <w:szCs w:val="28"/>
        </w:rPr>
        <w:t>aua</w:t>
      </w:r>
      <w:proofErr w:type="spellEnd"/>
      <w:r w:rsidR="00213D82" w:rsidRPr="0027485C">
        <w:rPr>
          <w:sz w:val="28"/>
          <w:szCs w:val="28"/>
        </w:rPr>
        <w:t xml:space="preserve"> </w:t>
      </w:r>
      <w:proofErr w:type="spellStart"/>
      <w:r w:rsidR="00213D82" w:rsidRPr="0027485C">
        <w:rPr>
          <w:sz w:val="28"/>
          <w:szCs w:val="28"/>
        </w:rPr>
        <w:t>Baldovineşti</w:t>
      </w:r>
      <w:proofErr w:type="spellEnd"/>
      <w:r w:rsidR="00213D82" w:rsidRPr="0027485C">
        <w:rPr>
          <w:sz w:val="28"/>
          <w:szCs w:val="28"/>
        </w:rPr>
        <w:t xml:space="preserve"> (</w:t>
      </w:r>
      <w:proofErr w:type="spellStart"/>
      <w:r w:rsidR="00213D82" w:rsidRPr="0027485C">
        <w:rPr>
          <w:sz w:val="28"/>
          <w:szCs w:val="28"/>
        </w:rPr>
        <w:t>Staţia</w:t>
      </w:r>
      <w:proofErr w:type="spellEnd"/>
      <w:r w:rsidR="00213D82" w:rsidRPr="0027485C">
        <w:rPr>
          <w:sz w:val="28"/>
          <w:szCs w:val="28"/>
        </w:rPr>
        <w:t xml:space="preserve"> Nord);</w:t>
      </w:r>
    </w:p>
    <w:p w:rsidR="0080010D" w:rsidRPr="0027485C" w:rsidRDefault="0080010D" w:rsidP="001B0DCD">
      <w:pPr>
        <w:pStyle w:val="Listparagraf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5C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27485C">
        <w:rPr>
          <w:rFonts w:ascii="Times New Roman" w:hAnsi="Times New Roman"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sz w:val="28"/>
          <w:szCs w:val="28"/>
        </w:rPr>
        <w:t xml:space="preserve"> </w:t>
      </w:r>
      <w:r w:rsidRPr="0027485C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27485C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27485C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27485C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27485C">
        <w:rPr>
          <w:rFonts w:ascii="Times New Roman" w:hAnsi="Times New Roman"/>
          <w:i/>
          <w:sz w:val="28"/>
          <w:szCs w:val="28"/>
        </w:rPr>
        <w:t>.</w:t>
      </w:r>
      <w:r w:rsidRPr="0027485C">
        <w:rPr>
          <w:rFonts w:ascii="Times New Roman" w:hAnsi="Times New Roman"/>
          <w:sz w:val="28"/>
          <w:szCs w:val="28"/>
        </w:rPr>
        <w:t xml:space="preserve"> Termoelectrica S.A.</w:t>
      </w:r>
      <w:r w:rsidRPr="0027485C">
        <w:rPr>
          <w:rFonts w:ascii="Times New Roman" w:hAnsi="Times New Roman"/>
          <w:sz w:val="28"/>
          <w:szCs w:val="28"/>
        </w:rPr>
        <w:tab/>
      </w:r>
    </w:p>
    <w:p w:rsidR="00FC12A2" w:rsidRDefault="00FC12A2" w:rsidP="00FC12A2">
      <w:pPr>
        <w:tabs>
          <w:tab w:val="left" w:pos="1440"/>
        </w:tabs>
        <w:ind w:left="720"/>
        <w:jc w:val="both"/>
        <w:rPr>
          <w:sz w:val="28"/>
          <w:szCs w:val="28"/>
        </w:rPr>
      </w:pPr>
    </w:p>
    <w:p w:rsidR="00FC12A2" w:rsidRPr="00FC12A2" w:rsidRDefault="00FC12A2" w:rsidP="00FC12A2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FC12A2">
        <w:rPr>
          <w:sz w:val="28"/>
          <w:szCs w:val="28"/>
        </w:rPr>
        <w:t xml:space="preserve"> Pentru monitorizarea  calității aerului, î</w:t>
      </w:r>
      <w:r w:rsidRPr="00FC12A2">
        <w:rPr>
          <w:color w:val="191919"/>
          <w:sz w:val="28"/>
          <w:szCs w:val="28"/>
        </w:rPr>
        <w:t xml:space="preserve">n luna martie 2020, în cele cinci puncte de prelevare  </w:t>
      </w:r>
      <w:r w:rsidRPr="00842C5C">
        <w:rPr>
          <w:color w:val="191919"/>
          <w:sz w:val="28"/>
          <w:szCs w:val="28"/>
        </w:rPr>
        <w:t>s-a  analizat</w:t>
      </w:r>
      <w:r>
        <w:rPr>
          <w:color w:val="191919"/>
          <w:sz w:val="28"/>
          <w:szCs w:val="28"/>
        </w:rPr>
        <w:t xml:space="preserve"> și determinat</w:t>
      </w:r>
      <w:r w:rsidRPr="00FC12A2">
        <w:rPr>
          <w:color w:val="191919"/>
          <w:sz w:val="28"/>
          <w:szCs w:val="28"/>
        </w:rPr>
        <w:t xml:space="preserve"> o cantitate medie lunară de 7,2 l/mp.</w:t>
      </w:r>
    </w:p>
    <w:p w:rsidR="00FD1EFE" w:rsidRPr="00351FD6" w:rsidRDefault="00FC12A2" w:rsidP="00FC12A2">
      <w:pPr>
        <w:pStyle w:val="Listparagraf"/>
        <w:tabs>
          <w:tab w:val="left" w:pos="6615"/>
        </w:tabs>
        <w:jc w:val="both"/>
        <w:rPr>
          <w:sz w:val="28"/>
          <w:szCs w:val="28"/>
        </w:rPr>
      </w:pPr>
      <w:r w:rsidRPr="00FC12A2">
        <w:rPr>
          <w:rFonts w:ascii="Times New Roman" w:hAnsi="Times New Roman"/>
          <w:color w:val="191919"/>
          <w:sz w:val="28"/>
          <w:szCs w:val="28"/>
        </w:rPr>
        <w:t xml:space="preserve">Precipitațiile căzute nu au fost acide, valorile </w:t>
      </w:r>
      <w:proofErr w:type="spellStart"/>
      <w:r w:rsidRPr="00FC12A2">
        <w:rPr>
          <w:rFonts w:ascii="Times New Roman" w:hAnsi="Times New Roman"/>
          <w:color w:val="191919"/>
          <w:sz w:val="28"/>
          <w:szCs w:val="28"/>
        </w:rPr>
        <w:t>pH-ului</w:t>
      </w:r>
      <w:proofErr w:type="spellEnd"/>
      <w:r w:rsidRPr="00FC12A2">
        <w:rPr>
          <w:rFonts w:ascii="Times New Roman" w:hAnsi="Times New Roman"/>
          <w:color w:val="191919"/>
          <w:sz w:val="28"/>
          <w:szCs w:val="28"/>
        </w:rPr>
        <w:t xml:space="preserve"> situându-se în intervalul 6,96 – 7,19 </w:t>
      </w:r>
      <w:proofErr w:type="spellStart"/>
      <w:r w:rsidRPr="00FC12A2">
        <w:rPr>
          <w:rFonts w:ascii="Times New Roman" w:hAnsi="Times New Roman"/>
          <w:color w:val="191919"/>
          <w:sz w:val="28"/>
          <w:szCs w:val="28"/>
        </w:rPr>
        <w:t>upH</w:t>
      </w:r>
      <w:proofErr w:type="spellEnd"/>
      <w:r w:rsidRPr="00FC12A2">
        <w:rPr>
          <w:rFonts w:ascii="Times New Roman" w:hAnsi="Times New Roman"/>
          <w:color w:val="191919"/>
          <w:sz w:val="28"/>
          <w:szCs w:val="28"/>
        </w:rPr>
        <w:t>.</w:t>
      </w:r>
      <w:r w:rsidR="00FD1EFE">
        <w:rPr>
          <w:sz w:val="28"/>
          <w:szCs w:val="28"/>
        </w:rPr>
        <w:t xml:space="preserve">    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Pr="00471286" w:rsidRDefault="0036729D" w:rsidP="0036729D">
      <w:pPr>
        <w:rPr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CB288D" w:rsidRPr="003C2B49" w:rsidRDefault="00CB288D" w:rsidP="00CB288D">
      <w:pPr>
        <w:rPr>
          <w:sz w:val="28"/>
          <w:szCs w:val="28"/>
        </w:rPr>
      </w:pPr>
      <w:r w:rsidRPr="00044F2E">
        <w:rPr>
          <w:bCs/>
          <w:sz w:val="28"/>
          <w:szCs w:val="28"/>
          <w:lang w:val="it-IT"/>
        </w:rPr>
        <w:t xml:space="preserve">APM -  Brăila a primit în cursul lunii </w:t>
      </w:r>
      <w:r w:rsidRPr="003C2B49">
        <w:rPr>
          <w:bCs/>
          <w:sz w:val="28"/>
          <w:szCs w:val="28"/>
          <w:lang w:val="it-IT"/>
        </w:rPr>
        <w:t xml:space="preserve">martie 2020 rezultatele automonitorizării calităţii apelor uzate de la agentul economic </w:t>
      </w:r>
      <w:r w:rsidRPr="003C2B49">
        <w:rPr>
          <w:sz w:val="28"/>
          <w:szCs w:val="28"/>
        </w:rPr>
        <w:t xml:space="preserve">SC ”Bona </w:t>
      </w:r>
      <w:proofErr w:type="spellStart"/>
      <w:r w:rsidRPr="003C2B49">
        <w:rPr>
          <w:sz w:val="28"/>
          <w:szCs w:val="28"/>
        </w:rPr>
        <w:t>Avis</w:t>
      </w:r>
      <w:proofErr w:type="spellEnd"/>
      <w:r w:rsidRPr="003C2B49">
        <w:rPr>
          <w:sz w:val="28"/>
          <w:szCs w:val="28"/>
        </w:rPr>
        <w:t>” SRL - Brăila</w:t>
      </w:r>
    </w:p>
    <w:p w:rsidR="00CB288D" w:rsidRPr="003C2B49" w:rsidRDefault="00CB288D" w:rsidP="00CB288D">
      <w:pPr>
        <w:tabs>
          <w:tab w:val="left" w:pos="1276"/>
        </w:tabs>
        <w:ind w:left="1353"/>
        <w:rPr>
          <w:sz w:val="28"/>
          <w:szCs w:val="28"/>
        </w:rPr>
      </w:pPr>
    </w:p>
    <w:p w:rsidR="00CB288D" w:rsidRPr="00044F2E" w:rsidRDefault="00CB288D" w:rsidP="00CB288D">
      <w:pPr>
        <w:ind w:firstLine="720"/>
      </w:pPr>
      <w:r w:rsidRPr="00656ECE">
        <w:rPr>
          <w:bCs/>
          <w:sz w:val="28"/>
          <w:szCs w:val="28"/>
          <w:lang w:eastAsia="ro-RO"/>
        </w:rPr>
        <w:lastRenderedPageBreak/>
        <w:t xml:space="preserve">Față de concentrațiile maxime admise de Normativele și actele de reglementare existente </w:t>
      </w:r>
      <w:r>
        <w:rPr>
          <w:bCs/>
          <w:sz w:val="28"/>
          <w:szCs w:val="28"/>
          <w:lang w:eastAsia="ro-RO"/>
        </w:rPr>
        <w:t xml:space="preserve">nu </w:t>
      </w:r>
      <w:r w:rsidRPr="00656ECE">
        <w:rPr>
          <w:bCs/>
          <w:sz w:val="28"/>
          <w:szCs w:val="28"/>
          <w:lang w:eastAsia="ro-RO"/>
        </w:rPr>
        <w:t>s-au înregistrat depășiri ale indicatorilor monitorizați</w:t>
      </w:r>
      <w:r w:rsidRPr="00656ECE">
        <w:rPr>
          <w:sz w:val="28"/>
          <w:szCs w:val="28"/>
          <w:lang w:val="it-IT" w:eastAsia="ro-RO"/>
        </w:rPr>
        <w:t xml:space="preserve"> constatate în </w:t>
      </w:r>
      <w:r>
        <w:rPr>
          <w:sz w:val="28"/>
          <w:szCs w:val="28"/>
          <w:lang w:val="it-IT" w:eastAsia="ro-RO"/>
        </w:rPr>
        <w:t>b</w:t>
      </w:r>
      <w:r w:rsidRPr="00656ECE">
        <w:rPr>
          <w:sz w:val="28"/>
          <w:szCs w:val="28"/>
          <w:lang w:val="it-IT" w:eastAsia="ro-RO"/>
        </w:rPr>
        <w:t xml:space="preserve">uletinele de analiză transmise de către </w:t>
      </w:r>
      <w:r>
        <w:rPr>
          <w:sz w:val="28"/>
          <w:szCs w:val="28"/>
          <w:lang w:val="it-IT" w:eastAsia="ro-RO"/>
        </w:rPr>
        <w:t>operatorul economic mai sus men</w:t>
      </w:r>
      <w:proofErr w:type="spellStart"/>
      <w:r>
        <w:rPr>
          <w:sz w:val="28"/>
          <w:szCs w:val="28"/>
          <w:lang w:eastAsia="ro-RO"/>
        </w:rPr>
        <w:t>ționat</w:t>
      </w:r>
      <w:proofErr w:type="spellEnd"/>
      <w:r>
        <w:rPr>
          <w:sz w:val="28"/>
          <w:szCs w:val="28"/>
          <w:lang w:val="it-IT" w:eastAsia="ro-RO"/>
        </w:rPr>
        <w:t>.</w:t>
      </w:r>
    </w:p>
    <w:p w:rsidR="000D2E0F" w:rsidRPr="00471286" w:rsidRDefault="000D2E0F" w:rsidP="00426B34">
      <w:pPr>
        <w:rPr>
          <w:b/>
          <w:bCs/>
          <w:sz w:val="28"/>
          <w:szCs w:val="28"/>
        </w:rPr>
      </w:pPr>
    </w:p>
    <w:p w:rsidR="007F37F5" w:rsidRPr="00471286" w:rsidRDefault="007F37F5" w:rsidP="00426B34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5754D" w:rsidRPr="00471286" w:rsidRDefault="0015754D" w:rsidP="007F37F5">
      <w:pPr>
        <w:jc w:val="center"/>
        <w:rPr>
          <w:b/>
          <w:bCs/>
          <w:sz w:val="28"/>
          <w:szCs w:val="28"/>
        </w:rPr>
      </w:pPr>
    </w:p>
    <w:p w:rsidR="005F3E6C" w:rsidRPr="0003357F" w:rsidRDefault="005F3E6C" w:rsidP="005F3E6C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În luna martie 2020, </w:t>
      </w:r>
      <w:r>
        <w:rPr>
          <w:sz w:val="28"/>
          <w:szCs w:val="28"/>
          <w:lang w:val="it-IT"/>
        </w:rPr>
        <w:t>l</w:t>
      </w:r>
      <w:r w:rsidRPr="0003357F">
        <w:rPr>
          <w:sz w:val="28"/>
          <w:szCs w:val="28"/>
          <w:lang w:val="it-IT"/>
        </w:rPr>
        <w:t xml:space="preserve">aboratorul A.P.M Brăila a </w:t>
      </w:r>
      <w:r>
        <w:rPr>
          <w:sz w:val="28"/>
          <w:szCs w:val="28"/>
          <w:lang w:val="it-IT"/>
        </w:rPr>
        <w:t>expertizat</w:t>
      </w:r>
      <w:r w:rsidRPr="0003357F">
        <w:rPr>
          <w:sz w:val="28"/>
          <w:szCs w:val="28"/>
          <w:lang w:val="it-IT"/>
        </w:rPr>
        <w:t xml:space="preserve"> </w:t>
      </w:r>
      <w:r w:rsidRPr="0003357F">
        <w:rPr>
          <w:sz w:val="28"/>
          <w:szCs w:val="28"/>
          <w:lang w:val="pt-BR"/>
        </w:rPr>
        <w:t>agenţi economici ale căror ape rezultate din procesul tehnologic sunt deversate în canalizarea oraşului.</w:t>
      </w:r>
    </w:p>
    <w:p w:rsidR="005F3E6C" w:rsidRDefault="005F3E6C" w:rsidP="005F3E6C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S-au constatat </w:t>
      </w:r>
      <w:r>
        <w:rPr>
          <w:sz w:val="28"/>
          <w:szCs w:val="28"/>
        </w:rPr>
        <w:t xml:space="preserve"> depășiri ale concentrației maxime admise prevăzute în legislație, pentru indicatorul substanțe extractibile, la următorii agenți economici: SC </w:t>
      </w:r>
      <w:proofErr w:type="spellStart"/>
      <w:r>
        <w:rPr>
          <w:sz w:val="28"/>
          <w:szCs w:val="28"/>
        </w:rPr>
        <w:t>Alpiline</w:t>
      </w:r>
      <w:proofErr w:type="spellEnd"/>
      <w:r>
        <w:rPr>
          <w:sz w:val="28"/>
          <w:szCs w:val="28"/>
        </w:rPr>
        <w:t xml:space="preserve"> SRL, SC Penny Market 4546 – punctul de lucru din Șos. Buzăului, SC Penny Market 4604 – punctul de lucru  din Calea Călărașilor.</w:t>
      </w:r>
    </w:p>
    <w:p w:rsidR="00915D72" w:rsidRPr="00181A8C" w:rsidRDefault="00915D72" w:rsidP="00915D72">
      <w:pPr>
        <w:jc w:val="both"/>
        <w:rPr>
          <w:b/>
          <w:bCs/>
          <w:sz w:val="28"/>
          <w:szCs w:val="28"/>
          <w:lang w:val="it-IT"/>
        </w:rPr>
      </w:pPr>
    </w:p>
    <w:p w:rsidR="00817D67" w:rsidRPr="00471286" w:rsidRDefault="00817D67" w:rsidP="00817D67">
      <w:pPr>
        <w:jc w:val="both"/>
        <w:rPr>
          <w:b/>
          <w:bCs/>
          <w:sz w:val="28"/>
          <w:szCs w:val="28"/>
          <w:lang w:val="it-IT"/>
        </w:rPr>
      </w:pPr>
    </w:p>
    <w:p w:rsidR="003F5511" w:rsidRPr="00471286" w:rsidRDefault="007B5A0D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15754D" w:rsidRPr="00471286" w:rsidRDefault="0015754D" w:rsidP="0015754D">
      <w:pPr>
        <w:rPr>
          <w:sz w:val="28"/>
          <w:szCs w:val="28"/>
        </w:rPr>
      </w:pP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europene.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Rezultatele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</w:t>
      </w:r>
      <w:r w:rsidRPr="00471286">
        <w:rPr>
          <w:sz w:val="28"/>
          <w:szCs w:val="28"/>
        </w:rPr>
        <w:lastRenderedPageBreak/>
        <w:t xml:space="preserve">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471286" w:rsidRPr="00471286" w:rsidRDefault="00471286" w:rsidP="00846391">
      <w:pPr>
        <w:ind w:firstLine="720"/>
        <w:jc w:val="both"/>
        <w:rPr>
          <w:sz w:val="28"/>
          <w:szCs w:val="28"/>
        </w:rPr>
      </w:pPr>
    </w:p>
    <w:p w:rsidR="000E71A1" w:rsidRPr="003F6B8D" w:rsidRDefault="000E71A1" w:rsidP="000E71A1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0E71A1" w:rsidRPr="00BF6FD0" w:rsidRDefault="000E71A1" w:rsidP="000E71A1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0E71A1" w:rsidRPr="00BF6FD0" w:rsidTr="00B058EF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0E71A1" w:rsidRPr="00BF6FD0" w:rsidTr="00B058EF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0.08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0.77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0.01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422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350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8.54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31.81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3.4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20.63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61.19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6.07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33.47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106.8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12.01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30/an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8.36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25.06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2.27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710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>
              <w:t>7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12.03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20.72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4.59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  <w:tr w:rsidR="000E71A1" w:rsidRPr="00BF6FD0" w:rsidTr="00B058EF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9.89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21.33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7.33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350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7.05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21.74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4.09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9.92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33.21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2.54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20.52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65.31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30/an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0.07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0.38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0E71A1" w:rsidRPr="00BF6FD0" w:rsidRDefault="000E71A1" w:rsidP="00B058EF">
            <w:r>
              <w:t>58.25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119.43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8.66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120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1.64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4.47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0.76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729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>
              <w:t>7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17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25</w:t>
            </w:r>
          </w:p>
        </w:tc>
      </w:tr>
      <w:tr w:rsidR="000E71A1" w:rsidRPr="00BF6FD0" w:rsidTr="00B058EF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350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3.94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8.22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3.12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8.35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40.26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5.31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14.29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48.88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10.7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30/an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0.1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1.16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58.55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116.03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11.29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709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120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>
              <w:t>7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  <w:tr w:rsidR="000E71A1" w:rsidRPr="00BF6FD0" w:rsidTr="00B058EF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350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2.77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12.12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2.32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6.4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36.82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1.65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10.56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41.4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5.33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30/an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0.07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2.09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53.59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105.96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2.27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710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120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  <w:tr w:rsidR="000E71A1" w:rsidRPr="00BF6FD0" w:rsidTr="00B058EF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E71A1" w:rsidRPr="00BF6FD0" w:rsidRDefault="000E71A1" w:rsidP="00B058EF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3.38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11.52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0.07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>
              <w:t>708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E71A1" w:rsidRPr="00BF6FD0" w:rsidRDefault="000E71A1" w:rsidP="00B058EF">
            <w:pPr>
              <w:jc w:val="center"/>
            </w:pPr>
            <w:r w:rsidRPr="00BF6FD0">
              <w:t>350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9.04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11.31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1.25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2.09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5.83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0.74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200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15.69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22.83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4.96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30/an</w:t>
            </w:r>
          </w:p>
        </w:tc>
      </w:tr>
      <w:bookmarkEnd w:id="2"/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0.08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0.58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712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53.45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99.91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12.85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120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1.79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9.23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0.88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699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>
              <w:t>7</w:t>
            </w:r>
          </w:p>
        </w:tc>
      </w:tr>
      <w:tr w:rsidR="000E71A1" w:rsidRPr="00BF6FD0" w:rsidTr="00B058EF">
        <w:trPr>
          <w:trHeight w:val="128"/>
          <w:jc w:val="center"/>
        </w:trPr>
        <w:tc>
          <w:tcPr>
            <w:tcW w:w="9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136" w:type="dxa"/>
            <w:vMerge/>
          </w:tcPr>
          <w:p w:rsidR="000E71A1" w:rsidRPr="00BF6FD0" w:rsidRDefault="000E71A1" w:rsidP="00B058EF">
            <w:pPr>
              <w:jc w:val="center"/>
            </w:pPr>
          </w:p>
        </w:tc>
        <w:tc>
          <w:tcPr>
            <w:tcW w:w="1385" w:type="dxa"/>
          </w:tcPr>
          <w:p w:rsidR="000E71A1" w:rsidRPr="00BF6FD0" w:rsidRDefault="000E71A1" w:rsidP="00B058EF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E71A1" w:rsidRPr="00BF6FD0" w:rsidRDefault="000E71A1" w:rsidP="00B058E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E71A1" w:rsidRPr="008252CA" w:rsidRDefault="000E71A1" w:rsidP="00B058EF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71A1" w:rsidRPr="00BF6FD0" w:rsidRDefault="000E71A1" w:rsidP="00B058EF">
            <w:pPr>
              <w:jc w:val="center"/>
            </w:pPr>
            <w:r w:rsidRPr="00BF6FD0">
              <w:t>50</w:t>
            </w:r>
          </w:p>
        </w:tc>
      </w:tr>
    </w:tbl>
    <w:p w:rsidR="000E71A1" w:rsidRDefault="000E71A1" w:rsidP="000E71A1">
      <w:pPr>
        <w:jc w:val="center"/>
      </w:pPr>
    </w:p>
    <w:p w:rsidR="00FF6F9D" w:rsidRDefault="00FF6F9D" w:rsidP="000E71A1">
      <w:pPr>
        <w:jc w:val="center"/>
      </w:pPr>
    </w:p>
    <w:p w:rsidR="000E71A1" w:rsidRPr="00EF1F6D" w:rsidRDefault="000E71A1" w:rsidP="000E71A1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71A1" w:rsidRDefault="000E71A1" w:rsidP="000E71A1">
      <w:pPr>
        <w:ind w:firstLine="720"/>
        <w:jc w:val="both"/>
        <w:rPr>
          <w:sz w:val="28"/>
          <w:szCs w:val="28"/>
        </w:rPr>
      </w:pPr>
      <w:r w:rsidRPr="006E47CE">
        <w:rPr>
          <w:sz w:val="28"/>
          <w:szCs w:val="28"/>
        </w:rPr>
        <w:t>Valorile înregistrate în luna martie pentru SO</w:t>
      </w:r>
      <w:r w:rsidRPr="006E47CE">
        <w:rPr>
          <w:sz w:val="28"/>
          <w:szCs w:val="28"/>
          <w:vertAlign w:val="subscript"/>
        </w:rPr>
        <w:t>2</w:t>
      </w:r>
      <w:r w:rsidRPr="006E47CE">
        <w:rPr>
          <w:sz w:val="28"/>
          <w:szCs w:val="28"/>
        </w:rPr>
        <w:t xml:space="preserve"> s-au situat sub valorile limită admise.</w:t>
      </w:r>
    </w:p>
    <w:p w:rsidR="00FF6F9D" w:rsidRPr="006E47CE" w:rsidRDefault="00FF6F9D" w:rsidP="000E71A1">
      <w:pPr>
        <w:ind w:firstLine="720"/>
        <w:jc w:val="both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162550" cy="2381250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71A1" w:rsidRPr="006E47CE" w:rsidRDefault="000E71A1" w:rsidP="000E71A1">
      <w:pPr>
        <w:ind w:firstLine="720"/>
        <w:jc w:val="both"/>
        <w:rPr>
          <w:sz w:val="28"/>
          <w:szCs w:val="28"/>
        </w:rPr>
      </w:pPr>
      <w:r w:rsidRPr="006E47CE">
        <w:rPr>
          <w:sz w:val="28"/>
          <w:szCs w:val="28"/>
        </w:rPr>
        <w:t>Valorile înregistrate în luna martie pentru NO</w:t>
      </w:r>
      <w:r w:rsidRPr="006E47CE">
        <w:rPr>
          <w:sz w:val="28"/>
          <w:szCs w:val="28"/>
          <w:vertAlign w:val="subscript"/>
        </w:rPr>
        <w:t>2</w:t>
      </w:r>
      <w:r w:rsidRPr="006E47CE">
        <w:rPr>
          <w:sz w:val="28"/>
          <w:szCs w:val="28"/>
        </w:rPr>
        <w:t xml:space="preserve"> s-au situat sub valorile limită zilnice admise de Legea 104/2011.</w:t>
      </w: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5" name="Casetă tex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A1" w:rsidRDefault="000E71A1" w:rsidP="000E71A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5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">
                <v:textbox>
                  <w:txbxContent>
                    <w:p w:rsidR="000E71A1" w:rsidRDefault="000E71A1" w:rsidP="000E71A1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476875" cy="2247900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71A1" w:rsidRPr="006E47CE" w:rsidRDefault="000E71A1" w:rsidP="000E71A1">
      <w:pPr>
        <w:ind w:firstLine="720"/>
        <w:jc w:val="both"/>
        <w:rPr>
          <w:sz w:val="28"/>
          <w:szCs w:val="28"/>
        </w:rPr>
      </w:pPr>
      <w:r w:rsidRPr="006E47CE">
        <w:rPr>
          <w:sz w:val="28"/>
          <w:szCs w:val="28"/>
        </w:rPr>
        <w:t>Valorile înregistrate în luna martie pentru CO, se situează sub valorile limită admise.</w:t>
      </w:r>
    </w:p>
    <w:p w:rsidR="000E71A1" w:rsidRPr="006E47CE" w:rsidRDefault="000E71A1" w:rsidP="000E71A1">
      <w:pPr>
        <w:ind w:left="22" w:firstLine="698"/>
        <w:jc w:val="both"/>
        <w:rPr>
          <w:sz w:val="28"/>
          <w:szCs w:val="28"/>
        </w:rPr>
      </w:pPr>
      <w:r w:rsidRPr="006E47CE">
        <w:rPr>
          <w:sz w:val="28"/>
          <w:szCs w:val="28"/>
        </w:rPr>
        <w:t xml:space="preserve">Poluantul CO rezultă din arderea incompletă a combustibililor </w:t>
      </w:r>
      <w:proofErr w:type="spellStart"/>
      <w:r w:rsidRPr="006E47CE">
        <w:rPr>
          <w:sz w:val="28"/>
          <w:szCs w:val="28"/>
        </w:rPr>
        <w:t>şi</w:t>
      </w:r>
      <w:proofErr w:type="spellEnd"/>
      <w:r w:rsidRPr="006E47CE">
        <w:rPr>
          <w:sz w:val="28"/>
          <w:szCs w:val="28"/>
        </w:rPr>
        <w:t xml:space="preserve"> alături de benzen este considerat ca făcând parte din categoria </w:t>
      </w:r>
      <w:proofErr w:type="spellStart"/>
      <w:r w:rsidRPr="006E47CE">
        <w:rPr>
          <w:sz w:val="28"/>
          <w:szCs w:val="28"/>
        </w:rPr>
        <w:t>poluanţilor</w:t>
      </w:r>
      <w:proofErr w:type="spellEnd"/>
      <w:r w:rsidRPr="006E47CE">
        <w:rPr>
          <w:sz w:val="28"/>
          <w:szCs w:val="28"/>
        </w:rPr>
        <w:t xml:space="preserve"> specifici </w:t>
      </w:r>
      <w:proofErr w:type="spellStart"/>
      <w:r w:rsidRPr="006E47CE">
        <w:rPr>
          <w:sz w:val="28"/>
          <w:szCs w:val="28"/>
        </w:rPr>
        <w:t>rezultaţi</w:t>
      </w:r>
      <w:proofErr w:type="spellEnd"/>
      <w:r w:rsidRPr="006E47CE">
        <w:rPr>
          <w:sz w:val="28"/>
          <w:szCs w:val="28"/>
        </w:rPr>
        <w:t xml:space="preserve"> din trafic.</w:t>
      </w:r>
    </w:p>
    <w:p w:rsidR="000E71A1" w:rsidRPr="006E47CE" w:rsidRDefault="000E71A1" w:rsidP="000E71A1">
      <w:pPr>
        <w:ind w:left="22" w:firstLine="698"/>
        <w:jc w:val="both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4914900" cy="2247900"/>
            <wp:effectExtent l="0" t="0" r="0" b="0"/>
            <wp:docPr id="21" name="Diagramă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71A1" w:rsidRPr="006E47CE" w:rsidRDefault="000E71A1" w:rsidP="000E71A1">
      <w:pPr>
        <w:ind w:firstLine="720"/>
        <w:jc w:val="both"/>
        <w:rPr>
          <w:bCs/>
          <w:sz w:val="28"/>
          <w:szCs w:val="28"/>
        </w:rPr>
      </w:pPr>
      <w:r w:rsidRPr="006E47CE">
        <w:rPr>
          <w:sz w:val="28"/>
          <w:szCs w:val="28"/>
        </w:rPr>
        <w:t xml:space="preserve">În luna martie media orară a indicatorului ozon nu a </w:t>
      </w:r>
      <w:proofErr w:type="spellStart"/>
      <w:r w:rsidRPr="006E47CE">
        <w:rPr>
          <w:sz w:val="28"/>
          <w:szCs w:val="28"/>
        </w:rPr>
        <w:t>depăşit</w:t>
      </w:r>
      <w:proofErr w:type="spellEnd"/>
      <w:r w:rsidRPr="006E47CE">
        <w:rPr>
          <w:sz w:val="28"/>
          <w:szCs w:val="28"/>
        </w:rPr>
        <w:t xml:space="preserve"> pragul de informare de 180 </w:t>
      </w:r>
      <w:r w:rsidRPr="006E47CE">
        <w:rPr>
          <w:sz w:val="28"/>
          <w:szCs w:val="28"/>
        </w:rPr>
        <w:sym w:font="Symbol" w:char="F06D"/>
      </w:r>
      <w:r w:rsidRPr="006E47CE">
        <w:rPr>
          <w:sz w:val="28"/>
          <w:szCs w:val="28"/>
        </w:rPr>
        <w:t>g/m</w:t>
      </w:r>
      <w:r w:rsidRPr="006E47CE">
        <w:rPr>
          <w:sz w:val="28"/>
          <w:szCs w:val="28"/>
          <w:vertAlign w:val="superscript"/>
        </w:rPr>
        <w:t>3</w:t>
      </w:r>
      <w:r w:rsidRPr="006E47CE">
        <w:rPr>
          <w:sz w:val="28"/>
          <w:szCs w:val="28"/>
        </w:rPr>
        <w:t>.</w:t>
      </w:r>
    </w:p>
    <w:p w:rsidR="000E71A1" w:rsidRPr="006E47CE" w:rsidRDefault="000E71A1" w:rsidP="000E71A1">
      <w:pPr>
        <w:ind w:firstLine="720"/>
        <w:jc w:val="both"/>
        <w:rPr>
          <w:sz w:val="28"/>
          <w:szCs w:val="28"/>
        </w:rPr>
      </w:pPr>
      <w:r w:rsidRPr="006E47CE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6E47CE">
        <w:rPr>
          <w:bCs/>
          <w:sz w:val="28"/>
          <w:szCs w:val="28"/>
        </w:rPr>
        <w:t>şi</w:t>
      </w:r>
      <w:proofErr w:type="spellEnd"/>
      <w:r w:rsidRPr="006E47CE">
        <w:rPr>
          <w:bCs/>
          <w:sz w:val="28"/>
          <w:szCs w:val="28"/>
        </w:rPr>
        <w:t xml:space="preserve"> metoda gravimetrică, care de altfel este metoda de </w:t>
      </w:r>
      <w:proofErr w:type="spellStart"/>
      <w:r w:rsidRPr="006E47CE">
        <w:rPr>
          <w:bCs/>
          <w:sz w:val="28"/>
          <w:szCs w:val="28"/>
        </w:rPr>
        <w:t>referinţă</w:t>
      </w:r>
      <w:proofErr w:type="spellEnd"/>
      <w:r w:rsidRPr="006E47CE">
        <w:rPr>
          <w:bCs/>
          <w:sz w:val="28"/>
          <w:szCs w:val="28"/>
        </w:rPr>
        <w:t xml:space="preserve">. </w:t>
      </w:r>
    </w:p>
    <w:p w:rsidR="000E71A1" w:rsidRPr="006E47CE" w:rsidRDefault="000E71A1" w:rsidP="000E71A1">
      <w:pPr>
        <w:jc w:val="both"/>
        <w:rPr>
          <w:sz w:val="28"/>
          <w:szCs w:val="28"/>
        </w:rPr>
      </w:pPr>
    </w:p>
    <w:p w:rsidR="000E71A1" w:rsidRPr="006E47CE" w:rsidRDefault="000E71A1" w:rsidP="000E71A1">
      <w:pPr>
        <w:tabs>
          <w:tab w:val="left" w:pos="720"/>
        </w:tabs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362575" cy="2371725"/>
            <wp:effectExtent l="0" t="0" r="0" b="0"/>
            <wp:docPr id="20" name="Diagramă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71A1" w:rsidRPr="006E47CE" w:rsidRDefault="000E71A1" w:rsidP="000E71A1">
      <w:pPr>
        <w:tabs>
          <w:tab w:val="left" w:pos="1875"/>
        </w:tabs>
        <w:rPr>
          <w:sz w:val="28"/>
          <w:szCs w:val="28"/>
        </w:rPr>
      </w:pPr>
    </w:p>
    <w:p w:rsidR="000E71A1" w:rsidRPr="006E47CE" w:rsidRDefault="000E71A1" w:rsidP="000E71A1">
      <w:pPr>
        <w:ind w:firstLine="720"/>
        <w:jc w:val="both"/>
        <w:rPr>
          <w:bCs/>
          <w:sz w:val="28"/>
          <w:szCs w:val="28"/>
        </w:rPr>
      </w:pPr>
      <w:r w:rsidRPr="006E47CE">
        <w:rPr>
          <w:bCs/>
          <w:sz w:val="28"/>
          <w:szCs w:val="28"/>
        </w:rPr>
        <w:t xml:space="preserve">În luna martie, la indicatorul PM10 (măsurat în sistem continuu) nu s-au efectuat măsurători având pompele Fox defecte. </w:t>
      </w:r>
    </w:p>
    <w:p w:rsidR="000E71A1" w:rsidRPr="006E47CE" w:rsidRDefault="000E71A1" w:rsidP="000E71A1">
      <w:pPr>
        <w:ind w:firstLine="720"/>
        <w:jc w:val="both"/>
        <w:rPr>
          <w:bCs/>
          <w:sz w:val="28"/>
          <w:szCs w:val="28"/>
        </w:rPr>
      </w:pPr>
      <w:r w:rsidRPr="006E47CE">
        <w:rPr>
          <w:bCs/>
          <w:sz w:val="28"/>
          <w:szCs w:val="28"/>
        </w:rPr>
        <w:t>În luna martie, la indicatorul PM10 (măsurat în sistem gravimetric), nu s-au efectuat probe.</w:t>
      </w:r>
    </w:p>
    <w:p w:rsidR="000E71A1" w:rsidRPr="006E47CE" w:rsidRDefault="000E71A1" w:rsidP="000E71A1">
      <w:pPr>
        <w:ind w:firstLine="720"/>
        <w:jc w:val="both"/>
        <w:rPr>
          <w:bCs/>
          <w:sz w:val="28"/>
          <w:szCs w:val="28"/>
        </w:rPr>
      </w:pPr>
    </w:p>
    <w:p w:rsidR="000E71A1" w:rsidRPr="006E47CE" w:rsidRDefault="000E71A1" w:rsidP="000E71A1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6E47CE">
        <w:rPr>
          <w:b/>
          <w:sz w:val="28"/>
          <w:szCs w:val="28"/>
        </w:rPr>
        <w:t>Evoluţia</w:t>
      </w:r>
      <w:proofErr w:type="spellEnd"/>
      <w:r w:rsidRPr="006E47CE">
        <w:rPr>
          <w:b/>
          <w:sz w:val="28"/>
          <w:szCs w:val="28"/>
        </w:rPr>
        <w:t xml:space="preserve"> indicelui general de calitatea aerului</w:t>
      </w:r>
    </w:p>
    <w:p w:rsidR="000E71A1" w:rsidRPr="006E47CE" w:rsidRDefault="000E71A1" w:rsidP="000E71A1">
      <w:pPr>
        <w:tabs>
          <w:tab w:val="left" w:pos="0"/>
        </w:tabs>
        <w:jc w:val="both"/>
        <w:rPr>
          <w:sz w:val="28"/>
          <w:szCs w:val="28"/>
        </w:rPr>
      </w:pPr>
      <w:r w:rsidRPr="006E47CE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6E47CE">
        <w:rPr>
          <w:sz w:val="28"/>
          <w:szCs w:val="28"/>
        </w:rPr>
        <w:t>concentraţiilor</w:t>
      </w:r>
      <w:proofErr w:type="spellEnd"/>
      <w:r w:rsidRPr="006E47CE">
        <w:rPr>
          <w:sz w:val="28"/>
          <w:szCs w:val="28"/>
        </w:rPr>
        <w:t xml:space="preserve"> înregistrate pentru fiecare dintre </w:t>
      </w:r>
      <w:proofErr w:type="spellStart"/>
      <w:r w:rsidRPr="006E47CE">
        <w:rPr>
          <w:sz w:val="28"/>
          <w:szCs w:val="28"/>
        </w:rPr>
        <w:t>poluanţii</w:t>
      </w:r>
      <w:proofErr w:type="spellEnd"/>
      <w:r w:rsidRPr="006E47CE">
        <w:rPr>
          <w:sz w:val="28"/>
          <w:szCs w:val="28"/>
        </w:rPr>
        <w:t xml:space="preserve"> </w:t>
      </w:r>
      <w:proofErr w:type="spellStart"/>
      <w:r w:rsidRPr="006E47CE">
        <w:rPr>
          <w:sz w:val="28"/>
          <w:szCs w:val="28"/>
        </w:rPr>
        <w:t>monitorizaţi</w:t>
      </w:r>
      <w:proofErr w:type="spellEnd"/>
      <w:r w:rsidRPr="006E47CE">
        <w:rPr>
          <w:sz w:val="28"/>
          <w:szCs w:val="28"/>
        </w:rPr>
        <w:t>: dioxid de sulf (SO</w:t>
      </w:r>
      <w:r w:rsidRPr="006E47CE">
        <w:rPr>
          <w:sz w:val="28"/>
          <w:szCs w:val="28"/>
          <w:vertAlign w:val="subscript"/>
        </w:rPr>
        <w:t>2</w:t>
      </w:r>
      <w:r w:rsidRPr="006E47CE">
        <w:rPr>
          <w:sz w:val="28"/>
          <w:szCs w:val="28"/>
        </w:rPr>
        <w:t>), dioxid de azot (NO</w:t>
      </w:r>
      <w:r w:rsidRPr="006E47CE">
        <w:rPr>
          <w:sz w:val="28"/>
          <w:szCs w:val="28"/>
          <w:vertAlign w:val="subscript"/>
        </w:rPr>
        <w:t>2</w:t>
      </w:r>
      <w:r w:rsidRPr="006E47CE">
        <w:rPr>
          <w:sz w:val="28"/>
          <w:szCs w:val="28"/>
        </w:rPr>
        <w:t>), ozon (O</w:t>
      </w:r>
      <w:r w:rsidRPr="006E47CE">
        <w:rPr>
          <w:sz w:val="28"/>
          <w:szCs w:val="28"/>
          <w:vertAlign w:val="subscript"/>
        </w:rPr>
        <w:t>3</w:t>
      </w:r>
      <w:r w:rsidRPr="006E47CE">
        <w:rPr>
          <w:sz w:val="28"/>
          <w:szCs w:val="28"/>
        </w:rPr>
        <w:t xml:space="preserve">), </w:t>
      </w:r>
      <w:proofErr w:type="spellStart"/>
      <w:r w:rsidRPr="006E47CE">
        <w:rPr>
          <w:sz w:val="28"/>
          <w:szCs w:val="28"/>
        </w:rPr>
        <w:t>monooxid</w:t>
      </w:r>
      <w:proofErr w:type="spellEnd"/>
      <w:r w:rsidRPr="006E47CE">
        <w:rPr>
          <w:sz w:val="28"/>
          <w:szCs w:val="28"/>
        </w:rPr>
        <w:t xml:space="preserve"> de carbon (CO), pulberi în suspensie (PM 10).</w:t>
      </w: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sz w:val="28"/>
          <w:szCs w:val="28"/>
        </w:rPr>
        <w:t xml:space="preserve"> </w:t>
      </w:r>
      <w:proofErr w:type="spellStart"/>
      <w:r w:rsidRPr="006E47CE">
        <w:rPr>
          <w:sz w:val="28"/>
          <w:szCs w:val="28"/>
        </w:rPr>
        <w:t>Staţia</w:t>
      </w:r>
      <w:proofErr w:type="spellEnd"/>
      <w:r w:rsidRPr="006E47CE">
        <w:rPr>
          <w:sz w:val="28"/>
          <w:szCs w:val="28"/>
        </w:rPr>
        <w:t xml:space="preserve"> BR - 1 TRAFIC adresa: Calea </w:t>
      </w:r>
      <w:proofErr w:type="spellStart"/>
      <w:r w:rsidRPr="006E47CE">
        <w:rPr>
          <w:sz w:val="28"/>
          <w:szCs w:val="28"/>
        </w:rPr>
        <w:t>Galaţi</w:t>
      </w:r>
      <w:proofErr w:type="spellEnd"/>
      <w:r w:rsidRPr="006E47CE">
        <w:rPr>
          <w:sz w:val="28"/>
          <w:szCs w:val="28"/>
        </w:rPr>
        <w:t xml:space="preserve"> nr. 53, Brăila</w:t>
      </w: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  <w:proofErr w:type="spellStart"/>
      <w:r w:rsidRPr="006E47CE">
        <w:rPr>
          <w:sz w:val="28"/>
          <w:szCs w:val="28"/>
        </w:rPr>
        <w:t>Staţia</w:t>
      </w:r>
      <w:proofErr w:type="spellEnd"/>
      <w:r w:rsidRPr="006E47CE">
        <w:rPr>
          <w:sz w:val="28"/>
          <w:szCs w:val="28"/>
        </w:rPr>
        <w:t xml:space="preserve"> BR - 2 FOND URBAN adresa: </w:t>
      </w:r>
      <w:proofErr w:type="spellStart"/>
      <w:r w:rsidRPr="006E47CE">
        <w:rPr>
          <w:sz w:val="28"/>
          <w:szCs w:val="28"/>
        </w:rPr>
        <w:t>Piaţa</w:t>
      </w:r>
      <w:proofErr w:type="spellEnd"/>
      <w:r w:rsidRPr="006E47CE">
        <w:rPr>
          <w:sz w:val="28"/>
          <w:szCs w:val="28"/>
        </w:rPr>
        <w:t xml:space="preserve"> </w:t>
      </w:r>
      <w:proofErr w:type="spellStart"/>
      <w:r w:rsidRPr="006E47CE">
        <w:rPr>
          <w:sz w:val="28"/>
          <w:szCs w:val="28"/>
        </w:rPr>
        <w:t>Independenţei</w:t>
      </w:r>
      <w:proofErr w:type="spellEnd"/>
      <w:r w:rsidRPr="006E47CE">
        <w:rPr>
          <w:sz w:val="28"/>
          <w:szCs w:val="28"/>
        </w:rPr>
        <w:t xml:space="preserve"> nr. 1, Brăila</w:t>
      </w: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  <w:proofErr w:type="spellStart"/>
      <w:r w:rsidRPr="006E47CE">
        <w:rPr>
          <w:sz w:val="28"/>
          <w:szCs w:val="28"/>
        </w:rPr>
        <w:t>Staţia</w:t>
      </w:r>
      <w:proofErr w:type="spellEnd"/>
      <w:r w:rsidRPr="006E47CE">
        <w:rPr>
          <w:sz w:val="28"/>
          <w:szCs w:val="28"/>
        </w:rPr>
        <w:t xml:space="preserve"> BR - 3 FOND SUBURBAN adresa: Sat Cazasu</w:t>
      </w: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  <w:proofErr w:type="spellStart"/>
      <w:r w:rsidRPr="006E47CE">
        <w:rPr>
          <w:sz w:val="28"/>
          <w:szCs w:val="28"/>
        </w:rPr>
        <w:t>Staţia</w:t>
      </w:r>
      <w:proofErr w:type="spellEnd"/>
      <w:r w:rsidRPr="006E47CE">
        <w:rPr>
          <w:sz w:val="28"/>
          <w:szCs w:val="28"/>
        </w:rPr>
        <w:t xml:space="preserve"> BR - 4 INDUSTRIAL 1 adresa: </w:t>
      </w:r>
      <w:proofErr w:type="spellStart"/>
      <w:r w:rsidRPr="006E47CE">
        <w:rPr>
          <w:sz w:val="28"/>
          <w:szCs w:val="28"/>
        </w:rPr>
        <w:t>Şoseaua</w:t>
      </w:r>
      <w:proofErr w:type="spellEnd"/>
      <w:r w:rsidRPr="006E47CE">
        <w:rPr>
          <w:sz w:val="28"/>
          <w:szCs w:val="28"/>
        </w:rPr>
        <w:t xml:space="preserve"> </w:t>
      </w:r>
      <w:proofErr w:type="spellStart"/>
      <w:r w:rsidRPr="006E47CE">
        <w:rPr>
          <w:sz w:val="28"/>
          <w:szCs w:val="28"/>
        </w:rPr>
        <w:t>Baldovineşti</w:t>
      </w:r>
      <w:proofErr w:type="spellEnd"/>
      <w:r w:rsidRPr="006E47CE">
        <w:rPr>
          <w:sz w:val="28"/>
          <w:szCs w:val="28"/>
        </w:rPr>
        <w:t xml:space="preserve"> nr. 22, </w:t>
      </w: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  <w:proofErr w:type="spellStart"/>
      <w:r w:rsidRPr="006E47CE">
        <w:rPr>
          <w:sz w:val="28"/>
          <w:szCs w:val="28"/>
        </w:rPr>
        <w:t>Staţia</w:t>
      </w:r>
      <w:proofErr w:type="spellEnd"/>
      <w:r w:rsidRPr="006E47CE">
        <w:rPr>
          <w:sz w:val="28"/>
          <w:szCs w:val="28"/>
        </w:rPr>
        <w:t xml:space="preserve"> BR - 5 INDUSTRIAL 2 adresa Sat Chiscani:</w:t>
      </w:r>
    </w:p>
    <w:p w:rsidR="000E71A1" w:rsidRPr="006E47CE" w:rsidRDefault="000E71A1" w:rsidP="000E71A1">
      <w:pPr>
        <w:jc w:val="center"/>
        <w:rPr>
          <w:i/>
          <w:sz w:val="28"/>
          <w:szCs w:val="28"/>
        </w:rPr>
      </w:pPr>
      <w:r w:rsidRPr="006E47CE">
        <w:rPr>
          <w:noProof/>
          <w:sz w:val="28"/>
          <w:szCs w:val="28"/>
          <w:lang w:eastAsia="ro-RO"/>
        </w:rPr>
        <w:drawing>
          <wp:inline distT="0" distB="0" distL="0" distR="0">
            <wp:extent cx="5400675" cy="1800225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</w:p>
    <w:p w:rsidR="000E71A1" w:rsidRPr="006E47CE" w:rsidRDefault="000E71A1" w:rsidP="000E71A1">
      <w:pPr>
        <w:jc w:val="center"/>
        <w:rPr>
          <w:sz w:val="28"/>
          <w:szCs w:val="28"/>
        </w:rPr>
      </w:pPr>
      <w:r w:rsidRPr="006E47CE">
        <w:rPr>
          <w:sz w:val="28"/>
          <w:szCs w:val="28"/>
        </w:rPr>
        <w:t xml:space="preserve">Datele sunt furnizate de </w:t>
      </w:r>
      <w:proofErr w:type="spellStart"/>
      <w:r w:rsidRPr="006E47CE">
        <w:rPr>
          <w:sz w:val="28"/>
          <w:szCs w:val="28"/>
        </w:rPr>
        <w:t>staţiile</w:t>
      </w:r>
      <w:proofErr w:type="spellEnd"/>
      <w:r w:rsidRPr="006E47CE">
        <w:rPr>
          <w:sz w:val="28"/>
          <w:szCs w:val="28"/>
        </w:rPr>
        <w:t xml:space="preserve"> automate din </w:t>
      </w:r>
      <w:proofErr w:type="spellStart"/>
      <w:r w:rsidRPr="006E47CE">
        <w:rPr>
          <w:sz w:val="28"/>
          <w:szCs w:val="28"/>
        </w:rPr>
        <w:t>Reţeaua</w:t>
      </w:r>
      <w:proofErr w:type="spellEnd"/>
      <w:r w:rsidRPr="006E47CE">
        <w:rPr>
          <w:sz w:val="28"/>
          <w:szCs w:val="28"/>
        </w:rPr>
        <w:t xml:space="preserve"> </w:t>
      </w:r>
      <w:proofErr w:type="spellStart"/>
      <w:r w:rsidRPr="006E47CE">
        <w:rPr>
          <w:sz w:val="28"/>
          <w:szCs w:val="28"/>
        </w:rPr>
        <w:t>Naţională</w:t>
      </w:r>
      <w:proofErr w:type="spellEnd"/>
      <w:r w:rsidRPr="006E47CE">
        <w:rPr>
          <w:sz w:val="28"/>
          <w:szCs w:val="28"/>
        </w:rPr>
        <w:t xml:space="preserve"> de Monitorizare a </w:t>
      </w:r>
      <w:proofErr w:type="spellStart"/>
      <w:r w:rsidRPr="006E47CE">
        <w:rPr>
          <w:sz w:val="28"/>
          <w:szCs w:val="28"/>
        </w:rPr>
        <w:t>Calităţii</w:t>
      </w:r>
      <w:proofErr w:type="spellEnd"/>
      <w:r w:rsidRPr="006E47CE">
        <w:rPr>
          <w:sz w:val="28"/>
          <w:szCs w:val="28"/>
        </w:rPr>
        <w:t xml:space="preserve"> Aerului </w:t>
      </w: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052666" w:rsidRDefault="005F1466" w:rsidP="005F1466">
      <w:pPr>
        <w:ind w:firstLine="720"/>
        <w:jc w:val="both"/>
        <w:rPr>
          <w:b/>
          <w:sz w:val="28"/>
          <w:szCs w:val="28"/>
        </w:rPr>
      </w:pPr>
      <w:r w:rsidRPr="00052666">
        <w:rPr>
          <w:sz w:val="28"/>
          <w:szCs w:val="28"/>
        </w:rPr>
        <w:t xml:space="preserve">Valorile înregistrate </w:t>
      </w:r>
      <w:r>
        <w:rPr>
          <w:sz w:val="28"/>
          <w:szCs w:val="28"/>
        </w:rPr>
        <w:t xml:space="preserve">în luna </w:t>
      </w:r>
      <w:r w:rsidR="00FF6F9D">
        <w:rPr>
          <w:sz w:val="28"/>
          <w:szCs w:val="28"/>
        </w:rPr>
        <w:t>martie</w:t>
      </w:r>
      <w:r>
        <w:rPr>
          <w:sz w:val="28"/>
          <w:szCs w:val="28"/>
        </w:rPr>
        <w:t xml:space="preserve"> 20</w:t>
      </w:r>
      <w:r w:rsidR="00D302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2666">
        <w:rPr>
          <w:sz w:val="28"/>
          <w:szCs w:val="28"/>
        </w:rPr>
        <w:t>la sta</w:t>
      </w:r>
      <w:r w:rsidR="001A6E71">
        <w:rPr>
          <w:sz w:val="28"/>
          <w:szCs w:val="28"/>
        </w:rPr>
        <w:t>ț</w:t>
      </w:r>
      <w:r w:rsidRPr="00052666">
        <w:rPr>
          <w:sz w:val="28"/>
          <w:szCs w:val="28"/>
        </w:rPr>
        <w:t>ia automată de monitorizare a dozei gama se încadrează în  limitele fondului natural.</w:t>
      </w: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15754D" w:rsidRPr="00471286" w:rsidRDefault="0015754D" w:rsidP="00080A45">
      <w:pPr>
        <w:jc w:val="center"/>
        <w:rPr>
          <w:b/>
          <w:bCs/>
          <w:sz w:val="28"/>
          <w:szCs w:val="28"/>
        </w:rPr>
      </w:pPr>
    </w:p>
    <w:p w:rsidR="005919C2" w:rsidRPr="005919C2" w:rsidRDefault="005919C2" w:rsidP="005919C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CB1F1B">
        <w:rPr>
          <w:bCs/>
          <w:sz w:val="28"/>
          <w:szCs w:val="28"/>
          <w:lang w:val="pt-BR"/>
        </w:rPr>
        <w:t>mart</w:t>
      </w:r>
      <w:r w:rsidRPr="005919C2">
        <w:rPr>
          <w:bCs/>
          <w:sz w:val="28"/>
          <w:szCs w:val="28"/>
          <w:lang w:val="pt-BR"/>
        </w:rPr>
        <w:t>ie 20</w:t>
      </w:r>
      <w:r w:rsidR="00D302C0">
        <w:rPr>
          <w:bCs/>
          <w:sz w:val="28"/>
          <w:szCs w:val="28"/>
          <w:lang w:val="pt-BR"/>
        </w:rPr>
        <w:t>20</w:t>
      </w:r>
      <w:r w:rsidRPr="005919C2">
        <w:rPr>
          <w:bCs/>
          <w:sz w:val="28"/>
          <w:szCs w:val="28"/>
          <w:lang w:val="pt-BR"/>
        </w:rPr>
        <w:t xml:space="preserve">, conform programului de monitorizare, </w:t>
      </w:r>
      <w:r w:rsidR="00E6115B"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>s-au prelevat probe de sol</w:t>
      </w:r>
      <w:r w:rsidR="00E6115B">
        <w:rPr>
          <w:bCs/>
          <w:sz w:val="28"/>
          <w:szCs w:val="28"/>
          <w:lang w:val="pt-BR"/>
        </w:rPr>
        <w:t>.</w:t>
      </w:r>
      <w:r w:rsidRPr="005919C2">
        <w:rPr>
          <w:bCs/>
          <w:sz w:val="28"/>
          <w:szCs w:val="28"/>
          <w:lang w:val="pt-BR"/>
        </w:rPr>
        <w:t xml:space="preserve"> 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BC6FB2" w:rsidRPr="005919C2" w:rsidRDefault="00BC6FB2" w:rsidP="00BC6FB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CB1F1B">
        <w:rPr>
          <w:bCs/>
          <w:sz w:val="28"/>
          <w:szCs w:val="28"/>
          <w:lang w:val="pt-BR"/>
        </w:rPr>
        <w:t>marti</w:t>
      </w:r>
      <w:r w:rsidRPr="005919C2">
        <w:rPr>
          <w:bCs/>
          <w:sz w:val="28"/>
          <w:szCs w:val="28"/>
          <w:lang w:val="pt-BR"/>
        </w:rPr>
        <w:t>e 20</w:t>
      </w:r>
      <w:r w:rsidR="00D302C0">
        <w:rPr>
          <w:bCs/>
          <w:sz w:val="28"/>
          <w:szCs w:val="28"/>
          <w:lang w:val="pt-BR"/>
        </w:rPr>
        <w:t>20</w:t>
      </w:r>
      <w:r w:rsidRPr="005919C2">
        <w:rPr>
          <w:bCs/>
          <w:sz w:val="28"/>
          <w:szCs w:val="28"/>
          <w:lang w:val="pt-BR"/>
        </w:rPr>
        <w:t xml:space="preserve">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 xml:space="preserve">s-au </w:t>
      </w:r>
      <w:r w:rsidR="007D7C9A">
        <w:rPr>
          <w:bCs/>
          <w:sz w:val="28"/>
          <w:szCs w:val="28"/>
          <w:lang w:val="pt-BR"/>
        </w:rPr>
        <w:t>efectuat măsurători de zgomot.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D16BC6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D223AF" w:rsidRPr="00471286" w:rsidRDefault="000D3193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PROTECŢIA NATURII ŞI ARII PROTEJATE</w:t>
      </w:r>
    </w:p>
    <w:p w:rsidR="00642BB8" w:rsidRPr="00471286" w:rsidRDefault="00642BB8" w:rsidP="00556AD9">
      <w:pPr>
        <w:jc w:val="both"/>
        <w:rPr>
          <w:b/>
          <w:sz w:val="28"/>
          <w:szCs w:val="28"/>
          <w:u w:val="single"/>
        </w:rPr>
      </w:pP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BIODIVERSITATE</w:t>
      </w:r>
    </w:p>
    <w:p w:rsidR="00343CB9" w:rsidRPr="00B40E05" w:rsidRDefault="00343CB9" w:rsidP="00343CB9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Colaborare cu Serviciul Avize Acorduri </w:t>
      </w:r>
      <w:proofErr w:type="spellStart"/>
      <w:r w:rsidRPr="00B40E05">
        <w:rPr>
          <w:sz w:val="28"/>
          <w:szCs w:val="28"/>
        </w:rPr>
        <w:t>Autorizaţii</w:t>
      </w:r>
      <w:proofErr w:type="spellEnd"/>
      <w:r w:rsidRPr="00B40E05">
        <w:rPr>
          <w:sz w:val="28"/>
          <w:szCs w:val="28"/>
        </w:rPr>
        <w:t xml:space="preserve"> pentru elaborarea actelor de reglementare - s-au analizat  9  </w:t>
      </w:r>
      <w:proofErr w:type="spellStart"/>
      <w:r w:rsidRPr="00B40E05">
        <w:rPr>
          <w:sz w:val="28"/>
          <w:szCs w:val="28"/>
        </w:rPr>
        <w:t>documentaţii</w:t>
      </w:r>
      <w:proofErr w:type="spellEnd"/>
      <w:r w:rsidRPr="00B40E05">
        <w:rPr>
          <w:sz w:val="28"/>
          <w:szCs w:val="28"/>
        </w:rPr>
        <w:t xml:space="preserve"> pentru emitere acte de reglementare, pentru care:</w:t>
      </w:r>
    </w:p>
    <w:p w:rsidR="00343CB9" w:rsidRPr="00B40E05" w:rsidRDefault="00343CB9" w:rsidP="00343CB9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s-au  făcut </w:t>
      </w:r>
      <w:proofErr w:type="spellStart"/>
      <w:r w:rsidRPr="00B40E05">
        <w:rPr>
          <w:sz w:val="28"/>
          <w:szCs w:val="28"/>
        </w:rPr>
        <w:t>observaţii</w:t>
      </w:r>
      <w:proofErr w:type="spellEnd"/>
      <w:r w:rsidRPr="00B40E05">
        <w:rPr>
          <w:sz w:val="28"/>
          <w:szCs w:val="28"/>
        </w:rPr>
        <w:t xml:space="preserve">   în cadrul  </w:t>
      </w:r>
      <w:proofErr w:type="spellStart"/>
      <w:r w:rsidRPr="00B40E05">
        <w:rPr>
          <w:sz w:val="28"/>
          <w:szCs w:val="28"/>
        </w:rPr>
        <w:t>şedinţelor</w:t>
      </w:r>
      <w:proofErr w:type="spellEnd"/>
      <w:r w:rsidRPr="00B40E05">
        <w:rPr>
          <w:sz w:val="28"/>
          <w:szCs w:val="28"/>
        </w:rPr>
        <w:t xml:space="preserve"> </w:t>
      </w:r>
      <w:proofErr w:type="spellStart"/>
      <w:r w:rsidRPr="00B40E05">
        <w:rPr>
          <w:sz w:val="28"/>
          <w:szCs w:val="28"/>
        </w:rPr>
        <w:t>CATși</w:t>
      </w:r>
      <w:proofErr w:type="spellEnd"/>
      <w:r w:rsidRPr="00B40E05">
        <w:rPr>
          <w:sz w:val="28"/>
          <w:szCs w:val="28"/>
        </w:rPr>
        <w:t xml:space="preserve"> CSC </w:t>
      </w:r>
    </w:p>
    <w:p w:rsidR="00343CB9" w:rsidRPr="00B40E05" w:rsidRDefault="00343CB9" w:rsidP="00343CB9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s-au emis  2 puncte de vedere pentru: </w:t>
      </w:r>
    </w:p>
    <w:p w:rsidR="00343CB9" w:rsidRPr="00B40E05" w:rsidRDefault="00343CB9" w:rsidP="00343CB9">
      <w:pPr>
        <w:numPr>
          <w:ilvl w:val="0"/>
          <w:numId w:val="37"/>
        </w:numPr>
        <w:ind w:left="1560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emiterea avizului de mediu pentru PUG Stăncuța, plan al cărui perimetru studiat se suprapune cu  ROSPA0005 și ROSCI0006 Balta Mică a Brăilei și Parcul Natural Balta Mică a Brăilei</w:t>
      </w:r>
    </w:p>
    <w:p w:rsidR="00343CB9" w:rsidRPr="00B40E05" w:rsidRDefault="00343CB9" w:rsidP="00343CB9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emiterea autorizației de mediu pentru activități de acvacultură în Lacul </w:t>
      </w:r>
      <w:proofErr w:type="spellStart"/>
      <w:r w:rsidRPr="00B40E05">
        <w:rPr>
          <w:sz w:val="28"/>
          <w:szCs w:val="28"/>
        </w:rPr>
        <w:t>Blasova</w:t>
      </w:r>
      <w:proofErr w:type="spellEnd"/>
      <w:r w:rsidRPr="00B40E05">
        <w:rPr>
          <w:sz w:val="28"/>
          <w:szCs w:val="28"/>
        </w:rPr>
        <w:t>, componentă a ROSPA0040 Dunărea Veche-</w:t>
      </w:r>
      <w:proofErr w:type="spellStart"/>
      <w:r w:rsidRPr="00B40E05">
        <w:rPr>
          <w:sz w:val="28"/>
          <w:szCs w:val="28"/>
        </w:rPr>
        <w:t>Braţul</w:t>
      </w:r>
      <w:proofErr w:type="spellEnd"/>
      <w:r w:rsidRPr="00B40E05">
        <w:rPr>
          <w:sz w:val="28"/>
          <w:szCs w:val="28"/>
        </w:rPr>
        <w:t xml:space="preserve"> Măcin și ROSCI0012 </w:t>
      </w:r>
      <w:proofErr w:type="spellStart"/>
      <w:r w:rsidRPr="00B40E05">
        <w:rPr>
          <w:sz w:val="28"/>
          <w:szCs w:val="28"/>
        </w:rPr>
        <w:t>Braţul</w:t>
      </w:r>
      <w:proofErr w:type="spellEnd"/>
      <w:r w:rsidRPr="00B40E05">
        <w:rPr>
          <w:sz w:val="28"/>
          <w:szCs w:val="28"/>
        </w:rPr>
        <w:t xml:space="preserve"> Măcin</w:t>
      </w:r>
    </w:p>
    <w:p w:rsidR="00343CB9" w:rsidRPr="00B40E05" w:rsidRDefault="00343CB9" w:rsidP="00343CB9">
      <w:pPr>
        <w:ind w:left="1560"/>
        <w:jc w:val="both"/>
        <w:rPr>
          <w:sz w:val="28"/>
          <w:szCs w:val="28"/>
        </w:rPr>
      </w:pPr>
    </w:p>
    <w:p w:rsidR="00343CB9" w:rsidRPr="00B40E05" w:rsidRDefault="00343CB9" w:rsidP="00343CB9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S-au introdus în SIM datele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</w:t>
      </w:r>
      <w:proofErr w:type="spellStart"/>
      <w:r w:rsidRPr="00B40E05">
        <w:rPr>
          <w:sz w:val="28"/>
          <w:szCs w:val="28"/>
        </w:rPr>
        <w:t>informaţiile</w:t>
      </w:r>
      <w:proofErr w:type="spellEnd"/>
      <w:r w:rsidRPr="00B40E05">
        <w:rPr>
          <w:sz w:val="28"/>
          <w:szCs w:val="28"/>
        </w:rPr>
        <w:t xml:space="preserve"> cu privire la capturi și ucideri accidentale precum și autorizațiile emise în anul 2019 conform Ord. MMDD 410/2008 pentru aprobarea Procedurii de autorizare a </w:t>
      </w:r>
      <w:proofErr w:type="spellStart"/>
      <w:r w:rsidRPr="00B40E05">
        <w:rPr>
          <w:sz w:val="28"/>
          <w:szCs w:val="28"/>
        </w:rPr>
        <w:t>activitatilor</w:t>
      </w:r>
      <w:proofErr w:type="spellEnd"/>
      <w:r w:rsidRPr="00B40E05">
        <w:rPr>
          <w:sz w:val="28"/>
          <w:szCs w:val="28"/>
        </w:rPr>
        <w:t xml:space="preserve"> de recoltare, capturare și/sau achiziție și/sau comercializare, pe teritoriul național sau la export, a florilor de mină, a fosilelor de plante și fosilelor de animale vertebrate și nevertebrate, precum și a plantelor și animalelor din flora și, respectiv, fauna </w:t>
      </w:r>
      <w:proofErr w:type="spellStart"/>
      <w:r w:rsidRPr="00B40E05">
        <w:rPr>
          <w:sz w:val="28"/>
          <w:szCs w:val="28"/>
        </w:rPr>
        <w:t>salbatice</w:t>
      </w:r>
      <w:proofErr w:type="spellEnd"/>
      <w:r w:rsidRPr="00B40E05">
        <w:rPr>
          <w:sz w:val="28"/>
          <w:szCs w:val="28"/>
        </w:rPr>
        <w:t xml:space="preserve"> și a importului acestora</w:t>
      </w:r>
    </w:p>
    <w:p w:rsidR="00343CB9" w:rsidRPr="00B40E05" w:rsidRDefault="00343CB9" w:rsidP="00343CB9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S-a emis o autorizație de mediu unei persoane fizice pentru recoltare plante în scopul comercializării conform Ord. MMDD 410/2008 .</w:t>
      </w:r>
    </w:p>
    <w:p w:rsidR="00343CB9" w:rsidRPr="00343CB9" w:rsidRDefault="00343CB9" w:rsidP="002A55CF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343CB9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343CB9">
        <w:rPr>
          <w:sz w:val="28"/>
          <w:szCs w:val="28"/>
        </w:rPr>
        <w:t>Fişa</w:t>
      </w:r>
      <w:proofErr w:type="spellEnd"/>
      <w:r w:rsidRPr="00343CB9">
        <w:rPr>
          <w:sz w:val="28"/>
          <w:szCs w:val="28"/>
        </w:rPr>
        <w:t xml:space="preserve"> </w:t>
      </w:r>
      <w:proofErr w:type="spellStart"/>
      <w:r w:rsidRPr="00343CB9">
        <w:rPr>
          <w:sz w:val="28"/>
          <w:szCs w:val="28"/>
        </w:rPr>
        <w:t>judeţului</w:t>
      </w:r>
      <w:proofErr w:type="spellEnd"/>
      <w:r w:rsidRPr="00343CB9">
        <w:rPr>
          <w:sz w:val="28"/>
          <w:szCs w:val="28"/>
        </w:rPr>
        <w:t xml:space="preserve">. </w:t>
      </w:r>
    </w:p>
    <w:p w:rsidR="00C805EC" w:rsidRDefault="00C805EC" w:rsidP="00343CB9">
      <w:pPr>
        <w:jc w:val="both"/>
        <w:rPr>
          <w:b/>
          <w:sz w:val="28"/>
          <w:szCs w:val="28"/>
          <w:u w:val="single"/>
        </w:rPr>
      </w:pPr>
    </w:p>
    <w:p w:rsidR="00343CB9" w:rsidRPr="00B40E05" w:rsidRDefault="00343CB9" w:rsidP="00343CB9">
      <w:pPr>
        <w:jc w:val="both"/>
        <w:rPr>
          <w:b/>
          <w:sz w:val="28"/>
          <w:szCs w:val="28"/>
          <w:u w:val="single"/>
        </w:rPr>
      </w:pPr>
      <w:r w:rsidRPr="00B40E05">
        <w:rPr>
          <w:b/>
          <w:sz w:val="28"/>
          <w:szCs w:val="28"/>
          <w:u w:val="single"/>
        </w:rPr>
        <w:t>DOMENIUL SOL</w:t>
      </w:r>
      <w:r>
        <w:rPr>
          <w:b/>
          <w:sz w:val="28"/>
          <w:szCs w:val="28"/>
          <w:u w:val="single"/>
        </w:rPr>
        <w:t xml:space="preserve"> </w:t>
      </w:r>
      <w:r w:rsidRPr="00B40E05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B40E05">
        <w:rPr>
          <w:b/>
          <w:sz w:val="28"/>
          <w:szCs w:val="28"/>
          <w:u w:val="single"/>
        </w:rPr>
        <w:t>SUBSOL</w:t>
      </w:r>
    </w:p>
    <w:p w:rsidR="00343CB9" w:rsidRPr="00B40E05" w:rsidRDefault="00343CB9" w:rsidP="00343CB9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Colaborare cu Serviciul Avize Acorduri </w:t>
      </w:r>
      <w:proofErr w:type="spellStart"/>
      <w:r w:rsidRPr="00B40E05">
        <w:rPr>
          <w:sz w:val="28"/>
          <w:szCs w:val="28"/>
        </w:rPr>
        <w:t>Autorizaţii</w:t>
      </w:r>
      <w:proofErr w:type="spellEnd"/>
      <w:r w:rsidRPr="00B40E05">
        <w:rPr>
          <w:sz w:val="28"/>
          <w:szCs w:val="28"/>
        </w:rPr>
        <w:t xml:space="preserve"> pentru elaborarea actelor de reglementare - s-au analizat 5 </w:t>
      </w:r>
      <w:proofErr w:type="spellStart"/>
      <w:r w:rsidRPr="00B40E05">
        <w:rPr>
          <w:sz w:val="28"/>
          <w:szCs w:val="28"/>
        </w:rPr>
        <w:t>documentaţii</w:t>
      </w:r>
      <w:proofErr w:type="spellEnd"/>
      <w:r w:rsidRPr="00B40E05">
        <w:rPr>
          <w:sz w:val="28"/>
          <w:szCs w:val="28"/>
        </w:rPr>
        <w:t xml:space="preserve"> pentru care s-au emis  5 puncte de vedere pentru lucrări de abandonare a unor sonde de petrol si gaze naturale.</w:t>
      </w:r>
    </w:p>
    <w:p w:rsidR="00343CB9" w:rsidRPr="00B40E05" w:rsidRDefault="00343CB9" w:rsidP="00343CB9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Pentru implementarea Legii nr. 74/2019 privind gestionarea siturilor </w:t>
      </w:r>
      <w:proofErr w:type="spellStart"/>
      <w:r w:rsidRPr="00B40E05">
        <w:rPr>
          <w:sz w:val="28"/>
          <w:szCs w:val="28"/>
        </w:rPr>
        <w:t>potenţial</w:t>
      </w:r>
      <w:proofErr w:type="spellEnd"/>
      <w:r w:rsidRPr="00B40E05">
        <w:rPr>
          <w:sz w:val="28"/>
          <w:szCs w:val="28"/>
        </w:rPr>
        <w:t xml:space="preserve"> contaminate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a celor contaminate s-a continuat informarea și solicitarea documentelor prevăzute de lege pentru identificarea siturilor </w:t>
      </w:r>
      <w:proofErr w:type="spellStart"/>
      <w:r w:rsidRPr="00B40E05">
        <w:rPr>
          <w:sz w:val="28"/>
          <w:szCs w:val="28"/>
        </w:rPr>
        <w:t>potential</w:t>
      </w:r>
      <w:proofErr w:type="spellEnd"/>
      <w:r w:rsidRPr="00B40E05">
        <w:rPr>
          <w:sz w:val="28"/>
          <w:szCs w:val="28"/>
        </w:rPr>
        <w:t xml:space="preserve"> contaminate .</w:t>
      </w:r>
    </w:p>
    <w:p w:rsidR="00343CB9" w:rsidRPr="00B40E05" w:rsidRDefault="00343CB9" w:rsidP="00343CB9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B40E05">
        <w:rPr>
          <w:sz w:val="28"/>
          <w:szCs w:val="28"/>
        </w:rPr>
        <w:t>Fişa</w:t>
      </w:r>
      <w:proofErr w:type="spellEnd"/>
      <w:r w:rsidRPr="00B40E05">
        <w:rPr>
          <w:sz w:val="28"/>
          <w:szCs w:val="28"/>
        </w:rPr>
        <w:t xml:space="preserve"> </w:t>
      </w:r>
      <w:proofErr w:type="spellStart"/>
      <w:r w:rsidRPr="00B40E05">
        <w:rPr>
          <w:sz w:val="28"/>
          <w:szCs w:val="28"/>
        </w:rPr>
        <w:t>judeţului</w:t>
      </w:r>
      <w:proofErr w:type="spellEnd"/>
      <w:r w:rsidRPr="00B40E05">
        <w:rPr>
          <w:sz w:val="28"/>
          <w:szCs w:val="28"/>
        </w:rPr>
        <w:t xml:space="preserve">. </w:t>
      </w: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1E4940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5770F4" w:rsidRPr="00B40E05" w:rsidRDefault="005770F4" w:rsidP="005770F4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Colaborare cu Serviciul Avize Acorduri </w:t>
      </w:r>
      <w:proofErr w:type="spellStart"/>
      <w:r w:rsidRPr="00B40E05">
        <w:rPr>
          <w:sz w:val="28"/>
          <w:szCs w:val="28"/>
        </w:rPr>
        <w:t>Autorizaţii</w:t>
      </w:r>
      <w:proofErr w:type="spellEnd"/>
      <w:r w:rsidRPr="00B40E05">
        <w:rPr>
          <w:sz w:val="28"/>
          <w:szCs w:val="28"/>
        </w:rPr>
        <w:t xml:space="preserve"> pentru elaborarea actelor de reglementare: au fost analizate 22 </w:t>
      </w:r>
      <w:proofErr w:type="spellStart"/>
      <w:r w:rsidRPr="00B40E05">
        <w:rPr>
          <w:sz w:val="28"/>
          <w:szCs w:val="28"/>
        </w:rPr>
        <w:t>documentaţii</w:t>
      </w:r>
      <w:proofErr w:type="spellEnd"/>
      <w:r w:rsidRPr="00B40E05">
        <w:rPr>
          <w:sz w:val="28"/>
          <w:szCs w:val="28"/>
        </w:rPr>
        <w:t xml:space="preserve"> pentru care:</w:t>
      </w:r>
    </w:p>
    <w:p w:rsidR="005770F4" w:rsidRPr="00B40E05" w:rsidRDefault="005770F4" w:rsidP="005770F4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s-au  făcut </w:t>
      </w:r>
      <w:proofErr w:type="spellStart"/>
      <w:r w:rsidRPr="00B40E05">
        <w:rPr>
          <w:sz w:val="28"/>
          <w:szCs w:val="28"/>
        </w:rPr>
        <w:t>observaţii</w:t>
      </w:r>
      <w:proofErr w:type="spellEnd"/>
      <w:r w:rsidRPr="00B40E05">
        <w:rPr>
          <w:sz w:val="28"/>
          <w:szCs w:val="28"/>
        </w:rPr>
        <w:t xml:space="preserve"> în cadrul  </w:t>
      </w:r>
      <w:proofErr w:type="spellStart"/>
      <w:r w:rsidRPr="00B40E05">
        <w:rPr>
          <w:sz w:val="28"/>
          <w:szCs w:val="28"/>
        </w:rPr>
        <w:t>şedinţelor</w:t>
      </w:r>
      <w:proofErr w:type="spellEnd"/>
      <w:r w:rsidRPr="00B40E05">
        <w:rPr>
          <w:sz w:val="28"/>
          <w:szCs w:val="28"/>
        </w:rPr>
        <w:t xml:space="preserve"> CIA, CAT și CSC </w:t>
      </w:r>
    </w:p>
    <w:p w:rsidR="005770F4" w:rsidRPr="00B40E05" w:rsidRDefault="005770F4" w:rsidP="005770F4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E05">
        <w:rPr>
          <w:sz w:val="28"/>
          <w:szCs w:val="28"/>
        </w:rPr>
        <w:t>s-au emis  22 puncte de vedere pentru:</w:t>
      </w:r>
    </w:p>
    <w:p w:rsidR="005770F4" w:rsidRPr="00B40E05" w:rsidRDefault="005770F4" w:rsidP="005770F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40E05">
        <w:rPr>
          <w:sz w:val="28"/>
          <w:szCs w:val="28"/>
        </w:rPr>
        <w:lastRenderedPageBreak/>
        <w:t xml:space="preserve">emiterea acordului de mediu pentru:    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un proiect de </w:t>
      </w:r>
      <w:proofErr w:type="spellStart"/>
      <w:r w:rsidRPr="00B40E05">
        <w:rPr>
          <w:sz w:val="28"/>
          <w:szCs w:val="28"/>
        </w:rPr>
        <w:t>înfiintare</w:t>
      </w:r>
      <w:proofErr w:type="spellEnd"/>
      <w:r w:rsidRPr="00B40E05">
        <w:rPr>
          <w:sz w:val="28"/>
          <w:szCs w:val="28"/>
        </w:rPr>
        <w:t xml:space="preserve"> a sistemului de </w:t>
      </w:r>
      <w:proofErr w:type="spellStart"/>
      <w:r w:rsidRPr="00B40E05">
        <w:rPr>
          <w:sz w:val="28"/>
          <w:szCs w:val="28"/>
        </w:rPr>
        <w:t>distributie</w:t>
      </w:r>
      <w:proofErr w:type="spellEnd"/>
      <w:r w:rsidRPr="00B40E05">
        <w:rPr>
          <w:sz w:val="28"/>
          <w:szCs w:val="28"/>
        </w:rPr>
        <w:t xml:space="preserve"> a gazelor naturale în satul Lacu Sărat 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un centru de permanenta medicala amplasat în municipiul Brăila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cinci proiecte privind lucrări de abandonare pentru sonde de petrol și gaze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un proiect de tratare a anvelopelor uzate prin piroliza cauciucului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un proiect de completare a instalațiilor unui complex de creștere suine în vederea separării și procesării dejecțiilor într-un incinerator rotativ continuu</w:t>
      </w:r>
    </w:p>
    <w:p w:rsidR="005770F4" w:rsidRPr="00B40E05" w:rsidRDefault="005770F4" w:rsidP="005770F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emiterea autorizației integrate de mediu pentru stația </w:t>
      </w:r>
      <w:proofErr w:type="spellStart"/>
      <w:r w:rsidRPr="00B40E05">
        <w:rPr>
          <w:sz w:val="28"/>
          <w:szCs w:val="28"/>
        </w:rPr>
        <w:t>mecano</w:t>
      </w:r>
      <w:proofErr w:type="spellEnd"/>
      <w:r w:rsidRPr="00B40E05">
        <w:rPr>
          <w:sz w:val="28"/>
          <w:szCs w:val="28"/>
        </w:rPr>
        <w:t xml:space="preserve"> biologică Vădeni, componentă a Sistemului de Management Integrat al Deșeurilor în județul Brăila</w:t>
      </w:r>
    </w:p>
    <w:p w:rsidR="005770F4" w:rsidRPr="00B40E05" w:rsidRDefault="005770F4" w:rsidP="005770F4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emiterea autorizației de mediu pentru: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o fermă agricolă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Direcția Serviciilor Publice Ianca pentru activitățile de salubrizare desfășurate în teritoriul administrativ al UAT Ianca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doi operatori care desfășoară activități agricole și de tratare a semințelor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 xml:space="preserve">o spălătorie auto 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o fermă pentru creșterea suinelor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un centru de colectare și comerț cu deșeuri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un atelier pentru demontarea motoarelor de ambarcațiuni în vederea valorificării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un atelier pentru monumente funerare din piatră tăiată și ciment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 xml:space="preserve">o unitate de tratare </w:t>
      </w:r>
      <w:proofErr w:type="spellStart"/>
      <w:r w:rsidRPr="00B40E05">
        <w:rPr>
          <w:bCs/>
          <w:sz w:val="28"/>
          <w:szCs w:val="28"/>
        </w:rPr>
        <w:t>seminte</w:t>
      </w:r>
      <w:proofErr w:type="spellEnd"/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 xml:space="preserve">ferma  </w:t>
      </w:r>
      <w:proofErr w:type="spellStart"/>
      <w:r w:rsidRPr="00B40E05">
        <w:rPr>
          <w:bCs/>
          <w:sz w:val="28"/>
          <w:szCs w:val="28"/>
        </w:rPr>
        <w:t>Blasova</w:t>
      </w:r>
      <w:proofErr w:type="spellEnd"/>
      <w:r w:rsidRPr="00B40E05">
        <w:rPr>
          <w:bCs/>
          <w:sz w:val="28"/>
          <w:szCs w:val="28"/>
        </w:rPr>
        <w:t>- acvacultura în ape dulci” cod CAEN 0322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>un parc de separatoare pentru produse petroliere</w:t>
      </w:r>
    </w:p>
    <w:p w:rsidR="005770F4" w:rsidRPr="00B40E05" w:rsidRDefault="005770F4" w:rsidP="005770F4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B40E05">
        <w:rPr>
          <w:bCs/>
          <w:sz w:val="28"/>
          <w:szCs w:val="28"/>
        </w:rPr>
        <w:t xml:space="preserve">un operator din domeniul fabricării dulciurilor și produselor de patiserie </w:t>
      </w:r>
    </w:p>
    <w:p w:rsidR="005770F4" w:rsidRPr="00B40E05" w:rsidRDefault="005770F4" w:rsidP="005770F4">
      <w:pPr>
        <w:ind w:left="1418"/>
        <w:jc w:val="both"/>
        <w:rPr>
          <w:sz w:val="28"/>
          <w:szCs w:val="28"/>
        </w:rPr>
      </w:pPr>
    </w:p>
    <w:p w:rsidR="005770F4" w:rsidRPr="00B40E05" w:rsidRDefault="005770F4" w:rsidP="005770F4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S-au colectat, validat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prelucrat datele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</w:t>
      </w:r>
      <w:proofErr w:type="spellStart"/>
      <w:r w:rsidRPr="00B40E05">
        <w:rPr>
          <w:sz w:val="28"/>
          <w:szCs w:val="28"/>
        </w:rPr>
        <w:t>informaţiile</w:t>
      </w:r>
      <w:proofErr w:type="spellEnd"/>
      <w:r w:rsidRPr="00B40E05">
        <w:rPr>
          <w:sz w:val="28"/>
          <w:szCs w:val="28"/>
        </w:rPr>
        <w:t xml:space="preserve"> necesare, s-au întocmit inventarele specifice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s-au făcut raportările corespunzătoare privind:</w:t>
      </w:r>
    </w:p>
    <w:p w:rsidR="005770F4" w:rsidRPr="00B40E05" w:rsidRDefault="005770F4" w:rsidP="005770F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fluxul </w:t>
      </w:r>
      <w:proofErr w:type="spellStart"/>
      <w:r w:rsidRPr="00B40E05">
        <w:rPr>
          <w:sz w:val="28"/>
          <w:szCs w:val="28"/>
        </w:rPr>
        <w:t>deşeurilor</w:t>
      </w:r>
      <w:proofErr w:type="spellEnd"/>
      <w:r w:rsidRPr="00B40E05">
        <w:rPr>
          <w:sz w:val="28"/>
          <w:szCs w:val="28"/>
        </w:rPr>
        <w:t>;</w:t>
      </w:r>
    </w:p>
    <w:p w:rsidR="005770F4" w:rsidRPr="00B40E05" w:rsidRDefault="005770F4" w:rsidP="005770F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inventarul deșeurilor de ambalaje</w:t>
      </w:r>
    </w:p>
    <w:p w:rsidR="005770F4" w:rsidRPr="00B40E05" w:rsidRDefault="005770F4" w:rsidP="005770F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capitolele corespunzătoare domeniului din raportul lunar </w:t>
      </w:r>
      <w:proofErr w:type="spellStart"/>
      <w:r w:rsidRPr="00B40E05">
        <w:rPr>
          <w:sz w:val="28"/>
          <w:szCs w:val="28"/>
        </w:rPr>
        <w:t>Fişa</w:t>
      </w:r>
      <w:proofErr w:type="spellEnd"/>
      <w:r w:rsidRPr="00B40E05">
        <w:rPr>
          <w:sz w:val="28"/>
          <w:szCs w:val="28"/>
        </w:rPr>
        <w:t xml:space="preserve"> </w:t>
      </w:r>
      <w:proofErr w:type="spellStart"/>
      <w:r w:rsidRPr="00B40E05">
        <w:rPr>
          <w:sz w:val="28"/>
          <w:szCs w:val="28"/>
        </w:rPr>
        <w:t>judeţului</w:t>
      </w:r>
      <w:proofErr w:type="spellEnd"/>
      <w:r w:rsidRPr="00B40E05">
        <w:rPr>
          <w:sz w:val="28"/>
          <w:szCs w:val="28"/>
        </w:rPr>
        <w:t>;</w:t>
      </w:r>
    </w:p>
    <w:p w:rsidR="005770F4" w:rsidRPr="00B40E05" w:rsidRDefault="005770F4" w:rsidP="005770F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substanțe periculoase</w:t>
      </w:r>
    </w:p>
    <w:p w:rsidR="005770F4" w:rsidRPr="00B40E05" w:rsidRDefault="005770F4" w:rsidP="005770F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deșeuri de echipamente cu PCB</w:t>
      </w:r>
    </w:p>
    <w:p w:rsidR="005770F4" w:rsidRPr="00B40E05" w:rsidRDefault="005770F4" w:rsidP="005770F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deșeuri de echipamente electrice și electronice</w:t>
      </w:r>
    </w:p>
    <w:p w:rsidR="005770F4" w:rsidRPr="00B40E05" w:rsidRDefault="005770F4" w:rsidP="005770F4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E05">
        <w:rPr>
          <w:sz w:val="28"/>
          <w:szCs w:val="28"/>
        </w:rPr>
        <w:t>vehicule scoase din uz</w:t>
      </w:r>
    </w:p>
    <w:p w:rsidR="005770F4" w:rsidRPr="00B40E05" w:rsidRDefault="005770F4" w:rsidP="005770F4">
      <w:pPr>
        <w:jc w:val="both"/>
        <w:rPr>
          <w:sz w:val="28"/>
          <w:szCs w:val="28"/>
        </w:rPr>
      </w:pPr>
    </w:p>
    <w:p w:rsidR="005770F4" w:rsidRPr="00B40E05" w:rsidRDefault="005770F4" w:rsidP="005770F4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Au fost validate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aprobate 11 formulare pentru transportul de </w:t>
      </w:r>
      <w:proofErr w:type="spellStart"/>
      <w:r w:rsidRPr="00B40E05">
        <w:rPr>
          <w:sz w:val="28"/>
          <w:szCs w:val="28"/>
        </w:rPr>
        <w:t>deşeuri</w:t>
      </w:r>
      <w:proofErr w:type="spellEnd"/>
      <w:r w:rsidRPr="00B40E05">
        <w:rPr>
          <w:sz w:val="28"/>
          <w:szCs w:val="28"/>
        </w:rPr>
        <w:t xml:space="preserve"> periculoase care se valorifică/reciclează/elimină în </w:t>
      </w:r>
      <w:proofErr w:type="spellStart"/>
      <w:r w:rsidRPr="00B40E05">
        <w:rPr>
          <w:sz w:val="28"/>
          <w:szCs w:val="28"/>
        </w:rPr>
        <w:t>instalaţii</w:t>
      </w:r>
      <w:proofErr w:type="spellEnd"/>
      <w:r w:rsidRPr="00B40E05">
        <w:rPr>
          <w:sz w:val="28"/>
          <w:szCs w:val="28"/>
        </w:rPr>
        <w:t xml:space="preserve"> din </w:t>
      </w:r>
      <w:proofErr w:type="spellStart"/>
      <w:r w:rsidRPr="00B40E05">
        <w:rPr>
          <w:sz w:val="28"/>
          <w:szCs w:val="28"/>
        </w:rPr>
        <w:t>judeţul</w:t>
      </w:r>
      <w:proofErr w:type="spellEnd"/>
      <w:r w:rsidRPr="00B40E05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control al transportului </w:t>
      </w:r>
      <w:proofErr w:type="spellStart"/>
      <w:r w:rsidRPr="00B40E05">
        <w:rPr>
          <w:sz w:val="28"/>
          <w:szCs w:val="28"/>
        </w:rPr>
        <w:t>deşeurilor</w:t>
      </w:r>
      <w:proofErr w:type="spellEnd"/>
      <w:r w:rsidRPr="00B40E05">
        <w:rPr>
          <w:sz w:val="28"/>
          <w:szCs w:val="28"/>
        </w:rPr>
        <w:t xml:space="preserve"> pe teritoriul României. S-au înregistrat în baza de date 62 formulare de </w:t>
      </w:r>
      <w:proofErr w:type="spellStart"/>
      <w:r w:rsidRPr="00B40E05">
        <w:rPr>
          <w:sz w:val="28"/>
          <w:szCs w:val="28"/>
        </w:rPr>
        <w:t>expediţie</w:t>
      </w:r>
      <w:proofErr w:type="spellEnd"/>
      <w:r w:rsidRPr="00B40E05">
        <w:rPr>
          <w:sz w:val="28"/>
          <w:szCs w:val="28"/>
        </w:rPr>
        <w:t xml:space="preserve">/transport </w:t>
      </w:r>
      <w:proofErr w:type="spellStart"/>
      <w:r w:rsidRPr="00B40E05">
        <w:rPr>
          <w:sz w:val="28"/>
          <w:szCs w:val="28"/>
        </w:rPr>
        <w:t>substanţe</w:t>
      </w:r>
      <w:proofErr w:type="spellEnd"/>
      <w:r w:rsidRPr="00B40E05">
        <w:rPr>
          <w:sz w:val="28"/>
          <w:szCs w:val="28"/>
        </w:rPr>
        <w:t xml:space="preserve"> periculoase.</w:t>
      </w:r>
    </w:p>
    <w:p w:rsidR="005770F4" w:rsidRPr="00B40E05" w:rsidRDefault="005770F4" w:rsidP="005770F4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lastRenderedPageBreak/>
        <w:t xml:space="preserve">Participare la o </w:t>
      </w:r>
      <w:proofErr w:type="spellStart"/>
      <w:r w:rsidRPr="00B40E05">
        <w:rPr>
          <w:sz w:val="28"/>
          <w:szCs w:val="28"/>
        </w:rPr>
        <w:t>acţiune</w:t>
      </w:r>
      <w:proofErr w:type="spellEnd"/>
      <w:r w:rsidRPr="00B40E05">
        <w:rPr>
          <w:sz w:val="28"/>
          <w:szCs w:val="28"/>
        </w:rPr>
        <w:t xml:space="preserve"> de preluare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distrugere a deșeurilor conform OG </w:t>
      </w:r>
      <w:hyperlink r:id="rId21" w:history="1">
        <w:r w:rsidRPr="00B40E05">
          <w:rPr>
            <w:sz w:val="28"/>
            <w:szCs w:val="28"/>
          </w:rPr>
          <w:t>14/2007</w:t>
        </w:r>
      </w:hyperlink>
      <w:r w:rsidRPr="00B40E05">
        <w:rPr>
          <w:sz w:val="28"/>
          <w:szCs w:val="28"/>
        </w:rPr>
        <w:t xml:space="preserve"> pentru reglementarea modului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</w:t>
      </w:r>
      <w:proofErr w:type="spellStart"/>
      <w:r w:rsidRPr="00B40E05">
        <w:rPr>
          <w:sz w:val="28"/>
          <w:szCs w:val="28"/>
        </w:rPr>
        <w:t>condiţiilor</w:t>
      </w:r>
      <w:proofErr w:type="spellEnd"/>
      <w:r w:rsidRPr="00B40E05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B40E05">
        <w:rPr>
          <w:sz w:val="28"/>
          <w:szCs w:val="28"/>
        </w:rPr>
        <w:t>şi</w:t>
      </w:r>
      <w:proofErr w:type="spellEnd"/>
      <w:r w:rsidRPr="00B40E05">
        <w:rPr>
          <w:sz w:val="28"/>
          <w:szCs w:val="28"/>
        </w:rPr>
        <w:t xml:space="preserve"> a normelor metodologice de aplicare stabilite prin HG 371/2007 Republicată.</w:t>
      </w:r>
    </w:p>
    <w:p w:rsidR="005770F4" w:rsidRPr="00B40E05" w:rsidRDefault="005770F4" w:rsidP="005770F4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E05">
        <w:rPr>
          <w:sz w:val="28"/>
          <w:szCs w:val="28"/>
        </w:rPr>
        <w:t xml:space="preserve">Au fost acordate operatorilor economici </w:t>
      </w:r>
      <w:proofErr w:type="spellStart"/>
      <w:r w:rsidRPr="00B40E05">
        <w:rPr>
          <w:sz w:val="28"/>
          <w:szCs w:val="28"/>
        </w:rPr>
        <w:t>consultaţii</w:t>
      </w:r>
      <w:proofErr w:type="spellEnd"/>
      <w:r w:rsidRPr="00B40E05">
        <w:rPr>
          <w:sz w:val="28"/>
          <w:szCs w:val="28"/>
        </w:rPr>
        <w:t xml:space="preserve"> tehnice pentru diferite tematici privind gestiunea </w:t>
      </w:r>
      <w:proofErr w:type="spellStart"/>
      <w:r w:rsidRPr="00B40E05">
        <w:rPr>
          <w:sz w:val="28"/>
          <w:szCs w:val="28"/>
        </w:rPr>
        <w:t>deşeurilor</w:t>
      </w:r>
      <w:proofErr w:type="spellEnd"/>
      <w:r w:rsidRPr="00B40E05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B40E05">
        <w:rPr>
          <w:sz w:val="28"/>
          <w:szCs w:val="28"/>
        </w:rPr>
        <w:t>informaţii</w:t>
      </w:r>
      <w:proofErr w:type="spellEnd"/>
      <w:r w:rsidRPr="00B40E05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5B164E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167F24" w:rsidRPr="00471286" w:rsidRDefault="00167F24" w:rsidP="00DE29F3">
      <w:pPr>
        <w:ind w:firstLine="720"/>
        <w:jc w:val="center"/>
        <w:rPr>
          <w:sz w:val="28"/>
          <w:szCs w:val="28"/>
          <w:lang w:val="it-IT"/>
        </w:rPr>
      </w:pPr>
      <w:bookmarkStart w:id="3" w:name="_GoBack"/>
      <w:bookmarkEnd w:id="3"/>
    </w:p>
    <w:p w:rsidR="00BC230A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F32509">
        <w:rPr>
          <w:sz w:val="28"/>
          <w:szCs w:val="28"/>
          <w:lang w:val="it-IT"/>
        </w:rPr>
        <w:t>mart</w:t>
      </w:r>
      <w:r w:rsidR="004B776E" w:rsidRPr="00471286">
        <w:rPr>
          <w:sz w:val="28"/>
          <w:szCs w:val="28"/>
          <w:lang w:val="it-IT"/>
        </w:rPr>
        <w:t>ie</w:t>
      </w:r>
      <w:r w:rsidRPr="00471286">
        <w:rPr>
          <w:sz w:val="28"/>
          <w:szCs w:val="28"/>
          <w:lang w:val="it-IT"/>
        </w:rPr>
        <w:t xml:space="preserve"> 20</w:t>
      </w:r>
      <w:r w:rsidR="00BC230A">
        <w:rPr>
          <w:sz w:val="28"/>
          <w:szCs w:val="28"/>
          <w:lang w:val="it-IT"/>
        </w:rPr>
        <w:t>20</w:t>
      </w:r>
      <w:r w:rsidRPr="00471286">
        <w:rPr>
          <w:sz w:val="28"/>
          <w:szCs w:val="28"/>
          <w:lang w:val="it-IT"/>
        </w:rPr>
        <w:t xml:space="preserve"> la APM Brăila</w:t>
      </w:r>
      <w:r w:rsidR="008C62A1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102CBA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F922BA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polu</w:t>
      </w:r>
      <w:r w:rsidR="000D5E27">
        <w:rPr>
          <w:sz w:val="28"/>
          <w:szCs w:val="28"/>
          <w:lang w:val="it-IT"/>
        </w:rPr>
        <w:t>ă</w:t>
      </w:r>
      <w:proofErr w:type="spellStart"/>
      <w:r w:rsidR="00102CBA">
        <w:rPr>
          <w:sz w:val="28"/>
          <w:szCs w:val="28"/>
        </w:rPr>
        <w:t>ri</w:t>
      </w:r>
      <w:proofErr w:type="spellEnd"/>
      <w:r w:rsidR="00102CBA">
        <w:rPr>
          <w:sz w:val="28"/>
          <w:szCs w:val="28"/>
        </w:rPr>
        <w:t xml:space="preserve"> accidentale produse pe raza județului Brăila.</w:t>
      </w:r>
    </w:p>
    <w:p w:rsidR="00BC230A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223AF" w:rsidRPr="00471286" w:rsidRDefault="005B164E" w:rsidP="00BC23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310">
        <w:rPr>
          <w:sz w:val="28"/>
          <w:szCs w:val="28"/>
        </w:rPr>
        <w:t xml:space="preserve">                           </w:t>
      </w:r>
      <w:r w:rsidR="00D223AF" w:rsidRPr="00471286">
        <w:rPr>
          <w:b/>
          <w:sz w:val="28"/>
          <w:szCs w:val="28"/>
        </w:rPr>
        <w:t>Director executiv</w:t>
      </w:r>
    </w:p>
    <w:p w:rsidR="00D223AF" w:rsidRPr="00471286" w:rsidRDefault="00C805EC" w:rsidP="00C805E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223AF"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CA" w:rsidRDefault="00E63FCA">
      <w:r>
        <w:separator/>
      </w:r>
    </w:p>
  </w:endnote>
  <w:endnote w:type="continuationSeparator" w:id="0">
    <w:p w:rsidR="00E63FCA" w:rsidRDefault="00E6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67F24">
      <w:rPr>
        <w:rStyle w:val="Numrdepagin"/>
        <w:noProof/>
      </w:rPr>
      <w:t>12</w: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CA" w:rsidRDefault="00E63FCA">
      <w:r>
        <w:separator/>
      </w:r>
    </w:p>
  </w:footnote>
  <w:footnote w:type="continuationSeparator" w:id="0">
    <w:p w:rsidR="00E63FCA" w:rsidRDefault="00E6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C0D"/>
    <w:multiLevelType w:val="hybridMultilevel"/>
    <w:tmpl w:val="50727D68"/>
    <w:lvl w:ilvl="0" w:tplc="97AE5C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778"/>
    <w:multiLevelType w:val="hybridMultilevel"/>
    <w:tmpl w:val="6C8CC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E85B17"/>
    <w:multiLevelType w:val="hybridMultilevel"/>
    <w:tmpl w:val="8F7854CE"/>
    <w:lvl w:ilvl="0" w:tplc="0418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5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10"/>
  </w:num>
  <w:num w:numId="5">
    <w:abstractNumId w:val="17"/>
  </w:num>
  <w:num w:numId="6">
    <w:abstractNumId w:val="7"/>
  </w:num>
  <w:num w:numId="7">
    <w:abstractNumId w:val="34"/>
  </w:num>
  <w:num w:numId="8">
    <w:abstractNumId w:val="19"/>
  </w:num>
  <w:num w:numId="9">
    <w:abstractNumId w:val="9"/>
  </w:num>
  <w:num w:numId="10">
    <w:abstractNumId w:val="14"/>
  </w:num>
  <w:num w:numId="11">
    <w:abstractNumId w:val="36"/>
  </w:num>
  <w:num w:numId="12">
    <w:abstractNumId w:val="30"/>
  </w:num>
  <w:num w:numId="13">
    <w:abstractNumId w:val="27"/>
  </w:num>
  <w:num w:numId="14">
    <w:abstractNumId w:val="16"/>
  </w:num>
  <w:num w:numId="15">
    <w:abstractNumId w:val="28"/>
  </w:num>
  <w:num w:numId="16">
    <w:abstractNumId w:val="18"/>
  </w:num>
  <w:num w:numId="17">
    <w:abstractNumId w:val="39"/>
  </w:num>
  <w:num w:numId="18">
    <w:abstractNumId w:val="23"/>
  </w:num>
  <w:num w:numId="19">
    <w:abstractNumId w:val="13"/>
  </w:num>
  <w:num w:numId="20">
    <w:abstractNumId w:val="38"/>
  </w:num>
  <w:num w:numId="21">
    <w:abstractNumId w:val="25"/>
  </w:num>
  <w:num w:numId="22">
    <w:abstractNumId w:val="0"/>
  </w:num>
  <w:num w:numId="23">
    <w:abstractNumId w:val="20"/>
  </w:num>
  <w:num w:numId="24">
    <w:abstractNumId w:val="2"/>
  </w:num>
  <w:num w:numId="25">
    <w:abstractNumId w:val="12"/>
  </w:num>
  <w:num w:numId="26">
    <w:abstractNumId w:val="3"/>
  </w:num>
  <w:num w:numId="27">
    <w:abstractNumId w:val="8"/>
  </w:num>
  <w:num w:numId="28">
    <w:abstractNumId w:val="24"/>
  </w:num>
  <w:num w:numId="29">
    <w:abstractNumId w:val="33"/>
  </w:num>
  <w:num w:numId="30">
    <w:abstractNumId w:val="15"/>
  </w:num>
  <w:num w:numId="31">
    <w:abstractNumId w:val="21"/>
  </w:num>
  <w:num w:numId="32">
    <w:abstractNumId w:val="37"/>
  </w:num>
  <w:num w:numId="33">
    <w:abstractNumId w:val="1"/>
  </w:num>
  <w:num w:numId="34">
    <w:abstractNumId w:val="35"/>
  </w:num>
  <w:num w:numId="35">
    <w:abstractNumId w:val="22"/>
  </w:num>
  <w:num w:numId="36">
    <w:abstractNumId w:val="32"/>
  </w:num>
  <w:num w:numId="37">
    <w:abstractNumId w:val="41"/>
  </w:num>
  <w:num w:numId="38">
    <w:abstractNumId w:val="29"/>
  </w:num>
  <w:num w:numId="39">
    <w:abstractNumId w:val="5"/>
  </w:num>
  <w:num w:numId="40">
    <w:abstractNumId w:val="11"/>
  </w:num>
  <w:num w:numId="41">
    <w:abstractNumId w:val="4"/>
  </w:num>
  <w:num w:numId="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0A07"/>
    <w:rsid w:val="002E12FC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19A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5F5"/>
    <w:rsid w:val="00406D5D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E5B"/>
    <w:rsid w:val="00523BF5"/>
    <w:rsid w:val="00526236"/>
    <w:rsid w:val="00526E35"/>
    <w:rsid w:val="0053016A"/>
    <w:rsid w:val="00531B30"/>
    <w:rsid w:val="00533AA3"/>
    <w:rsid w:val="00534BEB"/>
    <w:rsid w:val="00535800"/>
    <w:rsid w:val="00536D3F"/>
    <w:rsid w:val="005375BC"/>
    <w:rsid w:val="005375FF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770F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CCB"/>
    <w:rsid w:val="006C4042"/>
    <w:rsid w:val="006C4EAD"/>
    <w:rsid w:val="006C52D6"/>
    <w:rsid w:val="006C563A"/>
    <w:rsid w:val="006C74F7"/>
    <w:rsid w:val="006D061C"/>
    <w:rsid w:val="006D1535"/>
    <w:rsid w:val="006D15B9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BFD"/>
    <w:rsid w:val="00A4457F"/>
    <w:rsid w:val="00A446FC"/>
    <w:rsid w:val="00A45C59"/>
    <w:rsid w:val="00A45E89"/>
    <w:rsid w:val="00A46DD3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579F3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10AE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2FBB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A58"/>
    <w:rsid w:val="00FB5CF4"/>
    <w:rsid w:val="00FB6672"/>
    <w:rsid w:val="00FB6DDC"/>
    <w:rsid w:val="00FB7030"/>
    <w:rsid w:val="00FC12A2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B7F2B7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sintact%203.0\cache\Legislatie\temp1115056\00120442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5.82</c:v>
                </c:pt>
                <c:pt idx="1">
                  <c:v>6.07</c:v>
                </c:pt>
                <c:pt idx="2">
                  <c:v>9.2200000000000006</c:v>
                </c:pt>
                <c:pt idx="3">
                  <c:v>6.37</c:v>
                </c:pt>
                <c:pt idx="4">
                  <c:v>4.8600000000000003</c:v>
                </c:pt>
                <c:pt idx="5">
                  <c:v>17.07</c:v>
                </c:pt>
                <c:pt idx="6">
                  <c:v>17.600000000000001</c:v>
                </c:pt>
                <c:pt idx="7">
                  <c:v>17.29</c:v>
                </c:pt>
                <c:pt idx="8">
                  <c:v>14</c:v>
                </c:pt>
                <c:pt idx="9">
                  <c:v>9.16</c:v>
                </c:pt>
                <c:pt idx="10">
                  <c:v>6.79</c:v>
                </c:pt>
                <c:pt idx="11">
                  <c:v>5.5</c:v>
                </c:pt>
                <c:pt idx="12">
                  <c:v>6.88</c:v>
                </c:pt>
                <c:pt idx="13">
                  <c:v>6.27</c:v>
                </c:pt>
                <c:pt idx="14">
                  <c:v>4.1900000000000004</c:v>
                </c:pt>
                <c:pt idx="15">
                  <c:v>11.23</c:v>
                </c:pt>
                <c:pt idx="16">
                  <c:v>6.12</c:v>
                </c:pt>
                <c:pt idx="17">
                  <c:v>6.26</c:v>
                </c:pt>
                <c:pt idx="18">
                  <c:v>8.41</c:v>
                </c:pt>
                <c:pt idx="19">
                  <c:v>7.2</c:v>
                </c:pt>
                <c:pt idx="20">
                  <c:v>6.16</c:v>
                </c:pt>
                <c:pt idx="21">
                  <c:v>7.62</c:v>
                </c:pt>
                <c:pt idx="22">
                  <c:v>5.98</c:v>
                </c:pt>
                <c:pt idx="23">
                  <c:v>6.79</c:v>
                </c:pt>
                <c:pt idx="24">
                  <c:v>7.85</c:v>
                </c:pt>
                <c:pt idx="25">
                  <c:v>8.84</c:v>
                </c:pt>
                <c:pt idx="26">
                  <c:v>7.91</c:v>
                </c:pt>
                <c:pt idx="27">
                  <c:v>8.11</c:v>
                </c:pt>
                <c:pt idx="28">
                  <c:v>8.07</c:v>
                </c:pt>
                <c:pt idx="29">
                  <c:v>8.81</c:v>
                </c:pt>
                <c:pt idx="30">
                  <c:v>6.23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0E-4BEC-A271-B28293D1E68E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8.26</c:v>
                </c:pt>
                <c:pt idx="1">
                  <c:v>10</c:v>
                </c:pt>
                <c:pt idx="2">
                  <c:v>12.96</c:v>
                </c:pt>
                <c:pt idx="3">
                  <c:v>9.08</c:v>
                </c:pt>
                <c:pt idx="4">
                  <c:v>8.9</c:v>
                </c:pt>
                <c:pt idx="5">
                  <c:v>9.4600000000000009</c:v>
                </c:pt>
                <c:pt idx="6">
                  <c:v>9.5399999999999991</c:v>
                </c:pt>
                <c:pt idx="7">
                  <c:v>10.54</c:v>
                </c:pt>
                <c:pt idx="8">
                  <c:v>9.94</c:v>
                </c:pt>
                <c:pt idx="9">
                  <c:v>11.91</c:v>
                </c:pt>
                <c:pt idx="10">
                  <c:v>10.16</c:v>
                </c:pt>
                <c:pt idx="11">
                  <c:v>9.15</c:v>
                </c:pt>
                <c:pt idx="12">
                  <c:v>10.64</c:v>
                </c:pt>
                <c:pt idx="13">
                  <c:v>9.3699999999999992</c:v>
                </c:pt>
                <c:pt idx="14">
                  <c:v>7.94</c:v>
                </c:pt>
                <c:pt idx="15">
                  <c:v>12.69</c:v>
                </c:pt>
                <c:pt idx="16">
                  <c:v>8.19</c:v>
                </c:pt>
                <c:pt idx="17">
                  <c:v>8.43</c:v>
                </c:pt>
                <c:pt idx="18">
                  <c:v>10.14</c:v>
                </c:pt>
                <c:pt idx="19">
                  <c:v>9.0500000000000007</c:v>
                </c:pt>
                <c:pt idx="20">
                  <c:v>8.86</c:v>
                </c:pt>
                <c:pt idx="21">
                  <c:v>10.15</c:v>
                </c:pt>
                <c:pt idx="22">
                  <c:v>9.1199999999999992</c:v>
                </c:pt>
                <c:pt idx="23">
                  <c:v>8.42</c:v>
                </c:pt>
                <c:pt idx="24">
                  <c:v>10.35</c:v>
                </c:pt>
                <c:pt idx="25">
                  <c:v>10.87</c:v>
                </c:pt>
                <c:pt idx="26">
                  <c:v>10.51</c:v>
                </c:pt>
                <c:pt idx="27">
                  <c:v>11.81</c:v>
                </c:pt>
                <c:pt idx="28">
                  <c:v>10.199999999999999</c:v>
                </c:pt>
                <c:pt idx="29">
                  <c:v>10.68</c:v>
                </c:pt>
                <c:pt idx="30">
                  <c:v>9.2899999999999991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0E-4BEC-A271-B28293D1E68E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C0E-4BEC-A271-B28293D1E68E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C0E-4BEC-A271-B28293D1E68E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3.38</c:v>
                </c:pt>
                <c:pt idx="1">
                  <c:v>3.21</c:v>
                </c:pt>
                <c:pt idx="2">
                  <c:v>4.08</c:v>
                </c:pt>
                <c:pt idx="3">
                  <c:v>3.57</c:v>
                </c:pt>
                <c:pt idx="4">
                  <c:v>2.4500000000000002</c:v>
                </c:pt>
                <c:pt idx="5">
                  <c:v>2.85</c:v>
                </c:pt>
                <c:pt idx="6">
                  <c:v>3.52</c:v>
                </c:pt>
                <c:pt idx="7">
                  <c:v>3.65</c:v>
                </c:pt>
                <c:pt idx="8">
                  <c:v>2.72</c:v>
                </c:pt>
                <c:pt idx="9">
                  <c:v>1.36</c:v>
                </c:pt>
                <c:pt idx="10">
                  <c:v>0.78</c:v>
                </c:pt>
                <c:pt idx="11">
                  <c:v>2.92</c:v>
                </c:pt>
                <c:pt idx="12">
                  <c:v>2.75</c:v>
                </c:pt>
                <c:pt idx="13">
                  <c:v>4.72</c:v>
                </c:pt>
                <c:pt idx="14">
                  <c:v>4.0599999999999996</c:v>
                </c:pt>
                <c:pt idx="15">
                  <c:v>4.6399999999999997</c:v>
                </c:pt>
                <c:pt idx="16">
                  <c:v>3.07</c:v>
                </c:pt>
                <c:pt idx="17">
                  <c:v>3.55</c:v>
                </c:pt>
                <c:pt idx="18">
                  <c:v>3.63</c:v>
                </c:pt>
                <c:pt idx="19">
                  <c:v>2.57</c:v>
                </c:pt>
                <c:pt idx="20">
                  <c:v>0.84</c:v>
                </c:pt>
                <c:pt idx="21">
                  <c:v>4.5599999999999996</c:v>
                </c:pt>
                <c:pt idx="22">
                  <c:v>2.46</c:v>
                </c:pt>
                <c:pt idx="23">
                  <c:v>2.75</c:v>
                </c:pt>
                <c:pt idx="24">
                  <c:v>3.92</c:v>
                </c:pt>
                <c:pt idx="25">
                  <c:v>4.8600000000000003</c:v>
                </c:pt>
                <c:pt idx="26">
                  <c:v>4.55</c:v>
                </c:pt>
                <c:pt idx="27">
                  <c:v>6.01</c:v>
                </c:pt>
                <c:pt idx="28">
                  <c:v>6.3</c:v>
                </c:pt>
                <c:pt idx="29">
                  <c:v>3.78</c:v>
                </c:pt>
                <c:pt idx="30">
                  <c:v>1.05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C0E-4BEC-A271-B28293D1E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340264"/>
        <c:axId val="1"/>
      </c:lineChart>
      <c:catAx>
        <c:axId val="203340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334026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1B-4652-A6EA-B4787DA1F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076680"/>
        <c:axId val="1"/>
      </c:lineChart>
      <c:catAx>
        <c:axId val="142076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20766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11.87</c:v>
                </c:pt>
                <c:pt idx="1">
                  <c:v>21.25</c:v>
                </c:pt>
                <c:pt idx="2">
                  <c:v>27</c:v>
                </c:pt>
                <c:pt idx="3">
                  <c:v>25.72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2B-45A2-BC4B-2B92490BAE3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4.6399999999999997</c:v>
                </c:pt>
                <c:pt idx="1">
                  <c:v>9.99</c:v>
                </c:pt>
                <c:pt idx="2">
                  <c:v>10.31</c:v>
                </c:pt>
                <c:pt idx="3">
                  <c:v>7.25</c:v>
                </c:pt>
                <c:pt idx="4">
                  <c:v>13.36</c:v>
                </c:pt>
                <c:pt idx="5">
                  <c:v>9.5299999999999994</c:v>
                </c:pt>
                <c:pt idx="6">
                  <c:v>8.6</c:v>
                </c:pt>
                <c:pt idx="7">
                  <c:v>9.18</c:v>
                </c:pt>
                <c:pt idx="8">
                  <c:v>14.61</c:v>
                </c:pt>
                <c:pt idx="9">
                  <c:v>16.29</c:v>
                </c:pt>
                <c:pt idx="10">
                  <c:v>13.25</c:v>
                </c:pt>
                <c:pt idx="11">
                  <c:v>7.99</c:v>
                </c:pt>
                <c:pt idx="12">
                  <c:v>5.32</c:v>
                </c:pt>
                <c:pt idx="13">
                  <c:v>7.03</c:v>
                </c:pt>
                <c:pt idx="14">
                  <c:v>8.4600000000000009</c:v>
                </c:pt>
                <c:pt idx="15">
                  <c:v>15.68</c:v>
                </c:pt>
                <c:pt idx="16">
                  <c:v>6.73</c:v>
                </c:pt>
                <c:pt idx="17">
                  <c:v>10.77</c:v>
                </c:pt>
                <c:pt idx="18">
                  <c:v>9.69</c:v>
                </c:pt>
                <c:pt idx="19">
                  <c:v>11.26</c:v>
                </c:pt>
                <c:pt idx="20">
                  <c:v>8.6300000000000008</c:v>
                </c:pt>
                <c:pt idx="21">
                  <c:v>9.6300000000000008</c:v>
                </c:pt>
                <c:pt idx="22">
                  <c:v>10.16</c:v>
                </c:pt>
                <c:pt idx="23">
                  <c:v>8.57</c:v>
                </c:pt>
                <c:pt idx="24">
                  <c:v>10.039999999999999</c:v>
                </c:pt>
                <c:pt idx="25">
                  <c:v>10.1</c:v>
                </c:pt>
                <c:pt idx="26">
                  <c:v>9.2899999999999991</c:v>
                </c:pt>
                <c:pt idx="27">
                  <c:v>11.98</c:v>
                </c:pt>
                <c:pt idx="28">
                  <c:v>10.79</c:v>
                </c:pt>
                <c:pt idx="29">
                  <c:v>10.77</c:v>
                </c:pt>
                <c:pt idx="30">
                  <c:v>7.67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2B-45A2-BC4B-2B92490BAE3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7.43</c:v>
                </c:pt>
                <c:pt idx="1">
                  <c:v>8.59</c:v>
                </c:pt>
                <c:pt idx="2">
                  <c:v>9.1999999999999993</c:v>
                </c:pt>
                <c:pt idx="3">
                  <c:v>8.23</c:v>
                </c:pt>
                <c:pt idx="4">
                  <c:v>8.16</c:v>
                </c:pt>
                <c:pt idx="5">
                  <c:v>8.8000000000000007</c:v>
                </c:pt>
                <c:pt idx="6">
                  <c:v>8.73</c:v>
                </c:pt>
                <c:pt idx="7">
                  <c:v>8.81</c:v>
                </c:pt>
                <c:pt idx="8">
                  <c:v>8.89</c:v>
                </c:pt>
                <c:pt idx="9">
                  <c:v>7.77</c:v>
                </c:pt>
                <c:pt idx="10">
                  <c:v>9.3699999999999992</c:v>
                </c:pt>
                <c:pt idx="11">
                  <c:v>9.15</c:v>
                </c:pt>
                <c:pt idx="12">
                  <c:v>7.95</c:v>
                </c:pt>
                <c:pt idx="13">
                  <c:v>8.0299999999999994</c:v>
                </c:pt>
                <c:pt idx="14">
                  <c:v>7.01</c:v>
                </c:pt>
                <c:pt idx="15">
                  <c:v>9.4600000000000009</c:v>
                </c:pt>
                <c:pt idx="16">
                  <c:v>8.07</c:v>
                </c:pt>
                <c:pt idx="17">
                  <c:v>11.36</c:v>
                </c:pt>
                <c:pt idx="18">
                  <c:v>10</c:v>
                </c:pt>
                <c:pt idx="19">
                  <c:v>10.75</c:v>
                </c:pt>
                <c:pt idx="20">
                  <c:v>8.18</c:v>
                </c:pt>
                <c:pt idx="21">
                  <c:v>7.05</c:v>
                </c:pt>
                <c:pt idx="22">
                  <c:v>7.52</c:v>
                </c:pt>
                <c:pt idx="23">
                  <c:v>7.34</c:v>
                </c:pt>
                <c:pt idx="24">
                  <c:v>7.59</c:v>
                </c:pt>
                <c:pt idx="25">
                  <c:v>8.2799999999999994</c:v>
                </c:pt>
                <c:pt idx="26">
                  <c:v>7.41</c:v>
                </c:pt>
                <c:pt idx="27">
                  <c:v>7.21</c:v>
                </c:pt>
                <c:pt idx="28">
                  <c:v>7.35</c:v>
                </c:pt>
                <c:pt idx="29">
                  <c:v>8.5399999999999991</c:v>
                </c:pt>
                <c:pt idx="30">
                  <c:v>6.75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2B-45A2-BC4B-2B92490BAE3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6.41</c:v>
                </c:pt>
                <c:pt idx="1">
                  <c:v>8.64</c:v>
                </c:pt>
                <c:pt idx="2">
                  <c:v>9.92</c:v>
                </c:pt>
                <c:pt idx="3">
                  <c:v>6.85</c:v>
                </c:pt>
                <c:pt idx="4">
                  <c:v>6.65</c:v>
                </c:pt>
                <c:pt idx="5">
                  <c:v>7.35</c:v>
                </c:pt>
                <c:pt idx="6">
                  <c:v>9.19</c:v>
                </c:pt>
                <c:pt idx="7">
                  <c:v>6.79</c:v>
                </c:pt>
                <c:pt idx="8">
                  <c:v>7.77</c:v>
                </c:pt>
                <c:pt idx="9">
                  <c:v>5.62</c:v>
                </c:pt>
                <c:pt idx="10">
                  <c:v>8.73</c:v>
                </c:pt>
                <c:pt idx="11">
                  <c:v>9.7799999999999994</c:v>
                </c:pt>
                <c:pt idx="12">
                  <c:v>7.2</c:v>
                </c:pt>
                <c:pt idx="13">
                  <c:v>5.07</c:v>
                </c:pt>
                <c:pt idx="14">
                  <c:v>3.71</c:v>
                </c:pt>
                <c:pt idx="15">
                  <c:v>8.33</c:v>
                </c:pt>
                <c:pt idx="16">
                  <c:v>6.76</c:v>
                </c:pt>
                <c:pt idx="17">
                  <c:v>7</c:v>
                </c:pt>
                <c:pt idx="18">
                  <c:v>10.029999999999999</c:v>
                </c:pt>
                <c:pt idx="19">
                  <c:v>7.29</c:v>
                </c:pt>
                <c:pt idx="20">
                  <c:v>6.1</c:v>
                </c:pt>
                <c:pt idx="21">
                  <c:v>4.21</c:v>
                </c:pt>
                <c:pt idx="22">
                  <c:v>3.5</c:v>
                </c:pt>
                <c:pt idx="23">
                  <c:v>3.53</c:v>
                </c:pt>
                <c:pt idx="24">
                  <c:v>3.88</c:v>
                </c:pt>
                <c:pt idx="25">
                  <c:v>4.51</c:v>
                </c:pt>
                <c:pt idx="26">
                  <c:v>4.2</c:v>
                </c:pt>
                <c:pt idx="27">
                  <c:v>4.6100000000000003</c:v>
                </c:pt>
                <c:pt idx="28">
                  <c:v>4.7</c:v>
                </c:pt>
                <c:pt idx="29">
                  <c:v>6.03</c:v>
                </c:pt>
                <c:pt idx="30">
                  <c:v>4.03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2B-45A2-BC4B-2B92490BAE3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1.53</c:v>
                </c:pt>
                <c:pt idx="1">
                  <c:v>2.09</c:v>
                </c:pt>
                <c:pt idx="2">
                  <c:v>2.16</c:v>
                </c:pt>
                <c:pt idx="3">
                  <c:v>1.86</c:v>
                </c:pt>
                <c:pt idx="4">
                  <c:v>2.1800000000000002</c:v>
                </c:pt>
                <c:pt idx="5">
                  <c:v>3.54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12B-45A2-BC4B-2B92490BA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342232"/>
        <c:axId val="1"/>
      </c:lineChart>
      <c:catAx>
        <c:axId val="203342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334223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283185840707968"/>
          <c:h val="0.606194690265486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0.05</c:v>
                </c:pt>
                <c:pt idx="1">
                  <c:v>0.09</c:v>
                </c:pt>
                <c:pt idx="2">
                  <c:v>0.08</c:v>
                </c:pt>
                <c:pt idx="3">
                  <c:v>0.08</c:v>
                </c:pt>
                <c:pt idx="4">
                  <c:v>0.05</c:v>
                </c:pt>
                <c:pt idx="5">
                  <c:v>7.0000000000000007E-2</c:v>
                </c:pt>
                <c:pt idx="6">
                  <c:v>0.13</c:v>
                </c:pt>
                <c:pt idx="7">
                  <c:v>0.16</c:v>
                </c:pt>
                <c:pt idx="8">
                  <c:v>0.12</c:v>
                </c:pt>
                <c:pt idx="9">
                  <c:v>0.1</c:v>
                </c:pt>
                <c:pt idx="10">
                  <c:v>0.09</c:v>
                </c:pt>
                <c:pt idx="11">
                  <c:v>7.0000000000000007E-2</c:v>
                </c:pt>
                <c:pt idx="12">
                  <c:v>0.06</c:v>
                </c:pt>
                <c:pt idx="13">
                  <c:v>0.04</c:v>
                </c:pt>
                <c:pt idx="14">
                  <c:v>0.02</c:v>
                </c:pt>
                <c:pt idx="15">
                  <c:v>0.09</c:v>
                </c:pt>
                <c:pt idx="16">
                  <c:v>0.05</c:v>
                </c:pt>
                <c:pt idx="17">
                  <c:v>0.13</c:v>
                </c:pt>
                <c:pt idx="18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10-4654-B078-E576ECC81DB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0.06</c:v>
                </c:pt>
                <c:pt idx="1">
                  <c:v>0.06</c:v>
                </c:pt>
                <c:pt idx="2">
                  <c:v>0.05</c:v>
                </c:pt>
                <c:pt idx="3">
                  <c:v>0.03</c:v>
                </c:pt>
                <c:pt idx="4">
                  <c:v>0.08</c:v>
                </c:pt>
                <c:pt idx="5">
                  <c:v>0.09</c:v>
                </c:pt>
                <c:pt idx="6">
                  <c:v>0.04</c:v>
                </c:pt>
                <c:pt idx="7">
                  <c:v>0.1</c:v>
                </c:pt>
                <c:pt idx="8">
                  <c:v>0.17</c:v>
                </c:pt>
                <c:pt idx="9">
                  <c:v>0.16</c:v>
                </c:pt>
                <c:pt idx="10">
                  <c:v>7.0000000000000007E-2</c:v>
                </c:pt>
                <c:pt idx="11">
                  <c:v>0.03</c:v>
                </c:pt>
                <c:pt idx="12">
                  <c:v>0.04</c:v>
                </c:pt>
                <c:pt idx="13">
                  <c:v>0.04</c:v>
                </c:pt>
                <c:pt idx="14">
                  <c:v>0.04</c:v>
                </c:pt>
                <c:pt idx="15">
                  <c:v>0.06</c:v>
                </c:pt>
                <c:pt idx="16">
                  <c:v>0.04</c:v>
                </c:pt>
                <c:pt idx="17">
                  <c:v>0.06</c:v>
                </c:pt>
                <c:pt idx="18">
                  <c:v>7.0000000000000007E-2</c:v>
                </c:pt>
                <c:pt idx="19">
                  <c:v>7.0000000000000007E-2</c:v>
                </c:pt>
                <c:pt idx="20">
                  <c:v>7.0000000000000007E-2</c:v>
                </c:pt>
                <c:pt idx="21">
                  <c:v>7.0000000000000007E-2</c:v>
                </c:pt>
                <c:pt idx="22">
                  <c:v>0.05</c:v>
                </c:pt>
                <c:pt idx="23">
                  <c:v>0.03</c:v>
                </c:pt>
                <c:pt idx="24">
                  <c:v>0.05</c:v>
                </c:pt>
                <c:pt idx="25">
                  <c:v>7.0000000000000007E-2</c:v>
                </c:pt>
                <c:pt idx="26">
                  <c:v>0.06</c:v>
                </c:pt>
                <c:pt idx="27">
                  <c:v>0.1</c:v>
                </c:pt>
                <c:pt idx="28">
                  <c:v>0.12</c:v>
                </c:pt>
                <c:pt idx="29">
                  <c:v>0.11</c:v>
                </c:pt>
                <c:pt idx="30">
                  <c:v>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10-4654-B078-E576ECC81DB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0.08</c:v>
                </c:pt>
                <c:pt idx="1">
                  <c:v>0.09</c:v>
                </c:pt>
                <c:pt idx="2">
                  <c:v>0.09</c:v>
                </c:pt>
                <c:pt idx="3">
                  <c:v>0.08</c:v>
                </c:pt>
                <c:pt idx="4">
                  <c:v>0.08</c:v>
                </c:pt>
                <c:pt idx="5">
                  <c:v>0.11</c:v>
                </c:pt>
                <c:pt idx="6">
                  <c:v>0.11</c:v>
                </c:pt>
                <c:pt idx="7">
                  <c:v>0.1</c:v>
                </c:pt>
                <c:pt idx="8">
                  <c:v>0.17</c:v>
                </c:pt>
                <c:pt idx="9">
                  <c:v>7.0000000000000007E-2</c:v>
                </c:pt>
                <c:pt idx="10">
                  <c:v>0.13</c:v>
                </c:pt>
                <c:pt idx="11">
                  <c:v>7.0000000000000007E-2</c:v>
                </c:pt>
                <c:pt idx="12">
                  <c:v>7.0000000000000007E-2</c:v>
                </c:pt>
                <c:pt idx="13">
                  <c:v>7.0000000000000007E-2</c:v>
                </c:pt>
                <c:pt idx="14">
                  <c:v>0.05</c:v>
                </c:pt>
                <c:pt idx="15">
                  <c:v>0.11</c:v>
                </c:pt>
                <c:pt idx="16">
                  <c:v>7.0000000000000007E-2</c:v>
                </c:pt>
                <c:pt idx="17">
                  <c:v>0.14000000000000001</c:v>
                </c:pt>
                <c:pt idx="18">
                  <c:v>0.15</c:v>
                </c:pt>
                <c:pt idx="19">
                  <c:v>0.21</c:v>
                </c:pt>
                <c:pt idx="20">
                  <c:v>0.1</c:v>
                </c:pt>
                <c:pt idx="21">
                  <c:v>7.0000000000000007E-2</c:v>
                </c:pt>
                <c:pt idx="22">
                  <c:v>0.11</c:v>
                </c:pt>
                <c:pt idx="23">
                  <c:v>0.06</c:v>
                </c:pt>
                <c:pt idx="24">
                  <c:v>0.14000000000000001</c:v>
                </c:pt>
                <c:pt idx="25">
                  <c:v>0.13</c:v>
                </c:pt>
                <c:pt idx="26">
                  <c:v>0.08</c:v>
                </c:pt>
                <c:pt idx="27">
                  <c:v>0.11</c:v>
                </c:pt>
                <c:pt idx="28">
                  <c:v>0.12</c:v>
                </c:pt>
                <c:pt idx="29">
                  <c:v>0.18</c:v>
                </c:pt>
                <c:pt idx="30">
                  <c:v>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10-4654-B078-E576ECC81DB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0.04</c:v>
                </c:pt>
                <c:pt idx="1">
                  <c:v>0.1</c:v>
                </c:pt>
                <c:pt idx="2">
                  <c:v>0.09</c:v>
                </c:pt>
                <c:pt idx="3">
                  <c:v>0.04</c:v>
                </c:pt>
                <c:pt idx="4">
                  <c:v>0.05</c:v>
                </c:pt>
                <c:pt idx="5">
                  <c:v>0.06</c:v>
                </c:pt>
                <c:pt idx="6">
                  <c:v>0.21</c:v>
                </c:pt>
                <c:pt idx="7">
                  <c:v>0.1</c:v>
                </c:pt>
                <c:pt idx="8">
                  <c:v>0.12</c:v>
                </c:pt>
                <c:pt idx="9">
                  <c:v>0.05</c:v>
                </c:pt>
                <c:pt idx="10">
                  <c:v>0.18</c:v>
                </c:pt>
                <c:pt idx="11">
                  <c:v>0.1</c:v>
                </c:pt>
                <c:pt idx="12">
                  <c:v>0.05</c:v>
                </c:pt>
                <c:pt idx="13">
                  <c:v>0.02</c:v>
                </c:pt>
                <c:pt idx="14">
                  <c:v>0.03</c:v>
                </c:pt>
                <c:pt idx="15">
                  <c:v>0.08</c:v>
                </c:pt>
                <c:pt idx="16">
                  <c:v>0.03</c:v>
                </c:pt>
                <c:pt idx="17">
                  <c:v>7.0000000000000007E-2</c:v>
                </c:pt>
                <c:pt idx="18">
                  <c:v>0.27</c:v>
                </c:pt>
                <c:pt idx="19">
                  <c:v>0.09</c:v>
                </c:pt>
                <c:pt idx="20">
                  <c:v>7.0000000000000007E-2</c:v>
                </c:pt>
                <c:pt idx="21">
                  <c:v>0.08</c:v>
                </c:pt>
                <c:pt idx="22">
                  <c:v>0.02</c:v>
                </c:pt>
                <c:pt idx="23">
                  <c:v>0.01</c:v>
                </c:pt>
                <c:pt idx="24">
                  <c:v>0.03</c:v>
                </c:pt>
                <c:pt idx="25">
                  <c:v>0.04</c:v>
                </c:pt>
                <c:pt idx="26">
                  <c:v>0.03</c:v>
                </c:pt>
                <c:pt idx="27">
                  <c:v>0.05</c:v>
                </c:pt>
                <c:pt idx="28">
                  <c:v>0.04</c:v>
                </c:pt>
                <c:pt idx="29">
                  <c:v>7.0000000000000007E-2</c:v>
                </c:pt>
                <c:pt idx="30">
                  <c:v>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C10-4654-B078-E576ECC81DB2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0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0.04</c:v>
                </c:pt>
                <c:pt idx="1">
                  <c:v>0.06</c:v>
                </c:pt>
                <c:pt idx="2">
                  <c:v>0.08</c:v>
                </c:pt>
                <c:pt idx="3">
                  <c:v>0.04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0.1</c:v>
                </c:pt>
                <c:pt idx="7">
                  <c:v>0.12</c:v>
                </c:pt>
                <c:pt idx="8">
                  <c:v>0.25</c:v>
                </c:pt>
                <c:pt idx="9">
                  <c:v>0.09</c:v>
                </c:pt>
                <c:pt idx="10">
                  <c:v>0.12</c:v>
                </c:pt>
                <c:pt idx="11">
                  <c:v>0.03</c:v>
                </c:pt>
                <c:pt idx="12">
                  <c:v>0.04</c:v>
                </c:pt>
                <c:pt idx="13">
                  <c:v>0.05</c:v>
                </c:pt>
                <c:pt idx="14">
                  <c:v>0.02</c:v>
                </c:pt>
                <c:pt idx="15">
                  <c:v>0.06</c:v>
                </c:pt>
                <c:pt idx="16">
                  <c:v>7.0000000000000007E-2</c:v>
                </c:pt>
                <c:pt idx="17">
                  <c:v>7.0000000000000007E-2</c:v>
                </c:pt>
                <c:pt idx="18">
                  <c:v>0.11</c:v>
                </c:pt>
                <c:pt idx="19">
                  <c:v>0.09</c:v>
                </c:pt>
                <c:pt idx="20">
                  <c:v>0.08</c:v>
                </c:pt>
                <c:pt idx="21">
                  <c:v>0.05</c:v>
                </c:pt>
                <c:pt idx="22">
                  <c:v>0.13</c:v>
                </c:pt>
                <c:pt idx="23">
                  <c:v>0.05</c:v>
                </c:pt>
                <c:pt idx="24">
                  <c:v>7.0000000000000007E-2</c:v>
                </c:pt>
                <c:pt idx="25">
                  <c:v>0.09</c:v>
                </c:pt>
                <c:pt idx="26">
                  <c:v>0.06</c:v>
                </c:pt>
                <c:pt idx="27">
                  <c:v>0.16</c:v>
                </c:pt>
                <c:pt idx="28">
                  <c:v>7.0000000000000007E-2</c:v>
                </c:pt>
                <c:pt idx="29">
                  <c:v>0.11</c:v>
                </c:pt>
                <c:pt idx="30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C10-4654-B078-E576ECC81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342232"/>
        <c:axId val="1"/>
      </c:lineChart>
      <c:catAx>
        <c:axId val="203342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150442477876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334223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62.48</c:v>
                </c:pt>
                <c:pt idx="1">
                  <c:v>59.57</c:v>
                </c:pt>
                <c:pt idx="2">
                  <c:v>57.15</c:v>
                </c:pt>
                <c:pt idx="3">
                  <c:v>66.569999999999993</c:v>
                </c:pt>
                <c:pt idx="4">
                  <c:v>27.77</c:v>
                </c:pt>
                <c:pt idx="5">
                  <c:v>40.869999999999997</c:v>
                </c:pt>
                <c:pt idx="6">
                  <c:v>54.94</c:v>
                </c:pt>
                <c:pt idx="7">
                  <c:v>44.09</c:v>
                </c:pt>
                <c:pt idx="8">
                  <c:v>25.13</c:v>
                </c:pt>
                <c:pt idx="9">
                  <c:v>40.17</c:v>
                </c:pt>
                <c:pt idx="10">
                  <c:v>46.8</c:v>
                </c:pt>
                <c:pt idx="11">
                  <c:v>50.17</c:v>
                </c:pt>
                <c:pt idx="12">
                  <c:v>65.03</c:v>
                </c:pt>
                <c:pt idx="13">
                  <c:v>70.48</c:v>
                </c:pt>
                <c:pt idx="14">
                  <c:v>65.75</c:v>
                </c:pt>
                <c:pt idx="15">
                  <c:v>58.59</c:v>
                </c:pt>
                <c:pt idx="16">
                  <c:v>68.34</c:v>
                </c:pt>
                <c:pt idx="17">
                  <c:v>66.010000000000005</c:v>
                </c:pt>
                <c:pt idx="18">
                  <c:v>67.48</c:v>
                </c:pt>
                <c:pt idx="19">
                  <c:v>67.78</c:v>
                </c:pt>
                <c:pt idx="20">
                  <c:v>74.02</c:v>
                </c:pt>
                <c:pt idx="21">
                  <c:v>54.79</c:v>
                </c:pt>
                <c:pt idx="22">
                  <c:v>52.25</c:v>
                </c:pt>
                <c:pt idx="23">
                  <c:v>62.32</c:v>
                </c:pt>
                <c:pt idx="24">
                  <c:v>69.47</c:v>
                </c:pt>
                <c:pt idx="25">
                  <c:v>60.2</c:v>
                </c:pt>
                <c:pt idx="26">
                  <c:v>63.41</c:v>
                </c:pt>
                <c:pt idx="27">
                  <c:v>63.88</c:v>
                </c:pt>
                <c:pt idx="28">
                  <c:v>76.760000000000005</c:v>
                </c:pt>
                <c:pt idx="29">
                  <c:v>67.260000000000005</c:v>
                </c:pt>
                <c:pt idx="30">
                  <c:v>59.57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A1-4A3C-BC1F-E4ADB968371C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62.8</c:v>
                </c:pt>
                <c:pt idx="1">
                  <c:v>59.43</c:v>
                </c:pt>
                <c:pt idx="2">
                  <c:v>51.39</c:v>
                </c:pt>
                <c:pt idx="3">
                  <c:v>63.95</c:v>
                </c:pt>
                <c:pt idx="4">
                  <c:v>31.92</c:v>
                </c:pt>
                <c:pt idx="5">
                  <c:v>45.11</c:v>
                </c:pt>
                <c:pt idx="6">
                  <c:v>55.48</c:v>
                </c:pt>
                <c:pt idx="7">
                  <c:v>44.12</c:v>
                </c:pt>
                <c:pt idx="8">
                  <c:v>28.34</c:v>
                </c:pt>
                <c:pt idx="9">
                  <c:v>48.94</c:v>
                </c:pt>
                <c:pt idx="10">
                  <c:v>47.52</c:v>
                </c:pt>
                <c:pt idx="11">
                  <c:v>48.9</c:v>
                </c:pt>
                <c:pt idx="12">
                  <c:v>62.23</c:v>
                </c:pt>
                <c:pt idx="13">
                  <c:v>68.94</c:v>
                </c:pt>
                <c:pt idx="14">
                  <c:v>65.75</c:v>
                </c:pt>
                <c:pt idx="15">
                  <c:v>56.86</c:v>
                </c:pt>
                <c:pt idx="16">
                  <c:v>70.11</c:v>
                </c:pt>
                <c:pt idx="17">
                  <c:v>65.67</c:v>
                </c:pt>
                <c:pt idx="18">
                  <c:v>66.069999999999993</c:v>
                </c:pt>
                <c:pt idx="19">
                  <c:v>62.86</c:v>
                </c:pt>
                <c:pt idx="20">
                  <c:v>73.05</c:v>
                </c:pt>
                <c:pt idx="21">
                  <c:v>58.38</c:v>
                </c:pt>
                <c:pt idx="22">
                  <c:v>56.08</c:v>
                </c:pt>
                <c:pt idx="23">
                  <c:v>66.34</c:v>
                </c:pt>
                <c:pt idx="24">
                  <c:v>72.64</c:v>
                </c:pt>
                <c:pt idx="25">
                  <c:v>60.72</c:v>
                </c:pt>
                <c:pt idx="26">
                  <c:v>59.82</c:v>
                </c:pt>
                <c:pt idx="27">
                  <c:v>61.41</c:v>
                </c:pt>
                <c:pt idx="28">
                  <c:v>70.28</c:v>
                </c:pt>
                <c:pt idx="29">
                  <c:v>68.75</c:v>
                </c:pt>
                <c:pt idx="30">
                  <c:v>63.6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A1-4A3C-BC1F-E4ADB968371C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57.88</c:v>
                </c:pt>
                <c:pt idx="1">
                  <c:v>51.36</c:v>
                </c:pt>
                <c:pt idx="2">
                  <c:v>47.86</c:v>
                </c:pt>
                <c:pt idx="3">
                  <c:v>60.24</c:v>
                </c:pt>
                <c:pt idx="4">
                  <c:v>29.58</c:v>
                </c:pt>
                <c:pt idx="5">
                  <c:v>38.04</c:v>
                </c:pt>
                <c:pt idx="6">
                  <c:v>46.26</c:v>
                </c:pt>
                <c:pt idx="7">
                  <c:v>41.09</c:v>
                </c:pt>
                <c:pt idx="8">
                  <c:v>27.03</c:v>
                </c:pt>
                <c:pt idx="9">
                  <c:v>45.46</c:v>
                </c:pt>
                <c:pt idx="10">
                  <c:v>41.33</c:v>
                </c:pt>
                <c:pt idx="11">
                  <c:v>41.97</c:v>
                </c:pt>
                <c:pt idx="12">
                  <c:v>57.99</c:v>
                </c:pt>
                <c:pt idx="13">
                  <c:v>64.400000000000006</c:v>
                </c:pt>
                <c:pt idx="14">
                  <c:v>64.98</c:v>
                </c:pt>
                <c:pt idx="15">
                  <c:v>54.02</c:v>
                </c:pt>
                <c:pt idx="16">
                  <c:v>62.95</c:v>
                </c:pt>
                <c:pt idx="17">
                  <c:v>58.91</c:v>
                </c:pt>
                <c:pt idx="18">
                  <c:v>54.38</c:v>
                </c:pt>
                <c:pt idx="19">
                  <c:v>56.39</c:v>
                </c:pt>
                <c:pt idx="20">
                  <c:v>65.569999999999993</c:v>
                </c:pt>
                <c:pt idx="21">
                  <c:v>51.72</c:v>
                </c:pt>
                <c:pt idx="22">
                  <c:v>50.11</c:v>
                </c:pt>
                <c:pt idx="23">
                  <c:v>62.3</c:v>
                </c:pt>
                <c:pt idx="24">
                  <c:v>66.23</c:v>
                </c:pt>
                <c:pt idx="25">
                  <c:v>57.35</c:v>
                </c:pt>
                <c:pt idx="26">
                  <c:v>57.07</c:v>
                </c:pt>
                <c:pt idx="27">
                  <c:v>58.08</c:v>
                </c:pt>
                <c:pt idx="28">
                  <c:v>70.67</c:v>
                </c:pt>
                <c:pt idx="29">
                  <c:v>63.35</c:v>
                </c:pt>
                <c:pt idx="30">
                  <c:v>58.5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A1-4A3C-BC1F-E4ADB968371C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55.69</c:v>
                </c:pt>
                <c:pt idx="1">
                  <c:v>52.51</c:v>
                </c:pt>
                <c:pt idx="2">
                  <c:v>50.46</c:v>
                </c:pt>
                <c:pt idx="3">
                  <c:v>59.43</c:v>
                </c:pt>
                <c:pt idx="4">
                  <c:v>30.58</c:v>
                </c:pt>
                <c:pt idx="5">
                  <c:v>36.619999999999997</c:v>
                </c:pt>
                <c:pt idx="6">
                  <c:v>50.14</c:v>
                </c:pt>
                <c:pt idx="7">
                  <c:v>39.67</c:v>
                </c:pt>
                <c:pt idx="8">
                  <c:v>26.19</c:v>
                </c:pt>
                <c:pt idx="9">
                  <c:v>43.42</c:v>
                </c:pt>
                <c:pt idx="10">
                  <c:v>46.75</c:v>
                </c:pt>
                <c:pt idx="11">
                  <c:v>48.07</c:v>
                </c:pt>
                <c:pt idx="12">
                  <c:v>58.76</c:v>
                </c:pt>
                <c:pt idx="13">
                  <c:v>60.59</c:v>
                </c:pt>
                <c:pt idx="14">
                  <c:v>62.82</c:v>
                </c:pt>
                <c:pt idx="15">
                  <c:v>55.55</c:v>
                </c:pt>
                <c:pt idx="16">
                  <c:v>62.9</c:v>
                </c:pt>
                <c:pt idx="17">
                  <c:v>60.35</c:v>
                </c:pt>
                <c:pt idx="18">
                  <c:v>64.260000000000005</c:v>
                </c:pt>
                <c:pt idx="19">
                  <c:v>58.13</c:v>
                </c:pt>
                <c:pt idx="20">
                  <c:v>63.86</c:v>
                </c:pt>
                <c:pt idx="21">
                  <c:v>50.63</c:v>
                </c:pt>
                <c:pt idx="22">
                  <c:v>49.84</c:v>
                </c:pt>
                <c:pt idx="23">
                  <c:v>59.42</c:v>
                </c:pt>
                <c:pt idx="24">
                  <c:v>65.040000000000006</c:v>
                </c:pt>
                <c:pt idx="25">
                  <c:v>54.74</c:v>
                </c:pt>
                <c:pt idx="26">
                  <c:v>54.28</c:v>
                </c:pt>
                <c:pt idx="27">
                  <c:v>52.48</c:v>
                </c:pt>
                <c:pt idx="28">
                  <c:v>64.459999999999994</c:v>
                </c:pt>
                <c:pt idx="29">
                  <c:v>63.34</c:v>
                </c:pt>
                <c:pt idx="30">
                  <c:v>56.92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8A1-4A3C-BC1F-E4ADB9683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345512"/>
        <c:axId val="1"/>
      </c:lineChart>
      <c:catAx>
        <c:axId val="203345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5643564356435641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334551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13.62</c:v>
                </c:pt>
                <c:pt idx="1">
                  <c:v>12.39</c:v>
                </c:pt>
                <c:pt idx="2">
                  <c:v>13.22</c:v>
                </c:pt>
                <c:pt idx="3">
                  <c:v>8.61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95-4974-B1DA-108DEBD5DBFB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95-4974-B1DA-108DEBD5DBF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95-4974-B1DA-108DEBD5DBFB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95-4974-B1DA-108DEBD5DBFB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E95-4974-B1DA-108DEBD5DBFB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95-4974-B1DA-108DEBD5D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549056"/>
        <c:axId val="1"/>
      </c:lineChart>
      <c:catAx>
        <c:axId val="17854905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682008368200837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85490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86-46CA-9914-2DD162C44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04616"/>
        <c:axId val="1"/>
      </c:lineChart>
      <c:catAx>
        <c:axId val="178704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87046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A9-414F-8922-4763A1803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05272"/>
        <c:axId val="1"/>
      </c:lineChart>
      <c:catAx>
        <c:axId val="178705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87052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99-4704-927D-43398D7FA00F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Sheet1!$B$17:$AG$17</c:f>
              <c:numCache>
                <c:formatCode>General</c:formatCode>
                <c:ptCount val="3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99-4704-927D-43398D7FA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803808"/>
        <c:axId val="1"/>
      </c:lineChart>
      <c:catAx>
        <c:axId val="17680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68038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6A-47DB-88F6-600BFCB5A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078320"/>
        <c:axId val="1"/>
      </c:lineChart>
      <c:catAx>
        <c:axId val="14207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20783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CB04-3E6C-4A5D-B14F-8902C937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2417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150</cp:revision>
  <cp:lastPrinted>2017-01-18T10:03:00Z</cp:lastPrinted>
  <dcterms:created xsi:type="dcterms:W3CDTF">2019-10-14T11:13:00Z</dcterms:created>
  <dcterms:modified xsi:type="dcterms:W3CDTF">2020-04-22T07:41:00Z</dcterms:modified>
</cp:coreProperties>
</file>