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LEGE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141/2023 din 24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278/2013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461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  <w:bookmarkStart w:id="0" w:name="_GoBack"/>
      <w:bookmarkEnd w:id="0"/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278/2013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 din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73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180/2002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50.000 lei la 500.000 lei,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(13),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50.000 lei la 80.000 lei;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(2),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60.000 lei la 100.000 lei;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(6) -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70.000 lei la 120.000 lei;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(6) - (8),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- (5),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80.000 lei la 150.000 lei;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- c), g)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-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(8) - (12),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(8),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150.000 lei la 500.000 lei.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180/2002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avertismentul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Gărzii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180/2002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săvârşirii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180/2002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180/2002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Gărzii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săvârşită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180/2002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Gărzii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(7),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2/2001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180/2002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29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art. 73^1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- 73^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73^1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3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incinerare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coincinerare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73^2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3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 an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lit.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incinerare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coincinerare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73^3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286/2009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73^1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73^2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zile-amendă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1.000 lei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25.000 lei."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I</w:t>
      </w:r>
      <w:r>
        <w:rPr>
          <w:rFonts w:ascii="Times New Roman" w:hAnsi="Times New Roman" w:cs="Times New Roman"/>
          <w:sz w:val="28"/>
          <w:szCs w:val="28"/>
        </w:rPr>
        <w:t xml:space="preserve"> pct.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. PREŞEDINTELE CAMEREI DEPUTAŢILOR,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CIPRIAN-CONSTANTIN ŞERBAN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. PREŞEDINTELE SENATULUI,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SORIN-MIHAI CÎMPEANU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5000FC" w:rsidRDefault="005000FC" w:rsidP="0050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141.</w:t>
      </w:r>
    </w:p>
    <w:p w:rsidR="008358C4" w:rsidRDefault="008358C4"/>
    <w:sectPr w:rsidR="0083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E0"/>
    <w:rsid w:val="005000FC"/>
    <w:rsid w:val="008358C4"/>
    <w:rsid w:val="00E0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137A5-B9B4-4E27-97FA-C047DCC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Balsanu Monitorizare APM OLT</dc:creator>
  <cp:keywords/>
  <dc:description/>
  <cp:lastModifiedBy>Daniela Balsanu Monitorizare APM OLT</cp:lastModifiedBy>
  <cp:revision>2</cp:revision>
  <dcterms:created xsi:type="dcterms:W3CDTF">2023-10-23T07:11:00Z</dcterms:created>
  <dcterms:modified xsi:type="dcterms:W3CDTF">2023-10-23T07:11:00Z</dcterms:modified>
</cp:coreProperties>
</file>