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theme/themeOverride1.xml" ContentType="application/vnd.openxmlformats-officedocument.themeOverride+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theme/themeOverride2.xml" ContentType="application/vnd.openxmlformats-officedocument.themeOverride+xml"/>
  <Override PartName="/word/charts/chart52.xml" ContentType="application/vnd.openxmlformats-officedocument.drawingml.chart+xml"/>
  <Override PartName="/word/theme/themeOverride3.xml" ContentType="application/vnd.openxmlformats-officedocument.themeOverride+xml"/>
  <Override PartName="/word/charts/chart53.xml" ContentType="application/vnd.openxmlformats-officedocument.drawingml.chart+xml"/>
  <Override PartName="/word/theme/themeOverride4.xml" ContentType="application/vnd.openxmlformats-officedocument.themeOverride+xml"/>
  <Override PartName="/word/charts/chart54.xml" ContentType="application/vnd.openxmlformats-officedocument.drawingml.chart+xml"/>
  <Override PartName="/word/charts/chart55.xml" ContentType="application/vnd.openxmlformats-officedocument.drawingml.chart+xml"/>
  <Override PartName="/word/theme/themeOverride5.xml" ContentType="application/vnd.openxmlformats-officedocument.themeOverride+xml"/>
  <Override PartName="/word/charts/chart56.xml" ContentType="application/vnd.openxmlformats-officedocument.drawingml.chart+xml"/>
  <Override PartName="/word/theme/themeOverride6.xml" ContentType="application/vnd.openxmlformats-officedocument.themeOverride+xml"/>
  <Override PartName="/word/drawings/drawing4.xml" ContentType="application/vnd.openxmlformats-officedocument.drawingml.chartshapes+xml"/>
  <Override PartName="/word/charts/chart57.xml" ContentType="application/vnd.openxmlformats-officedocument.drawingml.chart+xml"/>
  <Override PartName="/word/theme/themeOverride7.xml" ContentType="application/vnd.openxmlformats-officedocument.themeOverride+xml"/>
  <Override PartName="/word/charts/chart58.xml" ContentType="application/vnd.openxmlformats-officedocument.drawingml.chart+xml"/>
  <Override PartName="/word/theme/themeOverride8.xml" ContentType="application/vnd.openxmlformats-officedocument.themeOverride+xml"/>
  <Override PartName="/word/charts/chart59.xml" ContentType="application/vnd.openxmlformats-officedocument.drawingml.chart+xml"/>
  <Override PartName="/word/theme/themeOverride9.xml" ContentType="application/vnd.openxmlformats-officedocument.themeOverride+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theme/themeOverride10.xml" ContentType="application/vnd.openxmlformats-officedocument.themeOverride+xml"/>
  <Override PartName="/word/charts/chart66.xml" ContentType="application/vnd.openxmlformats-officedocument.drawingml.chart+xml"/>
  <Override PartName="/word/theme/themeOverride11.xml" ContentType="application/vnd.openxmlformats-officedocument.themeOverride+xml"/>
  <Override PartName="/word/charts/chart67.xml" ContentType="application/vnd.openxmlformats-officedocument.drawingml.chart+xml"/>
  <Override PartName="/word/theme/themeOverride12.xml" ContentType="application/vnd.openxmlformats-officedocument.themeOverride+xml"/>
  <Override PartName="/word/charts/chart68.xml" ContentType="application/vnd.openxmlformats-officedocument.drawingml.chart+xml"/>
  <Override PartName="/word/theme/themeOverride13.xml" ContentType="application/vnd.openxmlformats-officedocument.themeOverride+xml"/>
  <Override PartName="/word/charts/chart69.xml" ContentType="application/vnd.openxmlformats-officedocument.drawingml.chart+xml"/>
  <Override PartName="/word/theme/themeOverride14.xml" ContentType="application/vnd.openxmlformats-officedocument.themeOverride+xml"/>
  <Override PartName="/word/charts/chart70.xml" ContentType="application/vnd.openxmlformats-officedocument.drawingml.chart+xml"/>
  <Override PartName="/word/theme/themeOverride15.xml" ContentType="application/vnd.openxmlformats-officedocument.themeOverride+xml"/>
  <Override PartName="/word/charts/chart71.xml" ContentType="application/vnd.openxmlformats-officedocument.drawingml.chart+xml"/>
  <Override PartName="/word/theme/themeOverride16.xml" ContentType="application/vnd.openxmlformats-officedocument.themeOverride+xml"/>
  <Override PartName="/word/charts/chart72.xml" ContentType="application/vnd.openxmlformats-officedocument.drawingml.chart+xml"/>
  <Override PartName="/word/drawings/drawing5.xml" ContentType="application/vnd.openxmlformats-officedocument.drawingml.chartshapes+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theme/themeOverride17.xml" ContentType="application/vnd.openxmlformats-officedocument.themeOverride+xml"/>
  <Override PartName="/word/charts/chart81.xml" ContentType="application/vnd.openxmlformats-officedocument.drawingml.chart+xml"/>
  <Override PartName="/word/theme/themeOverride18.xml" ContentType="application/vnd.openxmlformats-officedocument.themeOverride+xml"/>
  <Override PartName="/word/charts/chart82.xml" ContentType="application/vnd.openxmlformats-officedocument.drawingml.chart+xml"/>
  <Override PartName="/word/theme/themeOverride19.xml" ContentType="application/vnd.openxmlformats-officedocument.themeOverride+xml"/>
  <Override PartName="/word/charts/chart83.xml" ContentType="application/vnd.openxmlformats-officedocument.drawingml.chart+xml"/>
  <Override PartName="/word/theme/themeOverride20.xml" ContentType="application/vnd.openxmlformats-officedocument.themeOverride+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theme/themeOverride21.xml" ContentType="application/vnd.openxmlformats-officedocument.themeOverride+xml"/>
  <Override PartName="/word/charts/chart90.xml" ContentType="application/vnd.openxmlformats-officedocument.drawingml.chart+xml"/>
  <Override PartName="/word/theme/themeOverride22.xml" ContentType="application/vnd.openxmlformats-officedocument.themeOverride+xml"/>
  <Override PartName="/word/charts/chart91.xml" ContentType="application/vnd.openxmlformats-officedocument.drawingml.chart+xml"/>
  <Override PartName="/word/theme/themeOverride23.xml" ContentType="application/vnd.openxmlformats-officedocument.themeOverride+xml"/>
  <Override PartName="/word/charts/chart92.xml" ContentType="application/vnd.openxmlformats-officedocument.drawingml.chart+xml"/>
  <Override PartName="/word/theme/themeOverride24.xml" ContentType="application/vnd.openxmlformats-officedocument.themeOverride+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5EFD" w:rsidRDefault="00BB5EFD" w:rsidP="00BB5EFD">
      <w:pPr>
        <w:pStyle w:val="Footer"/>
        <w:jc w:val="center"/>
        <w:rPr>
          <w:b/>
          <w:i/>
          <w:sz w:val="52"/>
          <w:szCs w:val="52"/>
          <w:lang w:val="pt-BR"/>
        </w:rPr>
      </w:pPr>
      <w:bookmarkStart w:id="0" w:name="_GoBack"/>
      <w:bookmarkEnd w:id="0"/>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Pr="005D4664" w:rsidRDefault="00BB5EFD" w:rsidP="00BB5EFD">
      <w:pPr>
        <w:pStyle w:val="Footer"/>
        <w:jc w:val="center"/>
        <w:rPr>
          <w:rFonts w:ascii="Trebuchet MS" w:hAnsi="Trebuchet MS"/>
          <w:b/>
          <w:i/>
          <w:sz w:val="52"/>
          <w:szCs w:val="52"/>
          <w:lang w:val="pt-BR"/>
        </w:rPr>
      </w:pPr>
      <w:r w:rsidRPr="005D4664">
        <w:rPr>
          <w:rFonts w:ascii="Trebuchet MS" w:hAnsi="Trebuchet MS"/>
          <w:b/>
          <w:i/>
          <w:sz w:val="52"/>
          <w:szCs w:val="52"/>
          <w:lang w:val="pt-BR"/>
        </w:rPr>
        <w:t>Raport privind starea factorilor de mediu pe anul 202</w:t>
      </w:r>
      <w:r w:rsidR="00BA3857" w:rsidRPr="005D4664">
        <w:rPr>
          <w:rFonts w:ascii="Trebuchet MS" w:hAnsi="Trebuchet MS"/>
          <w:b/>
          <w:i/>
          <w:sz w:val="52"/>
          <w:szCs w:val="52"/>
          <w:lang w:val="pt-BR"/>
        </w:rPr>
        <w:t>3</w:t>
      </w:r>
      <w:r w:rsidRPr="005D4664">
        <w:rPr>
          <w:rFonts w:ascii="Trebuchet MS" w:hAnsi="Trebuchet MS"/>
          <w:b/>
          <w:i/>
          <w:sz w:val="52"/>
          <w:szCs w:val="52"/>
          <w:lang w:val="pt-BR"/>
        </w:rPr>
        <w:t xml:space="preserve"> în </w:t>
      </w:r>
      <w:r w:rsidR="00BA3857" w:rsidRPr="005D4664">
        <w:rPr>
          <w:rFonts w:ascii="Trebuchet MS" w:hAnsi="Trebuchet MS"/>
          <w:b/>
          <w:i/>
          <w:sz w:val="52"/>
          <w:szCs w:val="52"/>
          <w:lang w:val="pt-BR"/>
        </w:rPr>
        <w:t>Municipiul Bucureș</w:t>
      </w:r>
      <w:r w:rsidRPr="005D4664">
        <w:rPr>
          <w:rFonts w:ascii="Trebuchet MS" w:hAnsi="Trebuchet MS"/>
          <w:b/>
          <w:i/>
          <w:sz w:val="52"/>
          <w:szCs w:val="52"/>
          <w:lang w:val="pt-BR"/>
        </w:rPr>
        <w:t>ti</w:t>
      </w: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Default="00BB5EFD" w:rsidP="00BB5EFD">
      <w:pPr>
        <w:pStyle w:val="Footer"/>
        <w:jc w:val="center"/>
        <w:rPr>
          <w:b/>
          <w:i/>
          <w:sz w:val="52"/>
          <w:szCs w:val="52"/>
          <w:lang w:val="pt-BR"/>
        </w:rPr>
      </w:pPr>
    </w:p>
    <w:p w:rsidR="00BB5EFD" w:rsidRPr="005D4664" w:rsidRDefault="00BA3857" w:rsidP="00BB5EFD">
      <w:pPr>
        <w:pStyle w:val="Footer"/>
        <w:jc w:val="center"/>
        <w:rPr>
          <w:rFonts w:ascii="Trebuchet MS" w:hAnsi="Trebuchet MS"/>
          <w:b/>
          <w:i/>
          <w:sz w:val="52"/>
          <w:szCs w:val="52"/>
          <w:lang w:val="pt-BR"/>
        </w:rPr>
      </w:pPr>
      <w:r w:rsidRPr="005D4664">
        <w:rPr>
          <w:rFonts w:ascii="Trebuchet MS" w:hAnsi="Trebuchet MS"/>
          <w:b/>
          <w:i/>
          <w:sz w:val="52"/>
          <w:szCs w:val="52"/>
          <w:lang w:val="pt-BR"/>
        </w:rPr>
        <w:t>August 2024</w:t>
      </w:r>
    </w:p>
    <w:p w:rsidR="00BB5EFD" w:rsidRDefault="00BB5EFD">
      <w:pPr>
        <w:rPr>
          <w:rFonts w:ascii="Arial" w:hAnsi="Arial" w:cs="Arial"/>
          <w:b/>
          <w:lang w:val="ro-RO"/>
        </w:rPr>
      </w:pPr>
    </w:p>
    <w:p w:rsidR="00BB5EFD" w:rsidRDefault="00BB5EFD">
      <w:pPr>
        <w:rPr>
          <w:rFonts w:ascii="Arial" w:hAnsi="Arial" w:cs="Arial"/>
          <w:b/>
          <w:lang w:val="ro-RO"/>
        </w:rPr>
      </w:pPr>
      <w:r>
        <w:rPr>
          <w:rFonts w:ascii="Arial" w:hAnsi="Arial" w:cs="Arial"/>
          <w:b/>
          <w:lang w:val="ro-RO"/>
        </w:rPr>
        <w:br w:type="page"/>
      </w:r>
    </w:p>
    <w:p w:rsidR="00BB5EFD" w:rsidRDefault="00BB5EFD">
      <w:pPr>
        <w:rPr>
          <w:rFonts w:ascii="Arial" w:hAnsi="Arial" w:cs="Arial"/>
          <w:b/>
          <w:lang w:val="ro-RO"/>
        </w:rPr>
      </w:pPr>
    </w:p>
    <w:p w:rsidR="009520AC" w:rsidRPr="005D4664" w:rsidRDefault="009520AC" w:rsidP="009520AC">
      <w:pPr>
        <w:pStyle w:val="Heading1"/>
        <w:jc w:val="center"/>
        <w:rPr>
          <w:rFonts w:ascii="Trebuchet MS" w:hAnsi="Trebuchet MS"/>
          <w:b w:val="0"/>
          <w:sz w:val="24"/>
          <w:szCs w:val="24"/>
          <w:lang w:val="it-IT"/>
        </w:rPr>
      </w:pPr>
      <w:r w:rsidRPr="005D4664">
        <w:rPr>
          <w:rFonts w:ascii="Trebuchet MS" w:hAnsi="Trebuchet MS"/>
          <w:b w:val="0"/>
          <w:sz w:val="24"/>
          <w:szCs w:val="24"/>
          <w:lang w:val="it-IT"/>
        </w:rPr>
        <w:t>CUPRINS</w:t>
      </w:r>
    </w:p>
    <w:p w:rsidR="009520AC" w:rsidRPr="005D4664" w:rsidRDefault="009520AC" w:rsidP="009520AC">
      <w:pPr>
        <w:jc w:val="both"/>
        <w:rPr>
          <w:rFonts w:ascii="Trebuchet MS" w:hAnsi="Trebuchet MS"/>
          <w:lang w:val="it-IT"/>
        </w:rPr>
      </w:pPr>
      <w:r w:rsidRPr="005D4664">
        <w:rPr>
          <w:rFonts w:ascii="Trebuchet MS" w:hAnsi="Trebuchet MS"/>
          <w:lang w:val="it-IT"/>
        </w:rPr>
        <w:t>CUPRINS</w:t>
      </w:r>
      <w:r w:rsidR="005D4664">
        <w:rPr>
          <w:rFonts w:ascii="Trebuchet MS" w:hAnsi="Trebuchet MS"/>
          <w:lang w:val="it-IT"/>
        </w:rPr>
        <w:t xml:space="preserve">  </w:t>
      </w:r>
      <w:r w:rsidRPr="005D4664">
        <w:rPr>
          <w:rFonts w:ascii="Trebuchet MS" w:hAnsi="Trebuchet MS"/>
          <w:lang w:val="it-IT"/>
        </w:rPr>
        <w:t>……………………………………</w:t>
      </w:r>
      <w:r w:rsidR="005D4664">
        <w:rPr>
          <w:rFonts w:ascii="Trebuchet MS" w:hAnsi="Trebuchet MS"/>
          <w:lang w:val="it-IT"/>
        </w:rPr>
        <w:t xml:space="preserve">…………………………………………............................. </w:t>
      </w:r>
      <w:r w:rsidRPr="005D4664">
        <w:rPr>
          <w:rFonts w:ascii="Trebuchet MS" w:hAnsi="Trebuchet MS"/>
          <w:lang w:val="it-IT"/>
        </w:rPr>
        <w:t xml:space="preserve"> 2</w:t>
      </w:r>
    </w:p>
    <w:p w:rsidR="009520AC" w:rsidRPr="005D4664" w:rsidRDefault="009520AC" w:rsidP="009520AC">
      <w:pPr>
        <w:jc w:val="both"/>
        <w:rPr>
          <w:rFonts w:ascii="Trebuchet MS" w:hAnsi="Trebuchet MS"/>
          <w:lang w:val="it-IT"/>
        </w:rPr>
      </w:pPr>
      <w:r w:rsidRPr="005D4664">
        <w:rPr>
          <w:rFonts w:ascii="Trebuchet MS" w:hAnsi="Trebuchet MS"/>
          <w:lang w:val="it-IT"/>
        </w:rPr>
        <w:t>Introducere………………………………………………………………………………............</w:t>
      </w:r>
      <w:r w:rsidR="005D4664">
        <w:rPr>
          <w:rFonts w:ascii="Trebuchet MS" w:hAnsi="Trebuchet MS"/>
          <w:lang w:val="it-IT"/>
        </w:rPr>
        <w:t>.............</w:t>
      </w:r>
      <w:r w:rsidRPr="005D4664">
        <w:rPr>
          <w:rFonts w:ascii="Trebuchet MS" w:hAnsi="Trebuchet MS"/>
          <w:lang w:val="it-IT"/>
        </w:rPr>
        <w:t xml:space="preserve">  </w:t>
      </w:r>
      <w:r w:rsidR="005D4664">
        <w:rPr>
          <w:rFonts w:ascii="Trebuchet MS" w:hAnsi="Trebuchet MS"/>
          <w:lang w:val="it-IT"/>
        </w:rPr>
        <w:t xml:space="preserve"> </w:t>
      </w:r>
      <w:r w:rsidRPr="005D4664">
        <w:rPr>
          <w:rFonts w:ascii="Trebuchet MS" w:hAnsi="Trebuchet MS"/>
          <w:lang w:val="it-IT"/>
        </w:rPr>
        <w:t xml:space="preserve"> 5</w:t>
      </w:r>
    </w:p>
    <w:p w:rsidR="009520AC" w:rsidRPr="005D4664" w:rsidRDefault="009520AC" w:rsidP="009520AC">
      <w:pPr>
        <w:jc w:val="both"/>
        <w:rPr>
          <w:rFonts w:ascii="Trebuchet MS" w:hAnsi="Trebuchet MS"/>
          <w:lang w:val="it-IT"/>
        </w:rPr>
      </w:pPr>
      <w:r w:rsidRPr="005D4664">
        <w:rPr>
          <w:rFonts w:ascii="Trebuchet MS" w:hAnsi="Trebuchet MS"/>
          <w:lang w:val="it-IT"/>
        </w:rPr>
        <w:t>I. CALITATEA ŞI POLUAREA AERULUI ÎNCONJURĂTOR</w:t>
      </w:r>
      <w:r w:rsidR="005D4664">
        <w:rPr>
          <w:rFonts w:ascii="Trebuchet MS" w:hAnsi="Trebuchet MS"/>
          <w:lang w:val="it-IT"/>
        </w:rPr>
        <w:t xml:space="preserve"> </w:t>
      </w:r>
      <w:r w:rsidRPr="005D4664">
        <w:rPr>
          <w:rFonts w:ascii="Trebuchet MS" w:hAnsi="Trebuchet MS"/>
          <w:lang w:val="it-IT"/>
        </w:rPr>
        <w:t xml:space="preserve">………………….................. . </w:t>
      </w:r>
      <w:r w:rsidR="005D4664">
        <w:rPr>
          <w:rFonts w:ascii="Trebuchet MS" w:hAnsi="Trebuchet MS"/>
          <w:lang w:val="it-IT"/>
        </w:rPr>
        <w:t>..</w:t>
      </w:r>
      <w:r w:rsidRPr="005D4664">
        <w:rPr>
          <w:rFonts w:ascii="Trebuchet MS" w:hAnsi="Trebuchet MS"/>
          <w:lang w:val="it-IT"/>
        </w:rPr>
        <w:t xml:space="preserve"> </w:t>
      </w:r>
      <w:r w:rsidR="005D4664">
        <w:rPr>
          <w:rFonts w:ascii="Trebuchet MS" w:hAnsi="Trebuchet MS"/>
          <w:lang w:val="it-IT"/>
        </w:rPr>
        <w:t xml:space="preserve">  </w:t>
      </w:r>
      <w:r w:rsidRPr="005D4664">
        <w:rPr>
          <w:rFonts w:ascii="Trebuchet MS" w:hAnsi="Trebuchet MS"/>
          <w:lang w:val="it-IT"/>
        </w:rPr>
        <w:t>7</w:t>
      </w:r>
    </w:p>
    <w:p w:rsidR="009520AC" w:rsidRPr="005D4664" w:rsidRDefault="009520AC" w:rsidP="009520AC">
      <w:pPr>
        <w:jc w:val="both"/>
        <w:rPr>
          <w:rFonts w:ascii="Trebuchet MS" w:hAnsi="Trebuchet MS"/>
          <w:lang w:val="it-IT"/>
        </w:rPr>
      </w:pPr>
      <w:r w:rsidRPr="005D4664">
        <w:rPr>
          <w:rFonts w:ascii="Trebuchet MS" w:hAnsi="Trebuchet MS"/>
          <w:lang w:val="it-IT"/>
        </w:rPr>
        <w:t xml:space="preserve">I.1 Calitatea aerului înconjurător: stare şi consecinţe…………………………………………… </w:t>
      </w:r>
      <w:r w:rsidR="005D4664">
        <w:rPr>
          <w:rFonts w:ascii="Trebuchet MS" w:hAnsi="Trebuchet MS"/>
          <w:lang w:val="it-IT"/>
        </w:rPr>
        <w:t xml:space="preserve"> </w:t>
      </w:r>
      <w:r w:rsidRPr="005D4664">
        <w:rPr>
          <w:rFonts w:ascii="Trebuchet MS" w:hAnsi="Trebuchet MS"/>
          <w:lang w:val="it-IT"/>
        </w:rPr>
        <w:t xml:space="preserve"> 7</w:t>
      </w:r>
    </w:p>
    <w:p w:rsidR="009520AC" w:rsidRPr="005D4664" w:rsidRDefault="009520AC" w:rsidP="009520AC">
      <w:pPr>
        <w:jc w:val="both"/>
        <w:rPr>
          <w:rFonts w:ascii="Trebuchet MS" w:hAnsi="Trebuchet MS"/>
          <w:lang w:val="it-IT"/>
        </w:rPr>
      </w:pPr>
      <w:r w:rsidRPr="005D4664">
        <w:rPr>
          <w:rFonts w:ascii="Trebuchet MS" w:hAnsi="Trebuchet MS"/>
          <w:lang w:val="it-IT"/>
        </w:rPr>
        <w:t>I.1.1 Starea de calitate a aerului înconjurător</w:t>
      </w:r>
      <w:r w:rsidRPr="005D4664">
        <w:rPr>
          <w:rFonts w:ascii="Trebuchet MS" w:hAnsi="Trebuchet MS"/>
          <w:lang w:val="it-IT"/>
        </w:rPr>
        <w:tab/>
        <w:t xml:space="preserve">…………..……………………………………….. </w:t>
      </w:r>
      <w:r w:rsidR="005D4664">
        <w:rPr>
          <w:rFonts w:ascii="Trebuchet MS" w:hAnsi="Trebuchet MS"/>
          <w:lang w:val="it-IT"/>
        </w:rPr>
        <w:t xml:space="preserve">    </w:t>
      </w:r>
      <w:r w:rsidRPr="005D4664">
        <w:rPr>
          <w:rFonts w:ascii="Trebuchet MS" w:hAnsi="Trebuchet MS"/>
          <w:lang w:val="it-IT"/>
        </w:rPr>
        <w:t xml:space="preserve">7 </w:t>
      </w:r>
    </w:p>
    <w:p w:rsidR="009520AC" w:rsidRPr="005D4664" w:rsidRDefault="009520AC" w:rsidP="009520AC">
      <w:pPr>
        <w:jc w:val="both"/>
        <w:rPr>
          <w:rFonts w:ascii="Trebuchet MS" w:hAnsi="Trebuchet MS"/>
          <w:lang w:val="it-IT"/>
        </w:rPr>
      </w:pPr>
      <w:r w:rsidRPr="005D4664">
        <w:rPr>
          <w:rFonts w:ascii="Trebuchet MS" w:hAnsi="Trebuchet MS"/>
          <w:lang w:val="it-IT"/>
        </w:rPr>
        <w:t xml:space="preserve">I.1.1.1. Nivelul concentraţiilor medii anuale ale poluanţilor atmosferici în aerul înconjurător </w:t>
      </w:r>
      <w:r w:rsidR="005D4664">
        <w:rPr>
          <w:rFonts w:ascii="Trebuchet MS" w:hAnsi="Trebuchet MS"/>
          <w:lang w:val="it-IT"/>
        </w:rPr>
        <w:t>...................................................................................</w:t>
      </w:r>
      <w:r w:rsidRPr="005D4664">
        <w:rPr>
          <w:rFonts w:ascii="Trebuchet MS" w:hAnsi="Trebuchet MS"/>
          <w:lang w:val="it-IT"/>
        </w:rPr>
        <w:t xml:space="preserve">     </w:t>
      </w:r>
      <w:r w:rsidR="00F549B4">
        <w:rPr>
          <w:rFonts w:ascii="Trebuchet MS" w:hAnsi="Trebuchet MS"/>
          <w:lang w:val="it-IT"/>
        </w:rPr>
        <w:t>8</w:t>
      </w:r>
    </w:p>
    <w:p w:rsidR="009520AC" w:rsidRPr="005D4664" w:rsidRDefault="009520AC" w:rsidP="009520AC">
      <w:pPr>
        <w:jc w:val="both"/>
        <w:rPr>
          <w:rFonts w:ascii="Trebuchet MS" w:hAnsi="Trebuchet MS"/>
          <w:lang w:val="it-IT"/>
        </w:rPr>
      </w:pPr>
      <w:r w:rsidRPr="005D4664">
        <w:rPr>
          <w:rFonts w:ascii="Trebuchet MS" w:hAnsi="Trebuchet MS"/>
          <w:lang w:val="it-IT"/>
        </w:rPr>
        <w:t>Dioxid</w:t>
      </w:r>
      <w:r w:rsidR="005D4664">
        <w:rPr>
          <w:rFonts w:ascii="Trebuchet MS" w:hAnsi="Trebuchet MS"/>
          <w:lang w:val="it-IT"/>
        </w:rPr>
        <w:t xml:space="preserve"> </w:t>
      </w:r>
      <w:r w:rsidRPr="005D4664">
        <w:rPr>
          <w:rFonts w:ascii="Trebuchet MS" w:hAnsi="Trebuchet MS"/>
          <w:lang w:val="it-IT"/>
        </w:rPr>
        <w:t>de azot.................................................</w:t>
      </w:r>
      <w:r w:rsidR="005D4664">
        <w:rPr>
          <w:rFonts w:ascii="Trebuchet MS" w:hAnsi="Trebuchet MS"/>
          <w:lang w:val="it-IT"/>
        </w:rPr>
        <w:t>................</w:t>
      </w:r>
      <w:r w:rsidRPr="005D4664">
        <w:rPr>
          <w:rFonts w:ascii="Trebuchet MS" w:hAnsi="Trebuchet MS"/>
          <w:lang w:val="it-IT"/>
        </w:rPr>
        <w:t>... ........... .    8</w:t>
      </w:r>
    </w:p>
    <w:p w:rsidR="009520AC" w:rsidRPr="005D4664" w:rsidRDefault="009520AC" w:rsidP="009520AC">
      <w:pPr>
        <w:jc w:val="both"/>
        <w:rPr>
          <w:rFonts w:ascii="Trebuchet MS" w:hAnsi="Trebuchet MS"/>
          <w:lang w:val="it-IT"/>
        </w:rPr>
      </w:pPr>
      <w:r w:rsidRPr="005D4664">
        <w:rPr>
          <w:rFonts w:ascii="Trebuchet MS" w:hAnsi="Trebuchet MS"/>
          <w:lang w:val="it-IT"/>
        </w:rPr>
        <w:t>Dioxid de sulf</w:t>
      </w:r>
      <w:r w:rsidR="005D4664">
        <w:rPr>
          <w:rFonts w:ascii="Trebuchet MS" w:hAnsi="Trebuchet MS"/>
          <w:lang w:val="it-IT"/>
        </w:rPr>
        <w:t xml:space="preserve"> </w:t>
      </w:r>
      <w:r w:rsidRPr="005D4664">
        <w:rPr>
          <w:rFonts w:ascii="Trebuchet MS" w:hAnsi="Trebuchet MS"/>
          <w:lang w:val="it-IT"/>
        </w:rPr>
        <w:t>............................................................................... ..     9</w:t>
      </w:r>
    </w:p>
    <w:p w:rsidR="004E568D" w:rsidRPr="005D4664" w:rsidRDefault="009520AC" w:rsidP="009520AC">
      <w:pPr>
        <w:jc w:val="both"/>
        <w:rPr>
          <w:rFonts w:ascii="Trebuchet MS" w:hAnsi="Trebuchet MS"/>
          <w:lang w:val="it-IT"/>
        </w:rPr>
      </w:pPr>
      <w:r w:rsidRPr="005D4664">
        <w:rPr>
          <w:rFonts w:ascii="Trebuchet MS" w:hAnsi="Trebuchet MS"/>
          <w:lang w:val="it-IT"/>
        </w:rPr>
        <w:t>Pulberi în suspensie - PM10</w:t>
      </w:r>
      <w:r w:rsidR="005D4664">
        <w:rPr>
          <w:rFonts w:ascii="Trebuchet MS" w:hAnsi="Trebuchet MS"/>
          <w:lang w:val="it-IT"/>
        </w:rPr>
        <w:t xml:space="preserve">  </w:t>
      </w:r>
      <w:r w:rsidRPr="005D4664">
        <w:rPr>
          <w:rFonts w:ascii="Trebuchet MS" w:hAnsi="Trebuchet MS"/>
          <w:lang w:val="it-IT"/>
        </w:rPr>
        <w:t xml:space="preserve">................................................................     9 </w:t>
      </w:r>
    </w:p>
    <w:p w:rsidR="009520AC" w:rsidRPr="005D4664" w:rsidRDefault="009520AC" w:rsidP="009520AC">
      <w:pPr>
        <w:jc w:val="both"/>
        <w:rPr>
          <w:rFonts w:ascii="Trebuchet MS" w:hAnsi="Trebuchet MS"/>
          <w:lang w:val="it-IT"/>
        </w:rPr>
      </w:pPr>
      <w:r w:rsidRPr="005D4664">
        <w:rPr>
          <w:rFonts w:ascii="Trebuchet MS" w:hAnsi="Trebuchet MS"/>
          <w:lang w:val="it-IT"/>
        </w:rPr>
        <w:t>Ozon - O3</w:t>
      </w:r>
      <w:r w:rsidR="005D4664">
        <w:rPr>
          <w:rFonts w:ascii="Trebuchet MS" w:hAnsi="Trebuchet MS"/>
          <w:lang w:val="it-IT"/>
        </w:rPr>
        <w:t xml:space="preserve"> </w:t>
      </w:r>
      <w:r w:rsidRPr="005D4664">
        <w:rPr>
          <w:rFonts w:ascii="Trebuchet MS" w:hAnsi="Trebuchet MS"/>
          <w:lang w:val="it-IT"/>
        </w:rPr>
        <w:t xml:space="preserve">............................................................................ </w:t>
      </w:r>
      <w:r w:rsidR="005D4664">
        <w:rPr>
          <w:rFonts w:ascii="Trebuchet MS" w:hAnsi="Trebuchet MS"/>
          <w:lang w:val="it-IT"/>
        </w:rPr>
        <w:t xml:space="preserve">........    </w:t>
      </w:r>
      <w:r w:rsidRPr="005D4664">
        <w:rPr>
          <w:rFonts w:ascii="Trebuchet MS" w:hAnsi="Trebuchet MS"/>
          <w:lang w:val="it-IT"/>
        </w:rPr>
        <w:t>10</w:t>
      </w:r>
    </w:p>
    <w:p w:rsidR="009520AC" w:rsidRPr="005D4664" w:rsidRDefault="009520AC" w:rsidP="009520AC">
      <w:pPr>
        <w:jc w:val="both"/>
        <w:rPr>
          <w:rFonts w:ascii="Trebuchet MS" w:hAnsi="Trebuchet MS"/>
          <w:lang w:val="it-IT"/>
        </w:rPr>
      </w:pPr>
      <w:r w:rsidRPr="005D4664">
        <w:rPr>
          <w:rFonts w:ascii="Trebuchet MS" w:hAnsi="Trebuchet MS"/>
          <w:lang w:val="it-IT"/>
        </w:rPr>
        <w:t>Metale grele.(Pb, Cd, Ni, As)</w:t>
      </w:r>
      <w:r w:rsidR="005D4664">
        <w:rPr>
          <w:rFonts w:ascii="Trebuchet MS" w:hAnsi="Trebuchet MS"/>
          <w:lang w:val="it-IT"/>
        </w:rPr>
        <w:t xml:space="preserve"> </w:t>
      </w:r>
      <w:r w:rsidRPr="005D4664">
        <w:rPr>
          <w:rFonts w:ascii="Trebuchet MS" w:hAnsi="Trebuchet MS"/>
          <w:lang w:val="it-IT"/>
        </w:rPr>
        <w:t>................................................................   10</w:t>
      </w:r>
    </w:p>
    <w:p w:rsidR="009520AC" w:rsidRPr="005D4664" w:rsidRDefault="009520AC" w:rsidP="009520AC">
      <w:pPr>
        <w:jc w:val="both"/>
        <w:rPr>
          <w:rFonts w:ascii="Trebuchet MS" w:hAnsi="Trebuchet MS"/>
          <w:lang w:val="it-IT"/>
        </w:rPr>
      </w:pPr>
      <w:r w:rsidRPr="005D4664">
        <w:rPr>
          <w:rFonts w:ascii="Trebuchet MS" w:hAnsi="Trebuchet MS"/>
          <w:lang w:val="it-IT"/>
        </w:rPr>
        <w:t>I.1.1.2. Tendinţe privind concentraţiile medii anuale ale anumitor poluanţi atmosferici</w:t>
      </w:r>
      <w:r w:rsidR="005D4664">
        <w:rPr>
          <w:rFonts w:ascii="Trebuchet MS" w:hAnsi="Trebuchet MS"/>
          <w:lang w:val="it-IT"/>
        </w:rPr>
        <w:t xml:space="preserve"> </w:t>
      </w:r>
      <w:r w:rsidRPr="005D4664">
        <w:rPr>
          <w:rFonts w:ascii="Trebuchet MS" w:hAnsi="Trebuchet MS"/>
          <w:lang w:val="it-IT"/>
        </w:rPr>
        <w:t>............</w:t>
      </w:r>
      <w:r w:rsidR="005D4664">
        <w:rPr>
          <w:rFonts w:ascii="Trebuchet MS" w:hAnsi="Trebuchet MS"/>
          <w:lang w:val="it-IT"/>
        </w:rPr>
        <w:t>.........................................................................</w:t>
      </w:r>
      <w:r w:rsidRPr="005D4664">
        <w:rPr>
          <w:rFonts w:ascii="Trebuchet MS" w:hAnsi="Trebuchet MS"/>
          <w:lang w:val="it-IT"/>
        </w:rPr>
        <w:t xml:space="preserve">  12</w:t>
      </w:r>
    </w:p>
    <w:p w:rsidR="009520AC" w:rsidRPr="005D4664" w:rsidRDefault="009520AC" w:rsidP="009520AC">
      <w:pPr>
        <w:jc w:val="both"/>
        <w:rPr>
          <w:rFonts w:ascii="Trebuchet MS" w:hAnsi="Trebuchet MS"/>
          <w:lang w:val="it-IT"/>
        </w:rPr>
      </w:pPr>
      <w:r w:rsidRPr="005D4664">
        <w:rPr>
          <w:rFonts w:ascii="Trebuchet MS" w:hAnsi="Trebuchet MS"/>
          <w:lang w:val="it-IT"/>
        </w:rPr>
        <w:t>I.1.1.3 Depăşiri ale valorilor limită şi valorilor ţintă privind calitatea aerului înconjurător în zonele urbane</w:t>
      </w:r>
      <w:r w:rsidR="005D4664">
        <w:rPr>
          <w:rFonts w:ascii="Trebuchet MS" w:hAnsi="Trebuchet MS"/>
          <w:lang w:val="it-IT"/>
        </w:rPr>
        <w:t xml:space="preserve"> </w:t>
      </w:r>
      <w:r w:rsidRPr="005D4664">
        <w:rPr>
          <w:rFonts w:ascii="Trebuchet MS" w:hAnsi="Trebuchet MS"/>
          <w:lang w:val="it-IT"/>
        </w:rPr>
        <w:t>...............................................................</w:t>
      </w:r>
      <w:r w:rsidR="005D4664">
        <w:rPr>
          <w:rFonts w:ascii="Trebuchet MS" w:hAnsi="Trebuchet MS"/>
          <w:lang w:val="it-IT"/>
        </w:rPr>
        <w:t xml:space="preserve"> </w:t>
      </w:r>
      <w:r w:rsidR="00F549B4">
        <w:rPr>
          <w:rFonts w:ascii="Trebuchet MS" w:hAnsi="Trebuchet MS"/>
          <w:lang w:val="it-IT"/>
        </w:rPr>
        <w:t>16</w:t>
      </w:r>
    </w:p>
    <w:p w:rsidR="009520AC" w:rsidRPr="005D4664" w:rsidRDefault="009520AC" w:rsidP="009520AC">
      <w:pPr>
        <w:jc w:val="both"/>
        <w:rPr>
          <w:rFonts w:ascii="Trebuchet MS" w:hAnsi="Trebuchet MS"/>
          <w:lang w:val="it-IT"/>
        </w:rPr>
      </w:pPr>
      <w:r w:rsidRPr="005D4664">
        <w:rPr>
          <w:rFonts w:ascii="Trebuchet MS" w:hAnsi="Trebuchet MS"/>
          <w:lang w:val="it-IT"/>
        </w:rPr>
        <w:t>I.1.2.1 Efectele poluării aerului înconjurător</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19</w:t>
      </w:r>
    </w:p>
    <w:p w:rsidR="009520AC" w:rsidRPr="005D4664" w:rsidRDefault="009520AC" w:rsidP="009520AC">
      <w:pPr>
        <w:jc w:val="both"/>
        <w:rPr>
          <w:rFonts w:ascii="Trebuchet MS" w:hAnsi="Trebuchet MS"/>
          <w:lang w:val="it-IT"/>
        </w:rPr>
      </w:pPr>
      <w:r w:rsidRPr="005D4664">
        <w:rPr>
          <w:rFonts w:ascii="Trebuchet MS" w:hAnsi="Trebuchet MS"/>
          <w:lang w:val="it-IT"/>
        </w:rPr>
        <w:t>I.1.2.1.1 Efectele poluării aerului înconjurător asupra sănătăţii</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19</w:t>
      </w:r>
    </w:p>
    <w:p w:rsidR="009520AC" w:rsidRPr="005D4664" w:rsidRDefault="009520AC" w:rsidP="009520AC">
      <w:pPr>
        <w:jc w:val="both"/>
        <w:rPr>
          <w:rFonts w:ascii="Trebuchet MS" w:hAnsi="Trebuchet MS"/>
          <w:lang w:val="it-IT"/>
        </w:rPr>
      </w:pPr>
      <w:r w:rsidRPr="005D4664">
        <w:rPr>
          <w:rFonts w:ascii="Trebuchet MS" w:hAnsi="Trebuchet MS"/>
          <w:lang w:val="it-IT"/>
        </w:rPr>
        <w:t>I.1.2.1.2. Efectele poluării aerului înconjurător asupra ecosistemelor</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20</w:t>
      </w:r>
    </w:p>
    <w:p w:rsidR="009520AC" w:rsidRPr="005D4664" w:rsidRDefault="009520AC" w:rsidP="009520AC">
      <w:pPr>
        <w:jc w:val="both"/>
        <w:rPr>
          <w:rFonts w:ascii="Trebuchet MS" w:hAnsi="Trebuchet MS"/>
          <w:lang w:val="it-IT"/>
        </w:rPr>
      </w:pPr>
      <w:r w:rsidRPr="005D4664">
        <w:rPr>
          <w:rFonts w:ascii="Trebuchet MS" w:hAnsi="Trebuchet MS"/>
          <w:lang w:val="it-IT"/>
        </w:rPr>
        <w:t>I.2. Factorii determinanţi şi presiuni care afectează starea de calitate a aerului înconjurător</w:t>
      </w:r>
      <w:r w:rsidRPr="005D4664">
        <w:rPr>
          <w:rFonts w:ascii="Trebuchet MS" w:hAnsi="Trebuchet MS"/>
          <w:lang w:val="it-IT"/>
        </w:rPr>
        <w:tab/>
        <w:t>...........................................................................</w:t>
      </w:r>
      <w:r w:rsidR="00B1365E">
        <w:rPr>
          <w:rFonts w:ascii="Trebuchet MS" w:hAnsi="Trebuchet MS"/>
          <w:lang w:val="it-IT"/>
        </w:rPr>
        <w:t xml:space="preserve">.......    </w:t>
      </w:r>
      <w:r w:rsidRPr="005D4664">
        <w:rPr>
          <w:rFonts w:ascii="Trebuchet MS" w:hAnsi="Trebuchet MS"/>
          <w:lang w:val="it-IT"/>
        </w:rPr>
        <w:t>21</w:t>
      </w:r>
    </w:p>
    <w:p w:rsidR="009520AC" w:rsidRPr="005D4664" w:rsidRDefault="009520AC" w:rsidP="009520AC">
      <w:pPr>
        <w:jc w:val="both"/>
        <w:rPr>
          <w:rFonts w:ascii="Trebuchet MS" w:hAnsi="Trebuchet MS"/>
          <w:lang w:val="it-IT"/>
        </w:rPr>
      </w:pPr>
      <w:r w:rsidRPr="005D4664">
        <w:rPr>
          <w:rFonts w:ascii="Trebuchet MS" w:hAnsi="Trebuchet MS"/>
          <w:lang w:val="it-IT"/>
        </w:rPr>
        <w:t>I.2.1 Energia</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21</w:t>
      </w:r>
    </w:p>
    <w:p w:rsidR="009520AC" w:rsidRPr="005D4664" w:rsidRDefault="009520AC" w:rsidP="009520AC">
      <w:pPr>
        <w:jc w:val="both"/>
        <w:rPr>
          <w:rFonts w:ascii="Trebuchet MS" w:hAnsi="Trebuchet MS"/>
          <w:lang w:val="it-IT"/>
        </w:rPr>
      </w:pPr>
      <w:r w:rsidRPr="005D4664">
        <w:rPr>
          <w:rFonts w:ascii="Trebuchet MS" w:hAnsi="Trebuchet MS"/>
          <w:lang w:val="it-IT"/>
        </w:rPr>
        <w:t>I.2.2. Industria</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27</w:t>
      </w:r>
    </w:p>
    <w:p w:rsidR="009520AC" w:rsidRPr="005D4664" w:rsidRDefault="009520AC" w:rsidP="009520AC">
      <w:pPr>
        <w:jc w:val="both"/>
        <w:rPr>
          <w:rFonts w:ascii="Trebuchet MS" w:hAnsi="Trebuchet MS"/>
          <w:lang w:val="it-IT"/>
        </w:rPr>
      </w:pPr>
      <w:r w:rsidRPr="005D4664">
        <w:rPr>
          <w:rFonts w:ascii="Trebuchet MS" w:hAnsi="Trebuchet MS"/>
          <w:lang w:val="it-IT"/>
        </w:rPr>
        <w:t>1.</w:t>
      </w:r>
      <w:r w:rsidRPr="005D4664">
        <w:rPr>
          <w:rFonts w:ascii="Trebuchet MS" w:hAnsi="Trebuchet MS"/>
          <w:lang w:val="it-IT"/>
        </w:rPr>
        <w:tab/>
        <w:t>Emisii de substanţe acidifiante</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27</w:t>
      </w:r>
    </w:p>
    <w:p w:rsidR="009520AC" w:rsidRPr="005D4664" w:rsidRDefault="009520AC" w:rsidP="009520AC">
      <w:pPr>
        <w:jc w:val="both"/>
        <w:rPr>
          <w:rFonts w:ascii="Trebuchet MS" w:hAnsi="Trebuchet MS"/>
          <w:lang w:val="it-IT"/>
        </w:rPr>
      </w:pPr>
      <w:r w:rsidRPr="005D4664">
        <w:rPr>
          <w:rFonts w:ascii="Trebuchet MS" w:hAnsi="Trebuchet MS"/>
          <w:lang w:val="it-IT"/>
        </w:rPr>
        <w:t>2.</w:t>
      </w:r>
      <w:r w:rsidRPr="005D4664">
        <w:rPr>
          <w:rFonts w:ascii="Trebuchet MS" w:hAnsi="Trebuchet MS"/>
          <w:lang w:val="it-IT"/>
        </w:rPr>
        <w:tab/>
        <w:t>Emisii de precursori ai ozonului</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28</w:t>
      </w:r>
    </w:p>
    <w:p w:rsidR="009520AC" w:rsidRPr="005D4664" w:rsidRDefault="009520AC" w:rsidP="009520AC">
      <w:pPr>
        <w:jc w:val="both"/>
        <w:rPr>
          <w:rFonts w:ascii="Trebuchet MS" w:hAnsi="Trebuchet MS"/>
          <w:lang w:val="it-IT"/>
        </w:rPr>
      </w:pPr>
      <w:r w:rsidRPr="005D4664">
        <w:rPr>
          <w:rFonts w:ascii="Trebuchet MS" w:hAnsi="Trebuchet MS"/>
          <w:lang w:val="it-IT"/>
        </w:rPr>
        <w:t>3.</w:t>
      </w:r>
      <w:r w:rsidRPr="005D4664">
        <w:rPr>
          <w:rFonts w:ascii="Trebuchet MS" w:hAnsi="Trebuchet MS"/>
          <w:lang w:val="it-IT"/>
        </w:rPr>
        <w:tab/>
        <w:t>Emisii de particule primare şi precursori secundari de particule</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29</w:t>
      </w:r>
    </w:p>
    <w:p w:rsidR="009520AC" w:rsidRPr="005D4664" w:rsidRDefault="009520AC" w:rsidP="009520AC">
      <w:pPr>
        <w:jc w:val="both"/>
        <w:rPr>
          <w:rFonts w:ascii="Trebuchet MS" w:hAnsi="Trebuchet MS"/>
          <w:lang w:val="it-IT"/>
        </w:rPr>
      </w:pPr>
      <w:r w:rsidRPr="005D4664">
        <w:rPr>
          <w:rFonts w:ascii="Trebuchet MS" w:hAnsi="Trebuchet MS"/>
          <w:lang w:val="it-IT"/>
        </w:rPr>
        <w:t>4.</w:t>
      </w:r>
      <w:r w:rsidRPr="005D4664">
        <w:rPr>
          <w:rFonts w:ascii="Trebuchet MS" w:hAnsi="Trebuchet MS"/>
          <w:lang w:val="it-IT"/>
        </w:rPr>
        <w:tab/>
        <w:t>Emisii de metale grele</w:t>
      </w:r>
      <w:r w:rsidRPr="005D4664">
        <w:rPr>
          <w:rFonts w:ascii="Trebuchet MS" w:hAnsi="Trebuchet MS"/>
          <w:lang w:val="it-IT"/>
        </w:rPr>
        <w:tab/>
        <w:t>.........................................................</w:t>
      </w:r>
      <w:r w:rsidR="00B1365E">
        <w:rPr>
          <w:rFonts w:ascii="Trebuchet MS" w:hAnsi="Trebuchet MS"/>
          <w:lang w:val="it-IT"/>
        </w:rPr>
        <w:t xml:space="preserve">...  </w:t>
      </w:r>
      <w:r w:rsidRPr="005D4664">
        <w:rPr>
          <w:rFonts w:ascii="Trebuchet MS" w:hAnsi="Trebuchet MS"/>
          <w:lang w:val="it-IT"/>
        </w:rPr>
        <w:t>31</w:t>
      </w:r>
    </w:p>
    <w:p w:rsidR="009520AC" w:rsidRPr="005D4664" w:rsidRDefault="009520AC" w:rsidP="009520AC">
      <w:pPr>
        <w:jc w:val="both"/>
        <w:rPr>
          <w:rFonts w:ascii="Trebuchet MS" w:hAnsi="Trebuchet MS"/>
          <w:lang w:val="it-IT"/>
        </w:rPr>
      </w:pPr>
      <w:r w:rsidRPr="005D4664">
        <w:rPr>
          <w:rFonts w:ascii="Trebuchet MS" w:hAnsi="Trebuchet MS"/>
          <w:lang w:val="it-IT"/>
        </w:rPr>
        <w:t>5.</w:t>
      </w:r>
      <w:r w:rsidRPr="005D4664">
        <w:rPr>
          <w:rFonts w:ascii="Trebuchet MS" w:hAnsi="Trebuchet MS"/>
          <w:lang w:val="it-IT"/>
        </w:rPr>
        <w:tab/>
        <w:t>Emisii de poluanti organici persistenţi</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32</w:t>
      </w:r>
    </w:p>
    <w:p w:rsidR="009520AC" w:rsidRPr="005D4664" w:rsidRDefault="009520AC" w:rsidP="009520AC">
      <w:pPr>
        <w:jc w:val="both"/>
        <w:rPr>
          <w:rFonts w:ascii="Trebuchet MS" w:hAnsi="Trebuchet MS"/>
          <w:lang w:val="it-IT"/>
        </w:rPr>
      </w:pPr>
      <w:r w:rsidRPr="005D4664">
        <w:rPr>
          <w:rFonts w:ascii="Trebuchet MS" w:hAnsi="Trebuchet MS"/>
          <w:lang w:val="it-IT"/>
        </w:rPr>
        <w:t>I.2.3. Transportul</w:t>
      </w:r>
      <w:r w:rsidR="00B1365E">
        <w:rPr>
          <w:rFonts w:ascii="Trebuchet MS" w:hAnsi="Trebuchet MS"/>
          <w:lang w:val="it-IT"/>
        </w:rPr>
        <w:t xml:space="preserve"> </w:t>
      </w:r>
      <w:r w:rsidRPr="005D4664">
        <w:rPr>
          <w:rFonts w:ascii="Trebuchet MS" w:hAnsi="Trebuchet MS"/>
          <w:lang w:val="it-IT"/>
        </w:rPr>
        <w:t>..............................................................................</w:t>
      </w:r>
      <w:r w:rsidR="00B1365E">
        <w:rPr>
          <w:rFonts w:ascii="Trebuchet MS" w:hAnsi="Trebuchet MS"/>
          <w:lang w:val="it-IT"/>
        </w:rPr>
        <w:t xml:space="preserve">  </w:t>
      </w:r>
      <w:r w:rsidRPr="005D4664">
        <w:rPr>
          <w:rFonts w:ascii="Trebuchet MS" w:hAnsi="Trebuchet MS"/>
          <w:lang w:val="it-IT"/>
        </w:rPr>
        <w:t>34</w:t>
      </w:r>
    </w:p>
    <w:p w:rsidR="009520AC" w:rsidRPr="005D4664" w:rsidRDefault="009520AC" w:rsidP="009520AC">
      <w:pPr>
        <w:jc w:val="both"/>
        <w:rPr>
          <w:rFonts w:ascii="Trebuchet MS" w:hAnsi="Trebuchet MS"/>
          <w:lang w:val="it-IT"/>
        </w:rPr>
      </w:pPr>
      <w:r w:rsidRPr="005D4664">
        <w:rPr>
          <w:rFonts w:ascii="Trebuchet MS" w:hAnsi="Trebuchet MS"/>
          <w:lang w:val="it-IT"/>
        </w:rPr>
        <w:t>I.2.4. Agricultura</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Pr="005D4664">
        <w:rPr>
          <w:rFonts w:ascii="Trebuchet MS" w:hAnsi="Trebuchet MS"/>
          <w:lang w:val="it-IT"/>
        </w:rPr>
        <w:t>38</w:t>
      </w:r>
    </w:p>
    <w:p w:rsidR="009520AC" w:rsidRPr="005D4664" w:rsidRDefault="009520AC" w:rsidP="009520AC">
      <w:pPr>
        <w:jc w:val="both"/>
        <w:rPr>
          <w:rFonts w:ascii="Trebuchet MS" w:hAnsi="Trebuchet MS"/>
          <w:lang w:val="it-IT"/>
        </w:rPr>
      </w:pPr>
      <w:r w:rsidRPr="005D4664">
        <w:rPr>
          <w:rFonts w:ascii="Trebuchet MS" w:hAnsi="Trebuchet MS"/>
          <w:lang w:val="it-IT"/>
        </w:rPr>
        <w:t>I.3. Tendinţe şi prognoze privind poluarea aerului înconjurător</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Pr="005D4664">
        <w:rPr>
          <w:rFonts w:ascii="Trebuchet MS" w:hAnsi="Trebuchet MS"/>
          <w:lang w:val="it-IT"/>
        </w:rPr>
        <w:t>39</w:t>
      </w:r>
    </w:p>
    <w:p w:rsidR="009520AC" w:rsidRPr="005D4664" w:rsidRDefault="009520AC" w:rsidP="009520AC">
      <w:pPr>
        <w:jc w:val="both"/>
        <w:rPr>
          <w:rFonts w:ascii="Trebuchet MS" w:hAnsi="Trebuchet MS"/>
          <w:lang w:val="it-IT"/>
        </w:rPr>
      </w:pPr>
      <w:r w:rsidRPr="005D4664">
        <w:rPr>
          <w:rFonts w:ascii="Trebuchet MS" w:hAnsi="Trebuchet MS"/>
          <w:lang w:val="it-IT"/>
        </w:rPr>
        <w:t>I.4. Politici, acţiuni şi măsuri pentru îmbunătăţirea calităţii aerului înconjurător</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Pr="005D4664">
        <w:rPr>
          <w:rFonts w:ascii="Trebuchet MS" w:hAnsi="Trebuchet MS"/>
          <w:lang w:val="it-IT"/>
        </w:rPr>
        <w:t>44</w:t>
      </w:r>
    </w:p>
    <w:p w:rsidR="009520AC" w:rsidRPr="005D4664" w:rsidRDefault="009520AC" w:rsidP="009520AC">
      <w:pPr>
        <w:jc w:val="both"/>
        <w:rPr>
          <w:rFonts w:ascii="Trebuchet MS" w:hAnsi="Trebuchet MS"/>
          <w:lang w:val="it-IT"/>
        </w:rPr>
      </w:pPr>
      <w:r w:rsidRPr="005D4664">
        <w:rPr>
          <w:rFonts w:ascii="Trebuchet MS" w:hAnsi="Trebuchet MS"/>
          <w:lang w:val="it-IT"/>
        </w:rPr>
        <w:t>II. APA</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Pr="005D4664">
        <w:rPr>
          <w:rFonts w:ascii="Trebuchet MS" w:hAnsi="Trebuchet MS"/>
          <w:lang w:val="it-IT"/>
        </w:rPr>
        <w:t>45</w:t>
      </w:r>
    </w:p>
    <w:p w:rsidR="009520AC" w:rsidRPr="005D4664" w:rsidRDefault="009520AC" w:rsidP="009520AC">
      <w:pPr>
        <w:jc w:val="both"/>
        <w:rPr>
          <w:rFonts w:ascii="Trebuchet MS" w:hAnsi="Trebuchet MS"/>
          <w:lang w:val="it-IT"/>
        </w:rPr>
      </w:pPr>
      <w:r w:rsidRPr="005D4664">
        <w:rPr>
          <w:rFonts w:ascii="Trebuchet MS" w:hAnsi="Trebuchet MS"/>
          <w:lang w:val="it-IT"/>
        </w:rPr>
        <w:t>II.1 Resursele de apă, cantităţi şi debite</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Pr="005D4664">
        <w:rPr>
          <w:rFonts w:ascii="Trebuchet MS" w:hAnsi="Trebuchet MS"/>
          <w:lang w:val="it-IT"/>
        </w:rPr>
        <w:t>45</w:t>
      </w:r>
    </w:p>
    <w:p w:rsidR="009520AC" w:rsidRPr="005D4664" w:rsidRDefault="009520AC" w:rsidP="009520AC">
      <w:pPr>
        <w:jc w:val="both"/>
        <w:rPr>
          <w:rFonts w:ascii="Trebuchet MS" w:hAnsi="Trebuchet MS"/>
          <w:lang w:val="it-IT"/>
        </w:rPr>
      </w:pPr>
      <w:r w:rsidRPr="005D4664">
        <w:rPr>
          <w:rFonts w:ascii="Trebuchet MS" w:hAnsi="Trebuchet MS"/>
          <w:lang w:val="it-IT"/>
        </w:rPr>
        <w:t>II.1.1 Stare, presiuni şi consecinţe</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w:t>
      </w:r>
      <w:r w:rsidRPr="005D4664">
        <w:rPr>
          <w:rFonts w:ascii="Trebuchet MS" w:hAnsi="Trebuchet MS"/>
          <w:lang w:val="it-IT"/>
        </w:rPr>
        <w:t>.</w:t>
      </w:r>
      <w:r w:rsidR="00642DC5">
        <w:rPr>
          <w:rFonts w:ascii="Trebuchet MS" w:hAnsi="Trebuchet MS"/>
          <w:lang w:val="it-IT"/>
        </w:rPr>
        <w:t xml:space="preserve">   </w:t>
      </w:r>
      <w:r w:rsidRPr="005D4664">
        <w:rPr>
          <w:rFonts w:ascii="Trebuchet MS" w:hAnsi="Trebuchet MS"/>
          <w:lang w:val="it-IT"/>
        </w:rPr>
        <w:t>45</w:t>
      </w:r>
    </w:p>
    <w:p w:rsidR="009520AC" w:rsidRPr="005D4664" w:rsidRDefault="009520AC" w:rsidP="009520AC">
      <w:pPr>
        <w:jc w:val="both"/>
        <w:rPr>
          <w:rFonts w:ascii="Trebuchet MS" w:hAnsi="Trebuchet MS"/>
          <w:lang w:val="it-IT"/>
        </w:rPr>
      </w:pPr>
      <w:r w:rsidRPr="005D4664">
        <w:rPr>
          <w:rFonts w:ascii="Trebuchet MS" w:hAnsi="Trebuchet MS"/>
          <w:lang w:val="it-IT"/>
        </w:rPr>
        <w:t>II.1.1.1. Resurse de apă potenţiale şi tehnic utilizabile</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Pr="005D4664">
        <w:rPr>
          <w:rFonts w:ascii="Trebuchet MS" w:hAnsi="Trebuchet MS"/>
          <w:lang w:val="it-IT"/>
        </w:rPr>
        <w:t>45</w:t>
      </w:r>
    </w:p>
    <w:p w:rsidR="009520AC" w:rsidRPr="005D4664" w:rsidRDefault="009520AC" w:rsidP="009520AC">
      <w:pPr>
        <w:jc w:val="both"/>
        <w:rPr>
          <w:rFonts w:ascii="Trebuchet MS" w:hAnsi="Trebuchet MS"/>
          <w:lang w:val="it-IT"/>
        </w:rPr>
      </w:pPr>
      <w:r w:rsidRPr="005D4664">
        <w:rPr>
          <w:rFonts w:ascii="Trebuchet MS" w:hAnsi="Trebuchet MS"/>
          <w:lang w:val="it-IT"/>
        </w:rPr>
        <w:t>II.1.1.2 Utilizarea resurselor de apă</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00F549B4">
        <w:rPr>
          <w:rFonts w:ascii="Trebuchet MS" w:hAnsi="Trebuchet MS"/>
          <w:lang w:val="it-IT"/>
        </w:rPr>
        <w:t>51</w:t>
      </w:r>
    </w:p>
    <w:p w:rsidR="009520AC" w:rsidRPr="005D4664" w:rsidRDefault="009520AC" w:rsidP="009520AC">
      <w:pPr>
        <w:jc w:val="both"/>
        <w:rPr>
          <w:rFonts w:ascii="Trebuchet MS" w:hAnsi="Trebuchet MS"/>
          <w:lang w:val="it-IT"/>
        </w:rPr>
      </w:pPr>
      <w:r w:rsidRPr="005D4664">
        <w:rPr>
          <w:rFonts w:ascii="Trebuchet MS" w:hAnsi="Trebuchet MS"/>
          <w:lang w:val="it-IT"/>
        </w:rPr>
        <w:t>II.1.1.3. Evenimente extreme produse de debitele cursurilor de apă</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00F549B4">
        <w:rPr>
          <w:rFonts w:ascii="Trebuchet MS" w:hAnsi="Trebuchet MS"/>
          <w:lang w:val="it-IT"/>
        </w:rPr>
        <w:t>53</w:t>
      </w:r>
    </w:p>
    <w:p w:rsidR="009520AC" w:rsidRPr="005D4664" w:rsidRDefault="009520AC" w:rsidP="009520AC">
      <w:pPr>
        <w:jc w:val="both"/>
        <w:rPr>
          <w:rFonts w:ascii="Trebuchet MS" w:hAnsi="Trebuchet MS"/>
          <w:lang w:val="it-IT"/>
        </w:rPr>
      </w:pPr>
      <w:r w:rsidRPr="005D4664">
        <w:rPr>
          <w:rFonts w:ascii="Trebuchet MS" w:hAnsi="Trebuchet MS"/>
          <w:lang w:val="it-IT"/>
        </w:rPr>
        <w:t>II.1.1.4 Schimbări hidromorfologice ale cursurilor de apă</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00F549B4">
        <w:rPr>
          <w:rFonts w:ascii="Trebuchet MS" w:hAnsi="Trebuchet MS"/>
          <w:lang w:val="it-IT"/>
        </w:rPr>
        <w:t>53</w:t>
      </w:r>
    </w:p>
    <w:p w:rsidR="009520AC" w:rsidRPr="005D4664" w:rsidRDefault="009520AC" w:rsidP="009520AC">
      <w:pPr>
        <w:jc w:val="both"/>
        <w:rPr>
          <w:rFonts w:ascii="Trebuchet MS" w:hAnsi="Trebuchet MS"/>
          <w:lang w:val="it-IT"/>
        </w:rPr>
      </w:pPr>
      <w:r w:rsidRPr="005D4664">
        <w:rPr>
          <w:rFonts w:ascii="Trebuchet MS" w:hAnsi="Trebuchet MS"/>
          <w:lang w:val="it-IT"/>
        </w:rPr>
        <w:t>II.1.2. Prognoze</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00F549B4">
        <w:rPr>
          <w:rFonts w:ascii="Trebuchet MS" w:hAnsi="Trebuchet MS"/>
          <w:lang w:val="it-IT"/>
        </w:rPr>
        <w:t>61</w:t>
      </w:r>
    </w:p>
    <w:p w:rsidR="009520AC" w:rsidRPr="005D4664" w:rsidRDefault="009520AC" w:rsidP="009520AC">
      <w:pPr>
        <w:jc w:val="both"/>
        <w:rPr>
          <w:rFonts w:ascii="Trebuchet MS" w:hAnsi="Trebuchet MS"/>
          <w:lang w:val="it-IT"/>
        </w:rPr>
      </w:pPr>
      <w:r w:rsidRPr="005D4664">
        <w:rPr>
          <w:rFonts w:ascii="Trebuchet MS" w:hAnsi="Trebuchet MS"/>
          <w:lang w:val="it-IT"/>
        </w:rPr>
        <w:t>II.1.2.1. Disponibilitatea, cererea şi deficitul de apă</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00F549B4">
        <w:rPr>
          <w:rFonts w:ascii="Trebuchet MS" w:hAnsi="Trebuchet MS"/>
          <w:lang w:val="it-IT"/>
        </w:rPr>
        <w:t>61</w:t>
      </w:r>
    </w:p>
    <w:p w:rsidR="009520AC" w:rsidRPr="005D4664" w:rsidRDefault="009520AC" w:rsidP="009520AC">
      <w:pPr>
        <w:jc w:val="both"/>
        <w:rPr>
          <w:rFonts w:ascii="Trebuchet MS" w:hAnsi="Trebuchet MS"/>
          <w:lang w:val="it-IT"/>
        </w:rPr>
      </w:pPr>
      <w:r w:rsidRPr="005D4664">
        <w:rPr>
          <w:rFonts w:ascii="Trebuchet MS" w:hAnsi="Trebuchet MS"/>
          <w:lang w:val="it-IT"/>
        </w:rPr>
        <w:t>II.1.2.2. Riscurile şi presiunile inundaţiilor</w:t>
      </w:r>
      <w:r w:rsidR="00642DC5">
        <w:rPr>
          <w:rFonts w:ascii="Trebuchet MS" w:hAnsi="Trebuchet MS"/>
          <w:lang w:val="it-IT"/>
        </w:rPr>
        <w:t xml:space="preserve"> </w:t>
      </w:r>
      <w:r w:rsidRPr="005D4664">
        <w:rPr>
          <w:rFonts w:ascii="Trebuchet MS" w:hAnsi="Trebuchet MS"/>
          <w:lang w:val="it-IT"/>
        </w:rPr>
        <w:t>................................................</w:t>
      </w:r>
      <w:r w:rsidR="00642DC5">
        <w:rPr>
          <w:rFonts w:ascii="Trebuchet MS" w:hAnsi="Trebuchet MS"/>
          <w:lang w:val="it-IT"/>
        </w:rPr>
        <w:t xml:space="preserve">  </w:t>
      </w:r>
      <w:r w:rsidR="00F549B4">
        <w:rPr>
          <w:rFonts w:ascii="Trebuchet MS" w:hAnsi="Trebuchet MS"/>
          <w:lang w:val="it-IT"/>
        </w:rPr>
        <w:t>63</w:t>
      </w:r>
    </w:p>
    <w:p w:rsidR="009520AC" w:rsidRPr="005D4664" w:rsidRDefault="009520AC" w:rsidP="009520AC">
      <w:pPr>
        <w:jc w:val="both"/>
        <w:rPr>
          <w:rFonts w:ascii="Trebuchet MS" w:hAnsi="Trebuchet MS"/>
          <w:lang w:val="it-IT"/>
        </w:rPr>
      </w:pPr>
      <w:r w:rsidRPr="005D4664">
        <w:rPr>
          <w:rFonts w:ascii="Trebuchet MS" w:hAnsi="Trebuchet MS"/>
          <w:lang w:val="it-IT"/>
        </w:rPr>
        <w:t xml:space="preserve">II.1.3 Utilizarea </w:t>
      </w:r>
      <w:r w:rsidRPr="005D4664">
        <w:rPr>
          <w:rFonts w:ascii="Trebuchet MS" w:hAnsi="Trebuchet MS"/>
          <w:lang w:val="ro-RO"/>
        </w:rPr>
        <w:t>și gestionarea eficientă a resurselor de apă</w:t>
      </w:r>
      <w:r w:rsidR="0088505C">
        <w:rPr>
          <w:rFonts w:ascii="Trebuchet MS" w:hAnsi="Trebuchet MS"/>
          <w:lang w:val="ro-RO"/>
        </w:rPr>
        <w:t xml:space="preserve"> </w:t>
      </w:r>
      <w:r w:rsidRPr="005D4664">
        <w:rPr>
          <w:rFonts w:ascii="Trebuchet MS" w:hAnsi="Trebuchet MS"/>
          <w:lang w:val="ro-RO"/>
        </w:rPr>
        <w:t>........................</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65</w:t>
      </w:r>
    </w:p>
    <w:p w:rsidR="009520AC" w:rsidRPr="005D4664" w:rsidRDefault="009520AC" w:rsidP="009520AC">
      <w:pPr>
        <w:jc w:val="both"/>
        <w:rPr>
          <w:rFonts w:ascii="Trebuchet MS" w:hAnsi="Trebuchet MS"/>
          <w:lang w:val="it-IT"/>
        </w:rPr>
      </w:pPr>
      <w:r w:rsidRPr="005D4664">
        <w:rPr>
          <w:rFonts w:ascii="Trebuchet MS" w:hAnsi="Trebuchet MS"/>
          <w:lang w:val="it-IT"/>
        </w:rPr>
        <w:t>II.2. Calitatea apei</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67</w:t>
      </w:r>
    </w:p>
    <w:p w:rsidR="009520AC" w:rsidRPr="005D4664" w:rsidRDefault="009520AC" w:rsidP="009520AC">
      <w:pPr>
        <w:jc w:val="both"/>
        <w:rPr>
          <w:rFonts w:ascii="Trebuchet MS" w:hAnsi="Trebuchet MS"/>
          <w:lang w:val="it-IT"/>
        </w:rPr>
      </w:pPr>
      <w:r w:rsidRPr="005D4664">
        <w:rPr>
          <w:rFonts w:ascii="Trebuchet MS" w:hAnsi="Trebuchet MS"/>
          <w:lang w:val="it-IT"/>
        </w:rPr>
        <w:t>II.2.1. Calitatea apei - stare şi consecinţe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67</w:t>
      </w:r>
    </w:p>
    <w:p w:rsidR="009520AC" w:rsidRPr="005D4664" w:rsidRDefault="009520AC" w:rsidP="009520AC">
      <w:pPr>
        <w:jc w:val="both"/>
        <w:rPr>
          <w:rFonts w:ascii="Trebuchet MS" w:hAnsi="Trebuchet MS"/>
          <w:lang w:val="it-IT"/>
        </w:rPr>
      </w:pPr>
      <w:r w:rsidRPr="005D4664">
        <w:rPr>
          <w:rFonts w:ascii="Trebuchet MS" w:hAnsi="Trebuchet MS"/>
          <w:lang w:val="it-IT"/>
        </w:rPr>
        <w:t>II.2.1.1. Calitatea apei cursurilor de apă</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68</w:t>
      </w:r>
    </w:p>
    <w:p w:rsidR="009520AC" w:rsidRPr="005D4664" w:rsidRDefault="009520AC" w:rsidP="009520AC">
      <w:pPr>
        <w:jc w:val="both"/>
        <w:rPr>
          <w:rFonts w:ascii="Trebuchet MS" w:hAnsi="Trebuchet MS"/>
          <w:lang w:val="it-IT"/>
        </w:rPr>
      </w:pPr>
      <w:r w:rsidRPr="005D4664">
        <w:rPr>
          <w:rFonts w:ascii="Trebuchet MS" w:hAnsi="Trebuchet MS"/>
          <w:lang w:val="it-IT"/>
        </w:rPr>
        <w:t>II.2.1.2. Calitatea apei lacurilor</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74</w:t>
      </w:r>
    </w:p>
    <w:p w:rsidR="009520AC" w:rsidRPr="005D4664" w:rsidRDefault="009520AC" w:rsidP="009520AC">
      <w:pPr>
        <w:jc w:val="both"/>
        <w:rPr>
          <w:rFonts w:ascii="Trebuchet MS" w:hAnsi="Trebuchet MS"/>
          <w:lang w:val="it-IT"/>
        </w:rPr>
      </w:pPr>
      <w:r w:rsidRPr="005D4664">
        <w:rPr>
          <w:rFonts w:ascii="Trebuchet MS" w:hAnsi="Trebuchet MS"/>
          <w:lang w:val="it-IT"/>
        </w:rPr>
        <w:t>II.2.1.3. Calitatea apelor subterane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77</w:t>
      </w:r>
    </w:p>
    <w:p w:rsidR="009520AC" w:rsidRPr="005D4664" w:rsidRDefault="009520AC" w:rsidP="009520AC">
      <w:pPr>
        <w:jc w:val="both"/>
        <w:rPr>
          <w:rFonts w:ascii="Trebuchet MS" w:hAnsi="Trebuchet MS"/>
          <w:lang w:val="it-IT"/>
        </w:rPr>
      </w:pPr>
      <w:r w:rsidRPr="005D4664">
        <w:rPr>
          <w:rFonts w:ascii="Trebuchet MS" w:hAnsi="Trebuchet MS"/>
          <w:lang w:val="it-IT"/>
        </w:rPr>
        <w:t>II.2.1.4. Calitatea apelor de îmbăiere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79</w:t>
      </w:r>
    </w:p>
    <w:p w:rsidR="009520AC" w:rsidRPr="005D4664" w:rsidRDefault="009520AC" w:rsidP="009520AC">
      <w:pPr>
        <w:jc w:val="both"/>
        <w:rPr>
          <w:rFonts w:ascii="Trebuchet MS" w:hAnsi="Trebuchet MS"/>
          <w:lang w:val="it-IT"/>
        </w:rPr>
      </w:pPr>
      <w:r w:rsidRPr="005D4664">
        <w:rPr>
          <w:rFonts w:ascii="Trebuchet MS" w:hAnsi="Trebuchet MS"/>
          <w:lang w:val="it-IT"/>
        </w:rPr>
        <w:t>II.2.2. Factorii determinanţi şi presiunile care afectează starea de calitate a apelor</w:t>
      </w:r>
      <w:r w:rsidR="0088505C">
        <w:rPr>
          <w:rFonts w:ascii="Trebuchet MS" w:hAnsi="Trebuchet MS"/>
          <w:lang w:val="it-IT"/>
        </w:rPr>
        <w:t xml:space="preserve"> </w:t>
      </w:r>
      <w:r w:rsidR="00F549B4">
        <w:rPr>
          <w:rFonts w:ascii="Trebuchet MS" w:hAnsi="Trebuchet MS"/>
          <w:lang w:val="it-IT"/>
        </w:rPr>
        <w:t>80</w:t>
      </w:r>
    </w:p>
    <w:p w:rsidR="009520AC" w:rsidRPr="005D4664" w:rsidRDefault="009520AC" w:rsidP="009520AC">
      <w:pPr>
        <w:jc w:val="both"/>
        <w:rPr>
          <w:rFonts w:ascii="Trebuchet MS" w:hAnsi="Trebuchet MS"/>
          <w:lang w:val="it-IT"/>
        </w:rPr>
      </w:pPr>
      <w:r w:rsidRPr="005D4664">
        <w:rPr>
          <w:rFonts w:ascii="Trebuchet MS" w:hAnsi="Trebuchet MS"/>
          <w:lang w:val="it-IT"/>
        </w:rPr>
        <w:t>II.2.2.1. Presiuni semnificative asupra resurselor de apă din judeţ</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80</w:t>
      </w:r>
    </w:p>
    <w:p w:rsidR="009520AC" w:rsidRPr="005D4664" w:rsidRDefault="009520AC" w:rsidP="009520AC">
      <w:pPr>
        <w:jc w:val="both"/>
        <w:rPr>
          <w:rFonts w:ascii="Trebuchet MS" w:hAnsi="Trebuchet MS"/>
          <w:lang w:val="it-IT"/>
        </w:rPr>
      </w:pPr>
      <w:r w:rsidRPr="005D4664">
        <w:rPr>
          <w:rFonts w:ascii="Trebuchet MS" w:hAnsi="Trebuchet MS"/>
          <w:lang w:val="it-IT"/>
        </w:rPr>
        <w:lastRenderedPageBreak/>
        <w:t>II.2.2.2. Apele uzate şi reţelele de canalizare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92</w:t>
      </w:r>
    </w:p>
    <w:p w:rsidR="009520AC" w:rsidRPr="005D4664" w:rsidRDefault="009520AC" w:rsidP="009520AC">
      <w:pPr>
        <w:jc w:val="both"/>
        <w:rPr>
          <w:rFonts w:ascii="Trebuchet MS" w:hAnsi="Trebuchet MS"/>
          <w:lang w:val="it-IT"/>
        </w:rPr>
      </w:pPr>
      <w:r w:rsidRPr="005D4664">
        <w:rPr>
          <w:rFonts w:ascii="Trebuchet MS" w:hAnsi="Trebuchet MS"/>
          <w:lang w:val="it-IT"/>
        </w:rPr>
        <w:t>II.2.3. Tendințe și prognoze privind calitatea apei</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106</w:t>
      </w:r>
    </w:p>
    <w:p w:rsidR="009520AC" w:rsidRPr="005D4664" w:rsidRDefault="009520AC" w:rsidP="009520AC">
      <w:pPr>
        <w:jc w:val="both"/>
        <w:rPr>
          <w:rFonts w:ascii="Trebuchet MS" w:hAnsi="Trebuchet MS"/>
          <w:lang w:val="it-IT"/>
        </w:rPr>
      </w:pPr>
      <w:r w:rsidRPr="005D4664">
        <w:rPr>
          <w:rFonts w:ascii="Trebuchet MS" w:hAnsi="Trebuchet MS"/>
          <w:lang w:val="it-IT"/>
        </w:rPr>
        <w:t>II.2.4. Politici, acțiuni și măsuri privind îmbunătățirea stării de calitate a apelor</w:t>
      </w:r>
      <w:r w:rsidR="0088505C">
        <w:rPr>
          <w:rFonts w:ascii="Trebuchet MS" w:hAnsi="Trebuchet MS"/>
          <w:lang w:val="it-IT"/>
        </w:rPr>
        <w:t xml:space="preserve">   </w:t>
      </w:r>
      <w:r w:rsidR="00F549B4">
        <w:rPr>
          <w:rFonts w:ascii="Trebuchet MS" w:hAnsi="Trebuchet MS"/>
          <w:lang w:val="it-IT"/>
        </w:rPr>
        <w:t>121</w:t>
      </w:r>
    </w:p>
    <w:p w:rsidR="009520AC" w:rsidRPr="005D4664" w:rsidRDefault="009520AC" w:rsidP="009520AC">
      <w:pPr>
        <w:jc w:val="both"/>
        <w:rPr>
          <w:rFonts w:ascii="Trebuchet MS" w:hAnsi="Trebuchet MS"/>
          <w:lang w:val="it-IT"/>
        </w:rPr>
      </w:pPr>
      <w:r w:rsidRPr="005D4664">
        <w:rPr>
          <w:rFonts w:ascii="Trebuchet MS" w:hAnsi="Trebuchet MS"/>
          <w:lang w:val="it-IT"/>
        </w:rPr>
        <w:t>III. SOLUL</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139</w:t>
      </w:r>
    </w:p>
    <w:p w:rsidR="009520AC" w:rsidRPr="005D4664" w:rsidRDefault="009520AC" w:rsidP="009520AC">
      <w:pPr>
        <w:jc w:val="both"/>
        <w:rPr>
          <w:rFonts w:ascii="Trebuchet MS" w:hAnsi="Trebuchet MS"/>
          <w:lang w:val="it-IT"/>
        </w:rPr>
      </w:pPr>
      <w:r w:rsidRPr="005D4664">
        <w:rPr>
          <w:rFonts w:ascii="Trebuchet MS" w:hAnsi="Trebuchet MS"/>
          <w:lang w:val="it-IT"/>
        </w:rPr>
        <w:t>III.1. Calitatea solurilor: stare şi tendinţe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139</w:t>
      </w:r>
    </w:p>
    <w:p w:rsidR="009520AC" w:rsidRPr="005D4664" w:rsidRDefault="009520AC" w:rsidP="009520AC">
      <w:pPr>
        <w:jc w:val="both"/>
        <w:rPr>
          <w:rFonts w:ascii="Trebuchet MS" w:hAnsi="Trebuchet MS"/>
          <w:lang w:val="it-IT"/>
        </w:rPr>
      </w:pPr>
      <w:r w:rsidRPr="005D4664">
        <w:rPr>
          <w:rFonts w:ascii="Trebuchet MS" w:hAnsi="Trebuchet MS"/>
          <w:lang w:val="it-IT"/>
        </w:rPr>
        <w:t>III.1.1.  Repartiţia terenurilor pe clase de calitate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139</w:t>
      </w:r>
    </w:p>
    <w:p w:rsidR="009520AC" w:rsidRPr="005D4664" w:rsidRDefault="009520AC" w:rsidP="009520AC">
      <w:pPr>
        <w:jc w:val="both"/>
        <w:rPr>
          <w:rFonts w:ascii="Trebuchet MS" w:hAnsi="Trebuchet MS"/>
          <w:lang w:val="it-IT"/>
        </w:rPr>
      </w:pPr>
      <w:r w:rsidRPr="005D4664">
        <w:rPr>
          <w:rFonts w:ascii="Trebuchet MS" w:hAnsi="Trebuchet MS"/>
          <w:lang w:val="it-IT"/>
        </w:rPr>
        <w:t>III.2.  Zone critice sub aspectul deteriorării solurilor</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140</w:t>
      </w:r>
    </w:p>
    <w:p w:rsidR="009520AC" w:rsidRPr="005D4664" w:rsidRDefault="009520AC" w:rsidP="009520AC">
      <w:pPr>
        <w:jc w:val="both"/>
        <w:rPr>
          <w:rFonts w:ascii="Trebuchet MS" w:hAnsi="Trebuchet MS"/>
          <w:lang w:val="it-IT"/>
        </w:rPr>
      </w:pPr>
      <w:r w:rsidRPr="005D4664">
        <w:rPr>
          <w:rFonts w:ascii="Trebuchet MS" w:hAnsi="Trebuchet MS"/>
          <w:lang w:val="it-IT"/>
        </w:rPr>
        <w:t>III.3.  Presiuni asupra stării de calitate a solurilor</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141</w:t>
      </w:r>
    </w:p>
    <w:p w:rsidR="009520AC" w:rsidRPr="005D4664" w:rsidRDefault="009520AC" w:rsidP="009520AC">
      <w:pPr>
        <w:jc w:val="both"/>
        <w:rPr>
          <w:rFonts w:ascii="Trebuchet MS" w:hAnsi="Trebuchet MS"/>
          <w:lang w:val="it-IT"/>
        </w:rPr>
      </w:pPr>
      <w:r w:rsidRPr="005D4664">
        <w:rPr>
          <w:rFonts w:ascii="Trebuchet MS" w:hAnsi="Trebuchet MS"/>
          <w:lang w:val="it-IT"/>
        </w:rPr>
        <w:t>III.3.1 Utilizare şi consumul de îngrăşăminte</w:t>
      </w:r>
      <w:r w:rsidRPr="005D4664">
        <w:rPr>
          <w:rFonts w:ascii="Trebuchet MS" w:hAnsi="Trebuchet MS"/>
          <w:lang w:val="it-IT"/>
        </w:rPr>
        <w:tab/>
        <w:t>..........................................</w:t>
      </w:r>
      <w:r w:rsidR="0088505C">
        <w:rPr>
          <w:rFonts w:ascii="Trebuchet MS" w:hAnsi="Trebuchet MS"/>
          <w:lang w:val="it-IT"/>
        </w:rPr>
        <w:t xml:space="preserve">  </w:t>
      </w:r>
      <w:r w:rsidR="00F549B4">
        <w:rPr>
          <w:rFonts w:ascii="Trebuchet MS" w:hAnsi="Trebuchet MS"/>
          <w:lang w:val="it-IT"/>
        </w:rPr>
        <w:t>141</w:t>
      </w:r>
    </w:p>
    <w:p w:rsidR="009520AC" w:rsidRPr="005D4664" w:rsidRDefault="009520AC" w:rsidP="009520AC">
      <w:pPr>
        <w:jc w:val="both"/>
        <w:rPr>
          <w:rFonts w:ascii="Trebuchet MS" w:hAnsi="Trebuchet MS"/>
          <w:lang w:val="it-IT"/>
        </w:rPr>
      </w:pPr>
      <w:r w:rsidRPr="005D4664">
        <w:rPr>
          <w:rFonts w:ascii="Trebuchet MS" w:hAnsi="Trebuchet MS"/>
          <w:lang w:val="it-IT"/>
        </w:rPr>
        <w:t>III.3.2 Consumul de produse de protecţia plantelor</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141</w:t>
      </w:r>
    </w:p>
    <w:p w:rsidR="009520AC" w:rsidRPr="005D4664" w:rsidRDefault="009520AC" w:rsidP="009520AC">
      <w:pPr>
        <w:jc w:val="both"/>
        <w:rPr>
          <w:rFonts w:ascii="Trebuchet MS" w:hAnsi="Trebuchet MS"/>
          <w:lang w:val="it-IT"/>
        </w:rPr>
      </w:pPr>
      <w:r w:rsidRPr="005D4664">
        <w:rPr>
          <w:rFonts w:ascii="Trebuchet MS" w:hAnsi="Trebuchet MS"/>
          <w:lang w:val="it-IT"/>
        </w:rPr>
        <w:t>III.3.3 Evoluţia suprafeţelor de îmbunătăţiri funciare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142</w:t>
      </w:r>
    </w:p>
    <w:p w:rsidR="009520AC" w:rsidRPr="005D4664" w:rsidRDefault="0088505C" w:rsidP="009520AC">
      <w:pPr>
        <w:jc w:val="both"/>
        <w:rPr>
          <w:rFonts w:ascii="Trebuchet MS" w:hAnsi="Trebuchet MS"/>
          <w:lang w:val="it-IT"/>
        </w:rPr>
      </w:pPr>
      <w:r>
        <w:rPr>
          <w:rFonts w:ascii="Trebuchet MS" w:hAnsi="Trebuchet MS"/>
          <w:lang w:val="it-IT"/>
        </w:rPr>
        <w:t xml:space="preserve">III.4. </w:t>
      </w:r>
      <w:r w:rsidR="009520AC" w:rsidRPr="005D4664">
        <w:rPr>
          <w:rFonts w:ascii="Trebuchet MS" w:hAnsi="Trebuchet MS"/>
          <w:lang w:val="it-IT"/>
        </w:rPr>
        <w:t>Prognoze şi acţiuni pentru ameliorarea stări</w:t>
      </w:r>
      <w:r>
        <w:rPr>
          <w:rFonts w:ascii="Trebuchet MS" w:hAnsi="Trebuchet MS"/>
          <w:lang w:val="it-IT"/>
        </w:rPr>
        <w:t xml:space="preserve">i de calitate a </w:t>
      </w:r>
      <w:r w:rsidR="009520AC" w:rsidRPr="005D4664">
        <w:rPr>
          <w:rFonts w:ascii="Trebuchet MS" w:hAnsi="Trebuchet MS"/>
          <w:lang w:val="it-IT"/>
        </w:rPr>
        <w:t>solurilor</w:t>
      </w:r>
      <w:r>
        <w:rPr>
          <w:rFonts w:ascii="Trebuchet MS" w:hAnsi="Trebuchet MS"/>
          <w:lang w:val="it-IT"/>
        </w:rPr>
        <w:t xml:space="preserve"> ........   </w:t>
      </w:r>
      <w:r w:rsidR="00F549B4">
        <w:rPr>
          <w:rFonts w:ascii="Trebuchet MS" w:hAnsi="Trebuchet MS"/>
          <w:lang w:val="it-IT"/>
        </w:rPr>
        <w:t>143</w:t>
      </w:r>
    </w:p>
    <w:p w:rsidR="009520AC" w:rsidRPr="005D4664" w:rsidRDefault="009520AC" w:rsidP="009520AC">
      <w:pPr>
        <w:jc w:val="both"/>
        <w:rPr>
          <w:rFonts w:ascii="Trebuchet MS" w:hAnsi="Trebuchet MS"/>
          <w:lang w:val="it-IT"/>
        </w:rPr>
      </w:pPr>
      <w:r w:rsidRPr="005D4664">
        <w:rPr>
          <w:rFonts w:ascii="Trebuchet MS" w:hAnsi="Trebuchet MS"/>
          <w:lang w:val="it-IT"/>
        </w:rPr>
        <w:t>IV. UTILIZAREA TERENURILOR ........................................................</w:t>
      </w:r>
      <w:r w:rsidR="0088505C">
        <w:rPr>
          <w:rFonts w:ascii="Trebuchet MS" w:hAnsi="Trebuchet MS"/>
          <w:lang w:val="it-IT"/>
        </w:rPr>
        <w:t xml:space="preserve">......   </w:t>
      </w:r>
      <w:r w:rsidR="00F549B4">
        <w:rPr>
          <w:rFonts w:ascii="Trebuchet MS" w:hAnsi="Trebuchet MS"/>
          <w:lang w:val="it-IT"/>
        </w:rPr>
        <w:t>144</w:t>
      </w:r>
    </w:p>
    <w:p w:rsidR="009520AC" w:rsidRPr="005D4664" w:rsidRDefault="009520AC" w:rsidP="009520AC">
      <w:pPr>
        <w:jc w:val="both"/>
        <w:rPr>
          <w:rFonts w:ascii="Trebuchet MS" w:hAnsi="Trebuchet MS"/>
          <w:lang w:val="it-IT"/>
        </w:rPr>
      </w:pPr>
      <w:r w:rsidRPr="005D4664">
        <w:rPr>
          <w:rFonts w:ascii="Trebuchet MS" w:hAnsi="Trebuchet MS"/>
          <w:lang w:val="it-IT"/>
        </w:rPr>
        <w:t>IV.1. Stare şi tendinţe</w:t>
      </w:r>
      <w:r w:rsidRPr="005D4664">
        <w:rPr>
          <w:rFonts w:ascii="Trebuchet MS" w:hAnsi="Trebuchet MS"/>
          <w:lang w:val="it-IT"/>
        </w:rPr>
        <w:tab/>
        <w:t>....................................................................</w:t>
      </w:r>
      <w:r w:rsidR="0088505C">
        <w:rPr>
          <w:rFonts w:ascii="Trebuchet MS" w:hAnsi="Trebuchet MS"/>
          <w:lang w:val="it-IT"/>
        </w:rPr>
        <w:t xml:space="preserve"> </w:t>
      </w:r>
      <w:r w:rsidR="00F549B4">
        <w:rPr>
          <w:rFonts w:ascii="Trebuchet MS" w:hAnsi="Trebuchet MS"/>
          <w:lang w:val="it-IT"/>
        </w:rPr>
        <w:t>144</w:t>
      </w:r>
    </w:p>
    <w:p w:rsidR="009520AC" w:rsidRPr="005D4664" w:rsidRDefault="009520AC" w:rsidP="009520AC">
      <w:pPr>
        <w:jc w:val="both"/>
        <w:rPr>
          <w:rFonts w:ascii="Trebuchet MS" w:hAnsi="Trebuchet MS"/>
          <w:lang w:val="it-IT"/>
        </w:rPr>
      </w:pPr>
      <w:r w:rsidRPr="005D4664">
        <w:rPr>
          <w:rFonts w:ascii="Trebuchet MS" w:hAnsi="Trebuchet MS"/>
          <w:lang w:val="it-IT"/>
        </w:rPr>
        <w:t>IV.1.1. Repartiţia terenurilor pe categorii de acoperire/utilizare</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144</w:t>
      </w:r>
    </w:p>
    <w:p w:rsidR="009520AC" w:rsidRPr="005D4664" w:rsidRDefault="009520AC" w:rsidP="009520AC">
      <w:pPr>
        <w:jc w:val="both"/>
        <w:rPr>
          <w:rFonts w:ascii="Trebuchet MS" w:hAnsi="Trebuchet MS"/>
          <w:lang w:val="it-IT"/>
        </w:rPr>
      </w:pPr>
      <w:r w:rsidRPr="005D4664">
        <w:rPr>
          <w:rFonts w:ascii="Trebuchet MS" w:hAnsi="Trebuchet MS"/>
          <w:lang w:val="it-IT"/>
        </w:rPr>
        <w:t>IV.1.2. Tendinţe privind schimbarea destinaţiei utilizării terenurilor</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145</w:t>
      </w:r>
    </w:p>
    <w:p w:rsidR="009520AC" w:rsidRPr="005D4664" w:rsidRDefault="009520AC" w:rsidP="009520AC">
      <w:pPr>
        <w:jc w:val="both"/>
        <w:rPr>
          <w:rFonts w:ascii="Trebuchet MS" w:hAnsi="Trebuchet MS"/>
          <w:lang w:val="it-IT"/>
        </w:rPr>
      </w:pPr>
      <w:r w:rsidRPr="005D4664">
        <w:rPr>
          <w:rFonts w:ascii="Trebuchet MS" w:hAnsi="Trebuchet MS"/>
          <w:lang w:val="it-IT"/>
        </w:rPr>
        <w:t>IV.2. Impactul schimbării utilizării terenurilor asupra mediului</w:t>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146</w:t>
      </w:r>
    </w:p>
    <w:p w:rsidR="009520AC" w:rsidRPr="005D4664" w:rsidRDefault="009520AC" w:rsidP="009520AC">
      <w:pPr>
        <w:jc w:val="both"/>
        <w:rPr>
          <w:rFonts w:ascii="Trebuchet MS" w:hAnsi="Trebuchet MS"/>
          <w:lang w:val="it-IT"/>
        </w:rPr>
      </w:pPr>
      <w:r w:rsidRPr="005D4664">
        <w:rPr>
          <w:rFonts w:ascii="Trebuchet MS" w:hAnsi="Trebuchet MS"/>
          <w:lang w:val="it-IT"/>
        </w:rPr>
        <w:t>IV.2.1. Impactul schimbării utilizării terenurilor asupra terenurilor agricole</w:t>
      </w:r>
      <w:r w:rsidRPr="005D4664">
        <w:rPr>
          <w:rFonts w:ascii="Trebuchet MS" w:hAnsi="Trebuchet MS"/>
          <w:lang w:val="it-IT"/>
        </w:rPr>
        <w:tab/>
      </w:r>
      <w:r w:rsidR="0088505C">
        <w:rPr>
          <w:rFonts w:ascii="Trebuchet MS" w:hAnsi="Trebuchet MS"/>
          <w:lang w:val="it-IT"/>
        </w:rPr>
        <w:t xml:space="preserve">    </w:t>
      </w:r>
      <w:r w:rsidR="00F549B4">
        <w:rPr>
          <w:rFonts w:ascii="Trebuchet MS" w:hAnsi="Trebuchet MS"/>
          <w:lang w:val="it-IT"/>
        </w:rPr>
        <w:t>146</w:t>
      </w:r>
    </w:p>
    <w:p w:rsidR="009520AC" w:rsidRPr="005D4664" w:rsidRDefault="009520AC" w:rsidP="009520AC">
      <w:pPr>
        <w:jc w:val="both"/>
        <w:rPr>
          <w:rFonts w:ascii="Trebuchet MS" w:hAnsi="Trebuchet MS"/>
          <w:lang w:val="it-IT"/>
        </w:rPr>
      </w:pPr>
      <w:r w:rsidRPr="005D4664">
        <w:rPr>
          <w:rFonts w:ascii="Trebuchet MS" w:hAnsi="Trebuchet MS"/>
          <w:lang w:val="it-IT"/>
        </w:rPr>
        <w:t>IV.2.2. Impactul schimbării utilizării terenurilor asupra habitatelor</w:t>
      </w:r>
      <w:r w:rsidRPr="005D4664">
        <w:rPr>
          <w:rFonts w:ascii="Trebuchet MS" w:hAnsi="Trebuchet MS"/>
          <w:lang w:val="it-IT"/>
        </w:rPr>
        <w:tab/>
      </w:r>
      <w:r w:rsidR="0088505C">
        <w:rPr>
          <w:rFonts w:ascii="Trebuchet MS" w:hAnsi="Trebuchet MS"/>
          <w:lang w:val="it-IT"/>
        </w:rPr>
        <w:t xml:space="preserve"> </w:t>
      </w:r>
      <w:r w:rsidRPr="005D4664">
        <w:rPr>
          <w:rFonts w:ascii="Trebuchet MS" w:hAnsi="Trebuchet MS"/>
          <w:lang w:val="it-IT"/>
        </w:rPr>
        <w:t>..................</w:t>
      </w:r>
      <w:r w:rsidR="0088505C">
        <w:rPr>
          <w:rFonts w:ascii="Trebuchet MS" w:hAnsi="Trebuchet MS"/>
          <w:lang w:val="it-IT"/>
        </w:rPr>
        <w:t xml:space="preserve"> </w:t>
      </w:r>
      <w:r w:rsidR="00F549B4">
        <w:rPr>
          <w:rFonts w:ascii="Trebuchet MS" w:hAnsi="Trebuchet MS"/>
          <w:lang w:val="it-IT"/>
        </w:rPr>
        <w:t>148</w:t>
      </w:r>
    </w:p>
    <w:p w:rsidR="009520AC" w:rsidRPr="005D4664" w:rsidRDefault="009520AC" w:rsidP="009520AC">
      <w:pPr>
        <w:jc w:val="both"/>
        <w:rPr>
          <w:rFonts w:ascii="Trebuchet MS" w:hAnsi="Trebuchet MS"/>
          <w:lang w:val="it-IT"/>
        </w:rPr>
      </w:pPr>
      <w:r w:rsidRPr="005D4664">
        <w:rPr>
          <w:rFonts w:ascii="Trebuchet MS" w:hAnsi="Trebuchet MS"/>
          <w:lang w:val="it-IT"/>
        </w:rPr>
        <w:t>IV.3. Factorii determinanţi ai schimbării utilizării terenurilor</w:t>
      </w:r>
      <w:r w:rsidR="00283FE1">
        <w:rPr>
          <w:rFonts w:ascii="Trebuchet MS" w:hAnsi="Trebuchet MS"/>
          <w:lang w:val="it-IT"/>
        </w:rPr>
        <w:t xml:space="preserve"> </w:t>
      </w:r>
      <w:r w:rsidRPr="005D4664">
        <w:rPr>
          <w:rFonts w:ascii="Trebuchet MS" w:hAnsi="Trebuchet MS"/>
          <w:lang w:val="it-IT"/>
        </w:rPr>
        <w:t>........................</w:t>
      </w:r>
      <w:r w:rsidR="00283FE1">
        <w:rPr>
          <w:rFonts w:ascii="Trebuchet MS" w:hAnsi="Trebuchet MS"/>
          <w:lang w:val="it-IT"/>
        </w:rPr>
        <w:t xml:space="preserve"> </w:t>
      </w:r>
      <w:r w:rsidR="00F549B4">
        <w:rPr>
          <w:rFonts w:ascii="Trebuchet MS" w:hAnsi="Trebuchet MS"/>
          <w:lang w:val="it-IT"/>
        </w:rPr>
        <w:t>148</w:t>
      </w:r>
    </w:p>
    <w:p w:rsidR="009520AC" w:rsidRPr="005D4664" w:rsidRDefault="009520AC" w:rsidP="009520AC">
      <w:pPr>
        <w:jc w:val="both"/>
        <w:rPr>
          <w:rFonts w:ascii="Trebuchet MS" w:hAnsi="Trebuchet MS"/>
          <w:lang w:val="it-IT"/>
        </w:rPr>
      </w:pPr>
      <w:r w:rsidRPr="005D4664">
        <w:rPr>
          <w:rFonts w:ascii="Trebuchet MS" w:hAnsi="Trebuchet MS"/>
          <w:lang w:val="it-IT"/>
        </w:rPr>
        <w:t>IV.3.1. Modificarea densităţii populaţiei</w:t>
      </w:r>
      <w:r w:rsidR="00283FE1">
        <w:rPr>
          <w:rFonts w:ascii="Trebuchet MS" w:hAnsi="Trebuchet MS"/>
          <w:lang w:val="it-IT"/>
        </w:rPr>
        <w:t xml:space="preserve"> </w:t>
      </w:r>
      <w:r w:rsidRPr="005D4664">
        <w:rPr>
          <w:rFonts w:ascii="Trebuchet MS" w:hAnsi="Trebuchet MS"/>
          <w:lang w:val="it-IT"/>
        </w:rPr>
        <w:t>..................................................</w:t>
      </w:r>
      <w:r w:rsidR="00283FE1">
        <w:rPr>
          <w:rFonts w:ascii="Trebuchet MS" w:hAnsi="Trebuchet MS"/>
          <w:lang w:val="it-IT"/>
        </w:rPr>
        <w:t xml:space="preserve"> </w:t>
      </w:r>
      <w:r w:rsidR="00F549B4">
        <w:rPr>
          <w:rFonts w:ascii="Trebuchet MS" w:hAnsi="Trebuchet MS"/>
          <w:lang w:val="it-IT"/>
        </w:rPr>
        <w:t>148</w:t>
      </w:r>
    </w:p>
    <w:p w:rsidR="009520AC" w:rsidRPr="005D4664" w:rsidRDefault="009520AC" w:rsidP="009520AC">
      <w:pPr>
        <w:jc w:val="both"/>
        <w:rPr>
          <w:rFonts w:ascii="Trebuchet MS" w:hAnsi="Trebuchet MS"/>
          <w:lang w:val="it-IT"/>
        </w:rPr>
      </w:pPr>
      <w:r w:rsidRPr="005D4664">
        <w:rPr>
          <w:rFonts w:ascii="Trebuchet MS" w:hAnsi="Trebuchet MS"/>
          <w:lang w:val="it-IT"/>
        </w:rPr>
        <w:t>IV.3.2. Expansiunea urbană</w:t>
      </w:r>
      <w:r w:rsidRPr="005D4664">
        <w:rPr>
          <w:rFonts w:ascii="Trebuchet MS" w:hAnsi="Trebuchet MS"/>
          <w:lang w:val="it-IT"/>
        </w:rPr>
        <w:tab/>
        <w:t>...........................................................</w:t>
      </w:r>
      <w:r w:rsidR="00283FE1">
        <w:rPr>
          <w:rFonts w:ascii="Trebuchet MS" w:hAnsi="Trebuchet MS"/>
          <w:lang w:val="it-IT"/>
        </w:rPr>
        <w:t xml:space="preserve">  </w:t>
      </w:r>
      <w:r w:rsidR="00F549B4">
        <w:rPr>
          <w:rFonts w:ascii="Trebuchet MS" w:hAnsi="Trebuchet MS"/>
          <w:lang w:val="it-IT"/>
        </w:rPr>
        <w:t>148</w:t>
      </w:r>
    </w:p>
    <w:p w:rsidR="009520AC" w:rsidRPr="005D4664" w:rsidRDefault="009520AC" w:rsidP="009520AC">
      <w:pPr>
        <w:jc w:val="both"/>
        <w:rPr>
          <w:rFonts w:ascii="Trebuchet MS" w:hAnsi="Trebuchet MS"/>
          <w:lang w:val="it-IT"/>
        </w:rPr>
      </w:pPr>
      <w:r w:rsidRPr="005D4664">
        <w:rPr>
          <w:rFonts w:ascii="Trebuchet MS" w:hAnsi="Trebuchet MS"/>
          <w:lang w:val="it-IT"/>
        </w:rPr>
        <w:t>IV.4. Prognoze şi acţiuni întreprinse privind utilizarea terenurilor</w:t>
      </w:r>
      <w:r w:rsidR="00283FE1">
        <w:rPr>
          <w:rFonts w:ascii="Trebuchet MS" w:hAnsi="Trebuchet MS"/>
          <w:lang w:val="it-IT"/>
        </w:rPr>
        <w:t xml:space="preserve"> </w:t>
      </w:r>
      <w:r w:rsidRPr="005D4664">
        <w:rPr>
          <w:rFonts w:ascii="Trebuchet MS" w:hAnsi="Trebuchet MS"/>
          <w:lang w:val="it-IT"/>
        </w:rPr>
        <w:tab/>
        <w:t>...................</w:t>
      </w:r>
      <w:r w:rsidR="00283FE1">
        <w:rPr>
          <w:rFonts w:ascii="Trebuchet MS" w:hAnsi="Trebuchet MS"/>
          <w:lang w:val="it-IT"/>
        </w:rPr>
        <w:t xml:space="preserve"> </w:t>
      </w:r>
      <w:r w:rsidR="001F3EED">
        <w:rPr>
          <w:rFonts w:ascii="Trebuchet MS" w:hAnsi="Trebuchet MS"/>
          <w:lang w:val="it-IT"/>
        </w:rPr>
        <w:t>149</w:t>
      </w:r>
    </w:p>
    <w:p w:rsidR="009520AC" w:rsidRPr="005D4664" w:rsidRDefault="009520AC" w:rsidP="009520AC">
      <w:pPr>
        <w:jc w:val="both"/>
        <w:rPr>
          <w:rFonts w:ascii="Trebuchet MS" w:hAnsi="Trebuchet MS"/>
          <w:lang w:val="it-IT"/>
        </w:rPr>
      </w:pPr>
      <w:r w:rsidRPr="005D4664">
        <w:rPr>
          <w:rFonts w:ascii="Trebuchet MS" w:hAnsi="Trebuchet MS"/>
          <w:lang w:val="it-IT"/>
        </w:rPr>
        <w:t>V. PROTECŢIA NATURII ŞI BIODIVERSITAT</w:t>
      </w:r>
      <w:r w:rsidR="00283FE1">
        <w:rPr>
          <w:rFonts w:ascii="Trebuchet MS" w:hAnsi="Trebuchet MS"/>
          <w:lang w:val="it-IT"/>
        </w:rPr>
        <w:t>EA</w:t>
      </w:r>
      <w:r w:rsidRPr="005D4664">
        <w:rPr>
          <w:rFonts w:ascii="Trebuchet MS" w:hAnsi="Trebuchet MS"/>
          <w:lang w:val="it-IT"/>
        </w:rPr>
        <w:t>.......................................</w:t>
      </w:r>
      <w:r w:rsidR="00283FE1">
        <w:rPr>
          <w:rFonts w:ascii="Trebuchet MS" w:hAnsi="Trebuchet MS"/>
          <w:lang w:val="it-IT"/>
        </w:rPr>
        <w:t xml:space="preserve">.......    </w:t>
      </w:r>
      <w:r w:rsidR="001F3EED">
        <w:rPr>
          <w:rFonts w:ascii="Trebuchet MS" w:hAnsi="Trebuchet MS"/>
          <w:lang w:val="it-IT"/>
        </w:rPr>
        <w:t>150</w:t>
      </w:r>
    </w:p>
    <w:p w:rsidR="009520AC" w:rsidRPr="005D4664" w:rsidRDefault="009520AC" w:rsidP="009520AC">
      <w:pPr>
        <w:jc w:val="both"/>
        <w:rPr>
          <w:rFonts w:ascii="Trebuchet MS" w:hAnsi="Trebuchet MS"/>
          <w:lang w:val="it-IT"/>
        </w:rPr>
      </w:pPr>
      <w:r w:rsidRPr="005D4664">
        <w:rPr>
          <w:rFonts w:ascii="Trebuchet MS" w:hAnsi="Trebuchet MS"/>
          <w:lang w:val="it-IT"/>
        </w:rPr>
        <w:t>V.1. Ameninţări pentru biodiversitate şi presiuni exercitate asupra biod</w:t>
      </w:r>
      <w:r w:rsidR="00283FE1">
        <w:rPr>
          <w:rFonts w:ascii="Trebuchet MS" w:hAnsi="Trebuchet MS"/>
          <w:lang w:val="it-IT"/>
        </w:rPr>
        <w:t>iversităţii</w:t>
      </w:r>
      <w:r w:rsidR="001F3EED">
        <w:rPr>
          <w:rFonts w:ascii="Trebuchet MS" w:hAnsi="Trebuchet MS"/>
          <w:lang w:val="it-IT"/>
        </w:rPr>
        <w:t>150</w:t>
      </w:r>
    </w:p>
    <w:p w:rsidR="009520AC" w:rsidRPr="005D4664" w:rsidRDefault="009520AC" w:rsidP="009520AC">
      <w:pPr>
        <w:jc w:val="both"/>
        <w:rPr>
          <w:rFonts w:ascii="Trebuchet MS" w:hAnsi="Trebuchet MS"/>
          <w:lang w:val="it-IT"/>
        </w:rPr>
      </w:pPr>
      <w:r w:rsidRPr="005D4664">
        <w:rPr>
          <w:rFonts w:ascii="Trebuchet MS" w:hAnsi="Trebuchet MS"/>
          <w:lang w:val="it-IT"/>
        </w:rPr>
        <w:t xml:space="preserve">V.1.1. Speciile invazive </w:t>
      </w:r>
      <w:r w:rsidR="000F4945">
        <w:rPr>
          <w:rFonts w:ascii="Trebuchet MS" w:hAnsi="Trebuchet MS"/>
          <w:lang w:val="it-IT"/>
        </w:rPr>
        <w:t xml:space="preserve"> </w:t>
      </w:r>
      <w:r w:rsidRPr="005D4664">
        <w:rPr>
          <w:rFonts w:ascii="Trebuchet MS" w:hAnsi="Trebuchet MS"/>
          <w:lang w:val="it-IT"/>
        </w:rPr>
        <w:t>.....................................................................</w:t>
      </w:r>
      <w:r w:rsidR="000F4945">
        <w:rPr>
          <w:rFonts w:ascii="Trebuchet MS" w:hAnsi="Trebuchet MS"/>
          <w:lang w:val="it-IT"/>
        </w:rPr>
        <w:t xml:space="preserve"> </w:t>
      </w:r>
      <w:r w:rsidR="001F3EED">
        <w:rPr>
          <w:rFonts w:ascii="Trebuchet MS" w:hAnsi="Trebuchet MS"/>
          <w:lang w:val="it-IT"/>
        </w:rPr>
        <w:t>150</w:t>
      </w:r>
    </w:p>
    <w:p w:rsidR="009520AC" w:rsidRPr="005D4664" w:rsidRDefault="009520AC" w:rsidP="009520AC">
      <w:pPr>
        <w:jc w:val="both"/>
        <w:rPr>
          <w:rFonts w:ascii="Trebuchet MS" w:hAnsi="Trebuchet MS"/>
          <w:lang w:val="it-IT"/>
        </w:rPr>
      </w:pPr>
      <w:r w:rsidRPr="005D4664">
        <w:rPr>
          <w:rFonts w:ascii="Trebuchet MS" w:hAnsi="Trebuchet MS"/>
          <w:lang w:val="it-IT"/>
        </w:rPr>
        <w:t>V.1.2.  Poluarea şi încărcarea cu nutrienţi ..............................................</w:t>
      </w:r>
      <w:r w:rsidR="000F4945">
        <w:rPr>
          <w:rFonts w:ascii="Trebuchet MS" w:hAnsi="Trebuchet MS"/>
          <w:lang w:val="it-IT"/>
        </w:rPr>
        <w:t xml:space="preserve">  </w:t>
      </w:r>
      <w:r w:rsidR="001F3EED">
        <w:rPr>
          <w:rFonts w:ascii="Trebuchet MS" w:hAnsi="Trebuchet MS"/>
          <w:lang w:val="it-IT"/>
        </w:rPr>
        <w:t>155</w:t>
      </w:r>
    </w:p>
    <w:p w:rsidR="009520AC" w:rsidRPr="005D4664" w:rsidRDefault="009520AC" w:rsidP="009520AC">
      <w:pPr>
        <w:jc w:val="both"/>
        <w:rPr>
          <w:rFonts w:ascii="Trebuchet MS" w:hAnsi="Trebuchet MS"/>
          <w:lang w:val="it-IT"/>
        </w:rPr>
      </w:pPr>
      <w:r w:rsidRPr="005D4664">
        <w:rPr>
          <w:rFonts w:ascii="Trebuchet MS" w:hAnsi="Trebuchet MS"/>
          <w:lang w:val="it-IT"/>
        </w:rPr>
        <w:t>V.1.3. Schimbările climatice .............................................................</w:t>
      </w:r>
      <w:r w:rsidR="000F4945">
        <w:rPr>
          <w:rFonts w:ascii="Trebuchet MS" w:hAnsi="Trebuchet MS"/>
          <w:lang w:val="it-IT"/>
        </w:rPr>
        <w:t xml:space="preserve">.   </w:t>
      </w:r>
      <w:r w:rsidR="001F3EED">
        <w:rPr>
          <w:rFonts w:ascii="Trebuchet MS" w:hAnsi="Trebuchet MS"/>
          <w:lang w:val="it-IT"/>
        </w:rPr>
        <w:t>155</w:t>
      </w:r>
    </w:p>
    <w:p w:rsidR="009520AC" w:rsidRPr="005D4664" w:rsidRDefault="009520AC" w:rsidP="009520AC">
      <w:pPr>
        <w:jc w:val="both"/>
        <w:rPr>
          <w:rFonts w:ascii="Trebuchet MS" w:hAnsi="Trebuchet MS"/>
          <w:lang w:val="it-IT"/>
        </w:rPr>
      </w:pPr>
      <w:r w:rsidRPr="005D4664">
        <w:rPr>
          <w:rFonts w:ascii="Trebuchet MS" w:hAnsi="Trebuchet MS"/>
          <w:lang w:val="it-IT"/>
        </w:rPr>
        <w:t>V.1.4. Modificarea habitatelor ..............................................................</w:t>
      </w:r>
      <w:r w:rsidR="000F4945">
        <w:rPr>
          <w:rFonts w:ascii="Trebuchet MS" w:hAnsi="Trebuchet MS"/>
          <w:lang w:val="it-IT"/>
        </w:rPr>
        <w:t xml:space="preserve"> </w:t>
      </w:r>
      <w:r w:rsidR="001F3EED">
        <w:rPr>
          <w:rFonts w:ascii="Trebuchet MS" w:hAnsi="Trebuchet MS"/>
          <w:lang w:val="it-IT"/>
        </w:rPr>
        <w:t>155</w:t>
      </w:r>
    </w:p>
    <w:p w:rsidR="009520AC" w:rsidRPr="005D4664" w:rsidRDefault="009520AC" w:rsidP="009520AC">
      <w:pPr>
        <w:jc w:val="both"/>
        <w:rPr>
          <w:rFonts w:ascii="Trebuchet MS" w:hAnsi="Trebuchet MS"/>
          <w:lang w:val="it-IT"/>
        </w:rPr>
      </w:pPr>
      <w:r w:rsidRPr="005D4664">
        <w:rPr>
          <w:rFonts w:ascii="Trebuchet MS" w:hAnsi="Trebuchet MS"/>
          <w:lang w:val="it-IT"/>
        </w:rPr>
        <w:t>V.2. Protecţia naturii şi biodiversitatea: prognoze şi acţiuni întreprinse ...........</w:t>
      </w:r>
      <w:r w:rsidR="000F4945">
        <w:rPr>
          <w:rFonts w:ascii="Trebuchet MS" w:hAnsi="Trebuchet MS"/>
          <w:lang w:val="it-IT"/>
        </w:rPr>
        <w:t xml:space="preserve"> </w:t>
      </w:r>
      <w:r w:rsidR="001F3EED">
        <w:rPr>
          <w:rFonts w:ascii="Trebuchet MS" w:hAnsi="Trebuchet MS"/>
          <w:lang w:val="it-IT"/>
        </w:rPr>
        <w:t>157</w:t>
      </w:r>
    </w:p>
    <w:p w:rsidR="009520AC" w:rsidRPr="005D4664" w:rsidRDefault="009520AC" w:rsidP="009520AC">
      <w:pPr>
        <w:jc w:val="both"/>
        <w:rPr>
          <w:rFonts w:ascii="Trebuchet MS" w:hAnsi="Trebuchet MS"/>
          <w:lang w:val="it-IT"/>
        </w:rPr>
      </w:pPr>
      <w:r w:rsidRPr="005D4664">
        <w:rPr>
          <w:rFonts w:ascii="Trebuchet MS" w:hAnsi="Trebuchet MS"/>
          <w:lang w:val="it-IT"/>
        </w:rPr>
        <w:t>V.2.1. Reţeaua de arii protejate ..........................................................</w:t>
      </w:r>
      <w:r w:rsidR="000F4945">
        <w:rPr>
          <w:rFonts w:ascii="Trebuchet MS" w:hAnsi="Trebuchet MS"/>
          <w:lang w:val="it-IT"/>
        </w:rPr>
        <w:t xml:space="preserve">  </w:t>
      </w:r>
      <w:r w:rsidR="001F3EED">
        <w:rPr>
          <w:rFonts w:ascii="Trebuchet MS" w:hAnsi="Trebuchet MS"/>
          <w:lang w:val="it-IT"/>
        </w:rPr>
        <w:t>157</w:t>
      </w:r>
    </w:p>
    <w:p w:rsidR="009520AC" w:rsidRPr="005D4664" w:rsidRDefault="009520AC" w:rsidP="009520AC">
      <w:pPr>
        <w:jc w:val="both"/>
        <w:rPr>
          <w:rFonts w:ascii="Trebuchet MS" w:hAnsi="Trebuchet MS"/>
          <w:lang w:val="it-IT"/>
        </w:rPr>
      </w:pPr>
      <w:r w:rsidRPr="005D4664">
        <w:rPr>
          <w:rFonts w:ascii="Trebuchet MS" w:hAnsi="Trebuchet MS"/>
          <w:lang w:val="it-IT"/>
        </w:rPr>
        <w:t xml:space="preserve">VI. PĂDURILE </w:t>
      </w:r>
      <w:r w:rsidR="000F4945">
        <w:rPr>
          <w:rFonts w:ascii="Trebuchet MS" w:hAnsi="Trebuchet MS"/>
          <w:lang w:val="it-IT"/>
        </w:rPr>
        <w:t xml:space="preserve"> ..</w:t>
      </w:r>
      <w:r w:rsidRPr="005D4664">
        <w:rPr>
          <w:rFonts w:ascii="Trebuchet MS" w:hAnsi="Trebuchet MS"/>
          <w:lang w:val="it-IT"/>
        </w:rPr>
        <w:t>................................................................................</w:t>
      </w:r>
      <w:r w:rsidR="000F4945">
        <w:rPr>
          <w:rFonts w:ascii="Trebuchet MS" w:hAnsi="Trebuchet MS"/>
          <w:lang w:val="it-IT"/>
        </w:rPr>
        <w:t xml:space="preserve"> </w:t>
      </w:r>
      <w:r w:rsidR="001F3EED">
        <w:rPr>
          <w:rFonts w:ascii="Trebuchet MS" w:hAnsi="Trebuchet MS"/>
          <w:lang w:val="it-IT"/>
        </w:rPr>
        <w:t>166</w:t>
      </w:r>
    </w:p>
    <w:p w:rsidR="009520AC" w:rsidRPr="005D4664" w:rsidRDefault="009520AC" w:rsidP="009520AC">
      <w:pPr>
        <w:jc w:val="both"/>
        <w:rPr>
          <w:rFonts w:ascii="Trebuchet MS" w:hAnsi="Trebuchet MS"/>
          <w:lang w:val="it-IT"/>
        </w:rPr>
      </w:pPr>
      <w:r w:rsidRPr="005D4664">
        <w:rPr>
          <w:rFonts w:ascii="Trebuchet MS" w:hAnsi="Trebuchet MS"/>
          <w:lang w:val="it-IT"/>
        </w:rPr>
        <w:t>VI.1 Fondul forestier: stare şi consecinţe .................................................</w:t>
      </w:r>
      <w:r w:rsidR="000F4945">
        <w:rPr>
          <w:rFonts w:ascii="Trebuchet MS" w:hAnsi="Trebuchet MS"/>
          <w:lang w:val="it-IT"/>
        </w:rPr>
        <w:t xml:space="preserve"> </w:t>
      </w:r>
      <w:r w:rsidR="001F3EED">
        <w:rPr>
          <w:rFonts w:ascii="Trebuchet MS" w:hAnsi="Trebuchet MS"/>
          <w:lang w:val="it-IT"/>
        </w:rPr>
        <w:t>166</w:t>
      </w:r>
    </w:p>
    <w:p w:rsidR="009520AC" w:rsidRPr="005D4664" w:rsidRDefault="009520AC" w:rsidP="009520AC">
      <w:pPr>
        <w:jc w:val="both"/>
        <w:rPr>
          <w:rFonts w:ascii="Trebuchet MS" w:hAnsi="Trebuchet MS"/>
          <w:lang w:val="it-IT"/>
        </w:rPr>
      </w:pPr>
      <w:r w:rsidRPr="005D4664">
        <w:rPr>
          <w:rFonts w:ascii="Trebuchet MS" w:hAnsi="Trebuchet MS"/>
          <w:lang w:val="it-IT"/>
        </w:rPr>
        <w:t>VI.1.1. Evoluţia suprafeţei fondului forestier</w:t>
      </w:r>
      <w:r w:rsidRPr="005D4664">
        <w:rPr>
          <w:rFonts w:ascii="Trebuchet MS" w:hAnsi="Trebuchet MS"/>
          <w:lang w:val="it-IT"/>
        </w:rPr>
        <w:tab/>
      </w:r>
      <w:r w:rsidR="000F4945">
        <w:rPr>
          <w:rFonts w:ascii="Trebuchet MS" w:hAnsi="Trebuchet MS"/>
          <w:lang w:val="it-IT"/>
        </w:rPr>
        <w:t>......</w:t>
      </w:r>
      <w:r w:rsidRPr="005D4664">
        <w:rPr>
          <w:rFonts w:ascii="Trebuchet MS" w:hAnsi="Trebuchet MS"/>
          <w:lang w:val="it-IT"/>
        </w:rPr>
        <w:t>.....................................</w:t>
      </w:r>
      <w:r w:rsidR="000F4945">
        <w:rPr>
          <w:rFonts w:ascii="Trebuchet MS" w:hAnsi="Trebuchet MS"/>
          <w:lang w:val="it-IT"/>
        </w:rPr>
        <w:t xml:space="preserve">  </w:t>
      </w:r>
      <w:r w:rsidR="001F3EED">
        <w:rPr>
          <w:rFonts w:ascii="Trebuchet MS" w:hAnsi="Trebuchet MS"/>
          <w:lang w:val="it-IT"/>
        </w:rPr>
        <w:t>166</w:t>
      </w:r>
    </w:p>
    <w:p w:rsidR="009520AC" w:rsidRPr="005D4664" w:rsidRDefault="009520AC" w:rsidP="009520AC">
      <w:pPr>
        <w:jc w:val="both"/>
        <w:rPr>
          <w:rFonts w:ascii="Trebuchet MS" w:hAnsi="Trebuchet MS"/>
          <w:lang w:val="it-IT"/>
        </w:rPr>
      </w:pPr>
      <w:r w:rsidRPr="005D4664">
        <w:rPr>
          <w:rFonts w:ascii="Trebuchet MS" w:hAnsi="Trebuchet MS"/>
          <w:lang w:val="it-IT"/>
        </w:rPr>
        <w:t>VI.1.2. Distribuţia pădurilor după principalele forme de relief .......................</w:t>
      </w:r>
      <w:r w:rsidR="000F4945">
        <w:rPr>
          <w:rFonts w:ascii="Trebuchet MS" w:hAnsi="Trebuchet MS"/>
          <w:lang w:val="it-IT"/>
        </w:rPr>
        <w:t xml:space="preserve">  </w:t>
      </w:r>
      <w:r w:rsidR="001F3EED">
        <w:rPr>
          <w:rFonts w:ascii="Trebuchet MS" w:hAnsi="Trebuchet MS"/>
          <w:lang w:val="it-IT"/>
        </w:rPr>
        <w:t>167</w:t>
      </w:r>
    </w:p>
    <w:p w:rsidR="009520AC" w:rsidRPr="005D4664" w:rsidRDefault="009520AC" w:rsidP="009520AC">
      <w:pPr>
        <w:jc w:val="both"/>
        <w:rPr>
          <w:rFonts w:ascii="Trebuchet MS" w:hAnsi="Trebuchet MS"/>
          <w:lang w:val="it-IT"/>
        </w:rPr>
      </w:pPr>
      <w:r w:rsidRPr="005D4664">
        <w:rPr>
          <w:rFonts w:ascii="Trebuchet MS" w:hAnsi="Trebuchet MS"/>
          <w:lang w:val="it-IT"/>
        </w:rPr>
        <w:t>VI.1.4. Suprafeţe de păduri regenerate</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168</w:t>
      </w:r>
    </w:p>
    <w:p w:rsidR="009520AC" w:rsidRPr="005D4664" w:rsidRDefault="009520AC" w:rsidP="009520AC">
      <w:pPr>
        <w:jc w:val="both"/>
        <w:rPr>
          <w:rFonts w:ascii="Trebuchet MS" w:hAnsi="Trebuchet MS"/>
          <w:lang w:val="it-IT"/>
        </w:rPr>
      </w:pPr>
      <w:r w:rsidRPr="005D4664">
        <w:rPr>
          <w:rFonts w:ascii="Trebuchet MS" w:hAnsi="Trebuchet MS"/>
          <w:lang w:val="it-IT"/>
        </w:rPr>
        <w:t>VI.1.5. Zone cu deficit de vegetaţie forestieră şi disponibilităţi de împădurire ....</w:t>
      </w:r>
      <w:r w:rsidR="007C7011">
        <w:rPr>
          <w:rFonts w:ascii="Trebuchet MS" w:hAnsi="Trebuchet MS"/>
          <w:lang w:val="it-IT"/>
        </w:rPr>
        <w:t xml:space="preserve">  </w:t>
      </w:r>
      <w:r w:rsidR="001F3EED">
        <w:rPr>
          <w:rFonts w:ascii="Trebuchet MS" w:hAnsi="Trebuchet MS"/>
          <w:lang w:val="it-IT"/>
        </w:rPr>
        <w:t>168</w:t>
      </w:r>
    </w:p>
    <w:p w:rsidR="009520AC" w:rsidRPr="005D4664" w:rsidRDefault="009520AC" w:rsidP="009520AC">
      <w:pPr>
        <w:jc w:val="both"/>
        <w:rPr>
          <w:rFonts w:ascii="Trebuchet MS" w:hAnsi="Trebuchet MS"/>
          <w:lang w:val="it-IT"/>
        </w:rPr>
      </w:pPr>
      <w:r w:rsidRPr="005D4664">
        <w:rPr>
          <w:rFonts w:ascii="Trebuchet MS" w:hAnsi="Trebuchet MS"/>
          <w:lang w:val="it-IT"/>
        </w:rPr>
        <w:t>VI.2 Ameninţări şi presiuni exercitate asupra pădurilor ...............................</w:t>
      </w:r>
      <w:r w:rsidR="007C7011">
        <w:rPr>
          <w:rFonts w:ascii="Trebuchet MS" w:hAnsi="Trebuchet MS"/>
          <w:lang w:val="it-IT"/>
        </w:rPr>
        <w:t xml:space="preserve">  </w:t>
      </w:r>
      <w:r w:rsidR="001F3EED">
        <w:rPr>
          <w:rFonts w:ascii="Trebuchet MS" w:hAnsi="Trebuchet MS"/>
          <w:lang w:val="it-IT"/>
        </w:rPr>
        <w:t>168</w:t>
      </w:r>
    </w:p>
    <w:p w:rsidR="009520AC" w:rsidRPr="005D4664" w:rsidRDefault="009520AC" w:rsidP="009520AC">
      <w:pPr>
        <w:jc w:val="both"/>
        <w:rPr>
          <w:rFonts w:ascii="Trebuchet MS" w:hAnsi="Trebuchet MS"/>
          <w:lang w:val="it-IT"/>
        </w:rPr>
      </w:pPr>
      <w:r w:rsidRPr="005D4664">
        <w:rPr>
          <w:rFonts w:ascii="Trebuchet MS" w:hAnsi="Trebuchet MS"/>
          <w:lang w:val="it-IT"/>
        </w:rPr>
        <w:t>VI.2.1. Suprafeţe de pădure parcurse cu tăieri .........................................</w:t>
      </w:r>
      <w:r w:rsidR="007C7011">
        <w:rPr>
          <w:rFonts w:ascii="Trebuchet MS" w:hAnsi="Trebuchet MS"/>
          <w:lang w:val="it-IT"/>
        </w:rPr>
        <w:t xml:space="preserve">  </w:t>
      </w:r>
      <w:r w:rsidR="001F3EED">
        <w:rPr>
          <w:rFonts w:ascii="Trebuchet MS" w:hAnsi="Trebuchet MS"/>
          <w:lang w:val="it-IT"/>
        </w:rPr>
        <w:t>168</w:t>
      </w:r>
    </w:p>
    <w:p w:rsidR="009520AC" w:rsidRPr="005D4664" w:rsidRDefault="009520AC" w:rsidP="009520AC">
      <w:pPr>
        <w:jc w:val="both"/>
        <w:rPr>
          <w:rFonts w:ascii="Trebuchet MS" w:hAnsi="Trebuchet MS"/>
          <w:lang w:val="it-IT"/>
        </w:rPr>
      </w:pPr>
      <w:r w:rsidRPr="005D4664">
        <w:rPr>
          <w:rFonts w:ascii="Trebuchet MS" w:hAnsi="Trebuchet MS"/>
          <w:lang w:val="it-IT"/>
        </w:rPr>
        <w:t>VI.2.2. Schimbarea utilizării terenurilor .................................................</w:t>
      </w:r>
      <w:r w:rsidR="007C7011">
        <w:rPr>
          <w:rFonts w:ascii="Trebuchet MS" w:hAnsi="Trebuchet MS"/>
          <w:lang w:val="it-IT"/>
        </w:rPr>
        <w:t xml:space="preserve">  </w:t>
      </w:r>
      <w:r w:rsidR="001F3EED">
        <w:rPr>
          <w:rFonts w:ascii="Trebuchet MS" w:hAnsi="Trebuchet MS"/>
          <w:lang w:val="it-IT"/>
        </w:rPr>
        <w:t>170</w:t>
      </w:r>
    </w:p>
    <w:p w:rsidR="009520AC" w:rsidRPr="005D4664" w:rsidRDefault="009520AC" w:rsidP="009520AC">
      <w:pPr>
        <w:jc w:val="both"/>
        <w:rPr>
          <w:rFonts w:ascii="Trebuchet MS" w:hAnsi="Trebuchet MS"/>
          <w:lang w:val="it-IT"/>
        </w:rPr>
      </w:pPr>
      <w:r w:rsidRPr="005D4664">
        <w:rPr>
          <w:rFonts w:ascii="Trebuchet MS" w:hAnsi="Trebuchet MS"/>
          <w:lang w:val="it-IT"/>
        </w:rPr>
        <w:t>VI.2.2.1. Fragmentarea ecosistemelor ...................................................</w:t>
      </w:r>
      <w:r w:rsidR="007C7011">
        <w:rPr>
          <w:rFonts w:ascii="Trebuchet MS" w:hAnsi="Trebuchet MS"/>
          <w:lang w:val="it-IT"/>
        </w:rPr>
        <w:t xml:space="preserve">  </w:t>
      </w:r>
      <w:r w:rsidR="001F3EED">
        <w:rPr>
          <w:rFonts w:ascii="Trebuchet MS" w:hAnsi="Trebuchet MS"/>
          <w:lang w:val="it-IT"/>
        </w:rPr>
        <w:t>170</w:t>
      </w:r>
    </w:p>
    <w:p w:rsidR="009520AC" w:rsidRPr="005D4664" w:rsidRDefault="009520AC" w:rsidP="009520AC">
      <w:pPr>
        <w:jc w:val="both"/>
        <w:rPr>
          <w:rFonts w:ascii="Trebuchet MS" w:hAnsi="Trebuchet MS"/>
          <w:lang w:val="it-IT"/>
        </w:rPr>
      </w:pPr>
      <w:r w:rsidRPr="005D4664">
        <w:rPr>
          <w:rFonts w:ascii="Trebuchet MS" w:hAnsi="Trebuchet MS"/>
          <w:lang w:val="it-IT"/>
        </w:rPr>
        <w:t>VI.2.3. Schimbări climatice ................................................................</w:t>
      </w:r>
      <w:r w:rsidR="007C7011">
        <w:rPr>
          <w:rFonts w:ascii="Trebuchet MS" w:hAnsi="Trebuchet MS"/>
          <w:lang w:val="it-IT"/>
        </w:rPr>
        <w:t xml:space="preserve">  </w:t>
      </w:r>
      <w:r w:rsidR="001F3EED">
        <w:rPr>
          <w:rFonts w:ascii="Trebuchet MS" w:hAnsi="Trebuchet MS"/>
          <w:lang w:val="it-IT"/>
        </w:rPr>
        <w:t>170</w:t>
      </w:r>
    </w:p>
    <w:p w:rsidR="009520AC" w:rsidRPr="005D4664" w:rsidRDefault="009520AC" w:rsidP="009520AC">
      <w:pPr>
        <w:jc w:val="both"/>
        <w:rPr>
          <w:rFonts w:ascii="Trebuchet MS" w:hAnsi="Trebuchet MS"/>
          <w:lang w:val="it-IT"/>
        </w:rPr>
      </w:pPr>
      <w:r w:rsidRPr="005D4664">
        <w:rPr>
          <w:rFonts w:ascii="Trebuchet MS" w:hAnsi="Trebuchet MS"/>
          <w:lang w:val="it-IT"/>
        </w:rPr>
        <w:t>VI.3 Tendinţe, prognoze şi acţiuni privind gestionarea durabilă a pădurilor</w:t>
      </w:r>
      <w:r w:rsidR="007C7011">
        <w:rPr>
          <w:rFonts w:ascii="Trebuchet MS" w:hAnsi="Trebuchet MS"/>
          <w:lang w:val="it-IT"/>
        </w:rPr>
        <w:t xml:space="preserve"> </w:t>
      </w:r>
      <w:r w:rsidRPr="005D4664">
        <w:rPr>
          <w:rFonts w:ascii="Trebuchet MS" w:hAnsi="Trebuchet MS"/>
          <w:lang w:val="it-IT"/>
        </w:rPr>
        <w:t>......</w:t>
      </w:r>
      <w:r w:rsidR="007C7011">
        <w:rPr>
          <w:rFonts w:ascii="Trebuchet MS" w:hAnsi="Trebuchet MS"/>
          <w:lang w:val="it-IT"/>
        </w:rPr>
        <w:t xml:space="preserve">  </w:t>
      </w:r>
      <w:r w:rsidR="001F3EED">
        <w:rPr>
          <w:rFonts w:ascii="Trebuchet MS" w:hAnsi="Trebuchet MS"/>
          <w:lang w:val="it-IT"/>
        </w:rPr>
        <w:t>171</w:t>
      </w:r>
    </w:p>
    <w:p w:rsidR="009520AC" w:rsidRPr="005D4664" w:rsidRDefault="009520AC" w:rsidP="009520AC">
      <w:pPr>
        <w:jc w:val="both"/>
        <w:rPr>
          <w:rFonts w:ascii="Trebuchet MS" w:hAnsi="Trebuchet MS"/>
          <w:lang w:val="it-IT"/>
        </w:rPr>
      </w:pPr>
      <w:r w:rsidRPr="005D4664">
        <w:rPr>
          <w:rFonts w:ascii="Trebuchet MS" w:hAnsi="Trebuchet MS"/>
          <w:lang w:val="it-IT"/>
        </w:rPr>
        <w:t>VII. RESURSELE MATERIALE ȘI DEȘEURILE</w:t>
      </w:r>
      <w:r w:rsidRPr="005D4664">
        <w:rPr>
          <w:rFonts w:ascii="Trebuchet MS" w:hAnsi="Trebuchet MS"/>
          <w:lang w:val="it-IT"/>
        </w:rPr>
        <w:tab/>
      </w:r>
      <w:r w:rsidR="007C7011">
        <w:rPr>
          <w:rFonts w:ascii="Trebuchet MS" w:hAnsi="Trebuchet MS"/>
          <w:lang w:val="it-IT"/>
        </w:rPr>
        <w:t xml:space="preserve"> </w:t>
      </w:r>
      <w:r w:rsidRPr="005D4664">
        <w:rPr>
          <w:rFonts w:ascii="Trebuchet MS" w:hAnsi="Trebuchet MS"/>
          <w:lang w:val="it-IT"/>
        </w:rPr>
        <w:t>................................................</w:t>
      </w:r>
      <w:r w:rsidR="007C7011">
        <w:rPr>
          <w:rFonts w:ascii="Trebuchet MS" w:hAnsi="Trebuchet MS"/>
          <w:lang w:val="it-IT"/>
        </w:rPr>
        <w:t xml:space="preserve">.   </w:t>
      </w:r>
      <w:r w:rsidR="001F3EED">
        <w:rPr>
          <w:rFonts w:ascii="Trebuchet MS" w:hAnsi="Trebuchet MS"/>
          <w:lang w:val="it-IT"/>
        </w:rPr>
        <w:t>173</w:t>
      </w:r>
    </w:p>
    <w:p w:rsidR="009520AC" w:rsidRPr="005D4664" w:rsidRDefault="009520AC" w:rsidP="009520AC">
      <w:pPr>
        <w:jc w:val="both"/>
        <w:rPr>
          <w:rFonts w:ascii="Trebuchet MS" w:hAnsi="Trebuchet MS"/>
          <w:lang w:val="it-IT"/>
        </w:rPr>
      </w:pPr>
      <w:r w:rsidRPr="005D4664">
        <w:rPr>
          <w:rFonts w:ascii="Trebuchet MS" w:hAnsi="Trebuchet MS"/>
          <w:lang w:val="it-IT"/>
        </w:rPr>
        <w:t>VII.1.Generarea și gestionarea deșeurilor: tendințe, impacturi și pro</w:t>
      </w:r>
      <w:r w:rsidR="007C7011">
        <w:rPr>
          <w:rFonts w:ascii="Trebuchet MS" w:hAnsi="Trebuchet MS"/>
          <w:lang w:val="it-IT"/>
        </w:rPr>
        <w:t>gnoz ..</w:t>
      </w:r>
      <w:r w:rsidRPr="005D4664">
        <w:rPr>
          <w:rFonts w:ascii="Trebuchet MS" w:hAnsi="Trebuchet MS"/>
          <w:lang w:val="it-IT"/>
        </w:rPr>
        <w:t>..</w:t>
      </w:r>
      <w:r w:rsidR="007C7011">
        <w:rPr>
          <w:rFonts w:ascii="Trebuchet MS" w:hAnsi="Trebuchet MS"/>
          <w:lang w:val="it-IT"/>
        </w:rPr>
        <w:t xml:space="preserve">....  </w:t>
      </w:r>
      <w:r w:rsidR="001F3EED">
        <w:rPr>
          <w:rFonts w:ascii="Trebuchet MS" w:hAnsi="Trebuchet MS"/>
          <w:lang w:val="it-IT"/>
        </w:rPr>
        <w:t>173</w:t>
      </w:r>
    </w:p>
    <w:p w:rsidR="009520AC" w:rsidRPr="005D4664" w:rsidRDefault="009520AC" w:rsidP="009520AC">
      <w:pPr>
        <w:jc w:val="both"/>
        <w:rPr>
          <w:rFonts w:ascii="Trebuchet MS" w:hAnsi="Trebuchet MS"/>
          <w:lang w:val="it-IT"/>
        </w:rPr>
      </w:pPr>
      <w:r w:rsidRPr="005D4664">
        <w:rPr>
          <w:rFonts w:ascii="Trebuchet MS" w:hAnsi="Trebuchet MS"/>
          <w:lang w:val="it-IT"/>
        </w:rPr>
        <w:t>VII.1.1.Generarea și gestionarea deșeurilor municipale</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173</w:t>
      </w:r>
    </w:p>
    <w:p w:rsidR="009520AC" w:rsidRPr="005D4664" w:rsidRDefault="009520AC" w:rsidP="009520AC">
      <w:pPr>
        <w:jc w:val="both"/>
        <w:rPr>
          <w:rFonts w:ascii="Trebuchet MS" w:hAnsi="Trebuchet MS"/>
          <w:lang w:val="it-IT"/>
        </w:rPr>
      </w:pPr>
      <w:r w:rsidRPr="005D4664">
        <w:rPr>
          <w:rFonts w:ascii="Trebuchet MS" w:hAnsi="Trebuchet MS"/>
          <w:lang w:val="it-IT"/>
        </w:rPr>
        <w:t>VII.1.2 Generarea și gestionarea deșeurilor industriale ...............................</w:t>
      </w:r>
      <w:r w:rsidR="007C7011">
        <w:rPr>
          <w:rFonts w:ascii="Trebuchet MS" w:hAnsi="Trebuchet MS"/>
          <w:lang w:val="it-IT"/>
        </w:rPr>
        <w:t xml:space="preserve">  </w:t>
      </w:r>
      <w:r w:rsidR="001F3EED">
        <w:rPr>
          <w:rFonts w:ascii="Trebuchet MS" w:hAnsi="Trebuchet MS"/>
          <w:lang w:val="it-IT"/>
        </w:rPr>
        <w:t>179</w:t>
      </w:r>
    </w:p>
    <w:p w:rsidR="009520AC" w:rsidRPr="005D4664" w:rsidRDefault="009520AC" w:rsidP="009520AC">
      <w:pPr>
        <w:jc w:val="both"/>
        <w:rPr>
          <w:rFonts w:ascii="Trebuchet MS" w:hAnsi="Trebuchet MS"/>
          <w:lang w:val="it-IT"/>
        </w:rPr>
      </w:pPr>
      <w:r w:rsidRPr="005D4664">
        <w:rPr>
          <w:rFonts w:ascii="Trebuchet MS" w:hAnsi="Trebuchet MS"/>
          <w:lang w:val="it-IT"/>
        </w:rPr>
        <w:t>VII.1.3 Fluxuri speciale de deşeuri</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181</w:t>
      </w:r>
    </w:p>
    <w:p w:rsidR="009520AC" w:rsidRPr="005D4664" w:rsidRDefault="009520AC" w:rsidP="009520AC">
      <w:pPr>
        <w:jc w:val="both"/>
        <w:rPr>
          <w:rFonts w:ascii="Trebuchet MS" w:hAnsi="Trebuchet MS"/>
          <w:lang w:val="it-IT"/>
        </w:rPr>
      </w:pPr>
      <w:r w:rsidRPr="005D4664">
        <w:rPr>
          <w:rFonts w:ascii="Trebuchet MS" w:hAnsi="Trebuchet MS"/>
          <w:lang w:val="it-IT"/>
        </w:rPr>
        <w:t>VII.1.3.1 Deşeuri de echipamente electrice şi electronice (DEEE)</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181</w:t>
      </w:r>
    </w:p>
    <w:p w:rsidR="009520AC" w:rsidRPr="005D4664" w:rsidRDefault="009520AC" w:rsidP="009520AC">
      <w:pPr>
        <w:jc w:val="both"/>
        <w:rPr>
          <w:rFonts w:ascii="Trebuchet MS" w:hAnsi="Trebuchet MS"/>
          <w:lang w:val="it-IT"/>
        </w:rPr>
      </w:pPr>
      <w:r w:rsidRPr="005D4664">
        <w:rPr>
          <w:rFonts w:ascii="Trebuchet MS" w:hAnsi="Trebuchet MS"/>
          <w:lang w:val="it-IT"/>
        </w:rPr>
        <w:t>VII.1.3.2. Deşeuri de ambalaje</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182</w:t>
      </w:r>
    </w:p>
    <w:p w:rsidR="009520AC" w:rsidRPr="005D4664" w:rsidRDefault="009520AC" w:rsidP="009520AC">
      <w:pPr>
        <w:jc w:val="both"/>
        <w:rPr>
          <w:rFonts w:ascii="Trebuchet MS" w:hAnsi="Trebuchet MS"/>
          <w:lang w:val="it-IT"/>
        </w:rPr>
      </w:pPr>
      <w:r w:rsidRPr="005D4664">
        <w:rPr>
          <w:rFonts w:ascii="Trebuchet MS" w:hAnsi="Trebuchet MS"/>
          <w:lang w:val="it-IT"/>
        </w:rPr>
        <w:t>VII.1.3.3. Vehicule scoase din uz (VSU)</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185</w:t>
      </w:r>
    </w:p>
    <w:p w:rsidR="009520AC" w:rsidRPr="005D4664" w:rsidRDefault="009520AC" w:rsidP="009520AC">
      <w:pPr>
        <w:jc w:val="both"/>
        <w:rPr>
          <w:rFonts w:ascii="Trebuchet MS" w:hAnsi="Trebuchet MS"/>
          <w:lang w:val="it-IT"/>
        </w:rPr>
      </w:pPr>
      <w:r w:rsidRPr="005D4664">
        <w:rPr>
          <w:rFonts w:ascii="Trebuchet MS" w:hAnsi="Trebuchet MS"/>
          <w:lang w:val="it-IT"/>
        </w:rPr>
        <w:t>VII.1.4. Impacturi și presiuni privind deșeurile</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190</w:t>
      </w:r>
    </w:p>
    <w:p w:rsidR="009520AC" w:rsidRPr="005D4664" w:rsidRDefault="009520AC" w:rsidP="009520AC">
      <w:pPr>
        <w:jc w:val="both"/>
        <w:rPr>
          <w:rFonts w:ascii="Trebuchet MS" w:hAnsi="Trebuchet MS"/>
          <w:lang w:val="it-IT"/>
        </w:rPr>
      </w:pPr>
      <w:r w:rsidRPr="005D4664">
        <w:rPr>
          <w:rFonts w:ascii="Trebuchet MS" w:hAnsi="Trebuchet MS"/>
          <w:lang w:val="it-IT"/>
        </w:rPr>
        <w:t>VII.1.5. Tendinţe şi prognoze privind generarea deşeurilor.</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193</w:t>
      </w:r>
    </w:p>
    <w:p w:rsidR="009520AC" w:rsidRPr="005D4664" w:rsidRDefault="009520AC" w:rsidP="009520AC">
      <w:pPr>
        <w:jc w:val="both"/>
        <w:rPr>
          <w:rFonts w:ascii="Trebuchet MS" w:hAnsi="Trebuchet MS"/>
          <w:lang w:val="it-IT"/>
        </w:rPr>
      </w:pPr>
      <w:r w:rsidRPr="005D4664">
        <w:rPr>
          <w:rFonts w:ascii="Trebuchet MS" w:hAnsi="Trebuchet MS"/>
          <w:lang w:val="it-IT"/>
        </w:rPr>
        <w:t>VIII. MEDIUL URBAN, SĂNĂTATEA ŞI CALITATEA  VIEŢII .................................</w:t>
      </w:r>
      <w:r w:rsidR="007C7011">
        <w:rPr>
          <w:rFonts w:ascii="Trebuchet MS" w:hAnsi="Trebuchet MS"/>
          <w:lang w:val="it-IT"/>
        </w:rPr>
        <w:t xml:space="preserve">  </w:t>
      </w:r>
      <w:r w:rsidR="001F3EED">
        <w:rPr>
          <w:rFonts w:ascii="Trebuchet MS" w:hAnsi="Trebuchet MS"/>
          <w:lang w:val="it-IT"/>
        </w:rPr>
        <w:t>194</w:t>
      </w:r>
    </w:p>
    <w:p w:rsidR="009520AC" w:rsidRPr="005D4664" w:rsidRDefault="009520AC" w:rsidP="009520AC">
      <w:pPr>
        <w:jc w:val="both"/>
        <w:rPr>
          <w:rFonts w:ascii="Trebuchet MS" w:hAnsi="Trebuchet MS"/>
          <w:lang w:val="it-IT"/>
        </w:rPr>
      </w:pPr>
      <w:r w:rsidRPr="005D4664">
        <w:rPr>
          <w:rFonts w:ascii="Trebuchet MS" w:hAnsi="Trebuchet MS"/>
          <w:lang w:val="it-IT"/>
        </w:rPr>
        <w:t>VIII.1. Mediul urban şi calitatea vieţii: stare şi consecinţe</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194</w:t>
      </w:r>
    </w:p>
    <w:p w:rsidR="009520AC" w:rsidRPr="005D4664" w:rsidRDefault="009520AC" w:rsidP="009520AC">
      <w:pPr>
        <w:jc w:val="both"/>
        <w:rPr>
          <w:rFonts w:ascii="Trebuchet MS" w:hAnsi="Trebuchet MS"/>
          <w:lang w:val="it-IT"/>
        </w:rPr>
      </w:pPr>
      <w:r w:rsidRPr="005D4664">
        <w:rPr>
          <w:rFonts w:ascii="Trebuchet MS" w:hAnsi="Trebuchet MS"/>
          <w:lang w:val="it-IT"/>
        </w:rPr>
        <w:t>VIII.1.1 Calitatea aerului din aglomerările urbane și efectele asupra sănătății ...</w:t>
      </w:r>
      <w:r w:rsidR="007C7011">
        <w:rPr>
          <w:rFonts w:ascii="Trebuchet MS" w:hAnsi="Trebuchet MS"/>
          <w:lang w:val="it-IT"/>
        </w:rPr>
        <w:t xml:space="preserve">  </w:t>
      </w:r>
      <w:r w:rsidR="001F3EED">
        <w:rPr>
          <w:rFonts w:ascii="Trebuchet MS" w:hAnsi="Trebuchet MS"/>
          <w:lang w:val="it-IT"/>
        </w:rPr>
        <w:t>194</w:t>
      </w:r>
    </w:p>
    <w:p w:rsidR="009520AC" w:rsidRPr="005D4664" w:rsidRDefault="009520AC" w:rsidP="009520AC">
      <w:pPr>
        <w:jc w:val="both"/>
        <w:rPr>
          <w:rFonts w:ascii="Trebuchet MS" w:hAnsi="Trebuchet MS"/>
          <w:lang w:val="it-IT"/>
        </w:rPr>
      </w:pPr>
      <w:r w:rsidRPr="005D4664">
        <w:rPr>
          <w:rFonts w:ascii="Trebuchet MS" w:hAnsi="Trebuchet MS"/>
          <w:lang w:val="it-IT"/>
        </w:rPr>
        <w:t>VIII.1.2. Poluarea fonică şi efectele asupra sănătăţii şi calităţii vieţii ..............</w:t>
      </w:r>
      <w:r w:rsidR="007C7011">
        <w:rPr>
          <w:rFonts w:ascii="Trebuchet MS" w:hAnsi="Trebuchet MS"/>
          <w:lang w:val="it-IT"/>
        </w:rPr>
        <w:t xml:space="preserve">  </w:t>
      </w:r>
      <w:r w:rsidR="001F3EED">
        <w:rPr>
          <w:rFonts w:ascii="Trebuchet MS" w:hAnsi="Trebuchet MS"/>
          <w:lang w:val="it-IT"/>
        </w:rPr>
        <w:t>199</w:t>
      </w:r>
    </w:p>
    <w:p w:rsidR="009520AC" w:rsidRPr="005D4664" w:rsidRDefault="009520AC" w:rsidP="009520AC">
      <w:pPr>
        <w:jc w:val="both"/>
        <w:rPr>
          <w:rFonts w:ascii="Trebuchet MS" w:hAnsi="Trebuchet MS"/>
          <w:lang w:val="it-IT"/>
        </w:rPr>
      </w:pPr>
      <w:r w:rsidRPr="005D4664">
        <w:rPr>
          <w:rFonts w:ascii="Trebuchet MS" w:hAnsi="Trebuchet MS"/>
          <w:lang w:val="it-IT"/>
        </w:rPr>
        <w:t>VIII.1.3. Calitatea apei potabile şi efectele asupra sănătăţii</w:t>
      </w:r>
      <w:r w:rsidRPr="005D4664">
        <w:rPr>
          <w:rFonts w:ascii="Trebuchet MS" w:hAnsi="Trebuchet MS"/>
          <w:lang w:val="it-IT"/>
        </w:rPr>
        <w:tab/>
        <w:t>...........................</w:t>
      </w:r>
      <w:r w:rsidR="007C7011">
        <w:rPr>
          <w:rFonts w:ascii="Trebuchet MS" w:hAnsi="Trebuchet MS"/>
          <w:lang w:val="it-IT"/>
        </w:rPr>
        <w:t xml:space="preserve"> </w:t>
      </w:r>
      <w:r w:rsidR="001F3EED">
        <w:rPr>
          <w:rFonts w:ascii="Trebuchet MS" w:hAnsi="Trebuchet MS"/>
          <w:lang w:val="it-IT"/>
        </w:rPr>
        <w:t>202</w:t>
      </w:r>
    </w:p>
    <w:p w:rsidR="009520AC" w:rsidRPr="005D4664" w:rsidRDefault="009520AC" w:rsidP="009520AC">
      <w:pPr>
        <w:jc w:val="both"/>
        <w:rPr>
          <w:rFonts w:ascii="Trebuchet MS" w:hAnsi="Trebuchet MS"/>
          <w:lang w:val="it-IT"/>
        </w:rPr>
      </w:pPr>
      <w:r w:rsidRPr="005D4664">
        <w:rPr>
          <w:rFonts w:ascii="Trebuchet MS" w:hAnsi="Trebuchet MS"/>
          <w:lang w:val="it-IT"/>
        </w:rPr>
        <w:t>VIII.1.4. Spaţiile verzi şi efectele asupra sănătăţii şi calităţii vieţii</w:t>
      </w:r>
      <w:r w:rsidRPr="005D4664">
        <w:rPr>
          <w:rFonts w:ascii="Trebuchet MS" w:hAnsi="Trebuchet MS"/>
          <w:lang w:val="it-IT"/>
        </w:rPr>
        <w:tab/>
      </w:r>
      <w:r w:rsidR="00D032C0">
        <w:rPr>
          <w:rFonts w:ascii="Trebuchet MS" w:hAnsi="Trebuchet MS"/>
          <w:lang w:val="it-IT"/>
        </w:rPr>
        <w:t xml:space="preserve"> </w:t>
      </w:r>
      <w:r w:rsidRPr="005D4664">
        <w:rPr>
          <w:rFonts w:ascii="Trebuchet MS" w:hAnsi="Trebuchet MS"/>
          <w:lang w:val="it-IT"/>
        </w:rPr>
        <w:t>..................</w:t>
      </w:r>
      <w:r w:rsidR="00D032C0">
        <w:rPr>
          <w:rFonts w:ascii="Trebuchet MS" w:hAnsi="Trebuchet MS"/>
          <w:lang w:val="it-IT"/>
        </w:rPr>
        <w:t xml:space="preserve"> </w:t>
      </w:r>
      <w:r w:rsidR="001F3EED">
        <w:rPr>
          <w:rFonts w:ascii="Trebuchet MS" w:hAnsi="Trebuchet MS"/>
          <w:lang w:val="it-IT"/>
        </w:rPr>
        <w:t>208</w:t>
      </w:r>
    </w:p>
    <w:p w:rsidR="009520AC" w:rsidRPr="005D4664" w:rsidRDefault="009520AC" w:rsidP="009520AC">
      <w:pPr>
        <w:jc w:val="both"/>
        <w:rPr>
          <w:rFonts w:ascii="Trebuchet MS" w:hAnsi="Trebuchet MS"/>
          <w:lang w:val="it-IT"/>
        </w:rPr>
      </w:pPr>
      <w:r w:rsidRPr="005D4664">
        <w:rPr>
          <w:rFonts w:ascii="Trebuchet MS" w:hAnsi="Trebuchet MS"/>
          <w:lang w:val="it-IT"/>
        </w:rPr>
        <w:t>VIII.1.5. Schimbările climatice şi efectele asupra mediului urban, sănătăţii şi calităţii vieţii</w:t>
      </w:r>
      <w:r w:rsidRPr="005D4664">
        <w:rPr>
          <w:rFonts w:ascii="Trebuchet MS" w:hAnsi="Trebuchet MS"/>
          <w:lang w:val="it-IT"/>
        </w:rPr>
        <w:tab/>
        <w:t>....................................................................................</w:t>
      </w:r>
      <w:r w:rsidR="00D032C0">
        <w:rPr>
          <w:rFonts w:ascii="Trebuchet MS" w:hAnsi="Trebuchet MS"/>
          <w:lang w:val="it-IT"/>
        </w:rPr>
        <w:t xml:space="preserve">....... </w:t>
      </w:r>
      <w:r w:rsidR="001F3EED">
        <w:rPr>
          <w:rFonts w:ascii="Trebuchet MS" w:hAnsi="Trebuchet MS"/>
          <w:lang w:val="it-IT"/>
        </w:rPr>
        <w:t>209</w:t>
      </w:r>
    </w:p>
    <w:p w:rsidR="009520AC" w:rsidRPr="005D4664" w:rsidRDefault="009520AC" w:rsidP="009520AC">
      <w:pPr>
        <w:jc w:val="both"/>
        <w:rPr>
          <w:rFonts w:ascii="Trebuchet MS" w:hAnsi="Trebuchet MS"/>
          <w:lang w:val="it-IT"/>
        </w:rPr>
      </w:pPr>
      <w:r w:rsidRPr="005D4664">
        <w:rPr>
          <w:rFonts w:ascii="Trebuchet MS" w:hAnsi="Trebuchet MS"/>
          <w:lang w:val="it-IT"/>
        </w:rPr>
        <w:t>IX. RADIOACTIVITATEA MEDIULUI</w:t>
      </w:r>
      <w:r w:rsidRPr="005D4664">
        <w:rPr>
          <w:rFonts w:ascii="Trebuchet MS" w:hAnsi="Trebuchet MS"/>
          <w:lang w:val="it-IT"/>
        </w:rPr>
        <w:tab/>
        <w:t>...................................................</w:t>
      </w:r>
      <w:r w:rsidR="00D032C0">
        <w:rPr>
          <w:rFonts w:ascii="Trebuchet MS" w:hAnsi="Trebuchet MS"/>
          <w:lang w:val="it-IT"/>
        </w:rPr>
        <w:t xml:space="preserve">......    </w:t>
      </w:r>
      <w:r w:rsidR="001F3EED">
        <w:rPr>
          <w:rFonts w:ascii="Trebuchet MS" w:hAnsi="Trebuchet MS"/>
          <w:lang w:val="it-IT"/>
        </w:rPr>
        <w:t>213</w:t>
      </w:r>
    </w:p>
    <w:p w:rsidR="009520AC" w:rsidRPr="005D4664" w:rsidRDefault="009520AC" w:rsidP="009520AC">
      <w:pPr>
        <w:jc w:val="both"/>
        <w:rPr>
          <w:rFonts w:ascii="Trebuchet MS" w:hAnsi="Trebuchet MS"/>
          <w:lang w:val="it-IT"/>
        </w:rPr>
      </w:pPr>
      <w:r w:rsidRPr="005D4664">
        <w:rPr>
          <w:rFonts w:ascii="Trebuchet MS" w:hAnsi="Trebuchet MS"/>
          <w:lang w:val="it-IT"/>
        </w:rPr>
        <w:t>IX.1. Monitorizarea radioactivităţii factorilor de mediu</w:t>
      </w:r>
      <w:r w:rsidR="00D032C0">
        <w:rPr>
          <w:rFonts w:ascii="Trebuchet MS" w:hAnsi="Trebuchet MS"/>
          <w:lang w:val="it-IT"/>
        </w:rPr>
        <w:t xml:space="preserve"> </w:t>
      </w:r>
      <w:r w:rsidRPr="005D4664">
        <w:rPr>
          <w:rFonts w:ascii="Trebuchet MS" w:hAnsi="Trebuchet MS"/>
          <w:lang w:val="it-IT"/>
        </w:rPr>
        <w:t>...............................</w:t>
      </w:r>
      <w:r w:rsidR="00D032C0">
        <w:rPr>
          <w:rFonts w:ascii="Trebuchet MS" w:hAnsi="Trebuchet MS"/>
          <w:lang w:val="it-IT"/>
        </w:rPr>
        <w:t xml:space="preserve"> </w:t>
      </w:r>
      <w:r w:rsidR="001F3EED">
        <w:rPr>
          <w:rFonts w:ascii="Trebuchet MS" w:hAnsi="Trebuchet MS"/>
          <w:lang w:val="it-IT"/>
        </w:rPr>
        <w:t>213</w:t>
      </w:r>
    </w:p>
    <w:p w:rsidR="009520AC" w:rsidRPr="005D4664" w:rsidRDefault="009520AC" w:rsidP="009520AC">
      <w:pPr>
        <w:jc w:val="both"/>
        <w:rPr>
          <w:rFonts w:ascii="Trebuchet MS" w:hAnsi="Trebuchet MS"/>
          <w:lang w:val="it-IT"/>
        </w:rPr>
      </w:pPr>
      <w:r w:rsidRPr="005D4664">
        <w:rPr>
          <w:rFonts w:ascii="Trebuchet MS" w:hAnsi="Trebuchet MS"/>
          <w:lang w:val="it-IT"/>
        </w:rPr>
        <w:t>IX.1.1. Radioactivitatea aerului ...................................................</w:t>
      </w:r>
      <w:r w:rsidR="00C86E6B">
        <w:rPr>
          <w:rFonts w:ascii="Trebuchet MS" w:hAnsi="Trebuchet MS"/>
          <w:lang w:val="it-IT"/>
        </w:rPr>
        <w:t xml:space="preserve">......... </w:t>
      </w:r>
      <w:r w:rsidR="001F3EED">
        <w:rPr>
          <w:rFonts w:ascii="Trebuchet MS" w:hAnsi="Trebuchet MS"/>
          <w:lang w:val="it-IT"/>
        </w:rPr>
        <w:t>215</w:t>
      </w:r>
    </w:p>
    <w:p w:rsidR="009520AC" w:rsidRPr="005D4664" w:rsidRDefault="009520AC" w:rsidP="009520AC">
      <w:pPr>
        <w:jc w:val="both"/>
        <w:rPr>
          <w:rFonts w:ascii="Trebuchet MS" w:hAnsi="Trebuchet MS"/>
          <w:lang w:val="it-IT"/>
        </w:rPr>
      </w:pPr>
      <w:r w:rsidRPr="005D4664">
        <w:rPr>
          <w:rFonts w:ascii="Trebuchet MS" w:hAnsi="Trebuchet MS"/>
          <w:lang w:val="it-IT"/>
        </w:rPr>
        <w:t>IX.1.1.1. Aerosoli atmosferici ..............................................................</w:t>
      </w:r>
      <w:r w:rsidR="00C86E6B">
        <w:rPr>
          <w:rFonts w:ascii="Trebuchet MS" w:hAnsi="Trebuchet MS"/>
          <w:lang w:val="it-IT"/>
        </w:rPr>
        <w:t xml:space="preserve">  </w:t>
      </w:r>
      <w:r w:rsidR="001F3EED">
        <w:rPr>
          <w:rFonts w:ascii="Trebuchet MS" w:hAnsi="Trebuchet MS"/>
          <w:lang w:val="it-IT"/>
        </w:rPr>
        <w:t>216</w:t>
      </w:r>
    </w:p>
    <w:p w:rsidR="009520AC" w:rsidRPr="005D4664" w:rsidRDefault="009520AC" w:rsidP="009520AC">
      <w:pPr>
        <w:jc w:val="both"/>
        <w:rPr>
          <w:rFonts w:ascii="Trebuchet MS" w:hAnsi="Trebuchet MS"/>
          <w:lang w:val="it-IT"/>
        </w:rPr>
      </w:pPr>
      <w:r w:rsidRPr="005D4664">
        <w:rPr>
          <w:rFonts w:ascii="Trebuchet MS" w:hAnsi="Trebuchet MS"/>
          <w:lang w:val="it-IT"/>
        </w:rPr>
        <w:t>IX.1.1.2. Debitele dozei gamma în aer ...................................................</w:t>
      </w:r>
      <w:r w:rsidR="00C86E6B">
        <w:rPr>
          <w:rFonts w:ascii="Trebuchet MS" w:hAnsi="Trebuchet MS"/>
          <w:lang w:val="it-IT"/>
        </w:rPr>
        <w:t xml:space="preserve">  </w:t>
      </w:r>
      <w:r w:rsidR="001F3EED">
        <w:rPr>
          <w:rFonts w:ascii="Trebuchet MS" w:hAnsi="Trebuchet MS"/>
          <w:lang w:val="it-IT"/>
        </w:rPr>
        <w:t>215</w:t>
      </w:r>
    </w:p>
    <w:p w:rsidR="009520AC" w:rsidRPr="005D4664" w:rsidRDefault="009520AC" w:rsidP="009520AC">
      <w:pPr>
        <w:jc w:val="both"/>
        <w:rPr>
          <w:rFonts w:ascii="Trebuchet MS" w:hAnsi="Trebuchet MS"/>
          <w:lang w:val="it-IT"/>
        </w:rPr>
      </w:pPr>
      <w:r w:rsidRPr="005D4664">
        <w:rPr>
          <w:rFonts w:ascii="Trebuchet MS" w:hAnsi="Trebuchet MS"/>
          <w:lang w:val="it-IT"/>
        </w:rPr>
        <w:t>IX.1.1.3. Depuneri atmosferice ...........................................................</w:t>
      </w:r>
      <w:r w:rsidR="00C86E6B">
        <w:rPr>
          <w:rFonts w:ascii="Trebuchet MS" w:hAnsi="Trebuchet MS"/>
          <w:lang w:val="it-IT"/>
        </w:rPr>
        <w:t xml:space="preserve">   </w:t>
      </w:r>
      <w:r w:rsidR="001F3EED">
        <w:rPr>
          <w:rFonts w:ascii="Trebuchet MS" w:hAnsi="Trebuchet MS"/>
          <w:lang w:val="it-IT"/>
        </w:rPr>
        <w:t>218</w:t>
      </w:r>
    </w:p>
    <w:p w:rsidR="009520AC" w:rsidRPr="005D4664" w:rsidRDefault="009520AC" w:rsidP="009520AC">
      <w:pPr>
        <w:jc w:val="both"/>
        <w:rPr>
          <w:rFonts w:ascii="Trebuchet MS" w:hAnsi="Trebuchet MS"/>
          <w:lang w:val="it-IT"/>
        </w:rPr>
      </w:pPr>
      <w:r w:rsidRPr="005D4664">
        <w:rPr>
          <w:rFonts w:ascii="Trebuchet MS" w:hAnsi="Trebuchet MS"/>
          <w:lang w:val="it-IT"/>
        </w:rPr>
        <w:t>IX.1.2. Radioactivitatea apelor ...........................................................</w:t>
      </w:r>
      <w:r w:rsidR="00C86E6B">
        <w:rPr>
          <w:rFonts w:ascii="Trebuchet MS" w:hAnsi="Trebuchet MS"/>
          <w:lang w:val="it-IT"/>
        </w:rPr>
        <w:t xml:space="preserve">   </w:t>
      </w:r>
      <w:r w:rsidR="001F3EED">
        <w:rPr>
          <w:rFonts w:ascii="Trebuchet MS" w:hAnsi="Trebuchet MS"/>
          <w:lang w:val="it-IT"/>
        </w:rPr>
        <w:t>220</w:t>
      </w:r>
    </w:p>
    <w:p w:rsidR="009520AC" w:rsidRPr="005D4664" w:rsidRDefault="009520AC" w:rsidP="009520AC">
      <w:pPr>
        <w:jc w:val="both"/>
        <w:rPr>
          <w:rFonts w:ascii="Trebuchet MS" w:hAnsi="Trebuchet MS"/>
          <w:lang w:val="it-IT"/>
        </w:rPr>
      </w:pPr>
      <w:r w:rsidRPr="005D4664">
        <w:rPr>
          <w:rFonts w:ascii="Trebuchet MS" w:hAnsi="Trebuchet MS"/>
          <w:lang w:val="it-IT"/>
        </w:rPr>
        <w:t>IX.1.3. Radioactivitatea solului ...........................................................</w:t>
      </w:r>
      <w:r w:rsidR="00C86E6B">
        <w:rPr>
          <w:rFonts w:ascii="Trebuchet MS" w:hAnsi="Trebuchet MS"/>
          <w:lang w:val="it-IT"/>
        </w:rPr>
        <w:t xml:space="preserve">   </w:t>
      </w:r>
      <w:r w:rsidR="001F3EED">
        <w:rPr>
          <w:rFonts w:ascii="Trebuchet MS" w:hAnsi="Trebuchet MS"/>
          <w:lang w:val="it-IT"/>
        </w:rPr>
        <w:t>221</w:t>
      </w:r>
    </w:p>
    <w:p w:rsidR="009520AC" w:rsidRPr="005D4664" w:rsidRDefault="009520AC" w:rsidP="009520AC">
      <w:pPr>
        <w:jc w:val="both"/>
        <w:rPr>
          <w:rFonts w:ascii="Trebuchet MS" w:hAnsi="Trebuchet MS"/>
          <w:lang w:val="it-IT"/>
        </w:rPr>
      </w:pPr>
      <w:r w:rsidRPr="005D4664">
        <w:rPr>
          <w:rFonts w:ascii="Trebuchet MS" w:hAnsi="Trebuchet MS"/>
          <w:lang w:val="it-IT"/>
        </w:rPr>
        <w:t>IX.1.4. Vegetaţie spontană .................................................................</w:t>
      </w:r>
      <w:r w:rsidR="00C86E6B">
        <w:rPr>
          <w:rFonts w:ascii="Trebuchet MS" w:hAnsi="Trebuchet MS"/>
          <w:lang w:val="it-IT"/>
        </w:rPr>
        <w:t xml:space="preserve">  </w:t>
      </w:r>
      <w:r w:rsidR="001F3EED">
        <w:rPr>
          <w:rFonts w:ascii="Trebuchet MS" w:hAnsi="Trebuchet MS"/>
          <w:lang w:val="it-IT"/>
        </w:rPr>
        <w:t>222</w:t>
      </w:r>
    </w:p>
    <w:p w:rsidR="001F3EED" w:rsidRPr="005D4664" w:rsidRDefault="009520AC" w:rsidP="009520AC">
      <w:pPr>
        <w:jc w:val="both"/>
        <w:rPr>
          <w:rFonts w:ascii="Trebuchet MS" w:hAnsi="Trebuchet MS"/>
          <w:lang w:val="it-IT"/>
        </w:rPr>
      </w:pPr>
      <w:r w:rsidRPr="005D4664">
        <w:rPr>
          <w:rFonts w:ascii="Trebuchet MS" w:hAnsi="Trebuchet MS"/>
          <w:lang w:val="it-IT"/>
        </w:rPr>
        <w:t>X. CON</w:t>
      </w:r>
      <w:r w:rsidR="00C86E6B">
        <w:rPr>
          <w:rFonts w:ascii="Trebuchet MS" w:hAnsi="Trebuchet MS"/>
          <w:lang w:val="it-IT"/>
        </w:rPr>
        <w:t xml:space="preserve">SUMUL ŞI MEDIUL ÎNCONJURĂTOR  </w:t>
      </w:r>
      <w:r w:rsidRPr="005D4664">
        <w:rPr>
          <w:rFonts w:ascii="Trebuchet MS" w:hAnsi="Trebuchet MS"/>
          <w:lang w:val="it-IT"/>
        </w:rPr>
        <w:t>...........................................</w:t>
      </w:r>
      <w:r w:rsidR="001F3EED">
        <w:rPr>
          <w:rFonts w:ascii="Trebuchet MS" w:hAnsi="Trebuchet MS"/>
          <w:lang w:val="it-IT"/>
        </w:rPr>
        <w:t>....   223</w:t>
      </w:r>
    </w:p>
    <w:p w:rsidR="009520AC" w:rsidRPr="005D4664" w:rsidRDefault="009520AC" w:rsidP="009520AC">
      <w:pPr>
        <w:jc w:val="both"/>
        <w:rPr>
          <w:rFonts w:ascii="Trebuchet MS" w:hAnsi="Trebuchet MS"/>
          <w:lang w:val="it-IT"/>
        </w:rPr>
      </w:pPr>
      <w:r w:rsidRPr="005D4664">
        <w:rPr>
          <w:rFonts w:ascii="Trebuchet MS" w:hAnsi="Trebuchet MS"/>
          <w:lang w:val="it-IT"/>
        </w:rPr>
        <w:t>X.1. Tendinţe în consum ....................................................................</w:t>
      </w:r>
      <w:r w:rsidR="00C86E6B">
        <w:rPr>
          <w:rFonts w:ascii="Trebuchet MS" w:hAnsi="Trebuchet MS"/>
          <w:lang w:val="it-IT"/>
        </w:rPr>
        <w:t xml:space="preserve">   </w:t>
      </w:r>
      <w:r w:rsidR="001F3EED">
        <w:rPr>
          <w:rFonts w:ascii="Trebuchet MS" w:hAnsi="Trebuchet MS"/>
          <w:lang w:val="it-IT"/>
        </w:rPr>
        <w:t>223</w:t>
      </w:r>
    </w:p>
    <w:p w:rsidR="009520AC" w:rsidRPr="005D4664" w:rsidRDefault="009520AC" w:rsidP="009520AC">
      <w:pPr>
        <w:jc w:val="both"/>
        <w:rPr>
          <w:rFonts w:ascii="Trebuchet MS" w:hAnsi="Trebuchet MS"/>
          <w:lang w:val="it-IT"/>
        </w:rPr>
      </w:pPr>
      <w:r w:rsidRPr="005D4664">
        <w:rPr>
          <w:rFonts w:ascii="Trebuchet MS" w:hAnsi="Trebuchet MS"/>
          <w:lang w:val="it-IT"/>
        </w:rPr>
        <w:t>X.1.1 Alimente şi băuturi ....................................................................</w:t>
      </w:r>
      <w:r w:rsidR="00C86E6B">
        <w:rPr>
          <w:rFonts w:ascii="Trebuchet MS" w:hAnsi="Trebuchet MS"/>
          <w:lang w:val="it-IT"/>
        </w:rPr>
        <w:t xml:space="preserve">  </w:t>
      </w:r>
      <w:r w:rsidR="001F3EED">
        <w:rPr>
          <w:rFonts w:ascii="Trebuchet MS" w:hAnsi="Trebuchet MS"/>
          <w:lang w:val="it-IT"/>
        </w:rPr>
        <w:t>224</w:t>
      </w:r>
    </w:p>
    <w:p w:rsidR="009520AC" w:rsidRPr="005D4664" w:rsidRDefault="009520AC" w:rsidP="009520AC">
      <w:pPr>
        <w:jc w:val="both"/>
        <w:rPr>
          <w:rFonts w:ascii="Trebuchet MS" w:hAnsi="Trebuchet MS"/>
          <w:lang w:val="it-IT"/>
        </w:rPr>
      </w:pPr>
      <w:r w:rsidRPr="005D4664">
        <w:rPr>
          <w:rFonts w:ascii="Trebuchet MS" w:hAnsi="Trebuchet MS"/>
          <w:lang w:val="it-IT"/>
        </w:rPr>
        <w:t xml:space="preserve">X.1.2 Locuinţe </w:t>
      </w:r>
      <w:r w:rsidR="00C86E6B">
        <w:rPr>
          <w:rFonts w:ascii="Trebuchet MS" w:hAnsi="Trebuchet MS"/>
          <w:lang w:val="it-IT"/>
        </w:rPr>
        <w:t>...</w:t>
      </w:r>
      <w:r w:rsidRPr="005D4664">
        <w:rPr>
          <w:rFonts w:ascii="Trebuchet MS" w:hAnsi="Trebuchet MS"/>
          <w:lang w:val="it-IT"/>
        </w:rPr>
        <w:t>.............................................................................</w:t>
      </w:r>
      <w:r w:rsidR="00C86E6B">
        <w:rPr>
          <w:rFonts w:ascii="Trebuchet MS" w:hAnsi="Trebuchet MS"/>
          <w:lang w:val="it-IT"/>
        </w:rPr>
        <w:t xml:space="preserve">  </w:t>
      </w:r>
      <w:r w:rsidR="001F3EED">
        <w:rPr>
          <w:rFonts w:ascii="Trebuchet MS" w:hAnsi="Trebuchet MS"/>
          <w:lang w:val="it-IT"/>
        </w:rPr>
        <w:t>225</w:t>
      </w:r>
    </w:p>
    <w:p w:rsidR="009520AC" w:rsidRPr="005D4664" w:rsidRDefault="009520AC" w:rsidP="009520AC">
      <w:pPr>
        <w:jc w:val="both"/>
        <w:rPr>
          <w:rFonts w:ascii="Trebuchet MS" w:hAnsi="Trebuchet MS"/>
          <w:lang w:val="it-IT"/>
        </w:rPr>
      </w:pPr>
      <w:r w:rsidRPr="005D4664">
        <w:rPr>
          <w:rFonts w:ascii="Trebuchet MS" w:hAnsi="Trebuchet MS"/>
          <w:lang w:val="it-IT"/>
        </w:rPr>
        <w:t>X.1.3 Mobilitate ..............................................................................</w:t>
      </w:r>
      <w:r w:rsidR="00C86E6B">
        <w:rPr>
          <w:rFonts w:ascii="Trebuchet MS" w:hAnsi="Trebuchet MS"/>
          <w:lang w:val="it-IT"/>
        </w:rPr>
        <w:t xml:space="preserve">  </w:t>
      </w:r>
      <w:r w:rsidR="001F3EED">
        <w:rPr>
          <w:rFonts w:ascii="Trebuchet MS" w:hAnsi="Trebuchet MS"/>
          <w:lang w:val="it-IT"/>
        </w:rPr>
        <w:t>227</w:t>
      </w:r>
    </w:p>
    <w:p w:rsidR="009520AC" w:rsidRPr="005D4664" w:rsidRDefault="009520AC" w:rsidP="009520AC">
      <w:pPr>
        <w:jc w:val="both"/>
        <w:rPr>
          <w:rFonts w:ascii="Trebuchet MS" w:hAnsi="Trebuchet MS"/>
          <w:lang w:val="it-IT"/>
        </w:rPr>
      </w:pPr>
      <w:r w:rsidRPr="005D4664">
        <w:rPr>
          <w:rFonts w:ascii="Trebuchet MS" w:hAnsi="Trebuchet MS"/>
          <w:lang w:val="it-IT"/>
        </w:rPr>
        <w:t>X.2 Factori care influenţează consumul ...................................................</w:t>
      </w:r>
      <w:r w:rsidR="00C86E6B">
        <w:rPr>
          <w:rFonts w:ascii="Trebuchet MS" w:hAnsi="Trebuchet MS"/>
          <w:lang w:val="it-IT"/>
        </w:rPr>
        <w:t xml:space="preserve"> </w:t>
      </w:r>
      <w:r w:rsidR="001F3EED">
        <w:rPr>
          <w:rFonts w:ascii="Trebuchet MS" w:hAnsi="Trebuchet MS"/>
          <w:lang w:val="it-IT"/>
        </w:rPr>
        <w:t>231</w:t>
      </w:r>
    </w:p>
    <w:p w:rsidR="009520AC" w:rsidRPr="005D4664" w:rsidRDefault="009520AC" w:rsidP="009520AC">
      <w:pPr>
        <w:jc w:val="both"/>
        <w:rPr>
          <w:rFonts w:ascii="Trebuchet MS" w:hAnsi="Trebuchet MS"/>
          <w:lang w:val="it-IT"/>
        </w:rPr>
      </w:pPr>
      <w:r w:rsidRPr="005D4664">
        <w:rPr>
          <w:rFonts w:ascii="Trebuchet MS" w:hAnsi="Trebuchet MS"/>
          <w:lang w:val="it-IT"/>
        </w:rPr>
        <w:t>X.3. Presiunile asupra mediului cauzate de consum ...................................</w:t>
      </w:r>
      <w:r w:rsidR="00C86E6B">
        <w:rPr>
          <w:rFonts w:ascii="Trebuchet MS" w:hAnsi="Trebuchet MS"/>
          <w:lang w:val="it-IT"/>
        </w:rPr>
        <w:t xml:space="preserve">  </w:t>
      </w:r>
      <w:r w:rsidR="001F3EED">
        <w:rPr>
          <w:rFonts w:ascii="Trebuchet MS" w:hAnsi="Trebuchet MS"/>
          <w:lang w:val="it-IT"/>
        </w:rPr>
        <w:t>231</w:t>
      </w:r>
    </w:p>
    <w:p w:rsidR="009520AC" w:rsidRPr="005D4664" w:rsidRDefault="009520AC" w:rsidP="009520AC">
      <w:pPr>
        <w:jc w:val="both"/>
        <w:rPr>
          <w:rFonts w:ascii="Trebuchet MS" w:hAnsi="Trebuchet MS"/>
          <w:lang w:val="it-IT"/>
        </w:rPr>
      </w:pPr>
      <w:r w:rsidRPr="005D4664">
        <w:rPr>
          <w:rFonts w:ascii="Trebuchet MS" w:hAnsi="Trebuchet MS"/>
          <w:lang w:val="it-IT"/>
        </w:rPr>
        <w:t>X.3.1.  Emisii de gaze cu efect de seră din sectorul rezidenţial .......................</w:t>
      </w:r>
      <w:r w:rsidR="00C86E6B">
        <w:rPr>
          <w:rFonts w:ascii="Trebuchet MS" w:hAnsi="Trebuchet MS"/>
          <w:lang w:val="it-IT"/>
        </w:rPr>
        <w:t xml:space="preserve"> </w:t>
      </w:r>
      <w:r w:rsidR="001F3EED">
        <w:rPr>
          <w:rFonts w:ascii="Trebuchet MS" w:hAnsi="Trebuchet MS"/>
          <w:lang w:val="it-IT"/>
        </w:rPr>
        <w:t>231</w:t>
      </w:r>
    </w:p>
    <w:p w:rsidR="009520AC" w:rsidRPr="005D4664" w:rsidRDefault="009520AC" w:rsidP="009520AC">
      <w:pPr>
        <w:jc w:val="both"/>
        <w:rPr>
          <w:rFonts w:ascii="Trebuchet MS" w:hAnsi="Trebuchet MS"/>
          <w:lang w:val="it-IT"/>
        </w:rPr>
      </w:pPr>
      <w:r w:rsidRPr="005D4664">
        <w:rPr>
          <w:rFonts w:ascii="Trebuchet MS" w:hAnsi="Trebuchet MS"/>
          <w:lang w:val="it-IT"/>
        </w:rPr>
        <w:t>X.3.2. Consumul de energie pe locuitor ..................................................</w:t>
      </w:r>
      <w:r w:rsidR="00C86E6B">
        <w:rPr>
          <w:rFonts w:ascii="Trebuchet MS" w:hAnsi="Trebuchet MS"/>
          <w:lang w:val="it-IT"/>
        </w:rPr>
        <w:t xml:space="preserve">  </w:t>
      </w:r>
      <w:r w:rsidR="001F3EED">
        <w:rPr>
          <w:rFonts w:ascii="Trebuchet MS" w:hAnsi="Trebuchet MS"/>
          <w:lang w:val="it-IT"/>
        </w:rPr>
        <w:t>233</w:t>
      </w:r>
    </w:p>
    <w:p w:rsidR="009520AC" w:rsidRPr="005D4664" w:rsidRDefault="009520AC" w:rsidP="009520AC">
      <w:pPr>
        <w:jc w:val="both"/>
        <w:rPr>
          <w:rFonts w:ascii="Trebuchet MS" w:hAnsi="Trebuchet MS"/>
          <w:lang w:val="it-IT"/>
        </w:rPr>
      </w:pPr>
      <w:r w:rsidRPr="005D4664">
        <w:rPr>
          <w:rFonts w:ascii="Trebuchet MS" w:hAnsi="Trebuchet MS"/>
          <w:lang w:val="it-IT"/>
        </w:rPr>
        <w:t>X.3.3. Utilizarea materialelor .............................................................</w:t>
      </w:r>
      <w:r w:rsidR="00C86E6B">
        <w:rPr>
          <w:rFonts w:ascii="Trebuchet MS" w:hAnsi="Trebuchet MS"/>
          <w:lang w:val="it-IT"/>
        </w:rPr>
        <w:t xml:space="preserve">..  </w:t>
      </w:r>
      <w:r w:rsidR="001F3EED">
        <w:rPr>
          <w:rFonts w:ascii="Trebuchet MS" w:hAnsi="Trebuchet MS"/>
          <w:lang w:val="it-IT"/>
        </w:rPr>
        <w:t>233</w:t>
      </w:r>
    </w:p>
    <w:p w:rsidR="009520AC" w:rsidRPr="005D4664" w:rsidRDefault="009520AC" w:rsidP="009520AC">
      <w:pPr>
        <w:jc w:val="both"/>
        <w:rPr>
          <w:rFonts w:ascii="Trebuchet MS" w:hAnsi="Trebuchet MS"/>
          <w:lang w:val="it-IT"/>
        </w:rPr>
      </w:pPr>
      <w:r w:rsidRPr="005D4664">
        <w:rPr>
          <w:rFonts w:ascii="Trebuchet MS" w:hAnsi="Trebuchet MS"/>
          <w:lang w:val="it-IT"/>
        </w:rPr>
        <w:t>X.4. Prognoze, politici si măsuri privind consumul şi mediul .........................</w:t>
      </w:r>
      <w:r w:rsidR="00C86E6B">
        <w:rPr>
          <w:rFonts w:ascii="Trebuchet MS" w:hAnsi="Trebuchet MS"/>
          <w:lang w:val="it-IT"/>
        </w:rPr>
        <w:t xml:space="preserve">  </w:t>
      </w:r>
      <w:r w:rsidR="001F3EED">
        <w:rPr>
          <w:rFonts w:ascii="Trebuchet MS" w:hAnsi="Trebuchet MS"/>
          <w:lang w:val="it-IT"/>
        </w:rPr>
        <w:t>233</w:t>
      </w:r>
    </w:p>
    <w:p w:rsidR="00AC512C" w:rsidRPr="005D4664" w:rsidRDefault="00AC512C" w:rsidP="00AC512C">
      <w:pPr>
        <w:rPr>
          <w:rFonts w:ascii="Trebuchet MS" w:hAnsi="Trebuchet MS"/>
          <w:lang w:val="it-IT"/>
        </w:rPr>
      </w:pPr>
    </w:p>
    <w:p w:rsidR="00AC512C" w:rsidRPr="005D4664" w:rsidRDefault="00AC512C">
      <w:pPr>
        <w:rPr>
          <w:rFonts w:ascii="Trebuchet MS" w:hAnsi="Trebuchet MS" w:cs="Arial"/>
          <w:b/>
          <w:lang w:val="ro-RO"/>
        </w:rPr>
      </w:pPr>
      <w:r w:rsidRPr="005D4664">
        <w:rPr>
          <w:rFonts w:ascii="Trebuchet MS" w:hAnsi="Trebuchet MS" w:cs="Arial"/>
          <w:b/>
          <w:lang w:val="ro-RO"/>
        </w:rPr>
        <w:br w:type="page"/>
      </w:r>
    </w:p>
    <w:p w:rsidR="00C1586A" w:rsidRDefault="00C1586A">
      <w:pPr>
        <w:rPr>
          <w:rFonts w:ascii="Arial" w:hAnsi="Arial" w:cs="Arial"/>
          <w:b/>
          <w:lang w:val="ro-RO"/>
        </w:rPr>
      </w:pPr>
    </w:p>
    <w:p w:rsidR="00AE762B" w:rsidRPr="008B1509" w:rsidRDefault="00AE762B" w:rsidP="00011B95">
      <w:pPr>
        <w:jc w:val="center"/>
        <w:rPr>
          <w:rFonts w:ascii="Trebuchet MS" w:hAnsi="Trebuchet MS" w:cs="Arial"/>
          <w:b/>
          <w:lang w:val="ro-RO"/>
        </w:rPr>
      </w:pPr>
      <w:r w:rsidRPr="008B1509">
        <w:rPr>
          <w:rFonts w:ascii="Trebuchet MS" w:hAnsi="Trebuchet MS" w:cs="Arial"/>
          <w:b/>
          <w:lang w:val="ro-RO"/>
        </w:rPr>
        <w:t>INTRODUCERE</w:t>
      </w:r>
    </w:p>
    <w:p w:rsidR="00AE762B" w:rsidRPr="008B1509" w:rsidRDefault="00AE762B" w:rsidP="00011B95">
      <w:pPr>
        <w:jc w:val="center"/>
        <w:rPr>
          <w:rFonts w:ascii="Trebuchet MS" w:hAnsi="Trebuchet MS" w:cs="Arial"/>
          <w:b/>
          <w:lang w:val="ro-RO"/>
        </w:rPr>
      </w:pPr>
    </w:p>
    <w:p w:rsidR="00AE762B" w:rsidRPr="008B1509" w:rsidRDefault="00AE762B" w:rsidP="00011B95">
      <w:pPr>
        <w:pStyle w:val="Default"/>
        <w:ind w:firstLine="708"/>
        <w:jc w:val="both"/>
        <w:rPr>
          <w:rFonts w:ascii="Trebuchet MS" w:hAnsi="Trebuchet MS" w:cs="Times New Roman"/>
          <w:sz w:val="28"/>
          <w:szCs w:val="28"/>
        </w:rPr>
      </w:pPr>
    </w:p>
    <w:p w:rsidR="00AE762B" w:rsidRPr="004F0887" w:rsidRDefault="00AE762B" w:rsidP="00011B95">
      <w:pPr>
        <w:pStyle w:val="Default"/>
        <w:ind w:firstLine="708"/>
        <w:jc w:val="both"/>
        <w:rPr>
          <w:rFonts w:ascii="Trebuchet MS" w:hAnsi="Trebuchet MS"/>
          <w:sz w:val="22"/>
          <w:szCs w:val="22"/>
        </w:rPr>
      </w:pPr>
      <w:r w:rsidRPr="004F0887">
        <w:rPr>
          <w:rFonts w:ascii="Trebuchet MS" w:hAnsi="Trebuchet MS"/>
          <w:sz w:val="22"/>
          <w:szCs w:val="22"/>
        </w:rPr>
        <w:t xml:space="preserve">Din cauza presiunilor globale (alimente, locuinţe, transport, combustibil), în ultima perioadă s-a constatat creşterea necesităţii de resurse naturale, ceea ce determină ameninţări la adresa economiei şi coeziunii sociale la nivel european. De asemenea, conexiunile complexe dintre schimbările climatice, biodiversitate, utilizarea resurselor, sănătate şi presiunile din ce în ce mai mari, conduc la creşterea incertitudinii şi a riscurilor asociate cu mediul. Tendinţele negative ale mediului produc daune serioase şi ireversibile ale unor ecosisteme şi ale serviciilor oferite de acestea. De aceea, implementarea politicilor de mediu constituie o prioritate pentru Europa. Cerinţele şi exigenţele existente la nivelul Uniunii Europene impun o nouă abordare a problemelor globale de mediu din punct de vedere al efectelor şi presiunii asupra mediului şi a tuturor consecinţelor dezvoltării socio-economice. </w:t>
      </w:r>
    </w:p>
    <w:p w:rsidR="00AE762B" w:rsidRPr="004F0887" w:rsidRDefault="00AE762B" w:rsidP="00011B95">
      <w:pPr>
        <w:pStyle w:val="Default"/>
        <w:ind w:firstLine="708"/>
        <w:jc w:val="both"/>
        <w:rPr>
          <w:rFonts w:ascii="Trebuchet MS" w:hAnsi="Trebuchet MS"/>
          <w:sz w:val="22"/>
          <w:szCs w:val="22"/>
        </w:rPr>
      </w:pPr>
      <w:r w:rsidRPr="004F0887">
        <w:rPr>
          <w:rFonts w:ascii="Trebuchet MS" w:hAnsi="Trebuchet MS"/>
          <w:sz w:val="22"/>
          <w:szCs w:val="22"/>
        </w:rPr>
        <w:t xml:space="preserve">Până în prezent, Raportul anual privind starea mediului în România a urmărit să prezinte o informare a autorităţilor publice, a factorilor de decizie politică şi economică şi a populaţiei cu privire la evoluţia calităţii factorilor de mediu: starea atmosferei, a apelor si a solurilor, starea pădurilor, a habitatelor naturale, a florei şi faunei sălbatice, starea mediului în aşezările urbane, situaţia poluării sonore, radioactivităţii şi a deşeurilor. În conformitate cu actuala abordare europeană raportul anual privind starea mediului trebuie să se concentreze pe problematica stării mediului, să ofere evaluări despre situaţia actuală a mediului înconjurător, scenarii privind evoluţia sa, precum şi despre acţiunile care se întreprind în ţara noastră şi ceea ce trebuie făcut sau se poate face pentru îmbunătăţirea acestuia, în lumina indicatorilor identificaţi AEM. Acest raport trebuie să descrie modul în care se desfăşoară şi evoluează politicile de mediu, tendinţele în acest domeniu şi prognoza impactului la nivelul României, cât mai apropiat de modelul european. </w:t>
      </w:r>
    </w:p>
    <w:p w:rsidR="00AE762B" w:rsidRPr="004F0887" w:rsidRDefault="00AE762B" w:rsidP="00011B95">
      <w:pPr>
        <w:pStyle w:val="Default"/>
        <w:ind w:firstLine="708"/>
        <w:jc w:val="both"/>
        <w:rPr>
          <w:rFonts w:ascii="Trebuchet MS" w:hAnsi="Trebuchet MS"/>
          <w:sz w:val="22"/>
          <w:szCs w:val="22"/>
        </w:rPr>
      </w:pPr>
      <w:r w:rsidRPr="004F0887">
        <w:rPr>
          <w:rFonts w:ascii="Trebuchet MS" w:hAnsi="Trebuchet MS"/>
          <w:sz w:val="22"/>
          <w:szCs w:val="22"/>
        </w:rPr>
        <w:t xml:space="preserve">Raportarea privind starea mediului este un mod prin care se aduce la cunoştinţa populaţiei, a oamenilor politici, a organizaţiilor neguvernamentale, a industriei şi a tuturor celor interesaţi, informaţii şi evaluări referitoare la starea mediului, la eficienţa măsurilor luate pentru îmbunătăţirea calităţii factorilor de mediu şi la stadiul implementării politicilor în domeniu. Pe de o parte, prin intermediul acestor informaţii, populaţia află care sunt efectele asupra mediului ale acţiunilor ei, iar pe de altă parte, clasa politică află care sunt efectele măsurilor pe care le-a luat şi ce alte acţiuni este nevoie să mai întreprindă pentru îmbunătăţirea stării mediului şi în beneficiul cetăţenilor. Practic, aceste rapoarte facilitează luarea de decizii în domeniul mediului şi contribuie semnificativ la educarea pentru protecţia mediului şi a resurselor naturale. </w:t>
      </w:r>
    </w:p>
    <w:p w:rsidR="00AE762B" w:rsidRPr="004F0887" w:rsidRDefault="00AE762B" w:rsidP="00011B95">
      <w:pPr>
        <w:pStyle w:val="Default"/>
        <w:ind w:firstLine="708"/>
        <w:jc w:val="both"/>
        <w:rPr>
          <w:rFonts w:ascii="Trebuchet MS" w:hAnsi="Trebuchet MS"/>
          <w:sz w:val="22"/>
          <w:szCs w:val="22"/>
          <w:lang w:val="it-IT"/>
        </w:rPr>
      </w:pPr>
      <w:r w:rsidRPr="004F0887">
        <w:rPr>
          <w:rFonts w:ascii="Trebuchet MS" w:hAnsi="Trebuchet MS"/>
          <w:sz w:val="22"/>
          <w:szCs w:val="22"/>
        </w:rPr>
        <w:t xml:space="preserve">Scopul imediat al unui Raport privind Starea Mediului este de a descrie, în special pentru politicieni, tendinţele stării mediului şi problemele potenţiale. De asemenea, un astfel de raport poate, prin prezentarea modificărilor apărute de la un raport la altul, propune revizuirea unor politici sau a unor măsuri noi pentru îmbunătăţirea stării mediului. </w:t>
      </w:r>
      <w:r w:rsidRPr="004F0887">
        <w:rPr>
          <w:rFonts w:ascii="Trebuchet MS" w:hAnsi="Trebuchet MS"/>
          <w:sz w:val="22"/>
          <w:szCs w:val="22"/>
          <w:lang w:val="it-IT"/>
        </w:rPr>
        <w:t xml:space="preserve">Cu alte cuvinte, un raport privind starea mediului este un document în care diferite date separate sunt sintetizate în informaţii relevante şi semnificative, comunicate factorilor de decizie. </w:t>
      </w:r>
    </w:p>
    <w:p w:rsidR="00AE762B" w:rsidRPr="004F0887" w:rsidRDefault="00AE762B" w:rsidP="00011B95">
      <w:pPr>
        <w:pStyle w:val="Default"/>
        <w:ind w:firstLine="708"/>
        <w:jc w:val="both"/>
        <w:rPr>
          <w:rFonts w:ascii="Trebuchet MS" w:hAnsi="Trebuchet MS"/>
          <w:sz w:val="22"/>
          <w:szCs w:val="22"/>
          <w:lang w:val="it-IT"/>
        </w:rPr>
      </w:pPr>
      <w:r w:rsidRPr="004F0887">
        <w:rPr>
          <w:rFonts w:ascii="Trebuchet MS" w:hAnsi="Trebuchet MS"/>
          <w:i/>
          <w:sz w:val="22"/>
          <w:szCs w:val="22"/>
          <w:lang w:val="it-IT"/>
        </w:rPr>
        <w:t>State and Outlook of Environment Report (SOER)</w:t>
      </w:r>
      <w:r w:rsidRPr="004F0887">
        <w:rPr>
          <w:rFonts w:ascii="Trebuchet MS" w:hAnsi="Trebuchet MS"/>
          <w:sz w:val="22"/>
          <w:szCs w:val="22"/>
          <w:lang w:val="it-IT"/>
        </w:rPr>
        <w:t xml:space="preserve"> este documentul cel mai important care prezintă starea mediului la nivel european, utilizând date disponibile la nivel naţional şi analizate la nivel european. De asemenea, prezintă aspecte specifice naţionale de mediu şi măsurile relevante în context european, comparaţii între ţări prin intermediul indicatorilor, nivelul de implementare a politicii de mediu, îmbunătăţirile aduse în beneficiul cetăţenilor în domeniul protecţiei mediului şi al dezvoltării durabile. </w:t>
      </w:r>
    </w:p>
    <w:p w:rsidR="00AE762B" w:rsidRPr="004F0887" w:rsidRDefault="00AE762B" w:rsidP="0087266F">
      <w:pPr>
        <w:autoSpaceDE w:val="0"/>
        <w:autoSpaceDN w:val="0"/>
        <w:adjustRightInd w:val="0"/>
        <w:ind w:firstLine="708"/>
        <w:jc w:val="both"/>
        <w:rPr>
          <w:rFonts w:ascii="Trebuchet MS" w:hAnsi="Trebuchet MS" w:cs="Arial"/>
          <w:sz w:val="22"/>
          <w:szCs w:val="22"/>
          <w:lang w:val="pt-BR"/>
        </w:rPr>
      </w:pPr>
      <w:r w:rsidRPr="004F0887">
        <w:rPr>
          <w:rFonts w:ascii="Trebuchet MS" w:hAnsi="Trebuchet MS" w:cs="Arial"/>
          <w:color w:val="000000"/>
          <w:sz w:val="22"/>
          <w:szCs w:val="22"/>
          <w:lang w:val="it-IT"/>
        </w:rPr>
        <w:t xml:space="preserve">Indicatorii de mediu sunt printre instrumentele cel mai simplu de utilizat în raportările de mediu; indicatorul de mediu este </w:t>
      </w:r>
      <w:r w:rsidRPr="004F0887">
        <w:rPr>
          <w:rFonts w:ascii="Trebuchet MS" w:hAnsi="Trebuchet MS" w:cs="Arial"/>
          <w:sz w:val="22"/>
          <w:szCs w:val="22"/>
          <w:lang w:val="it-IT"/>
        </w:rPr>
        <w:t xml:space="preserve">o măsură, în general cantitativă, care poate fi utilizată pentru a ilustra şi comunica fenomene de mediu complexe, inclusiv tendinţe şi evoluţie în timp, producând o imagine a stării mediului. </w:t>
      </w:r>
      <w:r w:rsidRPr="004F0887">
        <w:rPr>
          <w:rFonts w:ascii="Trebuchet MS" w:hAnsi="Trebuchet MS" w:cs="Arial"/>
          <w:sz w:val="22"/>
          <w:szCs w:val="22"/>
          <w:lang w:val="pt-BR"/>
        </w:rPr>
        <w:t>Indicatorii de mediu sunt cele mai eficiente instrumente pentru raportarea de mediu, care s ebazează pe date selectate şi prezentate în mod agregat, legate de obiectivele de mediu. Indicatorii care se bazează pe serii de date suficient de mari, pot determina tendinţe ale unui fenomen.</w:t>
      </w:r>
    </w:p>
    <w:p w:rsidR="00AE762B" w:rsidRPr="004F0887" w:rsidRDefault="00AE762B" w:rsidP="0087266F">
      <w:pPr>
        <w:autoSpaceDE w:val="0"/>
        <w:autoSpaceDN w:val="0"/>
        <w:adjustRightInd w:val="0"/>
        <w:ind w:firstLine="708"/>
        <w:jc w:val="both"/>
        <w:rPr>
          <w:rFonts w:ascii="Trebuchet MS" w:hAnsi="Trebuchet MS" w:cs="Arial"/>
          <w:sz w:val="22"/>
          <w:szCs w:val="22"/>
          <w:lang w:val="pt-BR"/>
        </w:rPr>
      </w:pPr>
      <w:r w:rsidRPr="004F0887">
        <w:rPr>
          <w:rFonts w:ascii="Trebuchet MS" w:hAnsi="Trebuchet MS" w:cs="Arial"/>
          <w:sz w:val="22"/>
          <w:szCs w:val="22"/>
          <w:lang w:val="pt-BR"/>
        </w:rPr>
        <w:t>Agenţia Europeană de Mediu a stabilit în 2004 un set de bază (Core Set Indicators – CSI) de 37 de indicatori. Pentru elaborarea Raportului privind Starea Mediului în România acest set de indicatori a fost preluat şi adaptat pentru România. În vederea caracterizării cât mai corecte a domeniilor tematice, pe lângă cei 37 de indicatori au fost selectaţi alţi 34 de indicatori specifici, tot din rândul indicatorilor europeni ai AEM, rezultând în total 71 de indicatori utilizaţi</w:t>
      </w:r>
      <w:r w:rsidRPr="004F0887">
        <w:rPr>
          <w:rFonts w:ascii="Trebuchet MS" w:hAnsi="Trebuchet MS"/>
          <w:sz w:val="22"/>
          <w:szCs w:val="22"/>
          <w:lang w:val="pt-BR"/>
        </w:rPr>
        <w:t xml:space="preserve">. </w:t>
      </w:r>
      <w:r w:rsidRPr="004F0887">
        <w:rPr>
          <w:rFonts w:ascii="Trebuchet MS" w:hAnsi="Trebuchet MS" w:cs="Arial"/>
          <w:sz w:val="22"/>
          <w:szCs w:val="22"/>
          <w:lang w:val="pt-BR"/>
        </w:rPr>
        <w:t>Cei 37 de indicatori CSI acoperă următoarele domenii: poluarea aerului, biodiversitate, schimbări climatic, teren şi sol, deşeuri, apă, agricultura, energia, piscicultura şi transporturi, iar cei 34 indicatori specifici selectaţi fac referire la următoarele domenii: poluarea aerului, biodiversitate, schimbări climatic, deşeuri, apă, transporturi şi consum şi producţie durabile.</w:t>
      </w:r>
    </w:p>
    <w:p w:rsidR="00AE762B" w:rsidRPr="004F0887" w:rsidRDefault="00AE762B" w:rsidP="0087266F">
      <w:pPr>
        <w:autoSpaceDE w:val="0"/>
        <w:autoSpaceDN w:val="0"/>
        <w:adjustRightInd w:val="0"/>
        <w:ind w:firstLine="708"/>
        <w:jc w:val="both"/>
        <w:rPr>
          <w:rFonts w:ascii="Trebuchet MS" w:hAnsi="Trebuchet MS" w:cs="Arial"/>
          <w:sz w:val="22"/>
          <w:szCs w:val="22"/>
          <w:lang w:val="pt-BR"/>
        </w:rPr>
      </w:pPr>
    </w:p>
    <w:p w:rsidR="00AE762B" w:rsidRPr="004F0887" w:rsidRDefault="00AE762B" w:rsidP="0087266F">
      <w:pPr>
        <w:autoSpaceDE w:val="0"/>
        <w:autoSpaceDN w:val="0"/>
        <w:adjustRightInd w:val="0"/>
        <w:ind w:firstLine="708"/>
        <w:rPr>
          <w:rFonts w:ascii="Trebuchet MS" w:hAnsi="Trebuchet MS" w:cs="Arial"/>
          <w:sz w:val="22"/>
          <w:szCs w:val="22"/>
          <w:lang w:val="pt-BR"/>
        </w:rPr>
      </w:pPr>
    </w:p>
    <w:p w:rsidR="00AE762B" w:rsidRPr="004F0887" w:rsidRDefault="00AE762B" w:rsidP="0087266F">
      <w:pPr>
        <w:autoSpaceDE w:val="0"/>
        <w:autoSpaceDN w:val="0"/>
        <w:adjustRightInd w:val="0"/>
        <w:ind w:firstLine="708"/>
        <w:rPr>
          <w:rFonts w:ascii="Trebuchet MS" w:hAnsi="Trebuchet MS" w:cs="Arial"/>
          <w:sz w:val="22"/>
          <w:szCs w:val="22"/>
          <w:lang w:val="pt-BR"/>
        </w:rPr>
      </w:pPr>
    </w:p>
    <w:p w:rsidR="00AE762B" w:rsidRPr="004F0887" w:rsidRDefault="00AE762B" w:rsidP="0087266F">
      <w:pPr>
        <w:autoSpaceDE w:val="0"/>
        <w:autoSpaceDN w:val="0"/>
        <w:adjustRightInd w:val="0"/>
        <w:rPr>
          <w:rFonts w:ascii="Trebuchet MS" w:hAnsi="Trebuchet MS" w:cs="Arial"/>
          <w:sz w:val="22"/>
          <w:szCs w:val="22"/>
          <w:lang w:val="pt-BR"/>
        </w:rPr>
      </w:pPr>
    </w:p>
    <w:p w:rsidR="00AE762B" w:rsidRPr="004F0887" w:rsidRDefault="00AE762B" w:rsidP="0087266F">
      <w:pPr>
        <w:pStyle w:val="Default"/>
        <w:rPr>
          <w:rFonts w:ascii="Trebuchet MS" w:hAnsi="Trebuchet MS"/>
          <w:sz w:val="22"/>
          <w:szCs w:val="22"/>
          <w:lang w:val="pt-BR"/>
        </w:rPr>
      </w:pPr>
    </w:p>
    <w:p w:rsidR="00AE762B" w:rsidRPr="004F0887" w:rsidRDefault="00AE762B" w:rsidP="0087266F">
      <w:pPr>
        <w:pStyle w:val="Default"/>
        <w:rPr>
          <w:rFonts w:ascii="Trebuchet MS" w:hAnsi="Trebuchet MS"/>
          <w:color w:val="auto"/>
          <w:sz w:val="22"/>
          <w:szCs w:val="22"/>
          <w:lang w:val="pt-BR"/>
        </w:rPr>
      </w:pPr>
    </w:p>
    <w:p w:rsidR="00AE762B" w:rsidRPr="004F0887" w:rsidRDefault="00AE762B" w:rsidP="00011B95">
      <w:pPr>
        <w:pStyle w:val="Default"/>
        <w:ind w:firstLine="708"/>
        <w:jc w:val="both"/>
        <w:rPr>
          <w:rFonts w:ascii="Trebuchet MS" w:hAnsi="Trebuchet MS"/>
          <w:sz w:val="22"/>
          <w:szCs w:val="22"/>
          <w:lang w:val="pt-BR"/>
        </w:rPr>
      </w:pPr>
    </w:p>
    <w:p w:rsidR="00AE762B" w:rsidRPr="008B1509" w:rsidRDefault="00AE762B" w:rsidP="007C4182">
      <w:pPr>
        <w:jc w:val="center"/>
        <w:rPr>
          <w:rFonts w:ascii="Trebuchet MS" w:hAnsi="Trebuchet MS" w:cs="Arial"/>
          <w:b/>
          <w:lang w:val="ro-RO"/>
        </w:rPr>
      </w:pPr>
      <w:r w:rsidRPr="004F0887">
        <w:rPr>
          <w:rFonts w:ascii="Trebuchet MS" w:hAnsi="Trebuchet MS" w:cs="Arial"/>
          <w:b/>
          <w:sz w:val="22"/>
          <w:szCs w:val="22"/>
          <w:lang w:val="ro-RO"/>
        </w:rPr>
        <w:br w:type="page"/>
      </w:r>
      <w:r w:rsidRPr="008B1509">
        <w:rPr>
          <w:rFonts w:ascii="Trebuchet MS" w:hAnsi="Trebuchet MS" w:cs="Arial"/>
          <w:b/>
          <w:lang w:val="ro-RO"/>
        </w:rPr>
        <w:t>CAPITOLUL I</w:t>
      </w:r>
    </w:p>
    <w:p w:rsidR="00AE762B" w:rsidRPr="008B1509" w:rsidRDefault="00AE762B" w:rsidP="00B63600">
      <w:pPr>
        <w:tabs>
          <w:tab w:val="left" w:leader="dot" w:pos="9356"/>
        </w:tabs>
        <w:jc w:val="center"/>
        <w:rPr>
          <w:rFonts w:ascii="Trebuchet MS" w:hAnsi="Trebuchet MS" w:cs="Arial"/>
          <w:b/>
          <w:lang w:val="ro-RO"/>
        </w:rPr>
      </w:pPr>
      <w:r w:rsidRPr="008B1509">
        <w:rPr>
          <w:rFonts w:ascii="Trebuchet MS" w:hAnsi="Trebuchet MS" w:cs="Arial"/>
          <w:b/>
          <w:lang w:val="ro-RO"/>
        </w:rPr>
        <w:t>CALITATEA ŞI POLUAREA AERULUI ÎNCONJURĂTOR</w:t>
      </w:r>
    </w:p>
    <w:p w:rsidR="00AE762B" w:rsidRPr="008B1509" w:rsidRDefault="00AE762B" w:rsidP="00B63600">
      <w:pPr>
        <w:tabs>
          <w:tab w:val="left" w:leader="dot" w:pos="9356"/>
        </w:tabs>
        <w:jc w:val="center"/>
        <w:rPr>
          <w:rFonts w:ascii="Trebuchet MS" w:hAnsi="Trebuchet MS" w:cs="Arial"/>
          <w:lang w:val="ro-RO"/>
        </w:rPr>
      </w:pPr>
    </w:p>
    <w:p w:rsidR="00AE762B" w:rsidRPr="004F0887" w:rsidRDefault="00AE762B" w:rsidP="00B63600">
      <w:pPr>
        <w:tabs>
          <w:tab w:val="left" w:leader="dot" w:pos="9356"/>
        </w:tabs>
        <w:jc w:val="both"/>
        <w:rPr>
          <w:rFonts w:ascii="Trebuchet MS" w:hAnsi="Trebuchet MS" w:cs="Arial"/>
          <w:sz w:val="22"/>
          <w:szCs w:val="22"/>
          <w:lang w:val="ro-RO"/>
        </w:rPr>
      </w:pPr>
      <w:r w:rsidRPr="004F0887">
        <w:rPr>
          <w:rFonts w:ascii="Trebuchet MS" w:hAnsi="Trebuchet MS" w:cs="Arial"/>
          <w:sz w:val="22"/>
          <w:szCs w:val="22"/>
          <w:lang w:val="ro-RO"/>
        </w:rPr>
        <w:t>Informaţiile prezentate în acest capitol provin în totalitate din sistemul de monitorizare a calităţii aerului şi din inventarul de emisii atmosferice întocmit de APM Bucureşti</w:t>
      </w:r>
    </w:p>
    <w:p w:rsidR="00AE762B" w:rsidRPr="004F0887" w:rsidRDefault="00AE762B" w:rsidP="00B63600">
      <w:pPr>
        <w:tabs>
          <w:tab w:val="left" w:leader="dot" w:pos="9356"/>
        </w:tabs>
        <w:jc w:val="both"/>
        <w:rPr>
          <w:rFonts w:ascii="Trebuchet MS" w:hAnsi="Trebuchet MS" w:cs="Arial"/>
          <w:sz w:val="22"/>
          <w:szCs w:val="22"/>
          <w:lang w:val="ro-RO"/>
        </w:rPr>
      </w:pPr>
    </w:p>
    <w:p w:rsidR="00953D2C" w:rsidRPr="004F0887" w:rsidRDefault="00953D2C" w:rsidP="00622C66">
      <w:pPr>
        <w:tabs>
          <w:tab w:val="left" w:leader="dot" w:pos="9356"/>
        </w:tabs>
        <w:jc w:val="both"/>
        <w:rPr>
          <w:rFonts w:ascii="Trebuchet MS" w:hAnsi="Trebuchet MS" w:cs="Arial"/>
          <w:b/>
          <w:bCs/>
          <w:sz w:val="22"/>
          <w:szCs w:val="22"/>
          <w:lang w:val="ro-RO"/>
        </w:rPr>
      </w:pPr>
      <w:r w:rsidRPr="004F0887">
        <w:rPr>
          <w:rFonts w:ascii="Trebuchet MS" w:hAnsi="Trebuchet MS" w:cs="Arial"/>
          <w:b/>
          <w:bCs/>
          <w:sz w:val="22"/>
          <w:szCs w:val="22"/>
          <w:lang w:val="it-IT"/>
        </w:rPr>
        <w:t>I.1 Calitatea aerului înconjurător: stare şi consecinţe</w:t>
      </w:r>
      <w:r w:rsidR="00AE762B" w:rsidRPr="004F0887">
        <w:rPr>
          <w:rFonts w:ascii="Trebuchet MS" w:hAnsi="Trebuchet MS" w:cs="Arial"/>
          <w:b/>
          <w:bCs/>
          <w:sz w:val="22"/>
          <w:szCs w:val="22"/>
          <w:lang w:val="ro-RO"/>
        </w:rPr>
        <w:t xml:space="preserve">      </w:t>
      </w:r>
    </w:p>
    <w:p w:rsidR="00AE762B" w:rsidRPr="004F0887" w:rsidRDefault="00AE762B" w:rsidP="00622C66">
      <w:pPr>
        <w:tabs>
          <w:tab w:val="left" w:leader="dot" w:pos="9356"/>
        </w:tabs>
        <w:jc w:val="both"/>
        <w:rPr>
          <w:rFonts w:ascii="Trebuchet MS" w:hAnsi="Trebuchet MS" w:cs="Arial"/>
          <w:b/>
          <w:sz w:val="22"/>
          <w:szCs w:val="22"/>
          <w:lang w:val="ro-RO"/>
        </w:rPr>
      </w:pPr>
      <w:r w:rsidRPr="004F0887">
        <w:rPr>
          <w:rFonts w:ascii="Trebuchet MS" w:hAnsi="Trebuchet MS" w:cs="Arial"/>
          <w:b/>
          <w:sz w:val="22"/>
          <w:szCs w:val="22"/>
          <w:lang w:val="ro-RO"/>
        </w:rPr>
        <w:t>I.1</w:t>
      </w:r>
      <w:r w:rsidR="00953D2C" w:rsidRPr="004F0887">
        <w:rPr>
          <w:rFonts w:ascii="Trebuchet MS" w:hAnsi="Trebuchet MS" w:cs="Arial"/>
          <w:b/>
          <w:sz w:val="22"/>
          <w:szCs w:val="22"/>
          <w:lang w:val="ro-RO"/>
        </w:rPr>
        <w:t>.1</w:t>
      </w:r>
      <w:r w:rsidRPr="004F0887">
        <w:rPr>
          <w:rFonts w:ascii="Trebuchet MS" w:hAnsi="Trebuchet MS" w:cs="Arial"/>
          <w:b/>
          <w:sz w:val="22"/>
          <w:szCs w:val="22"/>
          <w:lang w:val="ro-RO"/>
        </w:rPr>
        <w:t xml:space="preserve"> Starea de calitate a aerului înconjurător</w:t>
      </w:r>
    </w:p>
    <w:p w:rsidR="00AE762B" w:rsidRPr="004F0887" w:rsidRDefault="00AE762B" w:rsidP="00622C66">
      <w:pPr>
        <w:tabs>
          <w:tab w:val="left" w:leader="dot" w:pos="9356"/>
        </w:tabs>
        <w:jc w:val="both"/>
        <w:rPr>
          <w:rFonts w:ascii="Trebuchet MS" w:hAnsi="Trebuchet MS" w:cs="Arial"/>
          <w:b/>
          <w:sz w:val="22"/>
          <w:szCs w:val="22"/>
          <w:lang w:val="ro-RO"/>
        </w:rPr>
      </w:pPr>
    </w:p>
    <w:p w:rsidR="00AE762B" w:rsidRPr="004F0887" w:rsidRDefault="00AE762B" w:rsidP="00B63600">
      <w:pPr>
        <w:pStyle w:val="Arial10justify"/>
        <w:ind w:firstLine="720"/>
        <w:rPr>
          <w:rFonts w:ascii="Trebuchet MS" w:hAnsi="Trebuchet MS"/>
          <w:i w:val="0"/>
          <w:sz w:val="22"/>
          <w:szCs w:val="22"/>
        </w:rPr>
      </w:pPr>
      <w:r w:rsidRPr="004F0887">
        <w:rPr>
          <w:rFonts w:ascii="Trebuchet MS" w:hAnsi="Trebuchet MS"/>
          <w:i w:val="0"/>
          <w:sz w:val="22"/>
          <w:szCs w:val="22"/>
        </w:rPr>
        <w:t>Poluarea aerului în regiunea Bucureşti are un caracter specific, datorită în primul rând condiţiilor de emisie, respectiv existenţei unor surse multiple, înălţimi diferite ale surselor de poluare, precum şi o repartiţie neuniformă a acestor surse, dispersate însă pe întreg teritoriul , şi mai ales in municipiul Bucureşti.</w:t>
      </w:r>
    </w:p>
    <w:p w:rsidR="00AE762B" w:rsidRPr="004F0887" w:rsidRDefault="00AE762B" w:rsidP="00B63600">
      <w:pPr>
        <w:pStyle w:val="Arial10justify"/>
        <w:rPr>
          <w:rFonts w:ascii="Trebuchet MS" w:hAnsi="Trebuchet MS"/>
          <w:i w:val="0"/>
          <w:sz w:val="22"/>
          <w:szCs w:val="22"/>
        </w:rPr>
      </w:pP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SURSE DE POLUARE A AERULUI</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Sursele de poluare a aerului se pot clasifica astfel:</w:t>
      </w:r>
    </w:p>
    <w:p w:rsidR="00AE762B" w:rsidRPr="004F0887" w:rsidRDefault="00AE762B" w:rsidP="00B63600">
      <w:pPr>
        <w:pStyle w:val="Arial10justify"/>
        <w:rPr>
          <w:rFonts w:ascii="Trebuchet MS" w:hAnsi="Trebuchet MS"/>
          <w:i w:val="0"/>
          <w:sz w:val="22"/>
          <w:szCs w:val="22"/>
        </w:rPr>
      </w:pPr>
      <w:r w:rsidRPr="004F0887">
        <w:rPr>
          <w:rFonts w:ascii="Trebuchet MS" w:hAnsi="Trebuchet MS"/>
          <w:b/>
          <w:i w:val="0"/>
          <w:sz w:val="22"/>
          <w:szCs w:val="22"/>
        </w:rPr>
        <w:t>- surse fixe</w:t>
      </w:r>
      <w:r w:rsidRPr="004F0887">
        <w:rPr>
          <w:rFonts w:ascii="Trebuchet MS" w:hAnsi="Trebuchet MS"/>
          <w:i w:val="0"/>
          <w:sz w:val="22"/>
          <w:szCs w:val="22"/>
        </w:rPr>
        <w:t>: sunt sursele industriale, de obicei concentrate pe mari platforme industriale, dar şi intercalate cu zone de locuit intens populate (cu dezvoltări preponderent pe verticală) . Gama substanţelor evacuate în mediu din procesele tehnologice este foarte variată : pulberi organice şi anorganice care au şi conţinut de metale (Pb, Zn, Al, Fe, Cu, Cr, Ni, Cd), gaze şi vapori (SO2, NOx, NH3, HCL, CO, CO2), solvenţi organici, funingine etc; În categoria surselor fixe intră şi centralele electrotermice, surse importante prin cantităţile de poluanţi emişi dar care sunt însă favorizate de dispersia ce se realizează la înălţime mare.</w:t>
      </w:r>
    </w:p>
    <w:p w:rsidR="00AE762B" w:rsidRPr="004F0887" w:rsidRDefault="00AE762B" w:rsidP="00B63600">
      <w:pPr>
        <w:pStyle w:val="Arial10justify"/>
        <w:rPr>
          <w:rFonts w:ascii="Trebuchet MS" w:hAnsi="Trebuchet MS"/>
          <w:i w:val="0"/>
          <w:sz w:val="22"/>
          <w:szCs w:val="22"/>
        </w:rPr>
      </w:pPr>
      <w:r w:rsidRPr="004F0887">
        <w:rPr>
          <w:rFonts w:ascii="Trebuchet MS" w:hAnsi="Trebuchet MS"/>
          <w:b/>
          <w:i w:val="0"/>
          <w:sz w:val="22"/>
          <w:szCs w:val="22"/>
        </w:rPr>
        <w:t>- surse mobile</w:t>
      </w:r>
      <w:r w:rsidRPr="004F0887">
        <w:rPr>
          <w:rFonts w:ascii="Trebuchet MS" w:hAnsi="Trebuchet MS"/>
          <w:i w:val="0"/>
          <w:sz w:val="22"/>
          <w:szCs w:val="22"/>
        </w:rPr>
        <w:t xml:space="preserve"> – în Municipiul Bucureşti sursa cea mai importantă de poluare o constituie traficul auto. Sunt emise atât gaze anorganice (oxizi de azot, dioxid de sulf, oxid de carbon) cât şi compuşi organici volatili (benzen) sau pulberi PM10, PM2.5 cu conţinut de metale. Impactul cel mai mare apare în zonele construite şi cu artere de trafic supraaglomerate, unde dispersia  poluanţilor este dificil de realizat. Concentraţiile poluanţilor atmosferici sunt mai crescute în zonele  cu artere de trafic străjuite de clădiri înalte sub formă compactă, care împiedică dispersia. La depărtare de arterele de trafic intens, poluarea aerului scade rapid şi este destul de rar semnalată în zonele suburbane sau rurale. </w:t>
      </w:r>
    </w:p>
    <w:p w:rsidR="00AE762B" w:rsidRPr="004F0887" w:rsidRDefault="00AE762B" w:rsidP="00B63600">
      <w:pPr>
        <w:pStyle w:val="Arial10justify"/>
        <w:rPr>
          <w:rFonts w:ascii="Trebuchet MS" w:hAnsi="Trebuchet MS"/>
          <w:i w:val="0"/>
          <w:sz w:val="22"/>
          <w:szCs w:val="22"/>
        </w:rPr>
      </w:pPr>
      <w:r w:rsidRPr="004F0887">
        <w:rPr>
          <w:rFonts w:ascii="Trebuchet MS" w:hAnsi="Trebuchet MS"/>
          <w:b/>
          <w:i w:val="0"/>
          <w:sz w:val="22"/>
          <w:szCs w:val="22"/>
        </w:rPr>
        <w:t>- surse de suprafaţă</w:t>
      </w:r>
      <w:r w:rsidRPr="004F0887">
        <w:rPr>
          <w:rFonts w:ascii="Trebuchet MS" w:hAnsi="Trebuchet MS"/>
          <w:i w:val="0"/>
          <w:sz w:val="22"/>
          <w:szCs w:val="22"/>
        </w:rPr>
        <w:t>:</w:t>
      </w:r>
      <w:r w:rsidRPr="004F0887">
        <w:rPr>
          <w:rFonts w:ascii="Trebuchet MS" w:hAnsi="Trebuchet MS"/>
          <w:b/>
          <w:i w:val="0"/>
          <w:sz w:val="22"/>
          <w:szCs w:val="22"/>
        </w:rPr>
        <w:t xml:space="preserve"> </w:t>
      </w:r>
      <w:r w:rsidRPr="004F0887">
        <w:rPr>
          <w:rFonts w:ascii="Trebuchet MS" w:hAnsi="Trebuchet MS"/>
          <w:i w:val="0"/>
          <w:sz w:val="22"/>
          <w:szCs w:val="22"/>
        </w:rPr>
        <w:t>în categoria surselor de suprafaţă intră în special încălzirea rezidenţială, dar şi alte surse difuze de combustie care sunt lipsite de avantajul relativ al dispersiei prin coşuri înalte.</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O categorie specială o constituie şantierele de construcţii, surse care pot fi încadrate, în funcţie de obiectiv,  atât la sursele fixe (pentru construcţii de clădiri) cât şi la sursele de suprafaţă (pentru reparaţiile, modernizările arterelor rutiere). Aceste surse, dacă nu sunt organizate corespunzător, aduc o contribuţie majoră la poluarea cu pulberi.</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La începutul anului 2004 în cadrul unui program PHARE 2000 a fost pusă în funcţiune reţeaua automată de monitorizare a calităţii aerului. </w:t>
      </w:r>
      <w:r w:rsidR="00045FBC" w:rsidRPr="004F0887">
        <w:rPr>
          <w:rFonts w:ascii="Trebuchet MS" w:hAnsi="Trebuchet MS"/>
          <w:i w:val="0"/>
          <w:sz w:val="22"/>
          <w:szCs w:val="22"/>
        </w:rPr>
        <w:t>Din luna iulie 2016, toate echipamentele automate de monitorizare au fost inlocuite de Ministerul mediului, proprietarul echipamentelor.</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Datele referitoare la calitatea aerului în regiunea  Bucureşti Ilfov (poluanţii măsuraţi fiind: SO</w:t>
      </w:r>
      <w:r w:rsidRPr="004F0887">
        <w:rPr>
          <w:rFonts w:ascii="Trebuchet MS" w:hAnsi="Trebuchet MS"/>
          <w:i w:val="0"/>
          <w:sz w:val="22"/>
          <w:szCs w:val="22"/>
          <w:vertAlign w:val="subscript"/>
        </w:rPr>
        <w:t>2</w:t>
      </w:r>
      <w:r w:rsidRPr="004F0887">
        <w:rPr>
          <w:rFonts w:ascii="Trebuchet MS" w:hAnsi="Trebuchet MS"/>
          <w:i w:val="0"/>
          <w:sz w:val="22"/>
          <w:szCs w:val="22"/>
        </w:rPr>
        <w:t>, NO</w:t>
      </w:r>
      <w:r w:rsidRPr="004F0887">
        <w:rPr>
          <w:rFonts w:ascii="Trebuchet MS" w:hAnsi="Trebuchet MS"/>
          <w:i w:val="0"/>
          <w:sz w:val="22"/>
          <w:szCs w:val="22"/>
          <w:vertAlign w:val="subscript"/>
        </w:rPr>
        <w:t>x</w:t>
      </w:r>
      <w:r w:rsidRPr="004F0887">
        <w:rPr>
          <w:rFonts w:ascii="Trebuchet MS" w:hAnsi="Trebuchet MS"/>
          <w:i w:val="0"/>
          <w:sz w:val="22"/>
          <w:szCs w:val="22"/>
        </w:rPr>
        <w:t>, CO, O</w:t>
      </w:r>
      <w:r w:rsidRPr="004F0887">
        <w:rPr>
          <w:rFonts w:ascii="Trebuchet MS" w:hAnsi="Trebuchet MS"/>
          <w:i w:val="0"/>
          <w:sz w:val="22"/>
          <w:szCs w:val="22"/>
          <w:vertAlign w:val="subscript"/>
        </w:rPr>
        <w:t>3</w:t>
      </w:r>
      <w:r w:rsidRPr="004F0887">
        <w:rPr>
          <w:rFonts w:ascii="Trebuchet MS" w:hAnsi="Trebuchet MS"/>
          <w:i w:val="0"/>
          <w:sz w:val="22"/>
          <w:szCs w:val="22"/>
        </w:rPr>
        <w:t>, PM</w:t>
      </w:r>
      <w:r w:rsidRPr="004F0887">
        <w:rPr>
          <w:rFonts w:ascii="Trebuchet MS" w:hAnsi="Trebuchet MS"/>
          <w:i w:val="0"/>
          <w:sz w:val="22"/>
          <w:szCs w:val="22"/>
          <w:vertAlign w:val="subscript"/>
        </w:rPr>
        <w:t>10</w:t>
      </w:r>
      <w:r w:rsidRPr="004F0887">
        <w:rPr>
          <w:rFonts w:ascii="Trebuchet MS" w:hAnsi="Trebuchet MS"/>
          <w:i w:val="0"/>
          <w:sz w:val="22"/>
          <w:szCs w:val="22"/>
        </w:rPr>
        <w:t>, PM</w:t>
      </w:r>
      <w:r w:rsidRPr="004F0887">
        <w:rPr>
          <w:rFonts w:ascii="Trebuchet MS" w:hAnsi="Trebuchet MS"/>
          <w:i w:val="0"/>
          <w:sz w:val="22"/>
          <w:szCs w:val="22"/>
          <w:vertAlign w:val="subscript"/>
        </w:rPr>
        <w:t>2,5</w:t>
      </w:r>
      <w:r w:rsidRPr="004F0887">
        <w:rPr>
          <w:rFonts w:ascii="Trebuchet MS" w:hAnsi="Trebuchet MS"/>
          <w:i w:val="0"/>
          <w:sz w:val="22"/>
          <w:szCs w:val="22"/>
        </w:rPr>
        <w:t xml:space="preserve">, plumb, cadmiu, nichel) sunt furnizate în timp real – inclusiv publicului – şi  provin de la cele </w:t>
      </w:r>
      <w:r w:rsidR="007E59B7" w:rsidRPr="004F0887">
        <w:rPr>
          <w:rFonts w:ascii="Trebuchet MS" w:hAnsi="Trebuchet MS"/>
          <w:i w:val="0"/>
          <w:sz w:val="22"/>
          <w:szCs w:val="22"/>
        </w:rPr>
        <w:t>11</w:t>
      </w:r>
      <w:r w:rsidRPr="004F0887">
        <w:rPr>
          <w:rFonts w:ascii="Trebuchet MS" w:hAnsi="Trebuchet MS"/>
          <w:i w:val="0"/>
          <w:sz w:val="22"/>
          <w:szCs w:val="22"/>
        </w:rPr>
        <w:t xml:space="preserve"> staţii automate, repartizate astfel : </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 staţie de fond regional – Baloteşti- cod statie B8;</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 staţie de fond suburban – Măgurele - cod statie B7;</w:t>
      </w:r>
    </w:p>
    <w:p w:rsidR="00AE762B" w:rsidRPr="004F0887" w:rsidRDefault="007E59B7" w:rsidP="00B63600">
      <w:pPr>
        <w:pStyle w:val="Arial10justify"/>
        <w:rPr>
          <w:rFonts w:ascii="Trebuchet MS" w:hAnsi="Trebuchet MS"/>
          <w:i w:val="0"/>
          <w:sz w:val="22"/>
          <w:szCs w:val="22"/>
        </w:rPr>
      </w:pPr>
      <w:r w:rsidRPr="004F0887">
        <w:rPr>
          <w:rFonts w:ascii="Trebuchet MS" w:hAnsi="Trebuchet MS"/>
          <w:i w:val="0"/>
          <w:sz w:val="22"/>
          <w:szCs w:val="22"/>
        </w:rPr>
        <w:t xml:space="preserve">   - staţii</w:t>
      </w:r>
      <w:r w:rsidR="00AE762B" w:rsidRPr="004F0887">
        <w:rPr>
          <w:rFonts w:ascii="Trebuchet MS" w:hAnsi="Trebuchet MS"/>
          <w:i w:val="0"/>
          <w:sz w:val="22"/>
          <w:szCs w:val="22"/>
        </w:rPr>
        <w:t xml:space="preserve"> de fond urban – Lacul Morii- cod statie B1 (</w:t>
      </w:r>
      <w:r w:rsidRPr="004F0887">
        <w:rPr>
          <w:rFonts w:ascii="Trebuchet MS" w:hAnsi="Trebuchet MS"/>
          <w:i w:val="0"/>
          <w:sz w:val="22"/>
          <w:szCs w:val="22"/>
        </w:rPr>
        <w:t xml:space="preserve">sediu </w:t>
      </w:r>
      <w:r w:rsidR="00AE762B" w:rsidRPr="004F0887">
        <w:rPr>
          <w:rFonts w:ascii="Trebuchet MS" w:hAnsi="Trebuchet MS"/>
          <w:i w:val="0"/>
          <w:sz w:val="22"/>
          <w:szCs w:val="22"/>
        </w:rPr>
        <w:t>APM Bucureşti);</w:t>
      </w:r>
      <w:r w:rsidRPr="004F0887">
        <w:rPr>
          <w:rFonts w:ascii="Trebuchet MS" w:hAnsi="Trebuchet MS"/>
          <w:i w:val="0"/>
          <w:sz w:val="22"/>
          <w:szCs w:val="22"/>
        </w:rPr>
        <w:t xml:space="preserve"> Bucurestii Noi- cod stație B-9, Chiajna- cod statie B10</w:t>
      </w:r>
    </w:p>
    <w:p w:rsidR="00AE762B" w:rsidRPr="004F0887" w:rsidRDefault="007E59B7" w:rsidP="00B63600">
      <w:pPr>
        <w:pStyle w:val="Arial10justify"/>
        <w:rPr>
          <w:rFonts w:ascii="Trebuchet MS" w:hAnsi="Trebuchet MS"/>
          <w:i w:val="0"/>
          <w:sz w:val="22"/>
          <w:szCs w:val="22"/>
        </w:rPr>
      </w:pPr>
      <w:r w:rsidRPr="004F0887">
        <w:rPr>
          <w:rFonts w:ascii="Trebuchet MS" w:hAnsi="Trebuchet MS"/>
          <w:i w:val="0"/>
          <w:sz w:val="22"/>
          <w:szCs w:val="22"/>
        </w:rPr>
        <w:t xml:space="preserve">   - 3</w:t>
      </w:r>
      <w:r w:rsidR="00AE762B" w:rsidRPr="004F0887">
        <w:rPr>
          <w:rFonts w:ascii="Trebuchet MS" w:hAnsi="Trebuchet MS"/>
          <w:i w:val="0"/>
          <w:sz w:val="22"/>
          <w:szCs w:val="22"/>
        </w:rPr>
        <w:t xml:space="preserve"> staţii de trafic – Sos. Mihai Bravu- cod statie B3 </w:t>
      </w:r>
      <w:r w:rsidRPr="004F0887">
        <w:rPr>
          <w:rFonts w:ascii="Trebuchet MS" w:hAnsi="Trebuchet MS"/>
          <w:i w:val="0"/>
          <w:sz w:val="22"/>
          <w:szCs w:val="22"/>
        </w:rPr>
        <w:t xml:space="preserve">, </w:t>
      </w:r>
      <w:r w:rsidR="00AE762B" w:rsidRPr="004F0887">
        <w:rPr>
          <w:rFonts w:ascii="Trebuchet MS" w:hAnsi="Trebuchet MS"/>
          <w:i w:val="0"/>
          <w:sz w:val="22"/>
          <w:szCs w:val="22"/>
        </w:rPr>
        <w:t>Cercul Militar Naţional - cod statie B6</w:t>
      </w:r>
      <w:r w:rsidRPr="004F0887">
        <w:rPr>
          <w:rFonts w:ascii="Trebuchet MS" w:hAnsi="Trebuchet MS"/>
          <w:i w:val="0"/>
          <w:sz w:val="22"/>
          <w:szCs w:val="22"/>
        </w:rPr>
        <w:t xml:space="preserve"> și Bragadiru- cod statie B11</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- 3 staţii industriale – Drumul Taberei- cod statie B5, Titan- cod statie B2 şi Berceni- cod statie B4.</w:t>
      </w:r>
    </w:p>
    <w:p w:rsidR="00E53488" w:rsidRPr="004F0887" w:rsidRDefault="00E53488" w:rsidP="00B63600">
      <w:pPr>
        <w:pStyle w:val="Arial10justify"/>
        <w:rPr>
          <w:rFonts w:ascii="Trebuchet MS" w:hAnsi="Trebuchet MS"/>
          <w:i w:val="0"/>
          <w:sz w:val="22"/>
          <w:szCs w:val="22"/>
        </w:rPr>
      </w:pPr>
      <w:r w:rsidRPr="004F0887">
        <w:rPr>
          <w:rFonts w:ascii="Trebuchet MS" w:hAnsi="Trebuchet MS"/>
          <w:i w:val="0"/>
          <w:sz w:val="22"/>
          <w:szCs w:val="22"/>
        </w:rPr>
        <w:tab/>
        <w:t>Suplimentar celor 11 stații de monitorizare se adaugă</w:t>
      </w:r>
      <w:r w:rsidR="00321510" w:rsidRPr="004F0887">
        <w:rPr>
          <w:rFonts w:ascii="Trebuchet MS" w:hAnsi="Trebuchet MS"/>
          <w:i w:val="0"/>
          <w:sz w:val="22"/>
          <w:szCs w:val="22"/>
        </w:rPr>
        <w:t xml:space="preserve"> alte 18</w:t>
      </w:r>
      <w:r w:rsidRPr="004F0887">
        <w:rPr>
          <w:rFonts w:ascii="Trebuchet MS" w:hAnsi="Trebuchet MS"/>
          <w:i w:val="0"/>
          <w:sz w:val="22"/>
          <w:szCs w:val="22"/>
        </w:rPr>
        <w:t xml:space="preserve"> puncte fixe de monitorizare (doar pentru PM10 și PM 2.5, destinate doar informarii publicului întrucât analiza nu se face prin metoda de referință) . In</w:t>
      </w:r>
      <w:r w:rsidR="00321510" w:rsidRPr="004F0887">
        <w:rPr>
          <w:rFonts w:ascii="Trebuchet MS" w:hAnsi="Trebuchet MS"/>
          <w:i w:val="0"/>
          <w:sz w:val="22"/>
          <w:szCs w:val="22"/>
        </w:rPr>
        <w:t xml:space="preserve"> perioada imediat următoare  va mai  fi pus</w:t>
      </w:r>
      <w:r w:rsidRPr="004F0887">
        <w:rPr>
          <w:rFonts w:ascii="Trebuchet MS" w:hAnsi="Trebuchet MS"/>
          <w:i w:val="0"/>
          <w:sz w:val="22"/>
          <w:szCs w:val="22"/>
        </w:rPr>
        <w:t xml:space="preserve"> in funcțiune după conectarea la energie electrică  încă </w:t>
      </w:r>
      <w:r w:rsidR="00321510" w:rsidRPr="004F0887">
        <w:rPr>
          <w:rFonts w:ascii="Trebuchet MS" w:hAnsi="Trebuchet MS"/>
          <w:i w:val="0"/>
          <w:sz w:val="22"/>
          <w:szCs w:val="22"/>
        </w:rPr>
        <w:t>un analizor</w:t>
      </w:r>
      <w:r w:rsidRPr="004F0887">
        <w:rPr>
          <w:rFonts w:ascii="Trebuchet MS" w:hAnsi="Trebuchet MS"/>
          <w:i w:val="0"/>
          <w:sz w:val="22"/>
          <w:szCs w:val="22"/>
        </w:rPr>
        <w:t xml:space="preserve"> PM10/PM 2.5.</w:t>
      </w:r>
    </w:p>
    <w:p w:rsidR="00AE762B" w:rsidRPr="004F0887" w:rsidRDefault="00AE762B" w:rsidP="00B63600">
      <w:pPr>
        <w:pStyle w:val="Arial10justify"/>
        <w:rPr>
          <w:rFonts w:ascii="Trebuchet MS" w:hAnsi="Trebuchet MS"/>
          <w:i w:val="0"/>
          <w:sz w:val="22"/>
          <w:szCs w:val="22"/>
        </w:rPr>
      </w:pPr>
      <w:r w:rsidRPr="004F0887">
        <w:rPr>
          <w:rFonts w:ascii="Trebuchet MS" w:hAnsi="Trebuchet MS"/>
          <w:i w:val="0"/>
          <w:sz w:val="22"/>
          <w:szCs w:val="22"/>
        </w:rPr>
        <w:t xml:space="preserve">       </w:t>
      </w:r>
    </w:p>
    <w:p w:rsidR="00AE762B" w:rsidRPr="004F0887" w:rsidRDefault="00AE762B" w:rsidP="00622C66">
      <w:pPr>
        <w:tabs>
          <w:tab w:val="left" w:leader="dot" w:pos="9356"/>
        </w:tabs>
        <w:jc w:val="both"/>
        <w:rPr>
          <w:rFonts w:ascii="Trebuchet MS" w:hAnsi="Trebuchet MS" w:cs="Arial"/>
          <w:b/>
          <w:bCs/>
          <w:iCs/>
          <w:sz w:val="22"/>
          <w:szCs w:val="22"/>
          <w:lang w:val="ro-RO"/>
        </w:rPr>
      </w:pPr>
      <w:r w:rsidRPr="004F0887">
        <w:rPr>
          <w:rFonts w:ascii="Trebuchet MS" w:hAnsi="Trebuchet MS" w:cs="Arial"/>
          <w:sz w:val="22"/>
          <w:szCs w:val="22"/>
          <w:lang w:val="ro-RO"/>
        </w:rPr>
        <w:t xml:space="preserve">I.1.1.1 </w:t>
      </w:r>
      <w:r w:rsidRPr="004F0887">
        <w:rPr>
          <w:rFonts w:ascii="Trebuchet MS" w:hAnsi="Trebuchet MS" w:cs="Arial"/>
          <w:b/>
          <w:bCs/>
          <w:iCs/>
          <w:sz w:val="22"/>
          <w:szCs w:val="22"/>
          <w:lang w:val="ro-RO"/>
        </w:rPr>
        <w:t>Nivelul concentraţiilor medii anuale ale poluanţilor atmosferici în aerul înconjurător</w:t>
      </w:r>
    </w:p>
    <w:p w:rsidR="00AE762B" w:rsidRPr="004F0887" w:rsidRDefault="00AE762B" w:rsidP="00F52479">
      <w:pPr>
        <w:rPr>
          <w:rFonts w:ascii="Trebuchet MS" w:hAnsi="Trebuchet MS" w:cs="Arial"/>
          <w:b/>
          <w:bCs/>
          <w:iCs/>
          <w:sz w:val="22"/>
          <w:szCs w:val="22"/>
          <w:lang w:val="ro-RO"/>
        </w:rPr>
      </w:pPr>
    </w:p>
    <w:p w:rsidR="00286FA1" w:rsidRPr="004F0887" w:rsidRDefault="00AE762B" w:rsidP="00286FA1">
      <w:pPr>
        <w:jc w:val="both"/>
        <w:rPr>
          <w:rFonts w:ascii="Trebuchet MS" w:hAnsi="Trebuchet MS" w:cs="Arial"/>
          <w:sz w:val="22"/>
          <w:szCs w:val="22"/>
          <w:lang w:val="ro-RO"/>
        </w:rPr>
      </w:pPr>
      <w:r w:rsidRPr="004F0887">
        <w:rPr>
          <w:rFonts w:ascii="Trebuchet MS" w:hAnsi="Trebuchet MS" w:cs="Arial"/>
          <w:b/>
          <w:bCs/>
          <w:iCs/>
          <w:sz w:val="22"/>
          <w:szCs w:val="22"/>
          <w:lang w:val="ro-RO"/>
        </w:rPr>
        <w:t xml:space="preserve">Poluantul NO2 </w:t>
      </w:r>
      <w:r w:rsidR="000E44FF" w:rsidRPr="004F0887">
        <w:rPr>
          <w:rFonts w:ascii="Trebuchet MS" w:hAnsi="Trebuchet MS" w:cs="Arial"/>
          <w:b/>
          <w:bCs/>
          <w:iCs/>
          <w:sz w:val="22"/>
          <w:szCs w:val="22"/>
          <w:lang w:val="ro-RO"/>
        </w:rPr>
        <w:t>–</w:t>
      </w:r>
      <w:r w:rsidRPr="004F0887">
        <w:rPr>
          <w:rFonts w:ascii="Trebuchet MS" w:hAnsi="Trebuchet MS" w:cs="Arial"/>
          <w:b/>
          <w:bCs/>
          <w:iCs/>
          <w:sz w:val="22"/>
          <w:szCs w:val="22"/>
          <w:lang w:val="ro-RO"/>
        </w:rPr>
        <w:t xml:space="preserve"> </w:t>
      </w:r>
      <w:r w:rsidR="000E44FF" w:rsidRPr="004F0887">
        <w:rPr>
          <w:rFonts w:ascii="Trebuchet MS" w:hAnsi="Trebuchet MS" w:cs="Arial"/>
          <w:sz w:val="22"/>
          <w:szCs w:val="22"/>
          <w:lang w:val="ro-RO"/>
        </w:rPr>
        <w:t xml:space="preserve">Concentrațiile medii anuale au </w:t>
      </w:r>
      <w:r w:rsidR="00145C08" w:rsidRPr="004F0887">
        <w:rPr>
          <w:rFonts w:ascii="Trebuchet MS" w:hAnsi="Trebuchet MS" w:cs="Arial"/>
          <w:sz w:val="22"/>
          <w:szCs w:val="22"/>
          <w:lang w:val="ro-RO"/>
        </w:rPr>
        <w:t>depășit cu puțin valorile limită</w:t>
      </w:r>
      <w:r w:rsidR="000E44FF" w:rsidRPr="004F0887">
        <w:rPr>
          <w:rFonts w:ascii="Trebuchet MS" w:hAnsi="Trebuchet MS" w:cs="Arial"/>
          <w:sz w:val="22"/>
          <w:szCs w:val="22"/>
          <w:lang w:val="ro-RO"/>
        </w:rPr>
        <w:t xml:space="preserve"> </w:t>
      </w:r>
      <w:r w:rsidR="00E53488" w:rsidRPr="004F0887">
        <w:rPr>
          <w:rFonts w:ascii="Trebuchet MS" w:hAnsi="Trebuchet MS" w:cs="Arial"/>
          <w:sz w:val="22"/>
          <w:szCs w:val="22"/>
          <w:lang w:val="ro-RO"/>
        </w:rPr>
        <w:t xml:space="preserve">la </w:t>
      </w:r>
      <w:r w:rsidR="00145C08" w:rsidRPr="004F0887">
        <w:rPr>
          <w:rFonts w:ascii="Trebuchet MS" w:hAnsi="Trebuchet MS" w:cs="Arial"/>
          <w:sz w:val="22"/>
          <w:szCs w:val="22"/>
          <w:lang w:val="ro-RO"/>
        </w:rPr>
        <w:t>stația</w:t>
      </w:r>
      <w:r w:rsidR="000E44FF" w:rsidRPr="004F0887">
        <w:rPr>
          <w:rFonts w:ascii="Trebuchet MS" w:hAnsi="Trebuchet MS" w:cs="Arial"/>
          <w:sz w:val="22"/>
          <w:szCs w:val="22"/>
          <w:lang w:val="ro-RO"/>
        </w:rPr>
        <w:t xml:space="preserve"> B3- Mihai Bravu</w:t>
      </w:r>
      <w:r w:rsidR="00145C08" w:rsidRPr="004F0887">
        <w:rPr>
          <w:rFonts w:ascii="Trebuchet MS" w:hAnsi="Trebuchet MS" w:cs="Arial"/>
          <w:sz w:val="22"/>
          <w:szCs w:val="22"/>
          <w:lang w:val="ro-RO"/>
        </w:rPr>
        <w:t>, stație</w:t>
      </w:r>
      <w:r w:rsidR="000E44FF" w:rsidRPr="004F0887">
        <w:rPr>
          <w:rFonts w:ascii="Trebuchet MS" w:hAnsi="Trebuchet MS" w:cs="Arial"/>
          <w:sz w:val="22"/>
          <w:szCs w:val="22"/>
          <w:lang w:val="ro-RO"/>
        </w:rPr>
        <w:t xml:space="preserve"> unde se monitorizează poluarea provenită din traficul rutier</w:t>
      </w:r>
      <w:r w:rsidR="00145C08" w:rsidRPr="004F0887">
        <w:rPr>
          <w:rFonts w:ascii="Trebuchet MS" w:hAnsi="Trebuchet MS" w:cs="Arial"/>
          <w:sz w:val="22"/>
          <w:szCs w:val="22"/>
          <w:lang w:val="ro-RO"/>
        </w:rPr>
        <w:t xml:space="preserve"> (40.64 µg/m3 fata de VL=40 µg/m3)</w:t>
      </w:r>
      <w:r w:rsidR="00286FA1" w:rsidRPr="004F0887">
        <w:rPr>
          <w:rFonts w:ascii="Trebuchet MS" w:hAnsi="Trebuchet MS" w:cs="Arial"/>
          <w:sz w:val="22"/>
          <w:szCs w:val="22"/>
          <w:lang w:val="ro-RO"/>
        </w:rPr>
        <w:t>.</w:t>
      </w:r>
    </w:p>
    <w:p w:rsidR="003F5F21" w:rsidRPr="004F0887" w:rsidRDefault="003F5F21" w:rsidP="00286FA1">
      <w:pPr>
        <w:jc w:val="both"/>
        <w:rPr>
          <w:rFonts w:ascii="Trebuchet MS" w:hAnsi="Trebuchet MS" w:cs="Arial"/>
          <w:sz w:val="22"/>
          <w:szCs w:val="22"/>
          <w:lang w:val="ro-RO"/>
        </w:rPr>
      </w:pPr>
      <w:r w:rsidRPr="004F0887">
        <w:rPr>
          <w:rFonts w:ascii="Trebuchet MS" w:hAnsi="Trebuchet MS" w:cs="Arial"/>
          <w:sz w:val="22"/>
          <w:szCs w:val="22"/>
          <w:lang w:val="ro-RO"/>
        </w:rPr>
        <w:t xml:space="preserve">Stația B6 a fost oprită pe parcursul anului 2023 din motive tehnice in timp ce analizorul de NO2 la stațiile B1 si </w:t>
      </w:r>
      <w:r w:rsidR="0032528A" w:rsidRPr="004F0887">
        <w:rPr>
          <w:rFonts w:ascii="Trebuchet MS" w:hAnsi="Trebuchet MS" w:cs="Arial"/>
          <w:sz w:val="22"/>
          <w:szCs w:val="22"/>
          <w:lang w:val="ro-RO"/>
        </w:rPr>
        <w:t>B8 au avut captură insuficientă pentru a face o  evaluare corectă a calității aerului. Pentru aceste stații sunt prezentate totuși valorile, insă doar informativ.</w:t>
      </w:r>
    </w:p>
    <w:p w:rsidR="00474A5E" w:rsidRPr="004F0887" w:rsidRDefault="00474A5E" w:rsidP="00286FA1">
      <w:pPr>
        <w:jc w:val="both"/>
        <w:rPr>
          <w:rFonts w:ascii="Trebuchet MS" w:hAnsi="Trebuchet MS" w:cs="Arial"/>
          <w:sz w:val="22"/>
          <w:szCs w:val="22"/>
          <w:lang w:val="ro-RO"/>
        </w:rPr>
      </w:pPr>
    </w:p>
    <w:p w:rsidR="00474A5E" w:rsidRPr="004F0887" w:rsidRDefault="00474A5E" w:rsidP="00474A5E">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I.1.1.1.1 </w:t>
      </w:r>
      <w:r w:rsidRPr="004F0887">
        <w:rPr>
          <w:rFonts w:ascii="Trebuchet MS" w:hAnsi="Trebuchet MS" w:cs="Arial"/>
          <w:sz w:val="22"/>
          <w:szCs w:val="22"/>
          <w:lang w:val="en-US"/>
        </w:rPr>
        <w:t>Concentraţii medii anuale de NO2  înregistrate la staţiile de monitorizare</w:t>
      </w:r>
    </w:p>
    <w:p w:rsidR="00474A5E" w:rsidRPr="00474A5E" w:rsidRDefault="00474A5E" w:rsidP="00474A5E">
      <w:pPr>
        <w:jc w:val="both"/>
        <w:rPr>
          <w:rFonts w:ascii="Trebuchet MS" w:hAnsi="Trebuchet MS" w:cs="Arial"/>
          <w:lang w:val="en-US"/>
        </w:rPr>
      </w:pPr>
    </w:p>
    <w:p w:rsidR="00AE762B" w:rsidRPr="008B1509" w:rsidRDefault="000946BE" w:rsidP="00F52479">
      <w:pPr>
        <w:rPr>
          <w:rFonts w:ascii="Trebuchet MS" w:hAnsi="Trebuchet MS" w:cs="Arial"/>
          <w:lang w:val="ro-RO"/>
        </w:rPr>
      </w:pPr>
      <w:r w:rsidRPr="008B1509">
        <w:rPr>
          <w:rFonts w:ascii="Trebuchet MS" w:hAnsi="Trebuchet MS" w:cs="Arial"/>
          <w:noProof/>
          <w:lang w:val="en-US"/>
        </w:rPr>
        <w:drawing>
          <wp:inline distT="0" distB="0" distL="0" distR="0" wp14:anchorId="490B8321" wp14:editId="59B26F1D">
            <wp:extent cx="5572125" cy="3590925"/>
            <wp:effectExtent l="0" t="0" r="0" b="0"/>
            <wp:docPr id="2" name="Objec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63818" w:rsidRPr="008B1509" w:rsidRDefault="00963818" w:rsidP="00E153F5">
      <w:pPr>
        <w:jc w:val="both"/>
        <w:rPr>
          <w:rFonts w:ascii="Trebuchet MS" w:hAnsi="Trebuchet MS" w:cs="Arial"/>
          <w:b/>
          <w:bCs/>
          <w:iCs/>
          <w:lang w:val="ro-RO"/>
        </w:rPr>
      </w:pPr>
    </w:p>
    <w:p w:rsidR="00963818" w:rsidRPr="008B1509" w:rsidRDefault="00963818" w:rsidP="00E153F5">
      <w:pPr>
        <w:jc w:val="both"/>
        <w:rPr>
          <w:rFonts w:ascii="Trebuchet MS" w:hAnsi="Trebuchet MS" w:cs="Arial"/>
          <w:b/>
          <w:bCs/>
          <w:iCs/>
          <w:lang w:val="ro-RO"/>
        </w:rPr>
      </w:pPr>
    </w:p>
    <w:p w:rsidR="00963818" w:rsidRDefault="00963818" w:rsidP="00E153F5">
      <w:pPr>
        <w:jc w:val="both"/>
        <w:rPr>
          <w:rFonts w:ascii="Arial" w:hAnsi="Arial" w:cs="Arial"/>
          <w:b/>
          <w:bCs/>
          <w:iCs/>
          <w:lang w:val="ro-RO"/>
        </w:rPr>
      </w:pPr>
    </w:p>
    <w:p w:rsidR="00474A5E" w:rsidRDefault="00474A5E" w:rsidP="00E153F5">
      <w:pPr>
        <w:jc w:val="both"/>
        <w:rPr>
          <w:rFonts w:ascii="Arial" w:hAnsi="Arial" w:cs="Arial"/>
          <w:b/>
          <w:bCs/>
          <w:iCs/>
          <w:lang w:val="ro-RO"/>
        </w:rPr>
      </w:pPr>
    </w:p>
    <w:p w:rsidR="00474A5E" w:rsidRDefault="00474A5E" w:rsidP="00E153F5">
      <w:pPr>
        <w:jc w:val="both"/>
        <w:rPr>
          <w:rFonts w:ascii="Arial" w:hAnsi="Arial" w:cs="Arial"/>
          <w:b/>
          <w:bCs/>
          <w:iCs/>
          <w:lang w:val="ro-RO"/>
        </w:rPr>
      </w:pPr>
    </w:p>
    <w:p w:rsidR="00474A5E" w:rsidRDefault="00474A5E" w:rsidP="00E153F5">
      <w:pPr>
        <w:jc w:val="both"/>
        <w:rPr>
          <w:rFonts w:ascii="Arial" w:hAnsi="Arial" w:cs="Arial"/>
          <w:b/>
          <w:bCs/>
          <w:iCs/>
          <w:lang w:val="ro-RO"/>
        </w:rPr>
      </w:pPr>
    </w:p>
    <w:p w:rsidR="00963818" w:rsidRDefault="00963818" w:rsidP="00E153F5">
      <w:pPr>
        <w:jc w:val="both"/>
        <w:rPr>
          <w:rFonts w:ascii="Arial" w:hAnsi="Arial"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4F0887" w:rsidRDefault="004F0887" w:rsidP="00E153F5">
      <w:pPr>
        <w:jc w:val="both"/>
        <w:rPr>
          <w:rFonts w:ascii="Trebuchet MS" w:hAnsi="Trebuchet MS" w:cs="Arial"/>
          <w:b/>
          <w:bCs/>
          <w:iCs/>
          <w:lang w:val="ro-RO"/>
        </w:rPr>
      </w:pPr>
    </w:p>
    <w:p w:rsidR="00AE762B" w:rsidRPr="004F0887" w:rsidRDefault="00AE762B" w:rsidP="00E153F5">
      <w:pPr>
        <w:jc w:val="both"/>
        <w:rPr>
          <w:rFonts w:ascii="Trebuchet MS" w:hAnsi="Trebuchet MS" w:cs="Arial"/>
          <w:sz w:val="22"/>
          <w:szCs w:val="22"/>
          <w:lang w:val="ro-RO"/>
        </w:rPr>
      </w:pPr>
      <w:r w:rsidRPr="004F0887">
        <w:rPr>
          <w:rFonts w:ascii="Trebuchet MS" w:hAnsi="Trebuchet MS" w:cs="Arial"/>
          <w:b/>
          <w:bCs/>
          <w:iCs/>
          <w:sz w:val="22"/>
          <w:szCs w:val="22"/>
          <w:lang w:val="ro-RO"/>
        </w:rPr>
        <w:t xml:space="preserve">Poluantul SO2 - </w:t>
      </w:r>
      <w:r w:rsidR="002C17C1" w:rsidRPr="004F0887">
        <w:rPr>
          <w:rFonts w:ascii="Trebuchet MS" w:hAnsi="Trebuchet MS" w:cs="Arial"/>
          <w:sz w:val="22"/>
          <w:szCs w:val="22"/>
          <w:lang w:val="ro-RO"/>
        </w:rPr>
        <w:t xml:space="preserve">La stațiile B3, </w:t>
      </w:r>
      <w:r w:rsidR="003F7649" w:rsidRPr="004F0887">
        <w:rPr>
          <w:rFonts w:ascii="Trebuchet MS" w:hAnsi="Trebuchet MS" w:cs="Arial"/>
          <w:sz w:val="22"/>
          <w:szCs w:val="22"/>
          <w:lang w:val="ro-RO"/>
        </w:rPr>
        <w:t>B6</w:t>
      </w:r>
      <w:r w:rsidR="002C17C1" w:rsidRPr="004F0887">
        <w:rPr>
          <w:rFonts w:ascii="Trebuchet MS" w:hAnsi="Trebuchet MS" w:cs="Arial"/>
          <w:sz w:val="22"/>
          <w:szCs w:val="22"/>
          <w:lang w:val="ro-RO"/>
        </w:rPr>
        <w:t>, B9, B10 și B11</w:t>
      </w:r>
      <w:r w:rsidR="003F7649" w:rsidRPr="004F0887">
        <w:rPr>
          <w:rFonts w:ascii="Trebuchet MS" w:hAnsi="Trebuchet MS" w:cs="Arial"/>
          <w:sz w:val="22"/>
          <w:szCs w:val="22"/>
          <w:lang w:val="ro-RO"/>
        </w:rPr>
        <w:t xml:space="preserve"> nu se monitorizează poluantul SO2</w:t>
      </w:r>
      <w:r w:rsidRPr="004F0887">
        <w:rPr>
          <w:rFonts w:ascii="Trebuchet MS" w:hAnsi="Trebuchet MS" w:cs="Arial"/>
          <w:sz w:val="22"/>
          <w:szCs w:val="22"/>
          <w:lang w:val="ro-RO"/>
        </w:rPr>
        <w:t>.</w:t>
      </w:r>
    </w:p>
    <w:p w:rsidR="00AE762B" w:rsidRPr="004F0887" w:rsidRDefault="00AE762B" w:rsidP="00E153F5">
      <w:pPr>
        <w:jc w:val="both"/>
        <w:rPr>
          <w:rFonts w:ascii="Trebuchet MS" w:hAnsi="Trebuchet MS" w:cs="Arial"/>
          <w:sz w:val="22"/>
          <w:szCs w:val="22"/>
          <w:lang w:val="ro-RO"/>
        </w:rPr>
      </w:pPr>
      <w:r w:rsidRPr="004F0887">
        <w:rPr>
          <w:rFonts w:ascii="Trebuchet MS" w:hAnsi="Trebuchet MS" w:cs="Arial"/>
          <w:sz w:val="22"/>
          <w:szCs w:val="22"/>
          <w:lang w:val="ro-RO"/>
        </w:rPr>
        <w:tab/>
        <w:t xml:space="preserve">In cursul anului nu au fost depăşite valorile limită orare (350 </w:t>
      </w:r>
      <w:r w:rsidRPr="004F0887">
        <w:rPr>
          <w:rFonts w:ascii="Trebuchet MS" w:hAnsi="Trebuchet MS" w:cs="Arial"/>
          <w:bCs/>
          <w:sz w:val="22"/>
          <w:szCs w:val="22"/>
          <w:lang w:val="ro-RO"/>
        </w:rPr>
        <w:t>µg/m3</w:t>
      </w:r>
      <w:r w:rsidRPr="004F0887">
        <w:rPr>
          <w:rFonts w:ascii="Trebuchet MS" w:hAnsi="Trebuchet MS" w:cs="Arial"/>
          <w:sz w:val="22"/>
          <w:szCs w:val="22"/>
          <w:lang w:val="ro-RO"/>
        </w:rPr>
        <w:t xml:space="preserve">) sau zilnice (125 </w:t>
      </w:r>
      <w:r w:rsidRPr="004F0887">
        <w:rPr>
          <w:rFonts w:ascii="Trebuchet MS" w:hAnsi="Trebuchet MS" w:cs="Arial"/>
          <w:bCs/>
          <w:sz w:val="22"/>
          <w:szCs w:val="22"/>
          <w:lang w:val="ro-RO"/>
        </w:rPr>
        <w:t>µg/m3</w:t>
      </w:r>
      <w:r w:rsidRPr="004F0887">
        <w:rPr>
          <w:rFonts w:ascii="Trebuchet MS" w:hAnsi="Trebuchet MS" w:cs="Arial"/>
          <w:sz w:val="22"/>
          <w:szCs w:val="22"/>
          <w:lang w:val="ro-RO"/>
        </w:rPr>
        <w:t>) la niciuna dintre staţii.</w:t>
      </w:r>
    </w:p>
    <w:p w:rsidR="00474A5E" w:rsidRPr="004F0887" w:rsidRDefault="00286FA1" w:rsidP="00474A5E">
      <w:pPr>
        <w:jc w:val="both"/>
        <w:rPr>
          <w:rFonts w:ascii="Arial" w:hAnsi="Arial" w:cs="Arial"/>
          <w:sz w:val="22"/>
          <w:szCs w:val="22"/>
          <w:lang w:val="ro-RO"/>
        </w:rPr>
      </w:pPr>
      <w:r w:rsidRPr="004F0887">
        <w:rPr>
          <w:rFonts w:ascii="Arial" w:hAnsi="Arial" w:cs="Arial"/>
          <w:sz w:val="22"/>
          <w:szCs w:val="22"/>
          <w:lang w:val="ro-RO"/>
        </w:rPr>
        <w:tab/>
      </w:r>
    </w:p>
    <w:p w:rsidR="00474A5E" w:rsidRPr="004F0887" w:rsidRDefault="00474A5E" w:rsidP="00474A5E">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I.1.1.1.2 </w:t>
      </w:r>
      <w:r w:rsidRPr="004F0887">
        <w:rPr>
          <w:rFonts w:ascii="Trebuchet MS" w:hAnsi="Trebuchet MS" w:cs="Arial"/>
          <w:sz w:val="22"/>
          <w:szCs w:val="22"/>
          <w:lang w:val="en-US"/>
        </w:rPr>
        <w:t>Concentraţii medii anuale de SO2  înregistrate la staţiile de monitorizare</w:t>
      </w:r>
    </w:p>
    <w:p w:rsidR="00286FA1" w:rsidRPr="004F0887" w:rsidRDefault="00286FA1" w:rsidP="00E153F5">
      <w:pPr>
        <w:jc w:val="both"/>
        <w:rPr>
          <w:rFonts w:ascii="Arial" w:hAnsi="Arial" w:cs="Arial"/>
          <w:sz w:val="22"/>
          <w:szCs w:val="22"/>
          <w:lang w:val="ro-RO"/>
        </w:rPr>
      </w:pPr>
    </w:p>
    <w:p w:rsidR="00AE762B" w:rsidRPr="00F52479" w:rsidRDefault="000946BE" w:rsidP="00F52479">
      <w:pPr>
        <w:rPr>
          <w:rFonts w:ascii="Arial" w:hAnsi="Arial" w:cs="Arial"/>
          <w:b/>
          <w:bCs/>
          <w:iCs/>
          <w:lang w:val="ro-RO"/>
        </w:rPr>
      </w:pPr>
      <w:r>
        <w:rPr>
          <w:rFonts w:ascii="Arial" w:hAnsi="Arial" w:cs="Arial"/>
          <w:b/>
          <w:noProof/>
          <w:lang w:val="en-US"/>
        </w:rPr>
        <w:drawing>
          <wp:inline distT="0" distB="0" distL="0" distR="0" wp14:anchorId="128EBC5B" wp14:editId="08DCB3C6">
            <wp:extent cx="5505450" cy="3486150"/>
            <wp:effectExtent l="0" t="0" r="0" b="0"/>
            <wp:docPr id="3" name="Objec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E762B" w:rsidRDefault="00AE762B" w:rsidP="00F52479">
      <w:pPr>
        <w:rPr>
          <w:rFonts w:ascii="Arial" w:hAnsi="Arial" w:cs="Arial"/>
          <w:b/>
          <w:bCs/>
          <w:iCs/>
          <w:lang w:val="ro-RO"/>
        </w:rPr>
      </w:pPr>
    </w:p>
    <w:p w:rsidR="002F42E5" w:rsidRPr="00F52479" w:rsidRDefault="002F42E5" w:rsidP="00F52479">
      <w:pPr>
        <w:rPr>
          <w:rFonts w:ascii="Arial" w:hAnsi="Arial" w:cs="Arial"/>
          <w:b/>
          <w:bCs/>
          <w:iCs/>
          <w:lang w:val="ro-RO"/>
        </w:rPr>
      </w:pPr>
    </w:p>
    <w:p w:rsidR="00AE762B" w:rsidRPr="004F0887" w:rsidRDefault="00AE762B" w:rsidP="00E153F5">
      <w:pPr>
        <w:jc w:val="both"/>
        <w:rPr>
          <w:rFonts w:ascii="Trebuchet MS" w:hAnsi="Trebuchet MS" w:cs="Arial"/>
          <w:b/>
          <w:bCs/>
          <w:i/>
          <w:iCs/>
          <w:sz w:val="22"/>
          <w:szCs w:val="22"/>
          <w:lang w:val="ro-RO"/>
        </w:rPr>
      </w:pPr>
      <w:r w:rsidRPr="004F0887">
        <w:rPr>
          <w:rFonts w:ascii="Trebuchet MS" w:hAnsi="Trebuchet MS" w:cs="Arial"/>
          <w:b/>
          <w:sz w:val="22"/>
          <w:szCs w:val="22"/>
          <w:lang w:val="ro-RO"/>
        </w:rPr>
        <w:t>Poluantul PM10</w:t>
      </w:r>
      <w:r w:rsidRPr="004F0887">
        <w:rPr>
          <w:rFonts w:ascii="Trebuchet MS" w:hAnsi="Trebuchet MS" w:cs="Arial"/>
          <w:sz w:val="22"/>
          <w:szCs w:val="22"/>
          <w:lang w:val="ro-RO"/>
        </w:rPr>
        <w:t xml:space="preserve"> </w:t>
      </w:r>
    </w:p>
    <w:p w:rsidR="00474A5E" w:rsidRPr="004F0887" w:rsidRDefault="00474A5E" w:rsidP="00474A5E">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I.1.1.1.3 </w:t>
      </w:r>
      <w:r w:rsidRPr="004F0887">
        <w:rPr>
          <w:rFonts w:ascii="Trebuchet MS" w:hAnsi="Trebuchet MS" w:cs="Arial"/>
          <w:sz w:val="22"/>
          <w:szCs w:val="22"/>
          <w:lang w:val="en-US"/>
        </w:rPr>
        <w:t>Concentraţii medii anuale de PM10  înregistrate la staţiile de monitorizare</w:t>
      </w:r>
    </w:p>
    <w:p w:rsidR="00AE762B" w:rsidRPr="004F0887" w:rsidRDefault="00AE762B" w:rsidP="00F52479">
      <w:pPr>
        <w:rPr>
          <w:b/>
          <w:bCs/>
          <w:iCs/>
          <w:sz w:val="22"/>
          <w:szCs w:val="22"/>
          <w:lang w:val="ro-RO"/>
        </w:rPr>
      </w:pPr>
    </w:p>
    <w:p w:rsidR="00AE762B" w:rsidRPr="00375E8C" w:rsidRDefault="000946BE" w:rsidP="00F52479">
      <w:pPr>
        <w:rPr>
          <w:rFonts w:ascii="Arial" w:hAnsi="Arial" w:cs="Arial"/>
          <w:b/>
          <w:bCs/>
          <w:iCs/>
        </w:rPr>
      </w:pPr>
      <w:bookmarkStart w:id="1" w:name="_MON_1563606257"/>
      <w:bookmarkStart w:id="2" w:name="_MON_1563606230"/>
      <w:bookmarkEnd w:id="1"/>
      <w:bookmarkEnd w:id="2"/>
      <w:r>
        <w:rPr>
          <w:noProof/>
          <w:lang w:val="en-US"/>
        </w:rPr>
        <w:drawing>
          <wp:inline distT="0" distB="0" distL="0" distR="0" wp14:anchorId="0569B939" wp14:editId="43F371AF">
            <wp:extent cx="5819775" cy="3676650"/>
            <wp:effectExtent l="0" t="0" r="0" b="0"/>
            <wp:docPr id="4"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E762B" w:rsidRDefault="00AE762B" w:rsidP="00F52479"/>
    <w:p w:rsidR="00AE762B" w:rsidRPr="004F0887" w:rsidRDefault="00DD1141" w:rsidP="001673FD">
      <w:pPr>
        <w:jc w:val="both"/>
        <w:rPr>
          <w:rFonts w:ascii="Trebuchet MS" w:hAnsi="Trebuchet MS" w:cs="Arial"/>
          <w:sz w:val="22"/>
          <w:szCs w:val="22"/>
        </w:rPr>
      </w:pPr>
      <w:r w:rsidRPr="004F0887">
        <w:rPr>
          <w:rFonts w:ascii="Trebuchet MS" w:hAnsi="Trebuchet MS" w:cs="Arial"/>
          <w:sz w:val="22"/>
          <w:szCs w:val="22"/>
        </w:rPr>
        <w:t>C</w:t>
      </w:r>
      <w:r w:rsidR="00AE762B" w:rsidRPr="004F0887">
        <w:rPr>
          <w:rFonts w:ascii="Trebuchet MS" w:hAnsi="Trebuchet MS" w:cs="Arial"/>
          <w:sz w:val="22"/>
          <w:szCs w:val="22"/>
        </w:rPr>
        <w:t>oncentraţiile medii anuale se încadrează în valorile limită</w:t>
      </w:r>
      <w:r w:rsidR="00A701FF" w:rsidRPr="004F0887">
        <w:rPr>
          <w:rFonts w:ascii="Trebuchet MS" w:hAnsi="Trebuchet MS" w:cs="Arial"/>
          <w:sz w:val="22"/>
          <w:szCs w:val="22"/>
        </w:rPr>
        <w:t xml:space="preserve"> iar pe parcursul anului 202</w:t>
      </w:r>
      <w:r w:rsidR="005D20B8" w:rsidRPr="004F0887">
        <w:rPr>
          <w:rFonts w:ascii="Trebuchet MS" w:hAnsi="Trebuchet MS" w:cs="Arial"/>
          <w:sz w:val="22"/>
          <w:szCs w:val="22"/>
        </w:rPr>
        <w:t>3</w:t>
      </w:r>
      <w:r w:rsidRPr="004F0887">
        <w:rPr>
          <w:rFonts w:ascii="Trebuchet MS" w:hAnsi="Trebuchet MS" w:cs="Arial"/>
          <w:sz w:val="22"/>
          <w:szCs w:val="22"/>
        </w:rPr>
        <w:t xml:space="preserve"> nu</w:t>
      </w:r>
      <w:r w:rsidR="00AE762B" w:rsidRPr="004F0887">
        <w:rPr>
          <w:rFonts w:ascii="Trebuchet MS" w:hAnsi="Trebuchet MS" w:cs="Arial"/>
          <w:sz w:val="22"/>
          <w:szCs w:val="22"/>
        </w:rPr>
        <w:t xml:space="preserve"> s-au înregistrat mai mult de 35 zile de depăşire ale valorilor limită zilnice </w:t>
      </w:r>
      <w:r w:rsidR="00743610" w:rsidRPr="004F0887">
        <w:rPr>
          <w:rFonts w:ascii="Trebuchet MS" w:hAnsi="Trebuchet MS" w:cs="Arial"/>
          <w:sz w:val="22"/>
          <w:szCs w:val="22"/>
        </w:rPr>
        <w:t>pentru</w:t>
      </w:r>
      <w:r w:rsidR="00AE762B" w:rsidRPr="004F0887">
        <w:rPr>
          <w:rFonts w:ascii="Trebuchet MS" w:hAnsi="Trebuchet MS" w:cs="Arial"/>
          <w:sz w:val="22"/>
          <w:szCs w:val="22"/>
        </w:rPr>
        <w:t xml:space="preserve"> PM10</w:t>
      </w:r>
      <w:r w:rsidRPr="004F0887">
        <w:rPr>
          <w:rFonts w:ascii="Trebuchet MS" w:hAnsi="Trebuchet MS" w:cs="Arial"/>
          <w:sz w:val="22"/>
          <w:szCs w:val="22"/>
        </w:rPr>
        <w:t>. Cele mai multe  dep</w:t>
      </w:r>
      <w:r w:rsidRPr="004F0887">
        <w:rPr>
          <w:rFonts w:ascii="Trebuchet MS" w:hAnsi="Trebuchet MS" w:cs="Arial"/>
          <w:sz w:val="22"/>
          <w:szCs w:val="22"/>
          <w:lang w:val="ro-RO"/>
        </w:rPr>
        <w:t xml:space="preserve">ășiri </w:t>
      </w:r>
      <w:r w:rsidR="00A701FF" w:rsidRPr="004F0887">
        <w:rPr>
          <w:rFonts w:ascii="Trebuchet MS" w:hAnsi="Trebuchet MS" w:cs="Arial"/>
          <w:sz w:val="22"/>
          <w:szCs w:val="22"/>
          <w:lang w:val="ro-RO"/>
        </w:rPr>
        <w:t>înregistrate au fost</w:t>
      </w:r>
      <w:r w:rsidR="00A701FF" w:rsidRPr="004F0887">
        <w:rPr>
          <w:rFonts w:ascii="Trebuchet MS" w:hAnsi="Trebuchet MS" w:cs="Arial"/>
          <w:sz w:val="22"/>
          <w:szCs w:val="22"/>
        </w:rPr>
        <w:t xml:space="preserve"> la staţia</w:t>
      </w:r>
      <w:r w:rsidRPr="004F0887">
        <w:rPr>
          <w:rFonts w:ascii="Trebuchet MS" w:hAnsi="Trebuchet MS" w:cs="Arial"/>
          <w:sz w:val="22"/>
          <w:szCs w:val="22"/>
        </w:rPr>
        <w:t xml:space="preserve"> </w:t>
      </w:r>
      <w:r w:rsidR="00311DAC" w:rsidRPr="004F0887">
        <w:rPr>
          <w:rFonts w:ascii="Trebuchet MS" w:hAnsi="Trebuchet MS" w:cs="Arial"/>
          <w:sz w:val="22"/>
          <w:szCs w:val="22"/>
        </w:rPr>
        <w:t xml:space="preserve">B3- Mihai Bravu- </w:t>
      </w:r>
      <w:r w:rsidR="005D20B8" w:rsidRPr="004F0887">
        <w:rPr>
          <w:rFonts w:ascii="Trebuchet MS" w:hAnsi="Trebuchet MS" w:cs="Arial"/>
          <w:sz w:val="22"/>
          <w:szCs w:val="22"/>
        </w:rPr>
        <w:t>20</w:t>
      </w:r>
      <w:r w:rsidR="001673FD" w:rsidRPr="004F0887">
        <w:rPr>
          <w:rFonts w:ascii="Trebuchet MS" w:hAnsi="Trebuchet MS" w:cs="Arial"/>
          <w:sz w:val="22"/>
          <w:szCs w:val="22"/>
        </w:rPr>
        <w:t xml:space="preserve"> depășiri </w:t>
      </w:r>
      <w:r w:rsidR="00A701FF" w:rsidRPr="004F0887">
        <w:rPr>
          <w:rFonts w:ascii="Trebuchet MS" w:hAnsi="Trebuchet MS" w:cs="Arial"/>
          <w:sz w:val="22"/>
          <w:szCs w:val="22"/>
        </w:rPr>
        <w:t>urmată</w:t>
      </w:r>
      <w:r w:rsidR="005D20B8" w:rsidRPr="004F0887">
        <w:rPr>
          <w:rFonts w:ascii="Trebuchet MS" w:hAnsi="Trebuchet MS" w:cs="Arial"/>
          <w:sz w:val="22"/>
          <w:szCs w:val="22"/>
        </w:rPr>
        <w:t xml:space="preserve"> de B9</w:t>
      </w:r>
      <w:r w:rsidR="0066086D" w:rsidRPr="004F0887">
        <w:rPr>
          <w:rFonts w:ascii="Trebuchet MS" w:hAnsi="Trebuchet MS" w:cs="Arial"/>
          <w:sz w:val="22"/>
          <w:szCs w:val="22"/>
        </w:rPr>
        <w:t xml:space="preserve">- </w:t>
      </w:r>
      <w:r w:rsidR="005D20B8" w:rsidRPr="004F0887">
        <w:rPr>
          <w:rFonts w:ascii="Trebuchet MS" w:hAnsi="Trebuchet MS" w:cs="Arial"/>
          <w:sz w:val="22"/>
          <w:szCs w:val="22"/>
        </w:rPr>
        <w:t>Bucuresti Noi</w:t>
      </w:r>
      <w:r w:rsidR="00282B05" w:rsidRPr="004F0887">
        <w:rPr>
          <w:rFonts w:ascii="Trebuchet MS" w:hAnsi="Trebuchet MS" w:cs="Arial"/>
          <w:sz w:val="22"/>
          <w:szCs w:val="22"/>
        </w:rPr>
        <w:t xml:space="preserve"> si B</w:t>
      </w:r>
      <w:r w:rsidR="005D20B8" w:rsidRPr="004F0887">
        <w:rPr>
          <w:rFonts w:ascii="Trebuchet MS" w:hAnsi="Trebuchet MS" w:cs="Arial"/>
          <w:sz w:val="22"/>
          <w:szCs w:val="22"/>
        </w:rPr>
        <w:t>5</w:t>
      </w:r>
      <w:r w:rsidR="00282B05" w:rsidRPr="004F0887">
        <w:rPr>
          <w:rFonts w:ascii="Trebuchet MS" w:hAnsi="Trebuchet MS" w:cs="Arial"/>
          <w:sz w:val="22"/>
          <w:szCs w:val="22"/>
        </w:rPr>
        <w:t xml:space="preserve">- </w:t>
      </w:r>
      <w:r w:rsidR="00C663B3" w:rsidRPr="004F0887">
        <w:rPr>
          <w:rFonts w:ascii="Trebuchet MS" w:hAnsi="Trebuchet MS" w:cs="Arial"/>
          <w:sz w:val="22"/>
          <w:szCs w:val="22"/>
        </w:rPr>
        <w:t>Drumul T</w:t>
      </w:r>
      <w:r w:rsidR="005D20B8" w:rsidRPr="004F0887">
        <w:rPr>
          <w:rFonts w:ascii="Trebuchet MS" w:hAnsi="Trebuchet MS" w:cs="Arial"/>
          <w:sz w:val="22"/>
          <w:szCs w:val="22"/>
        </w:rPr>
        <w:t xml:space="preserve">aberei </w:t>
      </w:r>
      <w:r w:rsidRPr="004F0887">
        <w:rPr>
          <w:rFonts w:ascii="Trebuchet MS" w:hAnsi="Trebuchet MS" w:cs="Arial"/>
          <w:sz w:val="22"/>
          <w:szCs w:val="22"/>
        </w:rPr>
        <w:t xml:space="preserve"> </w:t>
      </w:r>
      <w:r w:rsidR="00AE762B" w:rsidRPr="004F0887">
        <w:rPr>
          <w:rFonts w:ascii="Trebuchet MS" w:hAnsi="Trebuchet MS" w:cs="Arial"/>
          <w:sz w:val="22"/>
          <w:szCs w:val="22"/>
        </w:rPr>
        <w:t xml:space="preserve">- </w:t>
      </w:r>
      <w:r w:rsidR="005D20B8" w:rsidRPr="004F0887">
        <w:rPr>
          <w:rFonts w:ascii="Trebuchet MS" w:hAnsi="Trebuchet MS" w:cs="Arial"/>
          <w:sz w:val="22"/>
          <w:szCs w:val="22"/>
        </w:rPr>
        <w:t>1</w:t>
      </w:r>
      <w:r w:rsidR="00282B05" w:rsidRPr="004F0887">
        <w:rPr>
          <w:rFonts w:ascii="Trebuchet MS" w:hAnsi="Trebuchet MS" w:cs="Arial"/>
          <w:sz w:val="22"/>
          <w:szCs w:val="22"/>
        </w:rPr>
        <w:t>0</w:t>
      </w:r>
      <w:r w:rsidRPr="004F0887">
        <w:rPr>
          <w:rFonts w:ascii="Trebuchet MS" w:hAnsi="Trebuchet MS" w:cs="Arial"/>
          <w:sz w:val="22"/>
          <w:szCs w:val="22"/>
        </w:rPr>
        <w:t xml:space="preserve"> </w:t>
      </w:r>
      <w:r w:rsidR="00AE762B" w:rsidRPr="004F0887">
        <w:rPr>
          <w:rFonts w:ascii="Trebuchet MS" w:hAnsi="Trebuchet MS" w:cs="Arial"/>
          <w:sz w:val="22"/>
          <w:szCs w:val="22"/>
        </w:rPr>
        <w:t xml:space="preserve"> depăşiri. </w:t>
      </w:r>
    </w:p>
    <w:p w:rsidR="00286FA1" w:rsidRPr="004F0887" w:rsidRDefault="00286FA1" w:rsidP="001673FD">
      <w:pPr>
        <w:jc w:val="both"/>
        <w:rPr>
          <w:rFonts w:ascii="Arial" w:hAnsi="Arial" w:cs="Arial"/>
          <w:sz w:val="22"/>
          <w:szCs w:val="22"/>
          <w:lang w:val="it-IT"/>
        </w:rPr>
      </w:pPr>
      <w:r w:rsidRPr="004F0887">
        <w:rPr>
          <w:rFonts w:ascii="Arial" w:hAnsi="Arial" w:cs="Arial"/>
          <w:sz w:val="22"/>
          <w:szCs w:val="22"/>
        </w:rPr>
        <w:tab/>
      </w:r>
    </w:p>
    <w:p w:rsidR="00AE762B" w:rsidRPr="004F0887" w:rsidRDefault="00AE762B" w:rsidP="002A28E5">
      <w:pPr>
        <w:jc w:val="both"/>
        <w:rPr>
          <w:rFonts w:ascii="Arial" w:hAnsi="Arial" w:cs="Arial"/>
          <w:b/>
          <w:bCs/>
          <w:iCs/>
          <w:sz w:val="22"/>
          <w:szCs w:val="22"/>
          <w:lang w:val="it-IT"/>
        </w:rPr>
      </w:pPr>
    </w:p>
    <w:p w:rsidR="00AE762B" w:rsidRPr="004F0887" w:rsidRDefault="00AE762B" w:rsidP="002A28E5">
      <w:pPr>
        <w:jc w:val="both"/>
        <w:rPr>
          <w:rFonts w:ascii="Trebuchet MS" w:hAnsi="Trebuchet MS" w:cs="Arial"/>
          <w:sz w:val="22"/>
          <w:szCs w:val="22"/>
          <w:lang w:val="ro-RO"/>
        </w:rPr>
      </w:pPr>
      <w:r w:rsidRPr="004F0887">
        <w:rPr>
          <w:rFonts w:ascii="Trebuchet MS" w:hAnsi="Trebuchet MS" w:cs="Arial"/>
          <w:b/>
          <w:bCs/>
          <w:iCs/>
          <w:sz w:val="22"/>
          <w:szCs w:val="22"/>
          <w:lang w:val="it-IT"/>
        </w:rPr>
        <w:t xml:space="preserve">Poluantul O3 </w:t>
      </w:r>
      <w:r w:rsidR="00E85020" w:rsidRPr="004F0887">
        <w:rPr>
          <w:rFonts w:ascii="Trebuchet MS" w:hAnsi="Trebuchet MS" w:cs="Arial"/>
          <w:b/>
          <w:bCs/>
          <w:iCs/>
          <w:sz w:val="22"/>
          <w:szCs w:val="22"/>
          <w:lang w:val="it-IT"/>
        </w:rPr>
        <w:t>–</w:t>
      </w:r>
      <w:r w:rsidRPr="004F0887">
        <w:rPr>
          <w:rFonts w:ascii="Trebuchet MS" w:hAnsi="Trebuchet MS" w:cs="Arial"/>
          <w:b/>
          <w:bCs/>
          <w:iCs/>
          <w:sz w:val="22"/>
          <w:szCs w:val="22"/>
          <w:lang w:val="it-IT"/>
        </w:rPr>
        <w:t xml:space="preserve"> </w:t>
      </w:r>
      <w:r w:rsidR="00E85020" w:rsidRPr="004F0887">
        <w:rPr>
          <w:rFonts w:ascii="Trebuchet MS" w:hAnsi="Trebuchet MS" w:cs="Arial"/>
          <w:sz w:val="22"/>
          <w:szCs w:val="22"/>
          <w:lang w:val="ro-RO"/>
        </w:rPr>
        <w:t>Analiza ozonului se face doar la stațiile B1, B5, B7</w:t>
      </w:r>
      <w:r w:rsidR="008D1EC8" w:rsidRPr="004F0887">
        <w:rPr>
          <w:rFonts w:ascii="Trebuchet MS" w:hAnsi="Trebuchet MS" w:cs="Arial"/>
          <w:sz w:val="22"/>
          <w:szCs w:val="22"/>
          <w:lang w:val="ro-RO"/>
        </w:rPr>
        <w:t>,</w:t>
      </w:r>
      <w:r w:rsidR="00E85020" w:rsidRPr="004F0887">
        <w:rPr>
          <w:rFonts w:ascii="Trebuchet MS" w:hAnsi="Trebuchet MS" w:cs="Arial"/>
          <w:sz w:val="22"/>
          <w:szCs w:val="22"/>
          <w:lang w:val="ro-RO"/>
        </w:rPr>
        <w:t xml:space="preserve"> B8</w:t>
      </w:r>
      <w:r w:rsidR="008D1EC8" w:rsidRPr="004F0887">
        <w:rPr>
          <w:rFonts w:ascii="Trebuchet MS" w:hAnsi="Trebuchet MS" w:cs="Arial"/>
          <w:sz w:val="22"/>
          <w:szCs w:val="22"/>
          <w:lang w:val="ro-RO"/>
        </w:rPr>
        <w:t xml:space="preserve"> și B9</w:t>
      </w:r>
    </w:p>
    <w:p w:rsidR="00550A00" w:rsidRPr="004F0887" w:rsidRDefault="00550A00" w:rsidP="002A28E5">
      <w:pPr>
        <w:jc w:val="both"/>
        <w:rPr>
          <w:rFonts w:ascii="Trebuchet MS" w:hAnsi="Trebuchet MS" w:cs="Arial"/>
          <w:sz w:val="22"/>
          <w:szCs w:val="22"/>
          <w:lang w:val="ro-RO"/>
        </w:rPr>
      </w:pPr>
    </w:p>
    <w:p w:rsidR="00474A5E" w:rsidRPr="004F0887" w:rsidRDefault="00474A5E" w:rsidP="00474A5E">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I.1.1.1.4 </w:t>
      </w:r>
      <w:r w:rsidRPr="004F0887">
        <w:rPr>
          <w:rFonts w:ascii="Trebuchet MS" w:hAnsi="Trebuchet MS" w:cs="Arial"/>
          <w:sz w:val="22"/>
          <w:szCs w:val="22"/>
          <w:lang w:val="en-US"/>
        </w:rPr>
        <w:t>Concentraţii medii anuale de O3  înregistrate la staţiile de monitorizare</w:t>
      </w:r>
    </w:p>
    <w:p w:rsidR="00474A5E" w:rsidRPr="004F0887" w:rsidRDefault="00474A5E" w:rsidP="002A28E5">
      <w:pPr>
        <w:jc w:val="both"/>
        <w:rPr>
          <w:rFonts w:ascii="Trebuchet MS" w:hAnsi="Trebuchet MS" w:cs="Arial"/>
          <w:sz w:val="22"/>
          <w:szCs w:val="22"/>
          <w:lang w:val="ro-RO"/>
        </w:rPr>
      </w:pPr>
    </w:p>
    <w:p w:rsidR="00AE762B" w:rsidRDefault="000946BE" w:rsidP="00F52479">
      <w:bookmarkStart w:id="3" w:name="_MON_1721715374"/>
      <w:bookmarkStart w:id="4" w:name="_MON_1721715564"/>
      <w:bookmarkStart w:id="5" w:name="_MON_1565432156"/>
      <w:bookmarkStart w:id="6" w:name="_MON_1689665371"/>
      <w:bookmarkEnd w:id="3"/>
      <w:bookmarkEnd w:id="4"/>
      <w:bookmarkEnd w:id="5"/>
      <w:bookmarkEnd w:id="6"/>
      <w:r>
        <w:rPr>
          <w:noProof/>
          <w:lang w:val="en-US"/>
        </w:rPr>
        <w:drawing>
          <wp:inline distT="0" distB="0" distL="0" distR="0" wp14:anchorId="66DB9179" wp14:editId="1068B649">
            <wp:extent cx="5810250" cy="3867150"/>
            <wp:effectExtent l="0" t="0" r="0" b="0"/>
            <wp:docPr id="5" name="Objec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E762B" w:rsidRDefault="00AE762B" w:rsidP="00F52479"/>
    <w:p w:rsidR="00AE762B" w:rsidRPr="004F0887" w:rsidRDefault="00AE762B" w:rsidP="009A0E68">
      <w:pPr>
        <w:jc w:val="both"/>
        <w:rPr>
          <w:rFonts w:ascii="Trebuchet MS" w:hAnsi="Trebuchet MS" w:cs="Arial"/>
          <w:sz w:val="22"/>
          <w:szCs w:val="22"/>
        </w:rPr>
      </w:pPr>
      <w:r>
        <w:tab/>
      </w:r>
      <w:r w:rsidRPr="004F0887">
        <w:rPr>
          <w:rFonts w:ascii="Trebuchet MS" w:hAnsi="Trebuchet MS" w:cs="Arial"/>
          <w:sz w:val="22"/>
          <w:szCs w:val="22"/>
        </w:rPr>
        <w:t xml:space="preserve">Pentru acest </w:t>
      </w:r>
      <w:r w:rsidR="00ED46CD" w:rsidRPr="004F0887">
        <w:rPr>
          <w:rFonts w:ascii="Trebuchet MS" w:hAnsi="Trebuchet MS" w:cs="Arial"/>
          <w:sz w:val="22"/>
          <w:szCs w:val="22"/>
        </w:rPr>
        <w:t>p</w:t>
      </w:r>
      <w:r w:rsidR="00382309" w:rsidRPr="004F0887">
        <w:rPr>
          <w:rFonts w:ascii="Trebuchet MS" w:hAnsi="Trebuchet MS" w:cs="Arial"/>
          <w:sz w:val="22"/>
          <w:szCs w:val="22"/>
        </w:rPr>
        <w:t>oluant, pe parcursul anului 202</w:t>
      </w:r>
      <w:r w:rsidR="00B656A6" w:rsidRPr="004F0887">
        <w:rPr>
          <w:rFonts w:ascii="Trebuchet MS" w:hAnsi="Trebuchet MS" w:cs="Arial"/>
          <w:sz w:val="22"/>
          <w:szCs w:val="22"/>
        </w:rPr>
        <w:t>3</w:t>
      </w:r>
      <w:r w:rsidRPr="004F0887">
        <w:rPr>
          <w:rFonts w:ascii="Trebuchet MS" w:hAnsi="Trebuchet MS" w:cs="Arial"/>
          <w:sz w:val="22"/>
          <w:szCs w:val="22"/>
        </w:rPr>
        <w:t xml:space="preserve"> </w:t>
      </w:r>
      <w:r w:rsidR="005A1312" w:rsidRPr="004F0887">
        <w:rPr>
          <w:rFonts w:ascii="Trebuchet MS" w:hAnsi="Trebuchet MS" w:cs="Arial"/>
          <w:sz w:val="22"/>
          <w:szCs w:val="22"/>
        </w:rPr>
        <w:t xml:space="preserve">nu </w:t>
      </w:r>
      <w:r w:rsidR="00FC7363" w:rsidRPr="004F0887">
        <w:rPr>
          <w:rFonts w:ascii="Trebuchet MS" w:hAnsi="Trebuchet MS" w:cs="Arial"/>
          <w:sz w:val="22"/>
          <w:szCs w:val="22"/>
        </w:rPr>
        <w:t xml:space="preserve">s-au inregistrat </w:t>
      </w:r>
      <w:r w:rsidR="00A43F29" w:rsidRPr="004F0887">
        <w:rPr>
          <w:rFonts w:ascii="Trebuchet MS" w:hAnsi="Trebuchet MS" w:cs="Arial"/>
          <w:sz w:val="22"/>
          <w:szCs w:val="22"/>
        </w:rPr>
        <w:t xml:space="preserve">mai mult de 25 zile </w:t>
      </w:r>
      <w:r w:rsidR="00FC7363" w:rsidRPr="004F0887">
        <w:rPr>
          <w:rFonts w:ascii="Trebuchet MS" w:hAnsi="Trebuchet MS" w:cs="Arial"/>
          <w:sz w:val="22"/>
          <w:szCs w:val="22"/>
        </w:rPr>
        <w:t>depășire a valorii țintă</w:t>
      </w:r>
      <w:r w:rsidR="00A43F29" w:rsidRPr="004F0887">
        <w:rPr>
          <w:rFonts w:ascii="Trebuchet MS" w:hAnsi="Trebuchet MS" w:cs="Arial"/>
          <w:sz w:val="22"/>
          <w:szCs w:val="22"/>
        </w:rPr>
        <w:t xml:space="preserve"> </w:t>
      </w:r>
      <w:r w:rsidR="005A1312" w:rsidRPr="004F0887">
        <w:rPr>
          <w:rFonts w:ascii="Trebuchet MS" w:hAnsi="Trebuchet MS" w:cs="Arial"/>
          <w:sz w:val="22"/>
          <w:szCs w:val="22"/>
          <w:lang w:val="ro-RO"/>
        </w:rPr>
        <w:t>în niciunul dintre punctele de monitorizare</w:t>
      </w:r>
      <w:r w:rsidR="00A43F29" w:rsidRPr="004F0887">
        <w:rPr>
          <w:rFonts w:ascii="Trebuchet MS" w:hAnsi="Trebuchet MS" w:cs="Arial"/>
          <w:sz w:val="22"/>
          <w:szCs w:val="22"/>
        </w:rPr>
        <w:t xml:space="preserve">. </w:t>
      </w:r>
      <w:r w:rsidR="00382309" w:rsidRPr="004F0887">
        <w:rPr>
          <w:rFonts w:ascii="Trebuchet MS" w:hAnsi="Trebuchet MS" w:cs="Arial"/>
          <w:sz w:val="22"/>
          <w:szCs w:val="22"/>
        </w:rPr>
        <w:t xml:space="preserve">In data de </w:t>
      </w:r>
      <w:r w:rsidR="00B656A6" w:rsidRPr="004F0887">
        <w:rPr>
          <w:rFonts w:ascii="Trebuchet MS" w:hAnsi="Trebuchet MS" w:cs="Arial"/>
          <w:sz w:val="22"/>
          <w:szCs w:val="22"/>
        </w:rPr>
        <w:t>17</w:t>
      </w:r>
      <w:r w:rsidR="00382309" w:rsidRPr="004F0887">
        <w:rPr>
          <w:rFonts w:ascii="Trebuchet MS" w:hAnsi="Trebuchet MS" w:cs="Arial"/>
          <w:sz w:val="22"/>
          <w:szCs w:val="22"/>
        </w:rPr>
        <w:t xml:space="preserve"> </w:t>
      </w:r>
      <w:r w:rsidR="00B44D4E" w:rsidRPr="004F0887">
        <w:rPr>
          <w:rFonts w:ascii="Trebuchet MS" w:hAnsi="Trebuchet MS" w:cs="Arial"/>
          <w:sz w:val="22"/>
          <w:szCs w:val="22"/>
        </w:rPr>
        <w:t>iulie</w:t>
      </w:r>
      <w:r w:rsidR="00382309" w:rsidRPr="004F0887">
        <w:rPr>
          <w:rFonts w:ascii="Trebuchet MS" w:hAnsi="Trebuchet MS" w:cs="Arial"/>
          <w:sz w:val="22"/>
          <w:szCs w:val="22"/>
        </w:rPr>
        <w:t xml:space="preserve"> a fost depașit pragul de informare</w:t>
      </w:r>
      <w:r w:rsidR="00282E0B" w:rsidRPr="004F0887">
        <w:rPr>
          <w:rFonts w:ascii="Trebuchet MS" w:hAnsi="Trebuchet MS" w:cs="Arial"/>
          <w:sz w:val="22"/>
          <w:szCs w:val="22"/>
        </w:rPr>
        <w:t xml:space="preserve"> la stația B</w:t>
      </w:r>
      <w:r w:rsidR="00B656A6" w:rsidRPr="004F0887">
        <w:rPr>
          <w:rFonts w:ascii="Trebuchet MS" w:hAnsi="Trebuchet MS" w:cs="Arial"/>
          <w:sz w:val="22"/>
          <w:szCs w:val="22"/>
        </w:rPr>
        <w:t>9</w:t>
      </w:r>
      <w:r w:rsidR="00282E0B" w:rsidRPr="004F0887">
        <w:rPr>
          <w:rFonts w:ascii="Trebuchet MS" w:hAnsi="Trebuchet MS" w:cs="Arial"/>
          <w:sz w:val="22"/>
          <w:szCs w:val="22"/>
        </w:rPr>
        <w:t xml:space="preserve">- </w:t>
      </w:r>
      <w:r w:rsidR="00B656A6" w:rsidRPr="004F0887">
        <w:rPr>
          <w:rFonts w:ascii="Trebuchet MS" w:hAnsi="Trebuchet MS" w:cs="Arial"/>
          <w:sz w:val="22"/>
          <w:szCs w:val="22"/>
        </w:rPr>
        <w:t xml:space="preserve">Bucuresti Noi </w:t>
      </w:r>
      <w:r w:rsidR="00382309" w:rsidRPr="004F0887">
        <w:rPr>
          <w:rFonts w:ascii="Trebuchet MS" w:hAnsi="Trebuchet MS" w:cs="Arial"/>
          <w:sz w:val="22"/>
          <w:szCs w:val="22"/>
        </w:rPr>
        <w:t xml:space="preserve">dar nu </w:t>
      </w:r>
      <w:r w:rsidR="009C606F" w:rsidRPr="004F0887">
        <w:rPr>
          <w:rFonts w:ascii="Trebuchet MS" w:hAnsi="Trebuchet MS" w:cs="Arial"/>
          <w:sz w:val="22"/>
          <w:szCs w:val="22"/>
        </w:rPr>
        <w:t>ș</w:t>
      </w:r>
      <w:r w:rsidR="00382309" w:rsidRPr="004F0887">
        <w:rPr>
          <w:rFonts w:ascii="Trebuchet MS" w:hAnsi="Trebuchet MS" w:cs="Arial"/>
          <w:sz w:val="22"/>
          <w:szCs w:val="22"/>
        </w:rPr>
        <w:t>i cel de alertă</w:t>
      </w:r>
      <w:r w:rsidR="00A43F29" w:rsidRPr="004F0887">
        <w:rPr>
          <w:rFonts w:ascii="Trebuchet MS" w:hAnsi="Trebuchet MS" w:cs="Arial"/>
          <w:sz w:val="22"/>
          <w:szCs w:val="22"/>
        </w:rPr>
        <w:t>.</w:t>
      </w:r>
    </w:p>
    <w:p w:rsidR="00DC7C8B" w:rsidRPr="004F0887" w:rsidRDefault="00DC7C8B" w:rsidP="009A0E68">
      <w:pPr>
        <w:jc w:val="both"/>
        <w:rPr>
          <w:rFonts w:ascii="Trebuchet MS" w:hAnsi="Trebuchet MS" w:cs="Arial"/>
          <w:sz w:val="22"/>
          <w:szCs w:val="22"/>
        </w:rPr>
      </w:pPr>
    </w:p>
    <w:p w:rsidR="00550A00" w:rsidRPr="004F0887" w:rsidRDefault="00550A00" w:rsidP="009A0E68">
      <w:pPr>
        <w:jc w:val="both"/>
        <w:rPr>
          <w:rFonts w:ascii="Trebuchet MS" w:hAnsi="Trebuchet MS" w:cs="Arial"/>
          <w:sz w:val="22"/>
          <w:szCs w:val="22"/>
        </w:rPr>
      </w:pPr>
    </w:p>
    <w:p w:rsidR="00AE762B" w:rsidRPr="004F0887" w:rsidRDefault="00AE762B" w:rsidP="003176B9">
      <w:pPr>
        <w:jc w:val="both"/>
        <w:rPr>
          <w:rFonts w:ascii="Trebuchet MS" w:hAnsi="Trebuchet MS" w:cs="Arial"/>
          <w:sz w:val="22"/>
          <w:szCs w:val="22"/>
        </w:rPr>
      </w:pPr>
      <w:r w:rsidRPr="004F0887">
        <w:rPr>
          <w:rFonts w:ascii="Trebuchet MS" w:hAnsi="Trebuchet MS" w:cs="Arial"/>
          <w:b/>
          <w:sz w:val="22"/>
          <w:szCs w:val="22"/>
        </w:rPr>
        <w:t>Poluantul Pb</w:t>
      </w:r>
      <w:r w:rsidRPr="004F0887">
        <w:rPr>
          <w:rFonts w:ascii="Trebuchet MS" w:hAnsi="Trebuchet MS" w:cs="Arial"/>
          <w:sz w:val="22"/>
          <w:szCs w:val="22"/>
        </w:rPr>
        <w:t xml:space="preserve"> – Pentru acest poluant nu a fost depăşită valoarea limită anuală pentru protecţia sănătăţii umane</w:t>
      </w:r>
      <w:r w:rsidR="003943AA" w:rsidRPr="004F0887">
        <w:rPr>
          <w:rFonts w:ascii="Trebuchet MS" w:hAnsi="Trebuchet MS" w:cs="Arial"/>
          <w:sz w:val="22"/>
          <w:szCs w:val="22"/>
        </w:rPr>
        <w:t>.</w:t>
      </w:r>
      <w:r w:rsidR="00B44D4E" w:rsidRPr="004F0887">
        <w:rPr>
          <w:rFonts w:ascii="Trebuchet MS" w:hAnsi="Trebuchet MS" w:cs="Arial"/>
          <w:sz w:val="22"/>
          <w:szCs w:val="22"/>
        </w:rPr>
        <w:t xml:space="preserve"> Metalele grele se monitorizeaza doar la statiile de fond B1 si B7</w:t>
      </w:r>
      <w:r w:rsidR="00212F57" w:rsidRPr="004F0887">
        <w:rPr>
          <w:rFonts w:ascii="Trebuchet MS" w:hAnsi="Trebuchet MS" w:cs="Arial"/>
          <w:sz w:val="22"/>
          <w:szCs w:val="22"/>
        </w:rPr>
        <w:t xml:space="preserve"> iar monitorizarea se face prin măsurari indicative (8 săptămâni distribuite uniform pe parcursul anului)</w:t>
      </w:r>
    </w:p>
    <w:p w:rsidR="00550A00" w:rsidRDefault="00550A00"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Default="004F0887" w:rsidP="003176B9">
      <w:pPr>
        <w:jc w:val="both"/>
        <w:rPr>
          <w:rFonts w:ascii="Trebuchet MS" w:hAnsi="Trebuchet MS" w:cs="Arial"/>
          <w:sz w:val="22"/>
          <w:szCs w:val="22"/>
        </w:rPr>
      </w:pPr>
    </w:p>
    <w:p w:rsidR="004F0887" w:rsidRPr="004F0887" w:rsidRDefault="004F0887" w:rsidP="003176B9">
      <w:pPr>
        <w:jc w:val="both"/>
        <w:rPr>
          <w:rFonts w:ascii="Trebuchet MS" w:hAnsi="Trebuchet MS" w:cs="Arial"/>
          <w:sz w:val="22"/>
          <w:szCs w:val="22"/>
        </w:rPr>
      </w:pPr>
    </w:p>
    <w:p w:rsidR="00550A00" w:rsidRPr="004F0887" w:rsidRDefault="00550A00" w:rsidP="00550A00">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I.1.1.1.5 </w:t>
      </w:r>
      <w:r w:rsidRPr="004F0887">
        <w:rPr>
          <w:rFonts w:ascii="Trebuchet MS" w:hAnsi="Trebuchet MS" w:cs="Arial"/>
          <w:sz w:val="22"/>
          <w:szCs w:val="22"/>
          <w:lang w:val="en-US"/>
        </w:rPr>
        <w:t>Concentraţii medii anuale de Pb  înregistrate la staţiile de monitorizare</w:t>
      </w:r>
    </w:p>
    <w:p w:rsidR="00550A00" w:rsidRPr="004F0887" w:rsidRDefault="00550A00" w:rsidP="003176B9">
      <w:pPr>
        <w:jc w:val="both"/>
        <w:rPr>
          <w:rFonts w:ascii="Trebuchet MS" w:hAnsi="Trebuchet MS" w:cs="Arial"/>
          <w:b/>
          <w:bCs/>
          <w:i/>
          <w:iCs/>
          <w:sz w:val="22"/>
          <w:szCs w:val="22"/>
        </w:rPr>
      </w:pPr>
    </w:p>
    <w:p w:rsidR="00AE762B" w:rsidRDefault="000946BE" w:rsidP="00F52479">
      <w:bookmarkStart w:id="7" w:name="_MON_1565429959"/>
      <w:bookmarkStart w:id="8" w:name="_MON_1565423116"/>
      <w:bookmarkStart w:id="9" w:name="_MON_1689666869"/>
      <w:bookmarkStart w:id="10" w:name="_MON_1721716081"/>
      <w:bookmarkStart w:id="11" w:name="_MON_1721716113"/>
      <w:bookmarkStart w:id="12" w:name="_MON_1721716155"/>
      <w:bookmarkEnd w:id="7"/>
      <w:bookmarkEnd w:id="8"/>
      <w:bookmarkEnd w:id="9"/>
      <w:bookmarkEnd w:id="10"/>
      <w:bookmarkEnd w:id="11"/>
      <w:bookmarkEnd w:id="12"/>
      <w:r>
        <w:rPr>
          <w:noProof/>
          <w:lang w:val="en-US"/>
        </w:rPr>
        <w:drawing>
          <wp:inline distT="0" distB="0" distL="0" distR="0" wp14:anchorId="2021F400" wp14:editId="519A6723">
            <wp:extent cx="6267450" cy="3819525"/>
            <wp:effectExtent l="0" t="0" r="0" b="0"/>
            <wp:docPr id="6" name="Objec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1586A" w:rsidRDefault="00C1586A" w:rsidP="00206FAA">
      <w:pPr>
        <w:rPr>
          <w:rFonts w:ascii="Arial" w:hAnsi="Arial" w:cs="Arial"/>
          <w:b/>
        </w:rPr>
      </w:pPr>
    </w:p>
    <w:p w:rsidR="00206FAA" w:rsidRPr="004F0887" w:rsidRDefault="00AE762B" w:rsidP="00206FAA">
      <w:pPr>
        <w:rPr>
          <w:rFonts w:ascii="Trebuchet MS" w:hAnsi="Trebuchet MS" w:cs="Arial"/>
          <w:sz w:val="22"/>
          <w:szCs w:val="22"/>
        </w:rPr>
      </w:pPr>
      <w:r w:rsidRPr="004F0887">
        <w:rPr>
          <w:rFonts w:ascii="Trebuchet MS" w:hAnsi="Trebuchet MS" w:cs="Arial"/>
          <w:b/>
          <w:sz w:val="22"/>
          <w:szCs w:val="22"/>
        </w:rPr>
        <w:t>Poluantul Cd</w:t>
      </w:r>
      <w:r w:rsidR="00206FAA" w:rsidRPr="004F0887">
        <w:rPr>
          <w:rFonts w:ascii="Trebuchet MS" w:hAnsi="Trebuchet MS" w:cs="Arial"/>
          <w:sz w:val="22"/>
          <w:szCs w:val="22"/>
        </w:rPr>
        <w:t xml:space="preserve"> </w:t>
      </w:r>
    </w:p>
    <w:p w:rsidR="00550A00" w:rsidRPr="004F0887" w:rsidRDefault="00550A00" w:rsidP="00206FAA">
      <w:pPr>
        <w:rPr>
          <w:rFonts w:ascii="Trebuchet MS" w:hAnsi="Trebuchet MS" w:cs="Arial"/>
          <w:sz w:val="22"/>
          <w:szCs w:val="22"/>
        </w:rPr>
      </w:pPr>
    </w:p>
    <w:p w:rsidR="00AE762B" w:rsidRPr="004F0887" w:rsidRDefault="00212F57" w:rsidP="00CE608D">
      <w:pPr>
        <w:jc w:val="both"/>
        <w:rPr>
          <w:rFonts w:ascii="Trebuchet MS" w:hAnsi="Trebuchet MS" w:cs="Arial"/>
          <w:sz w:val="22"/>
          <w:szCs w:val="22"/>
        </w:rPr>
      </w:pPr>
      <w:r w:rsidRPr="004F0887">
        <w:rPr>
          <w:rFonts w:ascii="Trebuchet MS" w:hAnsi="Trebuchet MS" w:cs="Arial"/>
          <w:sz w:val="22"/>
          <w:szCs w:val="22"/>
        </w:rPr>
        <w:t xml:space="preserve">Pentru acest poluant nu a fost depăşită valoarea </w:t>
      </w:r>
      <w:r w:rsidR="008A4988" w:rsidRPr="004F0887">
        <w:rPr>
          <w:rFonts w:ascii="Trebuchet MS" w:hAnsi="Trebuchet MS" w:cs="Arial"/>
          <w:sz w:val="22"/>
          <w:szCs w:val="22"/>
        </w:rPr>
        <w:t>țint</w:t>
      </w:r>
      <w:r w:rsidRPr="004F0887">
        <w:rPr>
          <w:rFonts w:ascii="Trebuchet MS" w:hAnsi="Trebuchet MS" w:cs="Arial"/>
          <w:sz w:val="22"/>
          <w:szCs w:val="22"/>
        </w:rPr>
        <w:t>ă anuală pentru protecţia sănătăţii umane. Metalele grele se monitorizeaza doar la statiile de fond B1 si B7 iar monitorizarea se face prin măsurari indicative (8 săptămâni distribuite uniform pe parcursul anului)</w:t>
      </w:r>
    </w:p>
    <w:p w:rsidR="00550A00" w:rsidRPr="004F0887" w:rsidRDefault="00550A00" w:rsidP="00550A00">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I.1.1.1.6 </w:t>
      </w:r>
      <w:r w:rsidRPr="004F0887">
        <w:rPr>
          <w:rFonts w:ascii="Trebuchet MS" w:hAnsi="Trebuchet MS" w:cs="Arial"/>
          <w:sz w:val="22"/>
          <w:szCs w:val="22"/>
          <w:lang w:val="en-US"/>
        </w:rPr>
        <w:t>Concentraţii medii anuale de Cd  înregistrate la staţiile de monitorizare</w:t>
      </w:r>
    </w:p>
    <w:p w:rsidR="00AE762B" w:rsidRDefault="000946BE" w:rsidP="00F52479">
      <w:bookmarkStart w:id="13" w:name="_MON_1689667105"/>
      <w:bookmarkStart w:id="14" w:name="_MON_1721716355"/>
      <w:bookmarkStart w:id="15" w:name="_MON_1689667152"/>
      <w:bookmarkStart w:id="16" w:name="_MON_1565430275"/>
      <w:bookmarkEnd w:id="13"/>
      <w:bookmarkEnd w:id="14"/>
      <w:bookmarkEnd w:id="15"/>
      <w:bookmarkEnd w:id="16"/>
      <w:r>
        <w:rPr>
          <w:noProof/>
          <w:lang w:val="en-US"/>
        </w:rPr>
        <w:drawing>
          <wp:inline distT="0" distB="0" distL="0" distR="0" wp14:anchorId="314B9371" wp14:editId="3B642D58">
            <wp:extent cx="5095875" cy="3752850"/>
            <wp:effectExtent l="0" t="0" r="0" b="0"/>
            <wp:docPr id="7" name="Objec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E762B" w:rsidRPr="00CE608D" w:rsidRDefault="00AE762B" w:rsidP="00F52479">
      <w:pPr>
        <w:rPr>
          <w:rFonts w:ascii="Trebuchet MS" w:hAnsi="Trebuchet MS"/>
        </w:rPr>
      </w:pPr>
    </w:p>
    <w:p w:rsidR="00B47078" w:rsidRPr="00CE608D" w:rsidRDefault="00B47078" w:rsidP="00F52479">
      <w:pPr>
        <w:rPr>
          <w:rFonts w:ascii="Trebuchet MS" w:hAnsi="Trebuchet MS" w:cs="Arial"/>
          <w:b/>
        </w:rPr>
      </w:pPr>
    </w:p>
    <w:p w:rsidR="004F0887" w:rsidRDefault="004F0887" w:rsidP="00F52479">
      <w:pPr>
        <w:rPr>
          <w:rFonts w:ascii="Trebuchet MS" w:hAnsi="Trebuchet MS" w:cs="Arial"/>
          <w:b/>
        </w:rPr>
      </w:pPr>
    </w:p>
    <w:p w:rsidR="00AE762B" w:rsidRPr="004F0887" w:rsidRDefault="00AE762B" w:rsidP="00F52479">
      <w:pPr>
        <w:rPr>
          <w:rFonts w:ascii="Trebuchet MS" w:hAnsi="Trebuchet MS" w:cs="Arial"/>
          <w:sz w:val="22"/>
          <w:szCs w:val="22"/>
        </w:rPr>
      </w:pPr>
      <w:r w:rsidRPr="004F0887">
        <w:rPr>
          <w:rFonts w:ascii="Trebuchet MS" w:hAnsi="Trebuchet MS" w:cs="Arial"/>
          <w:b/>
          <w:sz w:val="22"/>
          <w:szCs w:val="22"/>
        </w:rPr>
        <w:t>Poluantul Ni</w:t>
      </w:r>
      <w:r w:rsidR="00B47078" w:rsidRPr="004F0887">
        <w:rPr>
          <w:rFonts w:ascii="Trebuchet MS" w:hAnsi="Trebuchet MS" w:cs="Arial"/>
          <w:sz w:val="22"/>
          <w:szCs w:val="22"/>
        </w:rPr>
        <w:t xml:space="preserve"> </w:t>
      </w:r>
      <w:r w:rsidRPr="004F0887">
        <w:rPr>
          <w:rFonts w:ascii="Trebuchet MS" w:hAnsi="Trebuchet MS" w:cs="Arial"/>
          <w:sz w:val="22"/>
          <w:szCs w:val="22"/>
        </w:rPr>
        <w:t xml:space="preserve"> </w:t>
      </w:r>
    </w:p>
    <w:p w:rsidR="00B47078" w:rsidRPr="004F0887" w:rsidRDefault="00B47078" w:rsidP="00CE608D">
      <w:pPr>
        <w:jc w:val="both"/>
        <w:rPr>
          <w:rFonts w:ascii="Trebuchet MS" w:hAnsi="Trebuchet MS" w:cs="Arial"/>
          <w:sz w:val="22"/>
          <w:szCs w:val="22"/>
        </w:rPr>
      </w:pPr>
      <w:r w:rsidRPr="004F0887">
        <w:rPr>
          <w:rFonts w:ascii="Trebuchet MS" w:hAnsi="Trebuchet MS" w:cs="Arial"/>
          <w:sz w:val="22"/>
          <w:szCs w:val="22"/>
        </w:rPr>
        <w:t xml:space="preserve">Pentru acest poluant </w:t>
      </w:r>
      <w:r w:rsidR="008A4988" w:rsidRPr="004F0887">
        <w:rPr>
          <w:rFonts w:ascii="Trebuchet MS" w:hAnsi="Trebuchet MS" w:cs="Arial"/>
          <w:sz w:val="22"/>
          <w:szCs w:val="22"/>
        </w:rPr>
        <w:t>nu a fost depăşită valoarea țin</w:t>
      </w:r>
      <w:r w:rsidRPr="004F0887">
        <w:rPr>
          <w:rFonts w:ascii="Trebuchet MS" w:hAnsi="Trebuchet MS" w:cs="Arial"/>
          <w:sz w:val="22"/>
          <w:szCs w:val="22"/>
        </w:rPr>
        <w:t>tă anuală pentru protecţia sănătăţii umane. Metalele grele se monitorizeaza doar la statiile de fond B1 si B7 iar monitorizarea se face prin măsurari indicative (8 săptămâni distribuite uniform pe parcursul anului)</w:t>
      </w:r>
    </w:p>
    <w:p w:rsidR="00550A00" w:rsidRPr="004F0887" w:rsidRDefault="00550A00" w:rsidP="00550A00">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I.1.1.1.2 </w:t>
      </w:r>
      <w:r w:rsidRPr="004F0887">
        <w:rPr>
          <w:rFonts w:ascii="Trebuchet MS" w:hAnsi="Trebuchet MS" w:cs="Arial"/>
          <w:sz w:val="22"/>
          <w:szCs w:val="22"/>
          <w:lang w:val="en-US"/>
        </w:rPr>
        <w:t>Concentraţii medii anuale de Ni  înregistrate la staţiile de monitorizare</w:t>
      </w:r>
    </w:p>
    <w:p w:rsidR="00AE762B" w:rsidRDefault="000946BE" w:rsidP="00F52479">
      <w:bookmarkStart w:id="17" w:name="_MON_1689667288"/>
      <w:bookmarkStart w:id="18" w:name="_MON_1565423683"/>
      <w:bookmarkStart w:id="19" w:name="_MON_1565430697"/>
      <w:bookmarkEnd w:id="17"/>
      <w:bookmarkEnd w:id="18"/>
      <w:bookmarkEnd w:id="19"/>
      <w:r>
        <w:rPr>
          <w:noProof/>
          <w:lang w:val="en-US"/>
        </w:rPr>
        <w:drawing>
          <wp:inline distT="0" distB="0" distL="0" distR="0" wp14:anchorId="3FAAD857" wp14:editId="183A5022">
            <wp:extent cx="5438775" cy="3181350"/>
            <wp:effectExtent l="0" t="0" r="0" b="0"/>
            <wp:docPr id="8"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E762B" w:rsidRDefault="00AE762B" w:rsidP="00F52479"/>
    <w:p w:rsidR="00AE762B" w:rsidRDefault="00AE762B" w:rsidP="00F52479"/>
    <w:p w:rsidR="008A4988" w:rsidRPr="004F0887" w:rsidRDefault="008A4988" w:rsidP="008A4988">
      <w:pPr>
        <w:rPr>
          <w:rFonts w:ascii="Trebuchet MS" w:hAnsi="Trebuchet MS" w:cs="Arial"/>
          <w:sz w:val="22"/>
          <w:szCs w:val="22"/>
        </w:rPr>
      </w:pPr>
      <w:r w:rsidRPr="004F0887">
        <w:rPr>
          <w:rFonts w:ascii="Trebuchet MS" w:hAnsi="Trebuchet MS" w:cs="Arial"/>
          <w:b/>
          <w:sz w:val="22"/>
          <w:szCs w:val="22"/>
        </w:rPr>
        <w:t>Poluantul As</w:t>
      </w:r>
      <w:r w:rsidRPr="004F0887">
        <w:rPr>
          <w:rFonts w:ascii="Trebuchet MS" w:hAnsi="Trebuchet MS" w:cs="Arial"/>
          <w:sz w:val="22"/>
          <w:szCs w:val="22"/>
        </w:rPr>
        <w:t xml:space="preserve">  </w:t>
      </w:r>
    </w:p>
    <w:p w:rsidR="008A4988" w:rsidRPr="004F0887" w:rsidRDefault="008A4988" w:rsidP="008A4988">
      <w:pPr>
        <w:jc w:val="both"/>
        <w:rPr>
          <w:rFonts w:ascii="Trebuchet MS" w:hAnsi="Trebuchet MS" w:cs="Arial"/>
          <w:sz w:val="22"/>
          <w:szCs w:val="22"/>
        </w:rPr>
      </w:pPr>
      <w:r w:rsidRPr="004F0887">
        <w:rPr>
          <w:rFonts w:ascii="Trebuchet MS" w:hAnsi="Trebuchet MS" w:cs="Arial"/>
          <w:sz w:val="22"/>
          <w:szCs w:val="22"/>
        </w:rPr>
        <w:t>Pentru acest poluant nu a fost depăşită valoarea țintă anuală pentru protecţia sănătăţii umane. Metalele grele se monitorizeaza doar la statiile de fond B1 si B7 iar monitorizarea se face prin măsurari indicative (8 săptămâni distribuite uniform pe parcursul anului)</w:t>
      </w:r>
    </w:p>
    <w:p w:rsidR="00550A00" w:rsidRPr="004F0887" w:rsidRDefault="00550A00" w:rsidP="008A4988">
      <w:pPr>
        <w:jc w:val="both"/>
        <w:rPr>
          <w:rFonts w:ascii="Trebuchet MS" w:hAnsi="Trebuchet MS" w:cs="Arial"/>
          <w:sz w:val="22"/>
          <w:szCs w:val="22"/>
        </w:rPr>
      </w:pPr>
    </w:p>
    <w:p w:rsidR="00550A00" w:rsidRPr="004F0887" w:rsidRDefault="00550A00" w:rsidP="00550A00">
      <w:pPr>
        <w:jc w:val="both"/>
        <w:rPr>
          <w:rFonts w:ascii="Trebuchet MS" w:hAnsi="Trebuchet MS" w:cs="Arial"/>
          <w:sz w:val="22"/>
          <w:szCs w:val="22"/>
          <w:lang w:val="en-US"/>
        </w:rPr>
      </w:pPr>
      <w:r w:rsidRPr="004F0887">
        <w:rPr>
          <w:rFonts w:ascii="Trebuchet MS" w:hAnsi="Trebuchet MS" w:cs="Arial"/>
          <w:sz w:val="22"/>
          <w:szCs w:val="22"/>
          <w:lang w:val="ro-RO"/>
        </w:rPr>
        <w:t xml:space="preserve">Grafic I.1.1.1.8 </w:t>
      </w:r>
      <w:r w:rsidRPr="004F0887">
        <w:rPr>
          <w:rFonts w:ascii="Trebuchet MS" w:hAnsi="Trebuchet MS" w:cs="Arial"/>
          <w:sz w:val="22"/>
          <w:szCs w:val="22"/>
          <w:lang w:val="en-US"/>
        </w:rPr>
        <w:t>Concentraţii medii anuale de As  înregistrate la staţiile de monitorizare</w:t>
      </w:r>
    </w:p>
    <w:p w:rsidR="008A4988" w:rsidRDefault="008A4988" w:rsidP="008A4988">
      <w:r>
        <w:rPr>
          <w:noProof/>
          <w:lang w:val="en-US"/>
        </w:rPr>
        <w:drawing>
          <wp:inline distT="0" distB="0" distL="0" distR="0" wp14:anchorId="65987B1F" wp14:editId="25B842A2">
            <wp:extent cx="5143500" cy="2933700"/>
            <wp:effectExtent l="0" t="0" r="0" b="0"/>
            <wp:docPr id="1847"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A4988" w:rsidRDefault="008A4988" w:rsidP="008A4988"/>
    <w:p w:rsidR="008A4988" w:rsidRPr="00474A5E" w:rsidRDefault="008A4988" w:rsidP="00F52479">
      <w:pPr>
        <w:rPr>
          <w:rFonts w:ascii="Trebuchet MS" w:hAnsi="Trebuchet MS"/>
        </w:rPr>
      </w:pPr>
    </w:p>
    <w:p w:rsidR="004F0887" w:rsidRDefault="004F0887" w:rsidP="00622C66">
      <w:pPr>
        <w:tabs>
          <w:tab w:val="left" w:leader="dot" w:pos="9356"/>
        </w:tabs>
        <w:jc w:val="both"/>
        <w:rPr>
          <w:rFonts w:ascii="Trebuchet MS" w:hAnsi="Trebuchet MS" w:cs="Arial"/>
          <w:b/>
          <w:lang w:val="ro-RO"/>
        </w:rPr>
      </w:pPr>
    </w:p>
    <w:p w:rsidR="004F0887" w:rsidRDefault="004F0887" w:rsidP="00622C66">
      <w:pPr>
        <w:tabs>
          <w:tab w:val="left" w:leader="dot" w:pos="9356"/>
        </w:tabs>
        <w:jc w:val="both"/>
        <w:rPr>
          <w:rFonts w:ascii="Trebuchet MS" w:hAnsi="Trebuchet MS" w:cs="Arial"/>
          <w:b/>
          <w:lang w:val="ro-RO"/>
        </w:rPr>
      </w:pPr>
    </w:p>
    <w:p w:rsidR="004F0887" w:rsidRDefault="004F0887" w:rsidP="00622C66">
      <w:pPr>
        <w:tabs>
          <w:tab w:val="left" w:leader="dot" w:pos="9356"/>
        </w:tabs>
        <w:jc w:val="both"/>
        <w:rPr>
          <w:rFonts w:ascii="Trebuchet MS" w:hAnsi="Trebuchet MS" w:cs="Arial"/>
          <w:b/>
          <w:lang w:val="ro-RO"/>
        </w:rPr>
      </w:pPr>
    </w:p>
    <w:p w:rsidR="00ED7470" w:rsidRDefault="00ED7470" w:rsidP="00622C66">
      <w:pPr>
        <w:tabs>
          <w:tab w:val="left" w:leader="dot" w:pos="9356"/>
        </w:tabs>
        <w:jc w:val="both"/>
        <w:rPr>
          <w:rFonts w:ascii="Trebuchet MS" w:hAnsi="Trebuchet MS" w:cs="Arial"/>
          <w:b/>
          <w:lang w:val="ro-RO"/>
        </w:rPr>
      </w:pPr>
    </w:p>
    <w:p w:rsidR="004F0887" w:rsidRDefault="004F0887" w:rsidP="00622C66">
      <w:pPr>
        <w:tabs>
          <w:tab w:val="left" w:leader="dot" w:pos="9356"/>
        </w:tabs>
        <w:jc w:val="both"/>
        <w:rPr>
          <w:rFonts w:ascii="Trebuchet MS" w:hAnsi="Trebuchet MS" w:cs="Arial"/>
          <w:b/>
          <w:lang w:val="ro-RO"/>
        </w:rPr>
      </w:pPr>
    </w:p>
    <w:p w:rsidR="00AE762B" w:rsidRPr="004F0887" w:rsidRDefault="00AE762B" w:rsidP="00622C66">
      <w:pPr>
        <w:tabs>
          <w:tab w:val="left" w:leader="dot" w:pos="9356"/>
        </w:tabs>
        <w:jc w:val="both"/>
        <w:rPr>
          <w:rFonts w:ascii="Trebuchet MS" w:hAnsi="Trebuchet MS" w:cs="Arial"/>
          <w:b/>
          <w:sz w:val="22"/>
          <w:szCs w:val="22"/>
          <w:lang w:val="ro-RO"/>
        </w:rPr>
      </w:pPr>
      <w:r w:rsidRPr="004F0887">
        <w:rPr>
          <w:rFonts w:ascii="Trebuchet MS" w:hAnsi="Trebuchet MS" w:cs="Arial"/>
          <w:b/>
          <w:sz w:val="22"/>
          <w:szCs w:val="22"/>
          <w:lang w:val="ro-RO"/>
        </w:rPr>
        <w:t>I.1.1.2 Tendinţe privind concentraţiile medii anuale ale anumitor poluanţi atmosferici</w:t>
      </w:r>
    </w:p>
    <w:p w:rsidR="00550A00" w:rsidRPr="004F0887" w:rsidRDefault="00550A00" w:rsidP="00622C66">
      <w:pPr>
        <w:tabs>
          <w:tab w:val="left" w:leader="dot" w:pos="9356"/>
        </w:tabs>
        <w:jc w:val="both"/>
        <w:rPr>
          <w:rFonts w:ascii="Trebuchet MS" w:hAnsi="Trebuchet MS" w:cs="Arial"/>
          <w:b/>
          <w:sz w:val="22"/>
          <w:szCs w:val="22"/>
          <w:lang w:val="ro-RO"/>
        </w:rPr>
      </w:pPr>
    </w:p>
    <w:p w:rsidR="00550A00" w:rsidRPr="004F0887" w:rsidRDefault="00550A00" w:rsidP="00622C66">
      <w:pPr>
        <w:tabs>
          <w:tab w:val="left" w:leader="dot" w:pos="9356"/>
        </w:tabs>
        <w:jc w:val="both"/>
        <w:rPr>
          <w:rFonts w:ascii="Trebuchet MS" w:hAnsi="Trebuchet MS" w:cs="Arial"/>
          <w:sz w:val="22"/>
          <w:szCs w:val="22"/>
          <w:lang w:val="ro-RO"/>
        </w:rPr>
      </w:pPr>
      <w:r w:rsidRPr="004F0887">
        <w:rPr>
          <w:rFonts w:ascii="Trebuchet MS" w:hAnsi="Trebuchet MS" w:cs="Arial"/>
          <w:sz w:val="22"/>
          <w:szCs w:val="22"/>
          <w:lang w:val="ro-RO"/>
        </w:rPr>
        <w:t>Grafic I.1.1.2.1 Evoluţia concentraţiilor medii anuale de PM 10 înregistrate la staţiile de monitorizare în raport cu valoare limită anuală</w:t>
      </w:r>
      <w:r w:rsidR="00F81BBA" w:rsidRPr="004F0887">
        <w:rPr>
          <w:rFonts w:ascii="Trebuchet MS" w:hAnsi="Trebuchet MS" w:cs="Arial"/>
          <w:sz w:val="22"/>
          <w:szCs w:val="22"/>
          <w:lang w:val="ro-RO"/>
        </w:rPr>
        <w:t xml:space="preserve"> (VL=40 micrograme/mc)</w:t>
      </w:r>
    </w:p>
    <w:p w:rsidR="00AE762B" w:rsidRPr="004F0887" w:rsidRDefault="00AE762B" w:rsidP="00622C66">
      <w:pPr>
        <w:tabs>
          <w:tab w:val="left" w:leader="dot" w:pos="9356"/>
        </w:tabs>
        <w:jc w:val="both"/>
        <w:rPr>
          <w:rFonts w:ascii="Arial" w:hAnsi="Arial" w:cs="Arial"/>
          <w:sz w:val="22"/>
          <w:szCs w:val="22"/>
          <w:lang w:val="ro-RO"/>
        </w:rPr>
      </w:pPr>
    </w:p>
    <w:bookmarkStart w:id="20" w:name="_MON_1784448045"/>
    <w:bookmarkEnd w:id="20"/>
    <w:p w:rsidR="00AE762B" w:rsidRPr="00F52479" w:rsidRDefault="00F81BBA" w:rsidP="00622C66">
      <w:pPr>
        <w:tabs>
          <w:tab w:val="left" w:leader="dot" w:pos="9356"/>
        </w:tabs>
        <w:jc w:val="both"/>
        <w:rPr>
          <w:rFonts w:ascii="Arial" w:hAnsi="Arial" w:cs="Arial"/>
          <w:lang w:val="ro-RO"/>
        </w:rPr>
      </w:pPr>
      <w:r>
        <w:rPr>
          <w:rFonts w:ascii="Arial" w:hAnsi="Arial" w:cs="Arial"/>
          <w:lang w:val="ro-RO"/>
        </w:rPr>
        <w:object w:dxaOrig="9624" w:dyaOrig="4819" w14:anchorId="3D35EA2C">
          <v:shape id="_x0000_i1025" type="#_x0000_t75" style="width:482.25pt;height:252.75pt" o:ole="">
            <v:imagedata r:id="rId17" o:title=""/>
          </v:shape>
          <o:OLEObject Type="Embed" ProgID="Excel.Sheet.12" ShapeID="_x0000_i1025" DrawAspect="Content" ObjectID="_1785157937" r:id="rId18"/>
        </w:object>
      </w:r>
    </w:p>
    <w:p w:rsidR="00AE762B" w:rsidRPr="004F0887" w:rsidRDefault="00AE762B" w:rsidP="001E6371">
      <w:pPr>
        <w:rPr>
          <w:rFonts w:ascii="Trebuchet MS" w:hAnsi="Trebuchet MS" w:cs="Arial"/>
          <w:sz w:val="22"/>
          <w:szCs w:val="22"/>
        </w:rPr>
      </w:pPr>
      <w:r w:rsidRPr="004F0887">
        <w:rPr>
          <w:rFonts w:ascii="Trebuchet MS" w:hAnsi="Trebuchet MS" w:cs="Arial"/>
          <w:sz w:val="22"/>
          <w:szCs w:val="22"/>
        </w:rPr>
        <w:t xml:space="preserve">Notă: din motive tehnice, pentru staţiile care lipsesc din grafic nu există date suficiente pentru a respecta criteriile de calitate conform Legii 104/2011.   </w:t>
      </w:r>
    </w:p>
    <w:p w:rsidR="00AE762B" w:rsidRPr="004F0887" w:rsidRDefault="00AE762B" w:rsidP="001E6371">
      <w:pPr>
        <w:rPr>
          <w:rFonts w:ascii="Trebuchet MS" w:hAnsi="Trebuchet MS" w:cs="Arial"/>
          <w:sz w:val="22"/>
          <w:szCs w:val="22"/>
        </w:rPr>
      </w:pPr>
    </w:p>
    <w:p w:rsidR="00AE762B" w:rsidRPr="004F0887" w:rsidRDefault="00AE762B" w:rsidP="00550A00">
      <w:pPr>
        <w:jc w:val="both"/>
        <w:rPr>
          <w:rFonts w:ascii="Trebuchet MS" w:hAnsi="Trebuchet MS" w:cs="Arial"/>
          <w:b/>
          <w:i/>
          <w:sz w:val="22"/>
          <w:szCs w:val="22"/>
        </w:rPr>
      </w:pPr>
      <w:r w:rsidRPr="004F0887">
        <w:rPr>
          <w:rFonts w:ascii="Trebuchet MS" w:hAnsi="Trebuchet MS" w:cs="Arial"/>
          <w:b/>
          <w:i/>
          <w:sz w:val="22"/>
          <w:szCs w:val="22"/>
        </w:rPr>
        <w:t xml:space="preserve">Pentru PM10, concentraţiile medii anuale </w:t>
      </w:r>
      <w:r w:rsidR="00C178BB" w:rsidRPr="004F0887">
        <w:rPr>
          <w:rFonts w:ascii="Trebuchet MS" w:hAnsi="Trebuchet MS" w:cs="Arial"/>
          <w:b/>
          <w:i/>
          <w:sz w:val="22"/>
          <w:szCs w:val="22"/>
        </w:rPr>
        <w:t>s-au mentinut</w:t>
      </w:r>
      <w:r w:rsidRPr="004F0887">
        <w:rPr>
          <w:rFonts w:ascii="Trebuchet MS" w:hAnsi="Trebuchet MS" w:cs="Arial"/>
          <w:b/>
          <w:i/>
          <w:sz w:val="22"/>
          <w:szCs w:val="22"/>
        </w:rPr>
        <w:t xml:space="preserve"> în ultimii </w:t>
      </w:r>
      <w:r w:rsidR="002C03FB" w:rsidRPr="004F0887">
        <w:rPr>
          <w:rFonts w:ascii="Trebuchet MS" w:hAnsi="Trebuchet MS" w:cs="Arial"/>
          <w:b/>
          <w:i/>
          <w:sz w:val="22"/>
          <w:szCs w:val="22"/>
        </w:rPr>
        <w:t>5</w:t>
      </w:r>
      <w:r w:rsidRPr="004F0887">
        <w:rPr>
          <w:rFonts w:ascii="Trebuchet MS" w:hAnsi="Trebuchet MS" w:cs="Arial"/>
          <w:b/>
          <w:i/>
          <w:sz w:val="22"/>
          <w:szCs w:val="22"/>
        </w:rPr>
        <w:t xml:space="preserve"> ani sub valorile limită anuale</w:t>
      </w:r>
      <w:r w:rsidR="003C3EE0" w:rsidRPr="004F0887">
        <w:rPr>
          <w:rFonts w:ascii="Trebuchet MS" w:hAnsi="Trebuchet MS" w:cs="Arial"/>
          <w:b/>
          <w:i/>
          <w:sz w:val="22"/>
          <w:szCs w:val="22"/>
        </w:rPr>
        <w:t xml:space="preserve"> iar in anul 2023</w:t>
      </w:r>
      <w:r w:rsidR="00945A94" w:rsidRPr="004F0887">
        <w:rPr>
          <w:rFonts w:ascii="Trebuchet MS" w:hAnsi="Trebuchet MS" w:cs="Arial"/>
          <w:b/>
          <w:i/>
          <w:sz w:val="22"/>
          <w:szCs w:val="22"/>
        </w:rPr>
        <w:t xml:space="preserve"> </w:t>
      </w:r>
      <w:r w:rsidR="0095726A" w:rsidRPr="004F0887">
        <w:rPr>
          <w:rFonts w:ascii="Trebuchet MS" w:hAnsi="Trebuchet MS" w:cs="Arial"/>
          <w:b/>
          <w:i/>
          <w:sz w:val="22"/>
          <w:szCs w:val="22"/>
        </w:rPr>
        <w:t>s-au mentinut la acelasi nivel ca și în anii</w:t>
      </w:r>
      <w:r w:rsidR="00945A94" w:rsidRPr="004F0887">
        <w:rPr>
          <w:rFonts w:ascii="Trebuchet MS" w:hAnsi="Trebuchet MS" w:cs="Arial"/>
          <w:b/>
          <w:i/>
          <w:sz w:val="22"/>
          <w:szCs w:val="22"/>
        </w:rPr>
        <w:t xml:space="preserve"> precedenti . </w:t>
      </w:r>
    </w:p>
    <w:p w:rsidR="009A1F6F" w:rsidRPr="004F0887" w:rsidRDefault="009A1F6F" w:rsidP="00550A00">
      <w:pPr>
        <w:jc w:val="both"/>
        <w:rPr>
          <w:rFonts w:ascii="Trebuchet MS" w:hAnsi="Trebuchet MS" w:cs="Arial"/>
          <w:b/>
          <w:i/>
          <w:sz w:val="22"/>
          <w:szCs w:val="22"/>
        </w:rPr>
      </w:pPr>
    </w:p>
    <w:p w:rsidR="00AE762B" w:rsidRPr="004F0887" w:rsidRDefault="00550A00" w:rsidP="00622C66">
      <w:pPr>
        <w:tabs>
          <w:tab w:val="left" w:leader="dot" w:pos="9356"/>
        </w:tabs>
        <w:jc w:val="both"/>
        <w:rPr>
          <w:rFonts w:ascii="Trebuchet MS" w:hAnsi="Trebuchet MS" w:cs="Arial"/>
          <w:sz w:val="22"/>
          <w:szCs w:val="22"/>
          <w:lang w:val="ro-RO"/>
        </w:rPr>
      </w:pPr>
      <w:r w:rsidRPr="004F0887">
        <w:rPr>
          <w:rFonts w:ascii="Trebuchet MS" w:hAnsi="Trebuchet MS" w:cs="Arial"/>
          <w:sz w:val="22"/>
          <w:szCs w:val="22"/>
          <w:lang w:val="ro-RO"/>
        </w:rPr>
        <w:t xml:space="preserve">Grafic I.1.1.2.2 Evoluţia concentraţiilor medii anuale </w:t>
      </w:r>
      <w:r w:rsidR="0091386E" w:rsidRPr="004F0887">
        <w:rPr>
          <w:rFonts w:ascii="Trebuchet MS" w:hAnsi="Trebuchet MS" w:cs="Arial"/>
          <w:sz w:val="22"/>
          <w:szCs w:val="22"/>
          <w:lang w:val="ro-RO"/>
        </w:rPr>
        <w:t xml:space="preserve">de </w:t>
      </w:r>
      <w:r w:rsidRPr="004F0887">
        <w:rPr>
          <w:rFonts w:ascii="Trebuchet MS" w:hAnsi="Trebuchet MS" w:cs="Arial"/>
          <w:sz w:val="22"/>
          <w:szCs w:val="22"/>
          <w:lang w:val="ro-RO"/>
        </w:rPr>
        <w:t>NO2 înregistrate la staţiile de monitorizare în raport cu valoare limită anuală</w:t>
      </w:r>
      <w:r w:rsidR="00F81BBA" w:rsidRPr="004F0887">
        <w:rPr>
          <w:rFonts w:ascii="Trebuchet MS" w:hAnsi="Trebuchet MS" w:cs="Arial"/>
          <w:sz w:val="22"/>
          <w:szCs w:val="22"/>
          <w:lang w:val="ro-RO"/>
        </w:rPr>
        <w:t xml:space="preserve"> (VL=40 micrograme/mc)</w:t>
      </w:r>
    </w:p>
    <w:bookmarkStart w:id="21" w:name="_MON_1784451362"/>
    <w:bookmarkEnd w:id="21"/>
    <w:p w:rsidR="00865365" w:rsidRDefault="0091386E" w:rsidP="00622C66">
      <w:pPr>
        <w:tabs>
          <w:tab w:val="left" w:leader="dot" w:pos="9356"/>
        </w:tabs>
        <w:jc w:val="both"/>
        <w:rPr>
          <w:rFonts w:ascii="Arial" w:hAnsi="Arial" w:cs="Arial"/>
          <w:lang w:val="ro-RO"/>
        </w:rPr>
      </w:pPr>
      <w:r>
        <w:rPr>
          <w:rFonts w:ascii="Arial" w:hAnsi="Arial" w:cs="Arial"/>
          <w:lang w:val="ro-RO"/>
        </w:rPr>
        <w:object w:dxaOrig="9612" w:dyaOrig="4720" w14:anchorId="58657133">
          <v:shape id="_x0000_i1026" type="#_x0000_t75" style="width:466.5pt;height:229.5pt" o:ole="">
            <v:imagedata r:id="rId19" o:title=""/>
          </v:shape>
          <o:OLEObject Type="Embed" ProgID="Excel.Sheet.12" ShapeID="_x0000_i1026" DrawAspect="Content" ObjectID="_1785157938" r:id="rId20"/>
        </w:object>
      </w:r>
    </w:p>
    <w:p w:rsidR="00AE762B" w:rsidRDefault="00AE762B" w:rsidP="00710FE3">
      <w:pPr>
        <w:rPr>
          <w:rFonts w:ascii="Arial" w:hAnsi="Arial" w:cs="Arial"/>
        </w:rPr>
      </w:pPr>
      <w:bookmarkStart w:id="22" w:name="_MON_1565429426"/>
      <w:bookmarkStart w:id="23" w:name="_MON_1721718482"/>
      <w:bookmarkEnd w:id="22"/>
      <w:bookmarkEnd w:id="23"/>
    </w:p>
    <w:p w:rsidR="00272573" w:rsidRPr="004F0887" w:rsidRDefault="00AE762B" w:rsidP="009A1F6F">
      <w:pPr>
        <w:jc w:val="both"/>
        <w:rPr>
          <w:rFonts w:ascii="Trebuchet MS" w:hAnsi="Trebuchet MS" w:cs="Arial"/>
          <w:sz w:val="22"/>
          <w:szCs w:val="22"/>
        </w:rPr>
      </w:pPr>
      <w:r w:rsidRPr="004F0887">
        <w:rPr>
          <w:rFonts w:ascii="Trebuchet MS" w:hAnsi="Trebuchet MS" w:cs="Arial"/>
          <w:sz w:val="22"/>
          <w:szCs w:val="22"/>
        </w:rPr>
        <w:t xml:space="preserve">Notă: din motive tehnice, pentru staţiile care lipsesc din grafic nu există date suficiente pentru a respecta criteriile de calitate conform Legii 104/2011. </w:t>
      </w:r>
    </w:p>
    <w:p w:rsidR="00AE762B" w:rsidRPr="004F0887" w:rsidRDefault="00AE762B" w:rsidP="00E26A83">
      <w:pPr>
        <w:jc w:val="both"/>
        <w:rPr>
          <w:rFonts w:ascii="Trebuchet MS" w:hAnsi="Trebuchet MS" w:cs="Arial"/>
          <w:b/>
          <w:i/>
          <w:sz w:val="22"/>
          <w:szCs w:val="22"/>
          <w:lang w:val="ro-RO"/>
        </w:rPr>
      </w:pPr>
      <w:r w:rsidRPr="004F0887">
        <w:rPr>
          <w:rFonts w:ascii="Trebuchet MS" w:hAnsi="Trebuchet MS" w:cs="Arial"/>
          <w:b/>
          <w:i/>
          <w:sz w:val="22"/>
          <w:szCs w:val="22"/>
        </w:rPr>
        <w:t xml:space="preserve">Pentru acest poluant,  </w:t>
      </w:r>
      <w:r w:rsidR="006E5BCA" w:rsidRPr="004F0887">
        <w:rPr>
          <w:rFonts w:ascii="Trebuchet MS" w:hAnsi="Trebuchet MS" w:cs="Arial"/>
          <w:b/>
          <w:i/>
          <w:sz w:val="22"/>
          <w:szCs w:val="22"/>
        </w:rPr>
        <w:t xml:space="preserve"> la staț</w:t>
      </w:r>
      <w:r w:rsidR="00147CFE" w:rsidRPr="004F0887">
        <w:rPr>
          <w:rFonts w:ascii="Trebuchet MS" w:hAnsi="Trebuchet MS" w:cs="Arial"/>
          <w:b/>
          <w:i/>
          <w:sz w:val="22"/>
          <w:szCs w:val="22"/>
        </w:rPr>
        <w:t>ia</w:t>
      </w:r>
      <w:r w:rsidRPr="004F0887">
        <w:rPr>
          <w:rFonts w:ascii="Trebuchet MS" w:hAnsi="Trebuchet MS" w:cs="Arial"/>
          <w:b/>
          <w:i/>
          <w:sz w:val="22"/>
          <w:szCs w:val="22"/>
        </w:rPr>
        <w:t xml:space="preserve"> de trafic </w:t>
      </w:r>
      <w:r w:rsidR="00147CFE" w:rsidRPr="004F0887">
        <w:rPr>
          <w:rFonts w:ascii="Trebuchet MS" w:hAnsi="Trebuchet MS" w:cs="Arial"/>
          <w:b/>
          <w:i/>
          <w:sz w:val="22"/>
          <w:szCs w:val="22"/>
        </w:rPr>
        <w:t xml:space="preserve">B3 unde anul trecut am reușit să ne incadrăm in valorile limită anuale, am înregistrat anul acesta o ușoară depășire a VL . In rest valorile concentrațiilor medii anuale  înregistrate in anul 2023 </w:t>
      </w:r>
      <w:r w:rsidRPr="004F0887">
        <w:rPr>
          <w:rFonts w:ascii="Trebuchet MS" w:hAnsi="Trebuchet MS" w:cs="Arial"/>
          <w:b/>
          <w:i/>
          <w:sz w:val="22"/>
          <w:szCs w:val="22"/>
        </w:rPr>
        <w:t xml:space="preserve"> </w:t>
      </w:r>
      <w:r w:rsidR="00147CFE" w:rsidRPr="004F0887">
        <w:rPr>
          <w:rFonts w:ascii="Trebuchet MS" w:hAnsi="Trebuchet MS" w:cs="Arial"/>
          <w:b/>
          <w:i/>
          <w:sz w:val="22"/>
          <w:szCs w:val="22"/>
        </w:rPr>
        <w:t>sunt la aproximativ la același nivel cu cele inregistrate în anii precedenți (la unele stații ușoară crestere, la altele ușoară descreștere)</w:t>
      </w:r>
      <w:r w:rsidR="006E5BCA" w:rsidRPr="004F0887">
        <w:rPr>
          <w:rFonts w:ascii="Trebuchet MS" w:hAnsi="Trebuchet MS" w:cs="Arial"/>
          <w:b/>
          <w:i/>
          <w:sz w:val="22"/>
          <w:szCs w:val="22"/>
        </w:rPr>
        <w:t>.</w:t>
      </w:r>
      <w:r w:rsidR="00B8438A" w:rsidRPr="004F0887">
        <w:rPr>
          <w:rFonts w:ascii="Trebuchet MS" w:hAnsi="Trebuchet MS" w:cs="Arial"/>
          <w:b/>
          <w:i/>
          <w:sz w:val="22"/>
          <w:szCs w:val="22"/>
          <w:lang w:val="ro-RO"/>
        </w:rPr>
        <w:t xml:space="preserve"> </w:t>
      </w:r>
    </w:p>
    <w:p w:rsidR="00AE762B" w:rsidRPr="0091386E" w:rsidRDefault="00AE762B" w:rsidP="00710FE3">
      <w:pPr>
        <w:rPr>
          <w:rFonts w:ascii="Trebuchet MS" w:hAnsi="Trebuchet MS" w:cs="Arial"/>
          <w:lang w:val="ro-RO"/>
        </w:rPr>
      </w:pPr>
    </w:p>
    <w:p w:rsidR="00AE762B" w:rsidRPr="004F0887" w:rsidRDefault="00AE762B" w:rsidP="00710FE3">
      <w:pPr>
        <w:rPr>
          <w:rFonts w:ascii="Trebuchet MS" w:hAnsi="Trebuchet MS" w:cs="Arial"/>
          <w:sz w:val="22"/>
          <w:szCs w:val="22"/>
          <w:lang w:val="ro-RO"/>
        </w:rPr>
      </w:pPr>
      <w:r w:rsidRPr="004F0887">
        <w:rPr>
          <w:rFonts w:ascii="Trebuchet MS" w:hAnsi="Trebuchet MS" w:cs="Arial"/>
          <w:sz w:val="22"/>
          <w:szCs w:val="22"/>
          <w:lang w:val="ro-RO"/>
        </w:rPr>
        <w:t xml:space="preserve"> </w:t>
      </w:r>
      <w:r w:rsidR="00F81BBA" w:rsidRPr="004F0887">
        <w:rPr>
          <w:rFonts w:ascii="Trebuchet MS" w:hAnsi="Trebuchet MS" w:cs="Arial"/>
          <w:sz w:val="22"/>
          <w:szCs w:val="22"/>
          <w:lang w:val="ro-RO"/>
        </w:rPr>
        <w:t xml:space="preserve">Grafic I.1.1.2.3 Evoluţia concentraţiilor medii anuale de SO2 înregistrate la staţiile de monitorizare </w:t>
      </w:r>
    </w:p>
    <w:bookmarkStart w:id="24" w:name="_MON_1784451804"/>
    <w:bookmarkEnd w:id="24"/>
    <w:bookmarkStart w:id="25" w:name="_MON_1784451784"/>
    <w:bookmarkEnd w:id="25"/>
    <w:p w:rsidR="007A007C" w:rsidRPr="004F0887" w:rsidRDefault="00F81BBA" w:rsidP="00710FE3">
      <w:pPr>
        <w:rPr>
          <w:rFonts w:ascii="Arial" w:hAnsi="Arial" w:cs="Arial"/>
          <w:sz w:val="22"/>
          <w:szCs w:val="22"/>
          <w:lang w:val="ro-RO"/>
        </w:rPr>
      </w:pPr>
      <w:r w:rsidRPr="004F0887">
        <w:rPr>
          <w:rFonts w:ascii="Trebuchet MS" w:hAnsi="Trebuchet MS" w:cs="Arial"/>
          <w:sz w:val="22"/>
          <w:szCs w:val="22"/>
          <w:lang w:val="ro-RO"/>
        </w:rPr>
        <w:object w:dxaOrig="9612" w:dyaOrig="4720" w14:anchorId="46B49BDA">
          <v:shape id="_x0000_i1027" type="#_x0000_t75" style="width:466.5pt;height:229.5pt" o:ole="">
            <v:imagedata r:id="rId21" o:title=""/>
          </v:shape>
          <o:OLEObject Type="Embed" ProgID="Excel.Sheet.12" ShapeID="_x0000_i1027" DrawAspect="Content" ObjectID="_1785157939" r:id="rId22"/>
        </w:object>
      </w:r>
    </w:p>
    <w:p w:rsidR="00AE762B" w:rsidRPr="004F0887" w:rsidRDefault="00AE762B" w:rsidP="00F81BBA">
      <w:pPr>
        <w:jc w:val="both"/>
        <w:rPr>
          <w:rFonts w:ascii="Trebuchet MS" w:hAnsi="Trebuchet MS" w:cs="Arial"/>
          <w:sz w:val="22"/>
          <w:szCs w:val="22"/>
        </w:rPr>
      </w:pPr>
      <w:bookmarkStart w:id="26" w:name="_MON_1565429820"/>
      <w:bookmarkStart w:id="27" w:name="_MON_1721719326"/>
      <w:bookmarkEnd w:id="26"/>
      <w:bookmarkEnd w:id="27"/>
      <w:r w:rsidRPr="004F0887">
        <w:rPr>
          <w:rFonts w:ascii="Trebuchet MS" w:hAnsi="Trebuchet MS" w:cs="Arial"/>
          <w:sz w:val="22"/>
          <w:szCs w:val="22"/>
        </w:rPr>
        <w:t xml:space="preserve">Notă: din motive tehnice, pentru staţiile care lipsesc din grafic nu există date suficiente pentru a respecta criteriile de calitate conform Legii 104/2011. </w:t>
      </w:r>
    </w:p>
    <w:p w:rsidR="00AE762B" w:rsidRPr="004F0887" w:rsidRDefault="00AE762B" w:rsidP="00710FE3">
      <w:pPr>
        <w:rPr>
          <w:rFonts w:ascii="Trebuchet MS" w:hAnsi="Trebuchet MS" w:cs="Arial"/>
          <w:b/>
          <w:i/>
          <w:sz w:val="22"/>
          <w:szCs w:val="22"/>
        </w:rPr>
      </w:pPr>
      <w:r w:rsidRPr="004F0887">
        <w:rPr>
          <w:rFonts w:ascii="Trebuchet MS" w:hAnsi="Trebuchet MS" w:cs="Arial"/>
          <w:b/>
          <w:i/>
          <w:sz w:val="22"/>
          <w:szCs w:val="22"/>
        </w:rPr>
        <w:t>Pentru acest poluant nu există valoare limită pentru concentraţia medie  anuală. În Bucureşti nu există probleme deosebite în ceea ce priveşte concentraţiile de SO2</w:t>
      </w:r>
    </w:p>
    <w:p w:rsidR="00F81BBA" w:rsidRPr="004F0887" w:rsidRDefault="00F81BBA" w:rsidP="00710FE3">
      <w:pPr>
        <w:rPr>
          <w:rFonts w:ascii="Trebuchet MS" w:hAnsi="Trebuchet MS" w:cs="Arial"/>
          <w:b/>
          <w:i/>
          <w:sz w:val="22"/>
          <w:szCs w:val="22"/>
        </w:rPr>
      </w:pPr>
    </w:p>
    <w:p w:rsidR="00AE762B" w:rsidRDefault="00AE762B" w:rsidP="00F81BBA">
      <w:pPr>
        <w:tabs>
          <w:tab w:val="left" w:leader="dot" w:pos="9356"/>
        </w:tabs>
        <w:jc w:val="both"/>
        <w:rPr>
          <w:rFonts w:ascii="Arial" w:hAnsi="Arial" w:cs="Arial"/>
        </w:rPr>
      </w:pPr>
      <w:r w:rsidRPr="004F0887">
        <w:rPr>
          <w:rFonts w:ascii="Arial" w:hAnsi="Arial" w:cs="Arial"/>
          <w:sz w:val="22"/>
          <w:szCs w:val="22"/>
        </w:rPr>
        <w:t xml:space="preserve">  </w:t>
      </w:r>
      <w:r w:rsidR="00F81BBA" w:rsidRPr="004F0887">
        <w:rPr>
          <w:rFonts w:ascii="Trebuchet MS" w:hAnsi="Trebuchet MS" w:cs="Arial"/>
          <w:sz w:val="22"/>
          <w:szCs w:val="22"/>
          <w:lang w:val="ro-RO"/>
        </w:rPr>
        <w:t>Grafic I.1.1.2.4 Evoluţia concentraţiilor medii anuale de Pb înregistrate la staţiile de monitorizare în raport cu valoare limită anuală</w:t>
      </w:r>
      <w:r w:rsidRPr="004F0887">
        <w:rPr>
          <w:rFonts w:ascii="Arial" w:hAnsi="Arial" w:cs="Arial"/>
          <w:sz w:val="22"/>
          <w:szCs w:val="22"/>
        </w:rPr>
        <w:t xml:space="preserve">   </w:t>
      </w:r>
      <w:r w:rsidR="00F81BBA" w:rsidRPr="004F0887">
        <w:rPr>
          <w:rFonts w:ascii="Trebuchet MS" w:hAnsi="Trebuchet MS" w:cs="Arial"/>
          <w:sz w:val="22"/>
          <w:szCs w:val="22"/>
          <w:lang w:val="ro-RO"/>
        </w:rPr>
        <w:t>(VL=0,5 micrograme/mc)</w:t>
      </w:r>
      <w:r w:rsidR="00F81BBA">
        <w:rPr>
          <w:rFonts w:ascii="Arial" w:hAnsi="Arial" w:cs="Arial"/>
        </w:rPr>
        <w:t xml:space="preserve">  </w:t>
      </w:r>
      <w:bookmarkStart w:id="28" w:name="_MON_1721719769"/>
      <w:bookmarkStart w:id="29" w:name="_MON_1565430434"/>
      <w:bookmarkStart w:id="30" w:name="_MON_1565429929"/>
      <w:bookmarkStart w:id="31" w:name="_MON_1565429983"/>
      <w:bookmarkStart w:id="32" w:name="_MON_1690008181"/>
      <w:bookmarkStart w:id="33" w:name="_MON_1690008280"/>
      <w:bookmarkStart w:id="34" w:name="_MON_1565430413"/>
      <w:bookmarkEnd w:id="28"/>
      <w:bookmarkEnd w:id="29"/>
      <w:bookmarkEnd w:id="30"/>
      <w:bookmarkEnd w:id="31"/>
      <w:bookmarkEnd w:id="32"/>
      <w:bookmarkEnd w:id="33"/>
      <w:bookmarkEnd w:id="34"/>
      <w:r w:rsidR="000946BE">
        <w:rPr>
          <w:rFonts w:ascii="Arial" w:hAnsi="Arial" w:cs="Arial"/>
          <w:noProof/>
          <w:lang w:val="en-US"/>
        </w:rPr>
        <w:drawing>
          <wp:inline distT="0" distB="0" distL="0" distR="0" wp14:anchorId="6553AD47" wp14:editId="562B7667">
            <wp:extent cx="5772150" cy="3152775"/>
            <wp:effectExtent l="0" t="0" r="19050" b="9525"/>
            <wp:docPr id="12" name="Objec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762B" w:rsidRPr="00F81BBA" w:rsidRDefault="00AE762B" w:rsidP="00710FE3">
      <w:pPr>
        <w:rPr>
          <w:rFonts w:ascii="Trebuchet MS" w:hAnsi="Trebuchet MS" w:cs="Arial"/>
        </w:rPr>
      </w:pPr>
    </w:p>
    <w:p w:rsidR="00AE762B" w:rsidRPr="004F0887" w:rsidRDefault="00AE762B" w:rsidP="00153EC3">
      <w:pPr>
        <w:jc w:val="both"/>
        <w:rPr>
          <w:rFonts w:ascii="Trebuchet MS" w:hAnsi="Trebuchet MS" w:cs="Arial"/>
          <w:sz w:val="22"/>
          <w:szCs w:val="22"/>
        </w:rPr>
      </w:pPr>
      <w:r w:rsidRPr="004F0887">
        <w:rPr>
          <w:rFonts w:ascii="Trebuchet MS" w:hAnsi="Trebuchet MS" w:cs="Arial"/>
          <w:sz w:val="22"/>
          <w:szCs w:val="22"/>
        </w:rPr>
        <w:t xml:space="preserve">Notă: din motive tehnice, pentru staţiile care lipsesc din grafic nu există date suficiente pentru a respecta criteriile de calitate conform Legii 104/2011.   </w:t>
      </w:r>
    </w:p>
    <w:p w:rsidR="00AE762B" w:rsidRDefault="00AE762B" w:rsidP="00710FE3">
      <w:pPr>
        <w:rPr>
          <w:rFonts w:ascii="Trebuchet MS" w:hAnsi="Trebuchet MS" w:cs="Arial"/>
          <w:b/>
          <w:i/>
          <w:sz w:val="22"/>
          <w:szCs w:val="22"/>
        </w:rPr>
      </w:pPr>
      <w:r w:rsidRPr="004F0887">
        <w:rPr>
          <w:rFonts w:ascii="Trebuchet MS" w:hAnsi="Trebuchet MS" w:cs="Arial"/>
          <w:b/>
          <w:i/>
          <w:sz w:val="22"/>
          <w:szCs w:val="22"/>
        </w:rPr>
        <w:t xml:space="preserve">Pentru acest poluant, tendinţa este de </w:t>
      </w:r>
      <w:r w:rsidR="00CC47AD" w:rsidRPr="004F0887">
        <w:rPr>
          <w:rFonts w:ascii="Trebuchet MS" w:hAnsi="Trebuchet MS" w:cs="Arial"/>
          <w:b/>
          <w:i/>
          <w:sz w:val="22"/>
          <w:szCs w:val="22"/>
        </w:rPr>
        <w:t>mentinere</w:t>
      </w:r>
      <w:r w:rsidRPr="004F0887">
        <w:rPr>
          <w:rFonts w:ascii="Trebuchet MS" w:hAnsi="Trebuchet MS" w:cs="Arial"/>
          <w:b/>
          <w:i/>
          <w:sz w:val="22"/>
          <w:szCs w:val="22"/>
        </w:rPr>
        <w:t xml:space="preserve"> a concentraţiilor medii anuale, care au fost întotdeauna mult sub valorile limită</w:t>
      </w:r>
    </w:p>
    <w:p w:rsidR="004F0887" w:rsidRDefault="004F0887" w:rsidP="00710FE3">
      <w:pPr>
        <w:rPr>
          <w:rFonts w:ascii="Trebuchet MS" w:hAnsi="Trebuchet MS" w:cs="Arial"/>
          <w:b/>
          <w:i/>
          <w:sz w:val="22"/>
          <w:szCs w:val="22"/>
        </w:rPr>
      </w:pPr>
    </w:p>
    <w:p w:rsidR="004F0887" w:rsidRDefault="004F0887" w:rsidP="00710FE3">
      <w:pPr>
        <w:rPr>
          <w:rFonts w:ascii="Trebuchet MS" w:hAnsi="Trebuchet MS" w:cs="Arial"/>
          <w:b/>
          <w:i/>
          <w:sz w:val="22"/>
          <w:szCs w:val="22"/>
        </w:rPr>
      </w:pPr>
    </w:p>
    <w:p w:rsidR="004F0887" w:rsidRDefault="004F0887" w:rsidP="00710FE3">
      <w:pPr>
        <w:rPr>
          <w:rFonts w:ascii="Trebuchet MS" w:hAnsi="Trebuchet MS" w:cs="Arial"/>
          <w:b/>
          <w:i/>
          <w:sz w:val="22"/>
          <w:szCs w:val="22"/>
        </w:rPr>
      </w:pPr>
    </w:p>
    <w:p w:rsidR="004F0887" w:rsidRDefault="004F0887" w:rsidP="00710FE3">
      <w:pPr>
        <w:rPr>
          <w:rFonts w:ascii="Trebuchet MS" w:hAnsi="Trebuchet MS" w:cs="Arial"/>
          <w:b/>
          <w:i/>
          <w:sz w:val="22"/>
          <w:szCs w:val="22"/>
        </w:rPr>
      </w:pPr>
    </w:p>
    <w:p w:rsidR="004F0887" w:rsidRPr="004F0887" w:rsidRDefault="004F0887" w:rsidP="00710FE3">
      <w:pPr>
        <w:rPr>
          <w:rFonts w:ascii="Trebuchet MS" w:hAnsi="Trebuchet MS" w:cs="Arial"/>
          <w:b/>
          <w:i/>
          <w:sz w:val="22"/>
          <w:szCs w:val="22"/>
        </w:rPr>
      </w:pPr>
    </w:p>
    <w:p w:rsidR="00235881" w:rsidRPr="004F0887" w:rsidRDefault="00235881" w:rsidP="00710FE3">
      <w:pPr>
        <w:rPr>
          <w:rFonts w:ascii="Trebuchet MS" w:hAnsi="Trebuchet MS" w:cs="Arial"/>
          <w:b/>
          <w:i/>
          <w:sz w:val="22"/>
          <w:szCs w:val="22"/>
        </w:rPr>
      </w:pPr>
      <w:r w:rsidRPr="004F0887">
        <w:rPr>
          <w:rFonts w:ascii="Arial" w:hAnsi="Arial" w:cs="Arial"/>
          <w:sz w:val="22"/>
          <w:szCs w:val="22"/>
        </w:rPr>
        <w:t xml:space="preserve">  </w:t>
      </w:r>
      <w:r w:rsidRPr="004F0887">
        <w:rPr>
          <w:rFonts w:ascii="Trebuchet MS" w:hAnsi="Trebuchet MS" w:cs="Arial"/>
          <w:sz w:val="22"/>
          <w:szCs w:val="22"/>
          <w:lang w:val="ro-RO"/>
        </w:rPr>
        <w:t>Grafic I.1.1.2.5 Evoluţia concentraţiilor medii anuale de Cd înregistrate la staţiile de monitorizare în raport cu valoare limită anuală</w:t>
      </w:r>
      <w:r w:rsidRPr="004F0887">
        <w:rPr>
          <w:rFonts w:ascii="Arial" w:hAnsi="Arial" w:cs="Arial"/>
          <w:sz w:val="22"/>
          <w:szCs w:val="22"/>
        </w:rPr>
        <w:t xml:space="preserve">   </w:t>
      </w:r>
      <w:r w:rsidRPr="004F0887">
        <w:rPr>
          <w:rFonts w:ascii="Trebuchet MS" w:hAnsi="Trebuchet MS" w:cs="Arial"/>
          <w:sz w:val="22"/>
          <w:szCs w:val="22"/>
          <w:lang w:val="ro-RO"/>
        </w:rPr>
        <w:t>(VL= 5 nanograme/mc)</w:t>
      </w:r>
      <w:r w:rsidRPr="004F0887">
        <w:rPr>
          <w:rFonts w:ascii="Arial" w:hAnsi="Arial" w:cs="Arial"/>
          <w:sz w:val="22"/>
          <w:szCs w:val="22"/>
        </w:rPr>
        <w:t xml:space="preserve">  </w:t>
      </w:r>
    </w:p>
    <w:p w:rsidR="00F81BBA" w:rsidRPr="004F0887" w:rsidRDefault="00F81BBA" w:rsidP="00710FE3">
      <w:pPr>
        <w:rPr>
          <w:rFonts w:ascii="Trebuchet MS" w:hAnsi="Trebuchet MS" w:cs="Arial"/>
          <w:b/>
          <w:i/>
          <w:sz w:val="22"/>
          <w:szCs w:val="22"/>
        </w:rPr>
      </w:pPr>
    </w:p>
    <w:p w:rsidR="00AE762B" w:rsidRDefault="000946BE" w:rsidP="00710FE3">
      <w:pPr>
        <w:jc w:val="center"/>
        <w:rPr>
          <w:rFonts w:ascii="Arial" w:hAnsi="Arial" w:cs="Arial"/>
        </w:rPr>
      </w:pPr>
      <w:bookmarkStart w:id="35" w:name="_MON_1565430244"/>
      <w:bookmarkStart w:id="36" w:name="_MON_1690008328"/>
      <w:bookmarkStart w:id="37" w:name="_MON_1565430296"/>
      <w:bookmarkStart w:id="38" w:name="_MON_1565430379"/>
      <w:bookmarkStart w:id="39" w:name="_MON_1721721195"/>
      <w:bookmarkEnd w:id="35"/>
      <w:bookmarkEnd w:id="36"/>
      <w:bookmarkEnd w:id="37"/>
      <w:bookmarkEnd w:id="38"/>
      <w:bookmarkEnd w:id="39"/>
      <w:r>
        <w:rPr>
          <w:rFonts w:ascii="Arial" w:hAnsi="Arial" w:cs="Arial"/>
          <w:noProof/>
          <w:lang w:val="en-US"/>
        </w:rPr>
        <w:drawing>
          <wp:inline distT="0" distB="0" distL="0" distR="0" wp14:anchorId="3F09F2AC" wp14:editId="7BAF982F">
            <wp:extent cx="5762625" cy="3248025"/>
            <wp:effectExtent l="0" t="0" r="9525" b="9525"/>
            <wp:docPr id="13" name="Objec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E762B" w:rsidRPr="004F0887" w:rsidRDefault="00AE762B" w:rsidP="00153EC3">
      <w:pPr>
        <w:jc w:val="both"/>
        <w:rPr>
          <w:rFonts w:ascii="Trebuchet MS" w:hAnsi="Trebuchet MS" w:cs="Arial"/>
          <w:sz w:val="22"/>
          <w:szCs w:val="22"/>
        </w:rPr>
      </w:pPr>
      <w:r w:rsidRPr="004F0887">
        <w:rPr>
          <w:rFonts w:ascii="Trebuchet MS" w:hAnsi="Trebuchet MS" w:cs="Arial"/>
          <w:sz w:val="22"/>
          <w:szCs w:val="22"/>
        </w:rPr>
        <w:t xml:space="preserve">Notă: din motive tehnice, pentru staţiile care lipsesc din grafic nu există date suficiente pentru a respecta criteriile de calitate conform Legii 104/2011.   </w:t>
      </w:r>
    </w:p>
    <w:p w:rsidR="00AE762B" w:rsidRPr="004F0887" w:rsidRDefault="00AE762B" w:rsidP="00356459">
      <w:pPr>
        <w:rPr>
          <w:rFonts w:ascii="Trebuchet MS" w:hAnsi="Trebuchet MS" w:cs="Arial"/>
          <w:b/>
          <w:i/>
          <w:sz w:val="22"/>
          <w:szCs w:val="22"/>
        </w:rPr>
      </w:pPr>
      <w:r w:rsidRPr="004F0887">
        <w:rPr>
          <w:rFonts w:ascii="Trebuchet MS" w:hAnsi="Trebuchet MS" w:cs="Arial"/>
          <w:b/>
          <w:i/>
          <w:sz w:val="22"/>
          <w:szCs w:val="22"/>
        </w:rPr>
        <w:t>Pentru cadmiu</w:t>
      </w:r>
      <w:r w:rsidR="006765EE" w:rsidRPr="004F0887">
        <w:rPr>
          <w:rFonts w:ascii="Trebuchet MS" w:hAnsi="Trebuchet MS" w:cs="Arial"/>
          <w:b/>
          <w:i/>
          <w:sz w:val="22"/>
          <w:szCs w:val="22"/>
        </w:rPr>
        <w:t xml:space="preserve"> se observă</w:t>
      </w:r>
      <w:r w:rsidRPr="004F0887">
        <w:rPr>
          <w:rFonts w:ascii="Trebuchet MS" w:hAnsi="Trebuchet MS" w:cs="Arial"/>
          <w:b/>
          <w:i/>
          <w:sz w:val="22"/>
          <w:szCs w:val="22"/>
        </w:rPr>
        <w:t xml:space="preserve"> </w:t>
      </w:r>
      <w:r w:rsidR="006765EE" w:rsidRPr="004F0887">
        <w:rPr>
          <w:rFonts w:ascii="Trebuchet MS" w:hAnsi="Trebuchet MS" w:cs="Arial"/>
          <w:b/>
          <w:i/>
          <w:sz w:val="22"/>
          <w:szCs w:val="22"/>
        </w:rPr>
        <w:t>crestere</w:t>
      </w:r>
      <w:r w:rsidRPr="004F0887">
        <w:rPr>
          <w:rFonts w:ascii="Trebuchet MS" w:hAnsi="Trebuchet MS" w:cs="Arial"/>
          <w:b/>
          <w:i/>
          <w:sz w:val="22"/>
          <w:szCs w:val="22"/>
        </w:rPr>
        <w:t xml:space="preserve"> a concentraţiilor medii anuale</w:t>
      </w:r>
      <w:r w:rsidR="006765EE" w:rsidRPr="004F0887">
        <w:rPr>
          <w:rFonts w:ascii="Trebuchet MS" w:hAnsi="Trebuchet MS" w:cs="Arial"/>
          <w:b/>
          <w:i/>
          <w:sz w:val="22"/>
          <w:szCs w:val="22"/>
        </w:rPr>
        <w:t xml:space="preserve"> față de anii</w:t>
      </w:r>
      <w:r w:rsidR="00DA1E6D" w:rsidRPr="004F0887">
        <w:rPr>
          <w:rFonts w:ascii="Trebuchet MS" w:hAnsi="Trebuchet MS" w:cs="Arial"/>
          <w:b/>
          <w:i/>
          <w:sz w:val="22"/>
          <w:szCs w:val="22"/>
        </w:rPr>
        <w:t xml:space="preserve"> precedent</w:t>
      </w:r>
      <w:r w:rsidR="006765EE" w:rsidRPr="004F0887">
        <w:rPr>
          <w:rFonts w:ascii="Trebuchet MS" w:hAnsi="Trebuchet MS" w:cs="Arial"/>
          <w:b/>
          <w:i/>
          <w:sz w:val="22"/>
          <w:szCs w:val="22"/>
        </w:rPr>
        <w:t>i</w:t>
      </w:r>
      <w:r w:rsidRPr="004F0887">
        <w:rPr>
          <w:rFonts w:ascii="Trebuchet MS" w:hAnsi="Trebuchet MS" w:cs="Arial"/>
          <w:b/>
          <w:i/>
          <w:sz w:val="22"/>
          <w:szCs w:val="22"/>
        </w:rPr>
        <w:t xml:space="preserve">, </w:t>
      </w:r>
      <w:r w:rsidR="006765EE" w:rsidRPr="004F0887">
        <w:rPr>
          <w:rFonts w:ascii="Trebuchet MS" w:hAnsi="Trebuchet MS" w:cs="Arial"/>
          <w:b/>
          <w:i/>
          <w:sz w:val="22"/>
          <w:szCs w:val="22"/>
        </w:rPr>
        <w:t xml:space="preserve">dar acestea rămân mult </w:t>
      </w:r>
      <w:r w:rsidRPr="004F0887">
        <w:rPr>
          <w:rFonts w:ascii="Trebuchet MS" w:hAnsi="Trebuchet MS" w:cs="Arial"/>
          <w:b/>
          <w:i/>
          <w:sz w:val="22"/>
          <w:szCs w:val="22"/>
        </w:rPr>
        <w:t xml:space="preserve"> sub valorile limită. </w:t>
      </w:r>
    </w:p>
    <w:p w:rsidR="00AE762B" w:rsidRPr="004F0887" w:rsidRDefault="00AE762B" w:rsidP="00710FE3">
      <w:pPr>
        <w:rPr>
          <w:rFonts w:ascii="Trebuchet MS" w:hAnsi="Trebuchet MS" w:cs="Arial"/>
          <w:sz w:val="22"/>
          <w:szCs w:val="22"/>
        </w:rPr>
      </w:pPr>
    </w:p>
    <w:p w:rsidR="00AE762B" w:rsidRPr="004F0887" w:rsidRDefault="00235881" w:rsidP="00710FE3">
      <w:pPr>
        <w:tabs>
          <w:tab w:val="left" w:pos="2454"/>
        </w:tabs>
        <w:rPr>
          <w:rFonts w:ascii="Trebuchet MS" w:hAnsi="Trebuchet MS" w:cs="Arial"/>
          <w:sz w:val="22"/>
          <w:szCs w:val="22"/>
        </w:rPr>
      </w:pPr>
      <w:r w:rsidRPr="004F0887">
        <w:rPr>
          <w:rFonts w:ascii="Arial" w:hAnsi="Arial" w:cs="Arial"/>
          <w:sz w:val="22"/>
          <w:szCs w:val="22"/>
        </w:rPr>
        <w:t xml:space="preserve">  </w:t>
      </w:r>
      <w:r w:rsidRPr="004F0887">
        <w:rPr>
          <w:rFonts w:ascii="Trebuchet MS" w:hAnsi="Trebuchet MS" w:cs="Arial"/>
          <w:sz w:val="22"/>
          <w:szCs w:val="22"/>
          <w:lang w:val="ro-RO"/>
        </w:rPr>
        <w:t>Grafic I.1.1.2.6 Evoluţia concentraţiilor medii anuale de Ni  înregistrate la staţiile de monitorizare în raport cu valoare limită anuală</w:t>
      </w:r>
      <w:r w:rsidRPr="004F0887">
        <w:rPr>
          <w:rFonts w:ascii="Arial" w:hAnsi="Arial" w:cs="Arial"/>
          <w:sz w:val="22"/>
          <w:szCs w:val="22"/>
        </w:rPr>
        <w:t xml:space="preserve">   </w:t>
      </w:r>
      <w:r w:rsidRPr="004F0887">
        <w:rPr>
          <w:rFonts w:ascii="Trebuchet MS" w:hAnsi="Trebuchet MS" w:cs="Arial"/>
          <w:sz w:val="22"/>
          <w:szCs w:val="22"/>
          <w:lang w:val="ro-RO"/>
        </w:rPr>
        <w:t>(VL=20 nanograme/mc)</w:t>
      </w:r>
      <w:r w:rsidRPr="004F0887">
        <w:rPr>
          <w:rFonts w:ascii="Arial" w:hAnsi="Arial" w:cs="Arial"/>
          <w:sz w:val="22"/>
          <w:szCs w:val="22"/>
        </w:rPr>
        <w:t xml:space="preserve">  </w:t>
      </w:r>
    </w:p>
    <w:p w:rsidR="00AE762B" w:rsidRDefault="000946BE" w:rsidP="00710FE3">
      <w:pPr>
        <w:tabs>
          <w:tab w:val="left" w:pos="2454"/>
        </w:tabs>
        <w:rPr>
          <w:rFonts w:ascii="Arial" w:hAnsi="Arial" w:cs="Arial"/>
        </w:rPr>
      </w:pPr>
      <w:bookmarkStart w:id="40" w:name="_MON_1690008578"/>
      <w:bookmarkStart w:id="41" w:name="_MON_1690008682"/>
      <w:bookmarkStart w:id="42" w:name="_MON_1565430869"/>
      <w:bookmarkStart w:id="43" w:name="_MON_1565430922"/>
      <w:bookmarkStart w:id="44" w:name="_MON_1721721284"/>
      <w:bookmarkEnd w:id="40"/>
      <w:bookmarkEnd w:id="41"/>
      <w:bookmarkEnd w:id="42"/>
      <w:bookmarkEnd w:id="43"/>
      <w:bookmarkEnd w:id="44"/>
      <w:r>
        <w:rPr>
          <w:rFonts w:ascii="Arial" w:hAnsi="Arial" w:cs="Arial"/>
          <w:noProof/>
          <w:lang w:val="en-US"/>
        </w:rPr>
        <w:drawing>
          <wp:inline distT="0" distB="0" distL="0" distR="0" wp14:anchorId="26405CE6" wp14:editId="0E389B61">
            <wp:extent cx="5762625" cy="3248025"/>
            <wp:effectExtent l="0" t="0" r="9525" b="9525"/>
            <wp:docPr id="14" name="Objec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E762B" w:rsidRPr="004F0887" w:rsidRDefault="00AE762B" w:rsidP="00235881">
      <w:pPr>
        <w:jc w:val="both"/>
        <w:rPr>
          <w:rFonts w:ascii="Trebuchet MS" w:hAnsi="Trebuchet MS" w:cs="Arial"/>
          <w:sz w:val="22"/>
          <w:szCs w:val="22"/>
        </w:rPr>
      </w:pPr>
      <w:r w:rsidRPr="004F0887">
        <w:rPr>
          <w:rFonts w:ascii="Trebuchet MS" w:hAnsi="Trebuchet MS" w:cs="Arial"/>
          <w:sz w:val="22"/>
          <w:szCs w:val="22"/>
        </w:rPr>
        <w:t xml:space="preserve">Notă: din motive tehnice, pentru staţiile care lipsesc din grafic nu există date suficiente pentru a respecta criteriile de calitate conform Legii 104/2011.   </w:t>
      </w:r>
    </w:p>
    <w:p w:rsidR="00AE762B" w:rsidRPr="004F0887" w:rsidRDefault="00AE762B" w:rsidP="00C022B0">
      <w:pPr>
        <w:jc w:val="both"/>
        <w:rPr>
          <w:rFonts w:ascii="Trebuchet MS" w:hAnsi="Trebuchet MS" w:cs="Arial"/>
          <w:b/>
          <w:i/>
          <w:sz w:val="22"/>
          <w:szCs w:val="22"/>
          <w:lang w:val="ro-RO"/>
        </w:rPr>
      </w:pPr>
      <w:r w:rsidRPr="004F0887">
        <w:rPr>
          <w:rFonts w:ascii="Trebuchet MS" w:hAnsi="Trebuchet MS" w:cs="Arial"/>
          <w:b/>
          <w:i/>
          <w:sz w:val="22"/>
          <w:szCs w:val="22"/>
        </w:rPr>
        <w:t>Concentraţiile medii anuale pentru acest poluant sunt mult sub valori</w:t>
      </w:r>
      <w:r w:rsidR="00C022B0" w:rsidRPr="004F0887">
        <w:rPr>
          <w:rFonts w:ascii="Trebuchet MS" w:hAnsi="Trebuchet MS" w:cs="Arial"/>
          <w:b/>
          <w:i/>
          <w:sz w:val="22"/>
          <w:szCs w:val="22"/>
        </w:rPr>
        <w:t>le limită</w:t>
      </w:r>
      <w:r w:rsidR="00E84EC8" w:rsidRPr="004F0887">
        <w:rPr>
          <w:rFonts w:ascii="Trebuchet MS" w:hAnsi="Trebuchet MS" w:cs="Arial"/>
          <w:b/>
          <w:i/>
          <w:sz w:val="22"/>
          <w:szCs w:val="22"/>
        </w:rPr>
        <w:t xml:space="preserve">. </w:t>
      </w:r>
      <w:r w:rsidR="00126D66" w:rsidRPr="004F0887">
        <w:rPr>
          <w:rFonts w:ascii="Trebuchet MS" w:hAnsi="Trebuchet MS" w:cs="Arial"/>
          <w:b/>
          <w:i/>
          <w:sz w:val="22"/>
          <w:szCs w:val="22"/>
        </w:rPr>
        <w:t>S</w:t>
      </w:r>
      <w:r w:rsidR="00C022B0" w:rsidRPr="004F0887">
        <w:rPr>
          <w:rFonts w:ascii="Trebuchet MS" w:hAnsi="Trebuchet MS" w:cs="Arial"/>
          <w:b/>
          <w:i/>
          <w:sz w:val="22"/>
          <w:szCs w:val="22"/>
        </w:rPr>
        <w:t xml:space="preserve">e înregistrează o </w:t>
      </w:r>
      <w:r w:rsidR="005D7D0C" w:rsidRPr="004F0887">
        <w:rPr>
          <w:rFonts w:ascii="Trebuchet MS" w:hAnsi="Trebuchet MS" w:cs="Arial"/>
          <w:b/>
          <w:i/>
          <w:sz w:val="22"/>
          <w:szCs w:val="22"/>
        </w:rPr>
        <w:t>des</w:t>
      </w:r>
      <w:r w:rsidR="00126D66" w:rsidRPr="004F0887">
        <w:rPr>
          <w:rFonts w:ascii="Trebuchet MS" w:hAnsi="Trebuchet MS" w:cs="Arial"/>
          <w:b/>
          <w:i/>
          <w:sz w:val="22"/>
          <w:szCs w:val="22"/>
        </w:rPr>
        <w:t xml:space="preserve">crestere </w:t>
      </w:r>
      <w:r w:rsidR="00C022B0" w:rsidRPr="004F0887">
        <w:rPr>
          <w:rFonts w:ascii="Trebuchet MS" w:hAnsi="Trebuchet MS" w:cs="Arial"/>
          <w:b/>
          <w:i/>
          <w:sz w:val="22"/>
          <w:szCs w:val="22"/>
        </w:rPr>
        <w:t>a concentraţiilor medii anuale</w:t>
      </w:r>
      <w:r w:rsidR="005D7D0C" w:rsidRPr="004F0887">
        <w:rPr>
          <w:rFonts w:ascii="Trebuchet MS" w:hAnsi="Trebuchet MS" w:cs="Arial"/>
          <w:b/>
          <w:i/>
          <w:sz w:val="22"/>
          <w:szCs w:val="22"/>
        </w:rPr>
        <w:t xml:space="preserve"> față de anii precedenți</w:t>
      </w:r>
      <w:r w:rsidR="00126D66" w:rsidRPr="004F0887">
        <w:rPr>
          <w:rFonts w:ascii="Trebuchet MS" w:hAnsi="Trebuchet MS" w:cs="Arial"/>
          <w:b/>
          <w:i/>
          <w:sz w:val="22"/>
          <w:szCs w:val="22"/>
        </w:rPr>
        <w:t>.</w:t>
      </w:r>
    </w:p>
    <w:p w:rsidR="00AE762B" w:rsidRPr="004F0887" w:rsidRDefault="00AE762B" w:rsidP="00622C66">
      <w:pPr>
        <w:tabs>
          <w:tab w:val="left" w:leader="dot" w:pos="9356"/>
        </w:tabs>
        <w:jc w:val="both"/>
        <w:rPr>
          <w:rFonts w:ascii="Arial" w:hAnsi="Arial" w:cs="Arial"/>
          <w:sz w:val="22"/>
          <w:szCs w:val="22"/>
          <w:lang w:val="ro-RO"/>
        </w:rPr>
      </w:pPr>
    </w:p>
    <w:p w:rsidR="00AE762B" w:rsidRPr="004F0887" w:rsidRDefault="00AE762B" w:rsidP="00235881">
      <w:pPr>
        <w:pStyle w:val="Default"/>
        <w:numPr>
          <w:ilvl w:val="0"/>
          <w:numId w:val="1"/>
        </w:numPr>
        <w:jc w:val="both"/>
        <w:rPr>
          <w:rFonts w:ascii="Trebuchet MS" w:hAnsi="Trebuchet MS"/>
          <w:color w:val="auto"/>
          <w:sz w:val="22"/>
          <w:szCs w:val="22"/>
          <w:lang w:val="ro-RO"/>
        </w:rPr>
      </w:pPr>
      <w:r w:rsidRPr="004F0887">
        <w:rPr>
          <w:rFonts w:ascii="Trebuchet MS" w:hAnsi="Trebuchet MS"/>
          <w:sz w:val="22"/>
          <w:szCs w:val="22"/>
          <w:lang w:val="ro-RO"/>
        </w:rPr>
        <w:t xml:space="preserve">Evoluţia concentraţiilor medii anuale exprimate în µg/m3, ale poluanţilor atmosferici (NO2, SO2, PM10, Pb, Cd, Ni) înregistrate la staţiile de trafic, în raport cu valoarea limită anuală, </w:t>
      </w:r>
    </w:p>
    <w:p w:rsidR="00250E56" w:rsidRPr="004F0887" w:rsidRDefault="00250E56" w:rsidP="00235881">
      <w:pPr>
        <w:pStyle w:val="Default"/>
        <w:numPr>
          <w:ilvl w:val="0"/>
          <w:numId w:val="1"/>
        </w:numPr>
        <w:jc w:val="both"/>
        <w:rPr>
          <w:rFonts w:ascii="Trebuchet MS" w:hAnsi="Trebuchet MS"/>
          <w:color w:val="auto"/>
          <w:sz w:val="22"/>
          <w:szCs w:val="22"/>
          <w:lang w:val="ro-RO"/>
        </w:rPr>
      </w:pPr>
    </w:p>
    <w:p w:rsidR="004F0887" w:rsidRPr="004F0887" w:rsidRDefault="004F0887" w:rsidP="00F3227B">
      <w:pPr>
        <w:pStyle w:val="Default"/>
        <w:numPr>
          <w:ilvl w:val="0"/>
          <w:numId w:val="1"/>
        </w:numPr>
        <w:rPr>
          <w:rFonts w:ascii="Trebuchet MS" w:hAnsi="Trebuchet MS"/>
          <w:color w:val="auto"/>
          <w:sz w:val="22"/>
          <w:szCs w:val="22"/>
        </w:rPr>
      </w:pPr>
    </w:p>
    <w:p w:rsidR="00AE762B" w:rsidRPr="004F0887" w:rsidRDefault="00F61B43" w:rsidP="00F3227B">
      <w:pPr>
        <w:pStyle w:val="Default"/>
        <w:numPr>
          <w:ilvl w:val="0"/>
          <w:numId w:val="1"/>
        </w:numPr>
        <w:rPr>
          <w:rFonts w:ascii="Trebuchet MS" w:hAnsi="Trebuchet MS"/>
          <w:color w:val="auto"/>
          <w:sz w:val="22"/>
          <w:szCs w:val="22"/>
        </w:rPr>
      </w:pPr>
      <w:r w:rsidRPr="004F0887">
        <w:rPr>
          <w:rFonts w:ascii="Trebuchet MS" w:hAnsi="Trebuchet MS"/>
          <w:sz w:val="22"/>
          <w:szCs w:val="22"/>
          <w:lang w:val="ro-RO"/>
        </w:rPr>
        <w:t xml:space="preserve">Grafic I.1.1.2.7 </w:t>
      </w:r>
      <w:r w:rsidR="004F0887">
        <w:rPr>
          <w:rFonts w:ascii="Trebuchet MS" w:hAnsi="Trebuchet MS"/>
          <w:sz w:val="22"/>
          <w:szCs w:val="22"/>
          <w:lang w:val="ro-RO"/>
        </w:rPr>
        <w:t xml:space="preserve"> </w:t>
      </w:r>
      <w:r w:rsidRPr="004F0887">
        <w:rPr>
          <w:rFonts w:ascii="Trebuchet MS" w:hAnsi="Trebuchet MS"/>
          <w:sz w:val="22"/>
          <w:szCs w:val="22"/>
          <w:lang w:val="ro-RO"/>
        </w:rPr>
        <w:t xml:space="preserve">Stația </w:t>
      </w:r>
      <w:r w:rsidR="00AE762B" w:rsidRPr="004F0887">
        <w:rPr>
          <w:rFonts w:ascii="Trebuchet MS" w:hAnsi="Trebuchet MS"/>
          <w:color w:val="auto"/>
          <w:sz w:val="22"/>
          <w:szCs w:val="22"/>
        </w:rPr>
        <w:t>B6- Cercul Militar</w:t>
      </w:r>
    </w:p>
    <w:p w:rsidR="00AE762B" w:rsidRDefault="000946BE" w:rsidP="00622C66">
      <w:pPr>
        <w:tabs>
          <w:tab w:val="left" w:leader="dot" w:pos="9356"/>
        </w:tabs>
        <w:jc w:val="both"/>
        <w:rPr>
          <w:rFonts w:ascii="Arial" w:hAnsi="Arial" w:cs="Arial"/>
          <w:lang w:val="ro-RO"/>
        </w:rPr>
      </w:pPr>
      <w:bookmarkStart w:id="45" w:name="_MON_1721722144"/>
      <w:bookmarkStart w:id="46" w:name="_MON_1690009228"/>
      <w:bookmarkStart w:id="47" w:name="_MON_1565431188"/>
      <w:bookmarkEnd w:id="45"/>
      <w:bookmarkEnd w:id="46"/>
      <w:bookmarkEnd w:id="47"/>
      <w:r>
        <w:rPr>
          <w:noProof/>
          <w:lang w:val="en-US"/>
        </w:rPr>
        <w:drawing>
          <wp:inline distT="0" distB="0" distL="0" distR="0" wp14:anchorId="2130E0EF" wp14:editId="6B31FE86">
            <wp:extent cx="5191125" cy="2647950"/>
            <wp:effectExtent l="0" t="0" r="9525" b="19050"/>
            <wp:docPr id="15" name="Objec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E762B" w:rsidRPr="004F0887" w:rsidRDefault="0078175E" w:rsidP="00622C66">
      <w:pPr>
        <w:tabs>
          <w:tab w:val="left" w:leader="dot" w:pos="9356"/>
        </w:tabs>
        <w:jc w:val="both"/>
        <w:rPr>
          <w:rFonts w:ascii="Trebuchet MS" w:hAnsi="Trebuchet MS" w:cs="Arial"/>
          <w:sz w:val="22"/>
          <w:szCs w:val="22"/>
          <w:lang w:val="ro-RO"/>
        </w:rPr>
      </w:pPr>
      <w:r w:rsidRPr="004F0887">
        <w:rPr>
          <w:rFonts w:ascii="Trebuchet MS" w:hAnsi="Trebuchet MS" w:cs="Arial"/>
          <w:sz w:val="22"/>
          <w:szCs w:val="22"/>
          <w:lang w:val="ro-RO"/>
        </w:rPr>
        <w:t xml:space="preserve">În anul 2023 stația B6 a fost oprită din motive tehnice. </w:t>
      </w:r>
    </w:p>
    <w:p w:rsidR="002F42E5" w:rsidRPr="004F0887" w:rsidRDefault="002F42E5" w:rsidP="00622C66">
      <w:pPr>
        <w:tabs>
          <w:tab w:val="left" w:leader="dot" w:pos="9356"/>
        </w:tabs>
        <w:jc w:val="both"/>
        <w:rPr>
          <w:rFonts w:ascii="Trebuchet MS" w:hAnsi="Trebuchet MS" w:cs="Arial"/>
          <w:sz w:val="22"/>
          <w:szCs w:val="22"/>
          <w:lang w:val="ro-RO"/>
        </w:rPr>
      </w:pPr>
    </w:p>
    <w:p w:rsidR="00AE762B" w:rsidRPr="004F0887" w:rsidRDefault="00F61B43" w:rsidP="00622C66">
      <w:pPr>
        <w:tabs>
          <w:tab w:val="left" w:leader="dot" w:pos="9356"/>
        </w:tabs>
        <w:jc w:val="both"/>
        <w:rPr>
          <w:rFonts w:ascii="Trebuchet MS" w:hAnsi="Trebuchet MS" w:cs="Arial"/>
          <w:sz w:val="22"/>
          <w:szCs w:val="22"/>
          <w:lang w:val="ro-RO"/>
        </w:rPr>
      </w:pPr>
      <w:r w:rsidRPr="004F0887">
        <w:rPr>
          <w:rFonts w:ascii="Trebuchet MS" w:hAnsi="Trebuchet MS"/>
          <w:sz w:val="22"/>
          <w:szCs w:val="22"/>
          <w:lang w:val="ro-RO"/>
        </w:rPr>
        <w:t>Grafic I.1.1.2.8</w:t>
      </w:r>
      <w:r w:rsidRPr="004F0887">
        <w:rPr>
          <w:rFonts w:ascii="Trebuchet MS" w:hAnsi="Trebuchet MS" w:cs="Arial"/>
          <w:sz w:val="22"/>
          <w:szCs w:val="22"/>
          <w:lang w:val="ro-RO"/>
        </w:rPr>
        <w:t xml:space="preserve"> </w:t>
      </w:r>
      <w:r w:rsidRPr="004F0887">
        <w:rPr>
          <w:rFonts w:ascii="Trebuchet MS" w:hAnsi="Trebuchet MS"/>
          <w:sz w:val="22"/>
          <w:szCs w:val="22"/>
          <w:lang w:val="ro-RO"/>
        </w:rPr>
        <w:t xml:space="preserve">Stația </w:t>
      </w:r>
      <w:r w:rsidR="00AE762B" w:rsidRPr="004F0887">
        <w:rPr>
          <w:rFonts w:ascii="Trebuchet MS" w:hAnsi="Trebuchet MS" w:cs="Arial"/>
          <w:sz w:val="22"/>
          <w:szCs w:val="22"/>
          <w:lang w:val="ro-RO"/>
        </w:rPr>
        <w:t>B3 Mihai Bravu</w:t>
      </w:r>
    </w:p>
    <w:p w:rsidR="00AE762B" w:rsidRDefault="000946BE" w:rsidP="00622C66">
      <w:pPr>
        <w:tabs>
          <w:tab w:val="left" w:leader="dot" w:pos="9356"/>
        </w:tabs>
        <w:jc w:val="both"/>
        <w:rPr>
          <w:rFonts w:ascii="Arial" w:hAnsi="Arial" w:cs="Arial"/>
          <w:lang w:val="ro-RO"/>
        </w:rPr>
      </w:pPr>
      <w:bookmarkStart w:id="48" w:name="_MON_1565431347"/>
      <w:bookmarkStart w:id="49" w:name="_MON_1721721965"/>
      <w:bookmarkEnd w:id="48"/>
      <w:bookmarkEnd w:id="49"/>
      <w:r>
        <w:rPr>
          <w:rFonts w:ascii="Arial" w:hAnsi="Arial" w:cs="Arial"/>
          <w:noProof/>
          <w:lang w:val="en-US"/>
        </w:rPr>
        <w:drawing>
          <wp:inline distT="0" distB="0" distL="0" distR="0" wp14:anchorId="74C4AFA3" wp14:editId="3892F10F">
            <wp:extent cx="5200650" cy="3067050"/>
            <wp:effectExtent l="0" t="0" r="19050" b="19050"/>
            <wp:docPr id="16" name="Objec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50E56" w:rsidRPr="004F0887" w:rsidRDefault="00250E56" w:rsidP="00622C66">
      <w:pPr>
        <w:tabs>
          <w:tab w:val="left" w:leader="dot" w:pos="9356"/>
        </w:tabs>
        <w:jc w:val="both"/>
        <w:rPr>
          <w:rFonts w:ascii="Arial" w:hAnsi="Arial" w:cs="Arial"/>
          <w:b/>
          <w:i/>
          <w:sz w:val="22"/>
          <w:szCs w:val="22"/>
          <w:lang w:val="ro-RO"/>
        </w:rPr>
      </w:pPr>
    </w:p>
    <w:p w:rsidR="00250E56" w:rsidRPr="004F0887" w:rsidRDefault="00250E56" w:rsidP="00622C66">
      <w:pPr>
        <w:tabs>
          <w:tab w:val="left" w:leader="dot" w:pos="9356"/>
        </w:tabs>
        <w:jc w:val="both"/>
        <w:rPr>
          <w:rFonts w:ascii="Arial" w:hAnsi="Arial" w:cs="Arial"/>
          <w:b/>
          <w:i/>
          <w:sz w:val="22"/>
          <w:szCs w:val="22"/>
          <w:lang w:val="ro-RO"/>
        </w:rPr>
      </w:pPr>
      <w:r w:rsidRPr="004F0887">
        <w:rPr>
          <w:rFonts w:ascii="Trebuchet MS" w:hAnsi="Trebuchet MS"/>
          <w:sz w:val="22"/>
          <w:szCs w:val="22"/>
          <w:lang w:val="ro-RO"/>
        </w:rPr>
        <w:t>Grafic I.1.1.2.9</w:t>
      </w:r>
      <w:r w:rsidRPr="004F0887">
        <w:rPr>
          <w:rFonts w:ascii="Trebuchet MS" w:hAnsi="Trebuchet MS" w:cs="Arial"/>
          <w:sz w:val="22"/>
          <w:szCs w:val="22"/>
          <w:lang w:val="ro-RO"/>
        </w:rPr>
        <w:t xml:space="preserve"> </w:t>
      </w:r>
      <w:r w:rsidRPr="004F0887">
        <w:rPr>
          <w:rFonts w:ascii="Trebuchet MS" w:hAnsi="Trebuchet MS"/>
          <w:sz w:val="22"/>
          <w:szCs w:val="22"/>
          <w:lang w:val="ro-RO"/>
        </w:rPr>
        <w:t>Stația B11- Bragadiru</w:t>
      </w:r>
    </w:p>
    <w:p w:rsidR="00541488" w:rsidRDefault="00541488" w:rsidP="00622C66">
      <w:pPr>
        <w:tabs>
          <w:tab w:val="left" w:leader="dot" w:pos="9356"/>
        </w:tabs>
        <w:jc w:val="both"/>
        <w:rPr>
          <w:rFonts w:ascii="Arial" w:hAnsi="Arial" w:cs="Arial"/>
          <w:b/>
          <w:i/>
          <w:lang w:val="ro-RO"/>
        </w:rPr>
      </w:pPr>
      <w:r>
        <w:rPr>
          <w:rFonts w:ascii="Arial" w:hAnsi="Arial" w:cs="Arial"/>
          <w:noProof/>
          <w:lang w:val="en-US"/>
        </w:rPr>
        <w:drawing>
          <wp:inline distT="0" distB="0" distL="0" distR="0" wp14:anchorId="4AC47A8F" wp14:editId="6E9E901F">
            <wp:extent cx="5200650" cy="2647950"/>
            <wp:effectExtent l="0" t="0" r="19050" b="19050"/>
            <wp:docPr id="65" name="Objec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41488" w:rsidRPr="00250E56" w:rsidRDefault="00541488" w:rsidP="00622C66">
      <w:pPr>
        <w:tabs>
          <w:tab w:val="left" w:leader="dot" w:pos="9356"/>
        </w:tabs>
        <w:jc w:val="both"/>
        <w:rPr>
          <w:rFonts w:ascii="Trebuchet MS" w:hAnsi="Trebuchet MS" w:cs="Arial"/>
          <w:b/>
          <w:i/>
          <w:lang w:val="ro-RO"/>
        </w:rPr>
      </w:pPr>
    </w:p>
    <w:p w:rsidR="00541488" w:rsidRPr="004F0887" w:rsidRDefault="00541488" w:rsidP="00622C66">
      <w:pPr>
        <w:tabs>
          <w:tab w:val="left" w:leader="dot" w:pos="9356"/>
        </w:tabs>
        <w:jc w:val="both"/>
        <w:rPr>
          <w:rFonts w:ascii="Trebuchet MS" w:hAnsi="Trebuchet MS" w:cs="Arial"/>
          <w:b/>
          <w:i/>
          <w:sz w:val="22"/>
          <w:szCs w:val="22"/>
          <w:lang w:val="ro-RO"/>
        </w:rPr>
      </w:pPr>
    </w:p>
    <w:p w:rsidR="00AE762B" w:rsidRPr="004F0887" w:rsidRDefault="00AE762B" w:rsidP="00622C66">
      <w:pPr>
        <w:tabs>
          <w:tab w:val="left" w:leader="dot" w:pos="9356"/>
        </w:tabs>
        <w:jc w:val="both"/>
        <w:rPr>
          <w:rFonts w:ascii="Trebuchet MS" w:hAnsi="Trebuchet MS" w:cs="Arial"/>
          <w:b/>
          <w:i/>
          <w:sz w:val="22"/>
          <w:szCs w:val="22"/>
          <w:lang w:val="ro-RO"/>
        </w:rPr>
      </w:pPr>
      <w:r w:rsidRPr="004F0887">
        <w:rPr>
          <w:rFonts w:ascii="Trebuchet MS" w:hAnsi="Trebuchet MS" w:cs="Arial"/>
          <w:b/>
          <w:i/>
          <w:sz w:val="22"/>
          <w:szCs w:val="22"/>
          <w:lang w:val="ro-RO"/>
        </w:rPr>
        <w:t>Pentru statiile în care se monitorizează poluarea produsă de traficu</w:t>
      </w:r>
      <w:r w:rsidR="00541488" w:rsidRPr="004F0887">
        <w:rPr>
          <w:rFonts w:ascii="Trebuchet MS" w:hAnsi="Trebuchet MS" w:cs="Arial"/>
          <w:b/>
          <w:i/>
          <w:sz w:val="22"/>
          <w:szCs w:val="22"/>
          <w:lang w:val="ro-RO"/>
        </w:rPr>
        <w:t>l rutier, se constată că media anuală</w:t>
      </w:r>
      <w:r w:rsidR="003542E7" w:rsidRPr="004F0887">
        <w:rPr>
          <w:rFonts w:ascii="Trebuchet MS" w:hAnsi="Trebuchet MS" w:cs="Arial"/>
          <w:b/>
          <w:i/>
          <w:sz w:val="22"/>
          <w:szCs w:val="22"/>
          <w:lang w:val="ro-RO"/>
        </w:rPr>
        <w:t xml:space="preserve"> </w:t>
      </w:r>
      <w:r w:rsidRPr="004F0887">
        <w:rPr>
          <w:rFonts w:ascii="Trebuchet MS" w:hAnsi="Trebuchet MS" w:cs="Arial"/>
          <w:b/>
          <w:i/>
          <w:sz w:val="22"/>
          <w:szCs w:val="22"/>
          <w:lang w:val="ro-RO"/>
        </w:rPr>
        <w:t xml:space="preserve"> </w:t>
      </w:r>
      <w:r w:rsidR="00541488" w:rsidRPr="004F0887">
        <w:rPr>
          <w:rFonts w:ascii="Trebuchet MS" w:hAnsi="Trebuchet MS" w:cs="Arial"/>
          <w:b/>
          <w:i/>
          <w:sz w:val="22"/>
          <w:szCs w:val="22"/>
          <w:lang w:val="ro-RO"/>
        </w:rPr>
        <w:t>a crescut din nou peste</w:t>
      </w:r>
      <w:r w:rsidRPr="004F0887">
        <w:rPr>
          <w:rFonts w:ascii="Trebuchet MS" w:hAnsi="Trebuchet MS" w:cs="Arial"/>
          <w:b/>
          <w:i/>
          <w:sz w:val="22"/>
          <w:szCs w:val="22"/>
          <w:lang w:val="ro-RO"/>
        </w:rPr>
        <w:t xml:space="preserve"> valoarea limită pentru  NO2. In general, cele mai multe depăşiri ale valorilor limită orare şi/sau zilnice se înregistrează la staţiile de trafic, datorită faptului că emisiile din trafic au loc la nivelul solului şi, de multe ori, condiţiile atmosferice si arhitectura stradala împiedică dispersia poluanţilor.</w:t>
      </w:r>
    </w:p>
    <w:p w:rsidR="00545156" w:rsidRPr="004F0887" w:rsidRDefault="00545156" w:rsidP="00622C66">
      <w:pPr>
        <w:tabs>
          <w:tab w:val="left" w:leader="dot" w:pos="9356"/>
        </w:tabs>
        <w:jc w:val="both"/>
        <w:rPr>
          <w:rFonts w:ascii="Trebuchet MS" w:hAnsi="Trebuchet MS" w:cs="Arial"/>
          <w:b/>
          <w:i/>
          <w:sz w:val="22"/>
          <w:szCs w:val="22"/>
          <w:lang w:val="ro-RO"/>
        </w:rPr>
      </w:pPr>
      <w:r w:rsidRPr="004F0887">
        <w:rPr>
          <w:rFonts w:ascii="Trebuchet MS" w:hAnsi="Trebuchet MS" w:cs="Arial"/>
          <w:b/>
          <w:i/>
          <w:sz w:val="22"/>
          <w:szCs w:val="22"/>
          <w:lang w:val="ro-RO"/>
        </w:rPr>
        <w:t xml:space="preserve">Stația B11- Bragadiru a fost pusă în functiune la jumatatea anului 2022. </w:t>
      </w:r>
      <w:r w:rsidR="00541488" w:rsidRPr="004F0887">
        <w:rPr>
          <w:rFonts w:ascii="Trebuchet MS" w:hAnsi="Trebuchet MS" w:cs="Arial"/>
          <w:b/>
          <w:i/>
          <w:sz w:val="22"/>
          <w:szCs w:val="22"/>
          <w:lang w:val="ro-RO"/>
        </w:rPr>
        <w:t>Intrucât nu au existat date gravimetrice</w:t>
      </w:r>
      <w:r w:rsidR="003767B6" w:rsidRPr="004F0887">
        <w:rPr>
          <w:rFonts w:ascii="Trebuchet MS" w:hAnsi="Trebuchet MS" w:cs="Arial"/>
          <w:b/>
          <w:i/>
          <w:sz w:val="22"/>
          <w:szCs w:val="22"/>
          <w:lang w:val="ro-RO"/>
        </w:rPr>
        <w:t xml:space="preserve"> (metoda de referință) </w:t>
      </w:r>
      <w:r w:rsidR="00541488" w:rsidRPr="004F0887">
        <w:rPr>
          <w:rFonts w:ascii="Trebuchet MS" w:hAnsi="Trebuchet MS" w:cs="Arial"/>
          <w:b/>
          <w:i/>
          <w:sz w:val="22"/>
          <w:szCs w:val="22"/>
          <w:lang w:val="ro-RO"/>
        </w:rPr>
        <w:t>, concentrațiile de PM10 prezentate în grafic</w:t>
      </w:r>
      <w:r w:rsidR="003767B6" w:rsidRPr="004F0887">
        <w:rPr>
          <w:rFonts w:ascii="Trebuchet MS" w:hAnsi="Trebuchet MS" w:cs="Arial"/>
          <w:b/>
          <w:i/>
          <w:sz w:val="22"/>
          <w:szCs w:val="22"/>
          <w:lang w:val="ro-RO"/>
        </w:rPr>
        <w:t xml:space="preserve"> sunt cele obținute de la analizorul automat</w:t>
      </w:r>
      <w:r w:rsidRPr="004F0887">
        <w:rPr>
          <w:rFonts w:ascii="Trebuchet MS" w:hAnsi="Trebuchet MS" w:cs="Arial"/>
          <w:b/>
          <w:i/>
          <w:sz w:val="22"/>
          <w:szCs w:val="22"/>
          <w:lang w:val="ro-RO"/>
        </w:rPr>
        <w:t>.</w:t>
      </w:r>
    </w:p>
    <w:p w:rsidR="00AE762B" w:rsidRPr="004F0887" w:rsidRDefault="00B90138" w:rsidP="002F42E5">
      <w:pPr>
        <w:rPr>
          <w:rFonts w:ascii="Trebuchet MS" w:hAnsi="Trebuchet MS" w:cs="Arial"/>
          <w:sz w:val="22"/>
          <w:szCs w:val="22"/>
          <w:lang w:val="ro-RO"/>
        </w:rPr>
      </w:pPr>
      <w:r w:rsidRPr="004F0887">
        <w:rPr>
          <w:rFonts w:ascii="Trebuchet MS" w:hAnsi="Trebuchet MS" w:cs="Arial"/>
          <w:sz w:val="22"/>
          <w:szCs w:val="22"/>
        </w:rPr>
        <w:t xml:space="preserve">  </w:t>
      </w:r>
    </w:p>
    <w:p w:rsidR="00AE762B" w:rsidRPr="004F0887" w:rsidRDefault="00AE762B" w:rsidP="00622C66">
      <w:pPr>
        <w:tabs>
          <w:tab w:val="left" w:leader="dot" w:pos="9356"/>
        </w:tabs>
        <w:jc w:val="both"/>
        <w:rPr>
          <w:rFonts w:ascii="Trebuchet MS" w:hAnsi="Trebuchet MS" w:cs="Arial"/>
          <w:sz w:val="22"/>
          <w:szCs w:val="22"/>
          <w:lang w:val="ro-RO"/>
        </w:rPr>
      </w:pPr>
      <w:r w:rsidRPr="004F0887">
        <w:rPr>
          <w:rFonts w:ascii="Trebuchet MS" w:hAnsi="Trebuchet MS" w:cs="Arial"/>
          <w:sz w:val="22"/>
          <w:szCs w:val="22"/>
          <w:lang w:val="ro-RO"/>
        </w:rPr>
        <w:t xml:space="preserve">I.1.1.3 Depăşiri ale valorilor limită şi valorilor ţintă privind  calitatea aerului înconjurător în zonele urbane </w:t>
      </w:r>
    </w:p>
    <w:p w:rsidR="00AE762B" w:rsidRPr="004F0887" w:rsidRDefault="00AE762B" w:rsidP="00622C66">
      <w:pPr>
        <w:tabs>
          <w:tab w:val="left" w:leader="dot" w:pos="9356"/>
        </w:tabs>
        <w:jc w:val="both"/>
        <w:rPr>
          <w:rFonts w:ascii="Trebuchet MS" w:hAnsi="Trebuchet MS" w:cs="Arial"/>
          <w:sz w:val="22"/>
          <w:szCs w:val="22"/>
          <w:lang w:val="ro-RO"/>
        </w:rPr>
      </w:pPr>
    </w:p>
    <w:p w:rsidR="00AE762B" w:rsidRPr="004F0887" w:rsidRDefault="00AE762B" w:rsidP="0024470B">
      <w:pPr>
        <w:pStyle w:val="Default"/>
        <w:rPr>
          <w:rFonts w:ascii="Trebuchet MS" w:hAnsi="Trebuchet MS"/>
          <w:sz w:val="22"/>
          <w:szCs w:val="22"/>
          <w:lang w:val="it-IT"/>
        </w:rPr>
      </w:pPr>
      <w:r w:rsidRPr="004F0887">
        <w:rPr>
          <w:rFonts w:ascii="Trebuchet MS" w:hAnsi="Trebuchet MS"/>
          <w:b/>
          <w:bCs/>
          <w:sz w:val="22"/>
          <w:szCs w:val="22"/>
          <w:lang w:val="it-IT"/>
        </w:rPr>
        <w:t xml:space="preserve">A. Indicatori specifici </w:t>
      </w:r>
    </w:p>
    <w:p w:rsidR="00AE762B" w:rsidRPr="004F0887" w:rsidRDefault="00AE762B" w:rsidP="0024470B">
      <w:pPr>
        <w:pStyle w:val="Default"/>
        <w:rPr>
          <w:rFonts w:ascii="Trebuchet MS" w:hAnsi="Trebuchet MS"/>
          <w:sz w:val="22"/>
          <w:szCs w:val="22"/>
          <w:lang w:val="it-IT"/>
        </w:rPr>
      </w:pPr>
      <w:r w:rsidRPr="004F0887">
        <w:rPr>
          <w:rFonts w:ascii="Trebuchet MS" w:hAnsi="Trebuchet MS"/>
          <w:b/>
          <w:bCs/>
          <w:sz w:val="22"/>
          <w:szCs w:val="22"/>
          <w:lang w:val="it-IT"/>
        </w:rPr>
        <w:t>COD INDICATOR</w:t>
      </w:r>
      <w:r w:rsidRPr="004F0887">
        <w:rPr>
          <w:rFonts w:ascii="Trebuchet MS" w:hAnsi="Trebuchet MS"/>
          <w:sz w:val="22"/>
          <w:szCs w:val="22"/>
          <w:lang w:val="it-IT"/>
        </w:rPr>
        <w:t xml:space="preserve"> </w:t>
      </w:r>
    </w:p>
    <w:p w:rsidR="00AE762B" w:rsidRPr="004F0887" w:rsidRDefault="00AE762B" w:rsidP="0024470B">
      <w:pPr>
        <w:pStyle w:val="Default"/>
        <w:rPr>
          <w:rFonts w:ascii="Trebuchet MS" w:hAnsi="Trebuchet MS"/>
          <w:sz w:val="22"/>
          <w:szCs w:val="22"/>
          <w:lang w:val="it-IT"/>
        </w:rPr>
      </w:pPr>
      <w:r w:rsidRPr="004F0887">
        <w:rPr>
          <w:rFonts w:ascii="Trebuchet MS" w:hAnsi="Trebuchet MS"/>
          <w:sz w:val="22"/>
          <w:szCs w:val="22"/>
          <w:lang w:val="it-IT"/>
        </w:rPr>
        <w:t xml:space="preserve">Cod indicator România: </w:t>
      </w:r>
      <w:r w:rsidRPr="004F0887">
        <w:rPr>
          <w:rFonts w:ascii="Trebuchet MS" w:hAnsi="Trebuchet MS"/>
          <w:b/>
          <w:bCs/>
          <w:sz w:val="22"/>
          <w:szCs w:val="22"/>
          <w:lang w:val="it-IT"/>
        </w:rPr>
        <w:t>RO 04</w:t>
      </w:r>
    </w:p>
    <w:p w:rsidR="00AE762B" w:rsidRPr="004F0887" w:rsidRDefault="00AE762B" w:rsidP="0024470B">
      <w:pPr>
        <w:pStyle w:val="Default"/>
        <w:rPr>
          <w:rFonts w:ascii="Trebuchet MS" w:hAnsi="Trebuchet MS"/>
          <w:sz w:val="22"/>
          <w:szCs w:val="22"/>
          <w:lang w:val="it-IT"/>
        </w:rPr>
      </w:pPr>
      <w:r w:rsidRPr="004F0887">
        <w:rPr>
          <w:rFonts w:ascii="Trebuchet MS" w:hAnsi="Trebuchet MS"/>
          <w:sz w:val="22"/>
          <w:szCs w:val="22"/>
          <w:lang w:val="it-IT"/>
        </w:rPr>
        <w:t xml:space="preserve">Cod indicator AEM: </w:t>
      </w:r>
      <w:r w:rsidRPr="004F0887">
        <w:rPr>
          <w:rFonts w:ascii="Trebuchet MS" w:hAnsi="Trebuchet MS"/>
          <w:b/>
          <w:bCs/>
          <w:sz w:val="22"/>
          <w:szCs w:val="22"/>
          <w:lang w:val="it-IT"/>
        </w:rPr>
        <w:t xml:space="preserve">CSI 04 </w:t>
      </w:r>
    </w:p>
    <w:p w:rsidR="00AE762B" w:rsidRPr="004F0887" w:rsidRDefault="00AE762B" w:rsidP="0024470B">
      <w:pPr>
        <w:pStyle w:val="Default"/>
        <w:rPr>
          <w:rFonts w:ascii="Trebuchet MS" w:hAnsi="Trebuchet MS"/>
          <w:sz w:val="22"/>
          <w:szCs w:val="22"/>
          <w:lang w:val="it-IT"/>
        </w:rPr>
      </w:pPr>
      <w:r w:rsidRPr="004F0887">
        <w:rPr>
          <w:rFonts w:ascii="Trebuchet MS" w:hAnsi="Trebuchet MS"/>
          <w:b/>
          <w:bCs/>
          <w:sz w:val="22"/>
          <w:szCs w:val="22"/>
          <w:lang w:val="it-IT"/>
        </w:rPr>
        <w:t xml:space="preserve">DENUMIRE </w:t>
      </w:r>
    </w:p>
    <w:p w:rsidR="00AE762B" w:rsidRPr="004F0887" w:rsidRDefault="00AE762B" w:rsidP="0024470B">
      <w:pPr>
        <w:pStyle w:val="Default"/>
        <w:rPr>
          <w:rFonts w:ascii="Trebuchet MS" w:hAnsi="Trebuchet MS"/>
          <w:b/>
          <w:bCs/>
          <w:sz w:val="22"/>
          <w:szCs w:val="22"/>
          <w:lang w:val="it-IT"/>
        </w:rPr>
      </w:pPr>
      <w:r w:rsidRPr="004F0887">
        <w:rPr>
          <w:rFonts w:ascii="Trebuchet MS" w:hAnsi="Trebuchet MS"/>
          <w:b/>
          <w:bCs/>
          <w:sz w:val="22"/>
          <w:szCs w:val="22"/>
          <w:lang w:val="it-IT"/>
        </w:rPr>
        <w:t xml:space="preserve">DEPĂŞIREA VALORILOR LIMITĂ PRIVIND CALITATEA AERULUI ÎN ZONELE URBANE </w:t>
      </w:r>
    </w:p>
    <w:p w:rsidR="00AE762B" w:rsidRPr="004F0887" w:rsidRDefault="00AE762B" w:rsidP="0024470B">
      <w:pPr>
        <w:pStyle w:val="Default"/>
        <w:rPr>
          <w:rFonts w:ascii="Trebuchet MS" w:hAnsi="Trebuchet MS"/>
          <w:sz w:val="22"/>
          <w:szCs w:val="22"/>
          <w:lang w:val="it-IT"/>
        </w:rPr>
      </w:pPr>
      <w:r w:rsidRPr="004F0887">
        <w:rPr>
          <w:rFonts w:ascii="Trebuchet MS" w:hAnsi="Trebuchet MS"/>
          <w:b/>
          <w:bCs/>
          <w:sz w:val="22"/>
          <w:szCs w:val="22"/>
          <w:lang w:val="it-IT"/>
        </w:rPr>
        <w:t xml:space="preserve">DEFINIŢIE </w:t>
      </w:r>
    </w:p>
    <w:p w:rsidR="00AE762B" w:rsidRPr="004F0887" w:rsidRDefault="00AE762B" w:rsidP="0024470B">
      <w:pPr>
        <w:pStyle w:val="Default"/>
        <w:rPr>
          <w:rFonts w:ascii="Trebuchet MS" w:hAnsi="Trebuchet MS"/>
          <w:sz w:val="22"/>
          <w:szCs w:val="22"/>
          <w:lang w:val="it-IT"/>
        </w:rPr>
      </w:pPr>
      <w:r w:rsidRPr="004F0887">
        <w:rPr>
          <w:rFonts w:ascii="Trebuchet MS" w:hAnsi="Trebuchet MS"/>
          <w:sz w:val="22"/>
          <w:szCs w:val="22"/>
          <w:lang w:val="it-IT"/>
        </w:rPr>
        <w:t xml:space="preserve">Procentul populaţiei urbane potenţial expusă la concentraţii de poluanţi în aerul înconjurător care depăşesc valoarea-limită pentru protecţia sănătăţii umane. </w:t>
      </w:r>
    </w:p>
    <w:p w:rsidR="00250E56" w:rsidRPr="004F0887" w:rsidRDefault="00250E56" w:rsidP="0024470B">
      <w:pPr>
        <w:pStyle w:val="Default"/>
        <w:rPr>
          <w:rFonts w:ascii="Trebuchet MS" w:hAnsi="Trebuchet MS"/>
          <w:color w:val="auto"/>
          <w:sz w:val="22"/>
          <w:szCs w:val="22"/>
          <w:lang w:val="it-IT"/>
        </w:rPr>
      </w:pPr>
    </w:p>
    <w:p w:rsidR="00250E56" w:rsidRPr="004F0887" w:rsidRDefault="00250E56" w:rsidP="0024470B">
      <w:pPr>
        <w:pStyle w:val="Default"/>
        <w:rPr>
          <w:rFonts w:ascii="Trebuchet MS" w:hAnsi="Trebuchet MS"/>
          <w:color w:val="auto"/>
          <w:sz w:val="22"/>
          <w:szCs w:val="22"/>
          <w:lang w:val="it-IT"/>
        </w:rPr>
      </w:pPr>
    </w:p>
    <w:p w:rsidR="00250E56" w:rsidRPr="004F0887" w:rsidRDefault="00250E56" w:rsidP="0024470B">
      <w:pPr>
        <w:pStyle w:val="Default"/>
        <w:rPr>
          <w:rFonts w:ascii="Trebuchet MS" w:hAnsi="Trebuchet MS"/>
          <w:color w:val="auto"/>
          <w:sz w:val="22"/>
          <w:szCs w:val="22"/>
          <w:lang w:val="it-IT"/>
        </w:rPr>
      </w:pPr>
    </w:p>
    <w:p w:rsidR="00250E56" w:rsidRPr="004F0887" w:rsidRDefault="00250E56" w:rsidP="0024470B">
      <w:pPr>
        <w:pStyle w:val="Default"/>
        <w:rPr>
          <w:rFonts w:ascii="Trebuchet MS" w:hAnsi="Trebuchet MS"/>
          <w:color w:val="auto"/>
          <w:sz w:val="22"/>
          <w:szCs w:val="22"/>
          <w:lang w:val="it-IT"/>
        </w:rPr>
      </w:pPr>
    </w:p>
    <w:p w:rsidR="00250E56" w:rsidRPr="004F0887" w:rsidRDefault="00250E56" w:rsidP="0024470B">
      <w:pPr>
        <w:pStyle w:val="Default"/>
        <w:rPr>
          <w:rFonts w:ascii="Trebuchet MS" w:hAnsi="Trebuchet MS"/>
          <w:color w:val="auto"/>
          <w:sz w:val="22"/>
          <w:szCs w:val="22"/>
          <w:lang w:val="it-IT"/>
        </w:rPr>
      </w:pPr>
    </w:p>
    <w:p w:rsidR="00250E56" w:rsidRPr="004F0887" w:rsidRDefault="00250E56" w:rsidP="0024470B">
      <w:pPr>
        <w:pStyle w:val="Default"/>
        <w:rPr>
          <w:rFonts w:ascii="Trebuchet MS" w:hAnsi="Trebuchet MS"/>
          <w:color w:val="auto"/>
          <w:sz w:val="22"/>
          <w:szCs w:val="22"/>
          <w:lang w:val="it-IT"/>
        </w:rPr>
      </w:pPr>
    </w:p>
    <w:p w:rsidR="00250E56" w:rsidRPr="004F0887" w:rsidRDefault="00250E56" w:rsidP="0024470B">
      <w:pPr>
        <w:pStyle w:val="Default"/>
        <w:rPr>
          <w:rFonts w:ascii="Trebuchet MS" w:hAnsi="Trebuchet MS"/>
          <w:color w:val="auto"/>
          <w:sz w:val="22"/>
          <w:szCs w:val="22"/>
          <w:lang w:val="it-IT"/>
        </w:rPr>
      </w:pPr>
    </w:p>
    <w:p w:rsidR="00AE762B" w:rsidRPr="004F0887" w:rsidRDefault="00AE762B" w:rsidP="0024470B">
      <w:pPr>
        <w:pStyle w:val="Default"/>
        <w:rPr>
          <w:rFonts w:ascii="Trebuchet MS" w:hAnsi="Trebuchet MS"/>
          <w:color w:val="auto"/>
          <w:sz w:val="22"/>
          <w:szCs w:val="22"/>
          <w:lang w:val="it-IT"/>
        </w:rPr>
      </w:pPr>
      <w:r w:rsidRPr="004F0887">
        <w:rPr>
          <w:rFonts w:ascii="Trebuchet MS" w:hAnsi="Trebuchet MS"/>
          <w:color w:val="auto"/>
          <w:sz w:val="22"/>
          <w:szCs w:val="22"/>
          <w:lang w:val="it-IT"/>
        </w:rPr>
        <w:t>Grafic I.1.1.3.1 - numărul de depăşiri ale valorii limită zilnice pentru particule în suspensii PM10 la staţ</w:t>
      </w:r>
      <w:r w:rsidR="00D8148D" w:rsidRPr="004F0887">
        <w:rPr>
          <w:rFonts w:ascii="Trebuchet MS" w:hAnsi="Trebuchet MS"/>
          <w:color w:val="auto"/>
          <w:sz w:val="22"/>
          <w:szCs w:val="22"/>
          <w:lang w:val="it-IT"/>
        </w:rPr>
        <w:t>iile de monit</w:t>
      </w:r>
      <w:r w:rsidR="00F84B3E" w:rsidRPr="004F0887">
        <w:rPr>
          <w:rFonts w:ascii="Trebuchet MS" w:hAnsi="Trebuchet MS"/>
          <w:color w:val="auto"/>
          <w:sz w:val="22"/>
          <w:szCs w:val="22"/>
          <w:lang w:val="it-IT"/>
        </w:rPr>
        <w:t>orizare in anul 2023</w:t>
      </w:r>
    </w:p>
    <w:p w:rsidR="00AE762B" w:rsidRPr="0059186B" w:rsidRDefault="00AE762B" w:rsidP="0024470B">
      <w:pPr>
        <w:pStyle w:val="Default"/>
        <w:rPr>
          <w:sz w:val="20"/>
          <w:szCs w:val="20"/>
          <w:lang w:val="it-IT"/>
        </w:rPr>
      </w:pPr>
    </w:p>
    <w:p w:rsidR="00AE762B" w:rsidRDefault="000946BE" w:rsidP="0024470B">
      <w:pPr>
        <w:pStyle w:val="Default"/>
        <w:rPr>
          <w:rFonts w:cs="Times New Roman"/>
          <w:color w:val="auto"/>
          <w:lang w:val="it-IT"/>
        </w:rPr>
      </w:pPr>
      <w:bookmarkStart w:id="50" w:name="_MON_1565431492"/>
      <w:bookmarkStart w:id="51" w:name="_MON_1721723141"/>
      <w:bookmarkStart w:id="52" w:name="_MON_1721723168"/>
      <w:bookmarkStart w:id="53" w:name="_MON_1690009690"/>
      <w:bookmarkEnd w:id="50"/>
      <w:bookmarkEnd w:id="51"/>
      <w:bookmarkEnd w:id="52"/>
      <w:bookmarkEnd w:id="53"/>
      <w:r>
        <w:rPr>
          <w:rFonts w:cs="Times New Roman"/>
          <w:noProof/>
          <w:color w:val="auto"/>
        </w:rPr>
        <w:drawing>
          <wp:inline distT="0" distB="0" distL="0" distR="0" wp14:anchorId="717E2B68" wp14:editId="105429D3">
            <wp:extent cx="5705475" cy="3800475"/>
            <wp:effectExtent l="0" t="0" r="0" b="0"/>
            <wp:docPr id="17" name="Objec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E762B" w:rsidRPr="004F0887" w:rsidRDefault="00060D2C" w:rsidP="00D8148D">
      <w:pPr>
        <w:tabs>
          <w:tab w:val="left" w:pos="567"/>
        </w:tabs>
        <w:jc w:val="both"/>
        <w:rPr>
          <w:rFonts w:ascii="Trebuchet MS" w:hAnsi="Trebuchet MS" w:cs="Arial"/>
          <w:sz w:val="22"/>
          <w:szCs w:val="22"/>
          <w:lang w:val="it-IT"/>
        </w:rPr>
      </w:pPr>
      <w:r>
        <w:rPr>
          <w:rFonts w:ascii="Arial" w:hAnsi="Arial" w:cs="Arial"/>
          <w:lang w:val="it-IT"/>
        </w:rPr>
        <w:tab/>
      </w:r>
      <w:r w:rsidRPr="004F0887">
        <w:rPr>
          <w:rFonts w:ascii="Trebuchet MS" w:hAnsi="Trebuchet MS" w:cs="Arial"/>
          <w:sz w:val="22"/>
          <w:szCs w:val="22"/>
          <w:lang w:val="it-IT"/>
        </w:rPr>
        <w:t>În anul 202</w:t>
      </w:r>
      <w:r w:rsidR="00F84B3E" w:rsidRPr="004F0887">
        <w:rPr>
          <w:rFonts w:ascii="Trebuchet MS" w:hAnsi="Trebuchet MS" w:cs="Arial"/>
          <w:sz w:val="22"/>
          <w:szCs w:val="22"/>
          <w:lang w:val="it-IT"/>
        </w:rPr>
        <w:t>3</w:t>
      </w:r>
      <w:r w:rsidR="00AE762B" w:rsidRPr="004F0887">
        <w:rPr>
          <w:rFonts w:ascii="Trebuchet MS" w:hAnsi="Trebuchet MS" w:cs="Arial"/>
          <w:sz w:val="22"/>
          <w:szCs w:val="22"/>
          <w:lang w:val="it-IT"/>
        </w:rPr>
        <w:t xml:space="preserve"> </w:t>
      </w:r>
      <w:r w:rsidR="00D8148D" w:rsidRPr="004F0887">
        <w:rPr>
          <w:rFonts w:ascii="Trebuchet MS" w:hAnsi="Trebuchet MS" w:cs="Arial"/>
          <w:sz w:val="22"/>
          <w:szCs w:val="22"/>
          <w:lang w:val="it-IT"/>
        </w:rPr>
        <w:t xml:space="preserve"> nu </w:t>
      </w:r>
      <w:r w:rsidR="00AE762B" w:rsidRPr="004F0887">
        <w:rPr>
          <w:rFonts w:ascii="Trebuchet MS" w:hAnsi="Trebuchet MS" w:cs="Arial"/>
          <w:sz w:val="22"/>
          <w:szCs w:val="22"/>
          <w:lang w:val="it-IT"/>
        </w:rPr>
        <w:t>s-au înregistrat mai mult de 35 zile cu dep</w:t>
      </w:r>
      <w:r w:rsidR="000618B7" w:rsidRPr="004F0887">
        <w:rPr>
          <w:rFonts w:ascii="Trebuchet MS" w:hAnsi="Trebuchet MS" w:cs="Arial"/>
          <w:sz w:val="22"/>
          <w:szCs w:val="22"/>
          <w:lang w:val="it-IT"/>
        </w:rPr>
        <w:t xml:space="preserve">ăşire a valorii limită </w:t>
      </w:r>
    </w:p>
    <w:p w:rsidR="00AE762B" w:rsidRPr="004F0887" w:rsidRDefault="00AE762B" w:rsidP="0024470B">
      <w:pPr>
        <w:pStyle w:val="Default"/>
        <w:spacing w:after="4"/>
        <w:rPr>
          <w:rFonts w:ascii="Trebuchet MS" w:hAnsi="Trebuchet MS" w:cs="Times New Roman"/>
          <w:color w:val="auto"/>
          <w:sz w:val="22"/>
          <w:szCs w:val="22"/>
          <w:lang w:val="it-IT"/>
        </w:rPr>
      </w:pPr>
    </w:p>
    <w:p w:rsidR="00AE762B" w:rsidRPr="00250E56" w:rsidRDefault="00AE762B" w:rsidP="0024470B">
      <w:pPr>
        <w:pStyle w:val="Default"/>
        <w:spacing w:after="4"/>
        <w:rPr>
          <w:rFonts w:ascii="Trebuchet MS" w:hAnsi="Trebuchet MS" w:cs="Times New Roman"/>
          <w:color w:val="auto"/>
          <w:lang w:val="it-IT"/>
        </w:rPr>
      </w:pPr>
    </w:p>
    <w:p w:rsidR="00AE762B" w:rsidRPr="00250E56" w:rsidRDefault="00AE762B" w:rsidP="0024470B">
      <w:pPr>
        <w:pStyle w:val="Default"/>
        <w:spacing w:after="4"/>
        <w:rPr>
          <w:rFonts w:ascii="Trebuchet MS" w:hAnsi="Trebuchet MS" w:cs="Times New Roman"/>
          <w:color w:val="auto"/>
          <w:lang w:val="it-IT"/>
        </w:rPr>
      </w:pPr>
    </w:p>
    <w:p w:rsidR="00AE762B" w:rsidRPr="004F0887" w:rsidRDefault="00AE762B" w:rsidP="0024470B">
      <w:pPr>
        <w:pStyle w:val="Default"/>
        <w:spacing w:after="4"/>
        <w:rPr>
          <w:rFonts w:ascii="Trebuchet MS" w:hAnsi="Trebuchet MS"/>
          <w:color w:val="auto"/>
          <w:sz w:val="22"/>
          <w:szCs w:val="22"/>
          <w:lang w:val="it-IT"/>
        </w:rPr>
      </w:pPr>
      <w:r w:rsidRPr="004F0887">
        <w:rPr>
          <w:rFonts w:ascii="Trebuchet MS" w:hAnsi="Trebuchet MS" w:cs="Times New Roman"/>
          <w:color w:val="auto"/>
          <w:sz w:val="22"/>
          <w:szCs w:val="22"/>
          <w:lang w:val="it-IT"/>
        </w:rPr>
        <w:t>Grafic I.1.1.3.2-</w:t>
      </w:r>
      <w:r w:rsidRPr="004F0887">
        <w:rPr>
          <w:rFonts w:ascii="Trebuchet MS" w:hAnsi="Trebuchet MS"/>
          <w:color w:val="auto"/>
          <w:sz w:val="22"/>
          <w:szCs w:val="22"/>
          <w:lang w:val="it-IT"/>
        </w:rPr>
        <w:t>ponderea populaţiei care este potenţial expusă la conentraţii de PM10 ce depăşesc valoarea limită stabilită pentru protecţia umană</w:t>
      </w:r>
    </w:p>
    <w:p w:rsidR="00AE762B" w:rsidRDefault="000946BE" w:rsidP="0024470B">
      <w:pPr>
        <w:pStyle w:val="Default"/>
        <w:spacing w:after="4"/>
        <w:rPr>
          <w:color w:val="auto"/>
          <w:sz w:val="20"/>
          <w:szCs w:val="20"/>
          <w:lang w:val="it-IT"/>
        </w:rPr>
      </w:pPr>
      <w:bookmarkStart w:id="54" w:name="_MON_1565431877"/>
      <w:bookmarkStart w:id="55" w:name="_MON_1721723317"/>
      <w:bookmarkEnd w:id="54"/>
      <w:bookmarkEnd w:id="55"/>
      <w:r>
        <w:rPr>
          <w:rFonts w:cs="Times New Roman"/>
          <w:noProof/>
          <w:color w:val="auto"/>
        </w:rPr>
        <w:drawing>
          <wp:inline distT="0" distB="0" distL="0" distR="0" wp14:anchorId="1612970E" wp14:editId="6239A490">
            <wp:extent cx="5743575" cy="3124200"/>
            <wp:effectExtent l="0" t="0" r="0" b="0"/>
            <wp:docPr id="18" name="Objec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E762B" w:rsidRPr="004F0887" w:rsidRDefault="00AE762B" w:rsidP="0024470B">
      <w:pPr>
        <w:pStyle w:val="Default"/>
        <w:spacing w:after="4"/>
        <w:rPr>
          <w:rFonts w:ascii="Trebuchet MS" w:hAnsi="Trebuchet MS"/>
          <w:color w:val="auto"/>
          <w:sz w:val="22"/>
          <w:szCs w:val="22"/>
          <w:lang w:val="it-IT"/>
        </w:rPr>
      </w:pPr>
      <w:r w:rsidRPr="004F0887">
        <w:rPr>
          <w:rFonts w:ascii="Trebuchet MS" w:hAnsi="Trebuchet MS"/>
          <w:color w:val="auto"/>
          <w:sz w:val="22"/>
          <w:szCs w:val="22"/>
          <w:lang w:val="it-IT"/>
        </w:rPr>
        <w:t>In anii 201</w:t>
      </w:r>
      <w:r w:rsidR="00F84B3E" w:rsidRPr="004F0887">
        <w:rPr>
          <w:rFonts w:ascii="Trebuchet MS" w:hAnsi="Trebuchet MS"/>
          <w:color w:val="auto"/>
          <w:sz w:val="22"/>
          <w:szCs w:val="22"/>
          <w:lang w:val="it-IT"/>
        </w:rPr>
        <w:t>9</w:t>
      </w:r>
      <w:r w:rsidRPr="004F0887">
        <w:rPr>
          <w:rFonts w:ascii="Trebuchet MS" w:hAnsi="Trebuchet MS"/>
          <w:color w:val="auto"/>
          <w:sz w:val="22"/>
          <w:szCs w:val="22"/>
          <w:lang w:val="it-IT"/>
        </w:rPr>
        <w:t>-</w:t>
      </w:r>
      <w:r w:rsidR="00A968E1" w:rsidRPr="004F0887">
        <w:rPr>
          <w:rFonts w:ascii="Trebuchet MS" w:hAnsi="Trebuchet MS"/>
          <w:color w:val="auto"/>
          <w:sz w:val="22"/>
          <w:szCs w:val="22"/>
          <w:lang w:val="it-IT"/>
        </w:rPr>
        <w:t>202</w:t>
      </w:r>
      <w:r w:rsidR="00F84B3E" w:rsidRPr="004F0887">
        <w:rPr>
          <w:rFonts w:ascii="Trebuchet MS" w:hAnsi="Trebuchet MS"/>
          <w:color w:val="auto"/>
          <w:sz w:val="22"/>
          <w:szCs w:val="22"/>
          <w:lang w:val="it-IT"/>
        </w:rPr>
        <w:t>3</w:t>
      </w:r>
      <w:r w:rsidRPr="004F0887">
        <w:rPr>
          <w:rFonts w:ascii="Trebuchet MS" w:hAnsi="Trebuchet MS"/>
          <w:color w:val="auto"/>
          <w:sz w:val="22"/>
          <w:szCs w:val="22"/>
          <w:lang w:val="it-IT"/>
        </w:rPr>
        <w:t xml:space="preserve"> nu a fost depasita valoarea limita anuala la nicio statie care a avut captura de date suficienta.</w:t>
      </w:r>
    </w:p>
    <w:p w:rsidR="00AE762B" w:rsidRPr="004F0887" w:rsidRDefault="00064B43" w:rsidP="0024470B">
      <w:pPr>
        <w:pStyle w:val="Default"/>
        <w:spacing w:after="4"/>
        <w:rPr>
          <w:rFonts w:ascii="Trebuchet MS" w:hAnsi="Trebuchet MS"/>
          <w:color w:val="auto"/>
          <w:sz w:val="22"/>
          <w:szCs w:val="22"/>
          <w:lang w:val="it-IT"/>
        </w:rPr>
      </w:pPr>
      <w:r w:rsidRPr="004F0887">
        <w:rPr>
          <w:rFonts w:ascii="Trebuchet MS" w:hAnsi="Trebuchet MS"/>
          <w:color w:val="auto"/>
          <w:sz w:val="22"/>
          <w:szCs w:val="22"/>
          <w:lang w:val="it-IT"/>
        </w:rPr>
        <w:t>Pentru staț</w:t>
      </w:r>
      <w:r w:rsidR="00711739" w:rsidRPr="004F0887">
        <w:rPr>
          <w:rFonts w:ascii="Trebuchet MS" w:hAnsi="Trebuchet MS"/>
          <w:color w:val="auto"/>
          <w:sz w:val="22"/>
          <w:szCs w:val="22"/>
          <w:lang w:val="it-IT"/>
        </w:rPr>
        <w:t>i</w:t>
      </w:r>
      <w:r w:rsidR="008A18B6" w:rsidRPr="004F0887">
        <w:rPr>
          <w:rFonts w:ascii="Trebuchet MS" w:hAnsi="Trebuchet MS"/>
          <w:color w:val="auto"/>
          <w:sz w:val="22"/>
          <w:szCs w:val="22"/>
          <w:lang w:val="it-IT"/>
        </w:rPr>
        <w:t>ile de trafic (</w:t>
      </w:r>
      <w:r w:rsidR="00F84B3E" w:rsidRPr="004F0887">
        <w:rPr>
          <w:rFonts w:ascii="Trebuchet MS" w:hAnsi="Trebuchet MS"/>
          <w:color w:val="auto"/>
          <w:sz w:val="22"/>
          <w:szCs w:val="22"/>
          <w:lang w:val="it-IT"/>
        </w:rPr>
        <w:t xml:space="preserve"> depasiri in anul</w:t>
      </w:r>
      <w:r w:rsidR="00D8148D" w:rsidRPr="004F0887">
        <w:rPr>
          <w:rFonts w:ascii="Trebuchet MS" w:hAnsi="Trebuchet MS"/>
          <w:color w:val="auto"/>
          <w:sz w:val="22"/>
          <w:szCs w:val="22"/>
          <w:lang w:val="it-IT"/>
        </w:rPr>
        <w:t xml:space="preserve"> 2019</w:t>
      </w:r>
      <w:r w:rsidRPr="004F0887">
        <w:rPr>
          <w:rFonts w:ascii="Trebuchet MS" w:hAnsi="Trebuchet MS"/>
          <w:color w:val="auto"/>
          <w:sz w:val="22"/>
          <w:szCs w:val="22"/>
          <w:lang w:val="it-IT"/>
        </w:rPr>
        <w:t>- mai mult de 35 depasiri ale VL zilnice)</w:t>
      </w:r>
      <w:r w:rsidR="00D8148D" w:rsidRPr="004F0887">
        <w:rPr>
          <w:rFonts w:ascii="Trebuchet MS" w:hAnsi="Trebuchet MS"/>
          <w:color w:val="auto"/>
          <w:sz w:val="22"/>
          <w:szCs w:val="22"/>
          <w:lang w:val="it-IT"/>
        </w:rPr>
        <w:t xml:space="preserve"> s-a estimat un procent de 8</w:t>
      </w:r>
      <w:r w:rsidR="00711739" w:rsidRPr="004F0887">
        <w:rPr>
          <w:rFonts w:ascii="Trebuchet MS" w:hAnsi="Trebuchet MS"/>
          <w:color w:val="auto"/>
          <w:sz w:val="22"/>
          <w:szCs w:val="22"/>
          <w:lang w:val="it-IT"/>
        </w:rPr>
        <w:t>%</w:t>
      </w:r>
      <w:r w:rsidR="00A968E1" w:rsidRPr="004F0887">
        <w:rPr>
          <w:rFonts w:ascii="Trebuchet MS" w:hAnsi="Trebuchet MS"/>
          <w:color w:val="auto"/>
          <w:sz w:val="22"/>
          <w:szCs w:val="22"/>
          <w:lang w:val="it-IT"/>
        </w:rPr>
        <w:t xml:space="preserve"> din populaţie locuieste pe  aria de reprezentativitate a staţiiilor</w:t>
      </w:r>
      <w:r w:rsidR="00711739" w:rsidRPr="004F0887">
        <w:rPr>
          <w:rFonts w:ascii="Trebuchet MS" w:hAnsi="Trebuchet MS"/>
          <w:color w:val="auto"/>
          <w:sz w:val="22"/>
          <w:szCs w:val="22"/>
          <w:lang w:val="it-IT"/>
        </w:rPr>
        <w:t xml:space="preserve">  </w:t>
      </w:r>
      <w:r w:rsidR="00D8148D" w:rsidRPr="004F0887">
        <w:rPr>
          <w:rFonts w:ascii="Trebuchet MS" w:hAnsi="Trebuchet MS"/>
          <w:color w:val="auto"/>
          <w:sz w:val="22"/>
          <w:szCs w:val="22"/>
          <w:lang w:val="it-IT"/>
        </w:rPr>
        <w:t xml:space="preserve">. In </w:t>
      </w:r>
      <w:r w:rsidR="0059176B" w:rsidRPr="004F0887">
        <w:rPr>
          <w:rFonts w:ascii="Trebuchet MS" w:hAnsi="Trebuchet MS"/>
          <w:color w:val="auto"/>
          <w:sz w:val="22"/>
          <w:szCs w:val="22"/>
          <w:lang w:val="it-IT"/>
        </w:rPr>
        <w:t>anii 2020-202</w:t>
      </w:r>
      <w:r w:rsidR="00F84B3E" w:rsidRPr="004F0887">
        <w:rPr>
          <w:rFonts w:ascii="Trebuchet MS" w:hAnsi="Trebuchet MS"/>
          <w:color w:val="auto"/>
          <w:sz w:val="22"/>
          <w:szCs w:val="22"/>
          <w:lang w:val="it-IT"/>
        </w:rPr>
        <w:t>3</w:t>
      </w:r>
      <w:r w:rsidR="00D8148D" w:rsidRPr="004F0887">
        <w:rPr>
          <w:rFonts w:ascii="Trebuchet MS" w:hAnsi="Trebuchet MS"/>
          <w:color w:val="auto"/>
          <w:sz w:val="22"/>
          <w:szCs w:val="22"/>
          <w:lang w:val="it-IT"/>
        </w:rPr>
        <w:t xml:space="preserve"> nu au fost mai mult de 35 zile depasiri ale </w:t>
      </w:r>
      <w:r w:rsidR="00A968E1" w:rsidRPr="004F0887">
        <w:rPr>
          <w:rFonts w:ascii="Trebuchet MS" w:hAnsi="Trebuchet MS"/>
          <w:color w:val="auto"/>
          <w:sz w:val="22"/>
          <w:szCs w:val="22"/>
          <w:lang w:val="it-IT"/>
        </w:rPr>
        <w:t>VL</w:t>
      </w:r>
      <w:r w:rsidR="00D8148D" w:rsidRPr="004F0887">
        <w:rPr>
          <w:rFonts w:ascii="Trebuchet MS" w:hAnsi="Trebuchet MS"/>
          <w:color w:val="auto"/>
          <w:sz w:val="22"/>
          <w:szCs w:val="22"/>
          <w:lang w:val="it-IT"/>
        </w:rPr>
        <w:t xml:space="preserve"> zilnice pentru PM10 </w:t>
      </w:r>
    </w:p>
    <w:p w:rsidR="00F84B3E" w:rsidRPr="004F0887" w:rsidRDefault="00F84B3E" w:rsidP="0024470B">
      <w:pPr>
        <w:pStyle w:val="Default"/>
        <w:spacing w:after="4"/>
        <w:rPr>
          <w:color w:val="auto"/>
          <w:sz w:val="22"/>
          <w:szCs w:val="22"/>
          <w:lang w:val="it-IT"/>
        </w:rPr>
      </w:pPr>
    </w:p>
    <w:p w:rsidR="00AE762B" w:rsidRPr="004F0887" w:rsidRDefault="00C663B3" w:rsidP="0024470B">
      <w:pPr>
        <w:pStyle w:val="Default"/>
        <w:rPr>
          <w:rFonts w:ascii="Trebuchet MS" w:hAnsi="Trebuchet MS"/>
          <w:color w:val="auto"/>
          <w:sz w:val="22"/>
          <w:szCs w:val="22"/>
          <w:lang w:val="it-IT"/>
        </w:rPr>
      </w:pPr>
      <w:r w:rsidRPr="004F0887">
        <w:rPr>
          <w:rFonts w:ascii="Trebuchet MS" w:hAnsi="Trebuchet MS"/>
          <w:color w:val="auto"/>
          <w:sz w:val="22"/>
          <w:szCs w:val="22"/>
          <w:lang w:val="it-IT"/>
        </w:rPr>
        <w:t>N</w:t>
      </w:r>
      <w:r w:rsidR="00AE762B" w:rsidRPr="004F0887">
        <w:rPr>
          <w:rFonts w:ascii="Trebuchet MS" w:hAnsi="Trebuchet MS"/>
          <w:color w:val="auto"/>
          <w:sz w:val="22"/>
          <w:szCs w:val="22"/>
          <w:lang w:val="it-IT"/>
        </w:rPr>
        <w:t>umărul de depăşiri ale valorii ţintă pentru ozon la staţ</w:t>
      </w:r>
      <w:r w:rsidR="008A18B6" w:rsidRPr="004F0887">
        <w:rPr>
          <w:rFonts w:ascii="Trebuchet MS" w:hAnsi="Trebuchet MS"/>
          <w:color w:val="auto"/>
          <w:sz w:val="22"/>
          <w:szCs w:val="22"/>
          <w:lang w:val="it-IT"/>
        </w:rPr>
        <w:t>i</w:t>
      </w:r>
      <w:r w:rsidR="0059176B" w:rsidRPr="004F0887">
        <w:rPr>
          <w:rFonts w:ascii="Trebuchet MS" w:hAnsi="Trebuchet MS"/>
          <w:color w:val="auto"/>
          <w:sz w:val="22"/>
          <w:szCs w:val="22"/>
          <w:lang w:val="it-IT"/>
        </w:rPr>
        <w:t>ile de monitorizare în anul 202</w:t>
      </w:r>
      <w:r w:rsidR="006823FE" w:rsidRPr="004F0887">
        <w:rPr>
          <w:rFonts w:ascii="Trebuchet MS" w:hAnsi="Trebuchet MS"/>
          <w:color w:val="auto"/>
          <w:sz w:val="22"/>
          <w:szCs w:val="22"/>
          <w:lang w:val="it-IT"/>
        </w:rPr>
        <w:t>3</w:t>
      </w:r>
    </w:p>
    <w:p w:rsidR="002B3AC9" w:rsidRPr="004F0887" w:rsidRDefault="002B3AC9" w:rsidP="0024470B">
      <w:pPr>
        <w:pStyle w:val="Default"/>
        <w:rPr>
          <w:rFonts w:ascii="Trebuchet MS" w:hAnsi="Trebuchet MS"/>
          <w:color w:val="auto"/>
          <w:sz w:val="22"/>
          <w:szCs w:val="22"/>
          <w:lang w:val="it-IT"/>
        </w:rPr>
      </w:pPr>
    </w:p>
    <w:p w:rsidR="00A43E0A" w:rsidRPr="004F0887" w:rsidRDefault="00A43E0A" w:rsidP="00A43E0A">
      <w:pPr>
        <w:pStyle w:val="Default"/>
        <w:jc w:val="both"/>
        <w:rPr>
          <w:rFonts w:ascii="Trebuchet MS" w:hAnsi="Trebuchet MS"/>
          <w:color w:val="FF0000"/>
          <w:sz w:val="22"/>
          <w:szCs w:val="22"/>
          <w:lang w:val="it-IT"/>
        </w:rPr>
      </w:pPr>
      <w:r w:rsidRPr="004F0887">
        <w:rPr>
          <w:rFonts w:ascii="Trebuchet MS" w:hAnsi="Trebuchet MS"/>
          <w:color w:val="auto"/>
          <w:sz w:val="22"/>
          <w:szCs w:val="22"/>
          <w:lang w:val="it-IT"/>
        </w:rPr>
        <w:t>Grafic I.1.1.3.3 - numărul de depăşiri ale valorii tinta pentru ozon la staţiile de monitorizare in anul 20</w:t>
      </w:r>
      <w:r w:rsidR="00901F16" w:rsidRPr="004F0887">
        <w:rPr>
          <w:rFonts w:ascii="Trebuchet MS" w:hAnsi="Trebuchet MS"/>
          <w:color w:val="auto"/>
          <w:sz w:val="22"/>
          <w:szCs w:val="22"/>
          <w:lang w:val="it-IT"/>
        </w:rPr>
        <w:t>2</w:t>
      </w:r>
      <w:r w:rsidR="006823FE" w:rsidRPr="004F0887">
        <w:rPr>
          <w:rFonts w:ascii="Trebuchet MS" w:hAnsi="Trebuchet MS"/>
          <w:color w:val="auto"/>
          <w:sz w:val="22"/>
          <w:szCs w:val="22"/>
          <w:lang w:val="it-IT"/>
        </w:rPr>
        <w:t>3</w:t>
      </w:r>
    </w:p>
    <w:p w:rsidR="00AE762B" w:rsidRPr="00250E56" w:rsidRDefault="00AE762B" w:rsidP="0024470B">
      <w:pPr>
        <w:pStyle w:val="Default"/>
        <w:rPr>
          <w:rFonts w:ascii="Trebuchet MS" w:hAnsi="Trebuchet MS"/>
          <w:color w:val="auto"/>
          <w:lang w:val="it-IT"/>
        </w:rPr>
      </w:pPr>
    </w:p>
    <w:p w:rsidR="00AE762B" w:rsidRDefault="000946BE" w:rsidP="00FF1A15">
      <w:pPr>
        <w:tabs>
          <w:tab w:val="left" w:pos="1080"/>
        </w:tabs>
        <w:jc w:val="both"/>
        <w:rPr>
          <w:rFonts w:ascii="Arial" w:hAnsi="Arial" w:cs="Arial"/>
          <w:lang w:val="it-IT"/>
        </w:rPr>
      </w:pPr>
      <w:bookmarkStart w:id="56" w:name="_MON_1595149132"/>
      <w:bookmarkStart w:id="57" w:name="_MON_1721723488"/>
      <w:bookmarkEnd w:id="56"/>
      <w:bookmarkEnd w:id="57"/>
      <w:r>
        <w:rPr>
          <w:noProof/>
          <w:lang w:val="en-US"/>
        </w:rPr>
        <w:drawing>
          <wp:inline distT="0" distB="0" distL="0" distR="0" wp14:anchorId="5DE9D94C" wp14:editId="6F42130C">
            <wp:extent cx="4943475" cy="3200400"/>
            <wp:effectExtent l="0" t="0" r="0" b="0"/>
            <wp:docPr id="19" name="Objec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663939" w:rsidRPr="006E4117">
        <w:rPr>
          <w:rFonts w:ascii="Arial" w:hAnsi="Arial" w:cs="Arial"/>
          <w:lang w:val="it-IT"/>
        </w:rPr>
        <w:t>.</w:t>
      </w:r>
      <w:r w:rsidR="00AE762B">
        <w:rPr>
          <w:lang w:val="it-IT"/>
        </w:rPr>
        <w:br w:type="page"/>
      </w:r>
    </w:p>
    <w:p w:rsidR="00AE762B" w:rsidRPr="004F0887" w:rsidRDefault="00AE762B" w:rsidP="0024470B">
      <w:pPr>
        <w:pStyle w:val="Default"/>
        <w:rPr>
          <w:rFonts w:ascii="Trebuchet MS" w:hAnsi="Trebuchet MS"/>
          <w:b/>
          <w:color w:val="auto"/>
          <w:sz w:val="22"/>
          <w:szCs w:val="22"/>
          <w:lang w:val="it-IT"/>
        </w:rPr>
      </w:pPr>
      <w:r w:rsidRPr="00B345BB">
        <w:rPr>
          <w:rFonts w:ascii="Trebuchet MS" w:hAnsi="Trebuchet MS"/>
          <w:b/>
          <w:color w:val="auto"/>
          <w:lang w:val="it-IT"/>
        </w:rPr>
        <w:t>I</w:t>
      </w:r>
      <w:r w:rsidRPr="004F0887">
        <w:rPr>
          <w:rFonts w:ascii="Trebuchet MS" w:hAnsi="Trebuchet MS"/>
          <w:b/>
          <w:color w:val="auto"/>
          <w:sz w:val="22"/>
          <w:szCs w:val="22"/>
          <w:lang w:val="it-IT"/>
        </w:rPr>
        <w:t>.1.2  Efectele poluării aerului înconjurător</w:t>
      </w:r>
    </w:p>
    <w:p w:rsidR="00AE762B" w:rsidRPr="004F0887" w:rsidRDefault="00AE762B" w:rsidP="0024470B">
      <w:pPr>
        <w:pStyle w:val="Default"/>
        <w:rPr>
          <w:rFonts w:ascii="Trebuchet MS" w:hAnsi="Trebuchet MS"/>
          <w:color w:val="FF0000"/>
          <w:sz w:val="22"/>
          <w:szCs w:val="22"/>
          <w:lang w:val="it-IT"/>
        </w:rPr>
      </w:pPr>
    </w:p>
    <w:p w:rsidR="00AE762B" w:rsidRPr="004F0887" w:rsidRDefault="00AE762B" w:rsidP="0024470B">
      <w:pPr>
        <w:pStyle w:val="Default"/>
        <w:rPr>
          <w:rFonts w:ascii="Trebuchet MS" w:hAnsi="Trebuchet MS"/>
          <w:b/>
          <w:bCs/>
          <w:i/>
          <w:iCs/>
          <w:sz w:val="22"/>
          <w:szCs w:val="22"/>
          <w:lang w:val="it-IT"/>
        </w:rPr>
      </w:pPr>
      <w:r w:rsidRPr="004F0887">
        <w:rPr>
          <w:rFonts w:ascii="Trebuchet MS" w:hAnsi="Trebuchet MS"/>
          <w:color w:val="auto"/>
          <w:sz w:val="22"/>
          <w:szCs w:val="22"/>
          <w:lang w:val="it-IT"/>
        </w:rPr>
        <w:t xml:space="preserve">I.1.2.1 </w:t>
      </w:r>
      <w:r w:rsidRPr="004F0887">
        <w:rPr>
          <w:rFonts w:ascii="Trebuchet MS" w:hAnsi="Trebuchet MS"/>
          <w:b/>
          <w:bCs/>
          <w:i/>
          <w:iCs/>
          <w:sz w:val="22"/>
          <w:szCs w:val="22"/>
          <w:lang w:val="it-IT"/>
        </w:rPr>
        <w:t>Efectele poluării aerului înconjurător asupra sănătăţii</w:t>
      </w:r>
    </w:p>
    <w:p w:rsidR="00AE762B" w:rsidRPr="004F0887" w:rsidRDefault="00AE762B" w:rsidP="000158EB">
      <w:pPr>
        <w:pStyle w:val="Default"/>
        <w:spacing w:after="4"/>
        <w:rPr>
          <w:rFonts w:ascii="Trebuchet MS" w:hAnsi="Trebuchet MS"/>
          <w:sz w:val="22"/>
          <w:szCs w:val="22"/>
          <w:lang w:val="it-IT"/>
        </w:rPr>
      </w:pPr>
      <w:r w:rsidRPr="004F0887">
        <w:rPr>
          <w:rFonts w:ascii="Trebuchet MS" w:hAnsi="Trebuchet MS"/>
          <w:sz w:val="22"/>
          <w:szCs w:val="22"/>
          <w:lang w:val="it-IT"/>
        </w:rPr>
        <w:t xml:space="preserve">- 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AE762B" w:rsidRPr="004F0887" w:rsidRDefault="00AE762B" w:rsidP="000158EB">
      <w:pPr>
        <w:pStyle w:val="Default"/>
        <w:spacing w:after="4"/>
        <w:jc w:val="both"/>
        <w:rPr>
          <w:rFonts w:ascii="Trebuchet MS" w:hAnsi="Trebuchet MS"/>
          <w:b/>
          <w:sz w:val="22"/>
          <w:szCs w:val="22"/>
          <w:lang w:val="it-IT"/>
        </w:rPr>
      </w:pPr>
      <w:r w:rsidRPr="004F0887">
        <w:rPr>
          <w:rFonts w:ascii="Trebuchet MS" w:hAnsi="Trebuchet MS"/>
          <w:b/>
          <w:sz w:val="22"/>
          <w:szCs w:val="22"/>
          <w:lang w:val="it-IT"/>
        </w:rPr>
        <w:t>În ultimii 5 ani, la staţia de fond urban B1- Lacul Morii nu au fost depăşite valorile limită/ţintă pentru SO2, NO2, CO</w:t>
      </w:r>
      <w:r w:rsidR="00F7760A" w:rsidRPr="004F0887">
        <w:rPr>
          <w:rFonts w:ascii="Trebuchet MS" w:hAnsi="Trebuchet MS"/>
          <w:b/>
          <w:sz w:val="22"/>
          <w:szCs w:val="22"/>
          <w:lang w:val="it-IT"/>
        </w:rPr>
        <w:t>, benzen</w:t>
      </w:r>
      <w:r w:rsidRPr="004F0887">
        <w:rPr>
          <w:rFonts w:ascii="Trebuchet MS" w:hAnsi="Trebuchet MS"/>
          <w:b/>
          <w:sz w:val="22"/>
          <w:szCs w:val="22"/>
          <w:lang w:val="it-IT"/>
        </w:rPr>
        <w:t xml:space="preserve"> şi metale grele. </w:t>
      </w:r>
      <w:r w:rsidR="00F7760A" w:rsidRPr="004F0887">
        <w:rPr>
          <w:rFonts w:ascii="Trebuchet MS" w:hAnsi="Trebuchet MS"/>
          <w:b/>
          <w:sz w:val="22"/>
          <w:szCs w:val="22"/>
          <w:lang w:val="it-IT"/>
        </w:rPr>
        <w:t>Indicatorii</w:t>
      </w:r>
      <w:r w:rsidRPr="004F0887">
        <w:rPr>
          <w:rFonts w:ascii="Trebuchet MS" w:hAnsi="Trebuchet MS"/>
          <w:b/>
          <w:sz w:val="22"/>
          <w:szCs w:val="22"/>
          <w:lang w:val="it-IT"/>
        </w:rPr>
        <w:t xml:space="preserve"> la care a fost depăşit</w:t>
      </w:r>
      <w:r w:rsidR="00F7760A" w:rsidRPr="004F0887">
        <w:rPr>
          <w:rFonts w:ascii="Trebuchet MS" w:hAnsi="Trebuchet MS"/>
          <w:b/>
          <w:sz w:val="22"/>
          <w:szCs w:val="22"/>
          <w:lang w:val="it-IT"/>
        </w:rPr>
        <w:t>ă</w:t>
      </w:r>
      <w:r w:rsidRPr="004F0887">
        <w:rPr>
          <w:rFonts w:ascii="Trebuchet MS" w:hAnsi="Trebuchet MS"/>
          <w:b/>
          <w:sz w:val="22"/>
          <w:szCs w:val="22"/>
          <w:lang w:val="it-IT"/>
        </w:rPr>
        <w:t xml:space="preserve"> Valoarea limită</w:t>
      </w:r>
      <w:r w:rsidR="00A43E0A" w:rsidRPr="004F0887">
        <w:rPr>
          <w:rFonts w:ascii="Trebuchet MS" w:hAnsi="Trebuchet MS"/>
          <w:b/>
          <w:sz w:val="22"/>
          <w:szCs w:val="22"/>
          <w:lang w:val="it-IT"/>
        </w:rPr>
        <w:t>/valoarea tintă</w:t>
      </w:r>
      <w:r w:rsidRPr="004F0887">
        <w:rPr>
          <w:rFonts w:ascii="Trebuchet MS" w:hAnsi="Trebuchet MS"/>
          <w:b/>
          <w:sz w:val="22"/>
          <w:szCs w:val="22"/>
          <w:lang w:val="it-IT"/>
        </w:rPr>
        <w:t xml:space="preserve"> a</w:t>
      </w:r>
      <w:r w:rsidR="00F7760A" w:rsidRPr="004F0887">
        <w:rPr>
          <w:rFonts w:ascii="Trebuchet MS" w:hAnsi="Trebuchet MS"/>
          <w:b/>
          <w:sz w:val="22"/>
          <w:szCs w:val="22"/>
          <w:lang w:val="it-IT"/>
        </w:rPr>
        <w:t>u</w:t>
      </w:r>
      <w:r w:rsidRPr="004F0887">
        <w:rPr>
          <w:rFonts w:ascii="Trebuchet MS" w:hAnsi="Trebuchet MS"/>
          <w:b/>
          <w:sz w:val="22"/>
          <w:szCs w:val="22"/>
          <w:lang w:val="it-IT"/>
        </w:rPr>
        <w:t xml:space="preserve"> fost </w:t>
      </w:r>
      <w:r w:rsidR="00A43E0A" w:rsidRPr="004F0887">
        <w:rPr>
          <w:rFonts w:ascii="Trebuchet MS" w:hAnsi="Trebuchet MS"/>
          <w:b/>
          <w:sz w:val="22"/>
          <w:szCs w:val="22"/>
          <w:lang w:val="it-IT"/>
        </w:rPr>
        <w:t>O3</w:t>
      </w:r>
      <w:r w:rsidR="00F7760A" w:rsidRPr="004F0887">
        <w:rPr>
          <w:rFonts w:ascii="Trebuchet MS" w:hAnsi="Trebuchet MS"/>
          <w:b/>
          <w:sz w:val="22"/>
          <w:szCs w:val="22"/>
          <w:lang w:val="it-IT"/>
        </w:rPr>
        <w:t xml:space="preserve"> (totuși</w:t>
      </w:r>
      <w:r w:rsidR="009F7EFA" w:rsidRPr="004F0887">
        <w:rPr>
          <w:rFonts w:ascii="Trebuchet MS" w:hAnsi="Trebuchet MS"/>
          <w:b/>
          <w:sz w:val="22"/>
          <w:szCs w:val="22"/>
          <w:lang w:val="it-IT"/>
        </w:rPr>
        <w:t xml:space="preserve"> sub 25 zile depășiri ale valorii țintă</w:t>
      </w:r>
      <w:r w:rsidR="00F7760A" w:rsidRPr="004F0887">
        <w:rPr>
          <w:rFonts w:ascii="Trebuchet MS" w:hAnsi="Trebuchet MS"/>
          <w:b/>
          <w:sz w:val="22"/>
          <w:szCs w:val="22"/>
          <w:lang w:val="it-IT"/>
        </w:rPr>
        <w:t>) respectiv PM 10 (sub 35 zile depășiri ale VL limită zilnice)</w:t>
      </w:r>
      <w:r w:rsidRPr="004F0887">
        <w:rPr>
          <w:rFonts w:ascii="Trebuchet MS" w:hAnsi="Trebuchet MS"/>
          <w:b/>
          <w:sz w:val="22"/>
          <w:szCs w:val="22"/>
          <w:lang w:val="it-IT"/>
        </w:rPr>
        <w:t>.</w:t>
      </w:r>
    </w:p>
    <w:p w:rsidR="00AE762B" w:rsidRPr="004F0887" w:rsidRDefault="00AE762B" w:rsidP="000158EB">
      <w:pPr>
        <w:pStyle w:val="Default"/>
        <w:spacing w:after="4"/>
        <w:jc w:val="both"/>
        <w:rPr>
          <w:rFonts w:ascii="Trebuchet MS" w:hAnsi="Trebuchet MS"/>
          <w:b/>
          <w:sz w:val="22"/>
          <w:szCs w:val="22"/>
          <w:lang w:val="it-IT"/>
        </w:rPr>
      </w:pPr>
    </w:p>
    <w:p w:rsidR="00B345BB" w:rsidRPr="004F0887" w:rsidRDefault="00B345BB" w:rsidP="00B345BB">
      <w:pPr>
        <w:pStyle w:val="Default"/>
        <w:jc w:val="both"/>
        <w:rPr>
          <w:rFonts w:ascii="Trebuchet MS" w:hAnsi="Trebuchet MS"/>
          <w:sz w:val="22"/>
          <w:szCs w:val="22"/>
          <w:lang w:val="it-IT"/>
        </w:rPr>
      </w:pPr>
      <w:r w:rsidRPr="004F0887">
        <w:rPr>
          <w:rFonts w:ascii="Trebuchet MS" w:hAnsi="Trebuchet MS"/>
          <w:sz w:val="22"/>
          <w:szCs w:val="22"/>
          <w:lang w:val="it-IT"/>
        </w:rPr>
        <w:t>Grafic I.1.2.1.1- evoluţia procentului din populaţia urbană expusă la afectarea sănătăţii datorită depăşiri valorilor limită a indicatorilor de calitate a aerului (NO2, O3, PM10), pentru ultimii cinci ani (s-au luat in considerare doar depasirile valorilor limita/valorilor tinta peste nr specificat de L104/2011)</w:t>
      </w:r>
    </w:p>
    <w:p w:rsidR="00B345BB" w:rsidRPr="004F0887" w:rsidRDefault="00B345BB" w:rsidP="00481741">
      <w:pPr>
        <w:pStyle w:val="Default"/>
        <w:jc w:val="both"/>
        <w:rPr>
          <w:rFonts w:ascii="Trebuchet MS" w:hAnsi="Trebuchet MS"/>
          <w:sz w:val="22"/>
          <w:szCs w:val="22"/>
          <w:lang w:val="it-IT"/>
        </w:rPr>
      </w:pPr>
    </w:p>
    <w:p w:rsidR="00AE762B" w:rsidRDefault="000946BE" w:rsidP="000158EB">
      <w:pPr>
        <w:pStyle w:val="Default"/>
        <w:rPr>
          <w:lang w:val="pt-BR"/>
        </w:rPr>
      </w:pPr>
      <w:bookmarkStart w:id="58" w:name="_MON_1565432831"/>
      <w:bookmarkStart w:id="59" w:name="_MON_1721728330"/>
      <w:bookmarkEnd w:id="58"/>
      <w:bookmarkEnd w:id="59"/>
      <w:r>
        <w:rPr>
          <w:noProof/>
        </w:rPr>
        <w:drawing>
          <wp:inline distT="0" distB="0" distL="0" distR="0" wp14:anchorId="78A4A789" wp14:editId="5FBC3452">
            <wp:extent cx="5210175" cy="3248025"/>
            <wp:effectExtent l="0" t="0" r="9525" b="9525"/>
            <wp:docPr id="20" name="Objec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E762B" w:rsidRDefault="00AE762B" w:rsidP="000158EB">
      <w:pPr>
        <w:pStyle w:val="Default"/>
        <w:rPr>
          <w:lang w:val="pt-BR"/>
        </w:rPr>
      </w:pPr>
    </w:p>
    <w:p w:rsidR="00AE762B" w:rsidRPr="004F0887" w:rsidRDefault="009F7EFA" w:rsidP="000158EB">
      <w:pPr>
        <w:pStyle w:val="Default"/>
        <w:rPr>
          <w:rFonts w:ascii="Trebuchet MS" w:hAnsi="Trebuchet MS"/>
          <w:sz w:val="22"/>
          <w:szCs w:val="22"/>
          <w:lang w:val="pt-BR"/>
        </w:rPr>
      </w:pPr>
      <w:r w:rsidRPr="004F0887">
        <w:rPr>
          <w:rFonts w:ascii="Trebuchet MS" w:hAnsi="Trebuchet MS"/>
          <w:color w:val="auto"/>
          <w:sz w:val="22"/>
          <w:szCs w:val="22"/>
          <w:lang w:val="pt-BR"/>
        </w:rPr>
        <w:t>La statia de fond urban B1, procentul populatiei expuse la la depășirea valorii limita sau țintă pentru PM10, NO2 si O3 este 0.</w:t>
      </w:r>
    </w:p>
    <w:p w:rsidR="00AE762B" w:rsidRPr="004F0887" w:rsidRDefault="00AE762B">
      <w:pPr>
        <w:rPr>
          <w:rFonts w:ascii="Arial" w:hAnsi="Arial" w:cs="Arial"/>
          <w:color w:val="000000"/>
          <w:sz w:val="22"/>
          <w:szCs w:val="22"/>
          <w:lang w:val="pt-BR"/>
        </w:rPr>
      </w:pPr>
      <w:r w:rsidRPr="004F0887">
        <w:rPr>
          <w:sz w:val="22"/>
          <w:szCs w:val="22"/>
          <w:lang w:val="pt-BR"/>
        </w:rPr>
        <w:br w:type="page"/>
      </w:r>
    </w:p>
    <w:p w:rsidR="00AE762B" w:rsidRDefault="00AE762B" w:rsidP="000158EB">
      <w:pPr>
        <w:pStyle w:val="Default"/>
        <w:rPr>
          <w:lang w:val="pt-BR"/>
        </w:rPr>
      </w:pPr>
    </w:p>
    <w:p w:rsidR="00AE762B" w:rsidRPr="00B345BB" w:rsidRDefault="00AE762B" w:rsidP="000158EB">
      <w:pPr>
        <w:pStyle w:val="Default"/>
        <w:rPr>
          <w:rFonts w:ascii="Trebuchet MS" w:hAnsi="Trebuchet MS"/>
          <w:b/>
          <w:lang w:val="pt-BR"/>
        </w:rPr>
      </w:pPr>
      <w:r w:rsidRPr="00B345BB">
        <w:rPr>
          <w:rFonts w:ascii="Trebuchet MS" w:hAnsi="Trebuchet MS"/>
          <w:b/>
          <w:lang w:val="pt-BR"/>
        </w:rPr>
        <w:t>I.1.2.2 Efectele poluării aerului înconjurător asupra ecosistemelor</w:t>
      </w:r>
    </w:p>
    <w:p w:rsidR="00AE762B" w:rsidRPr="00B345BB" w:rsidRDefault="00AE762B" w:rsidP="000158EB">
      <w:pPr>
        <w:pStyle w:val="Default"/>
        <w:rPr>
          <w:rFonts w:ascii="Trebuchet MS" w:hAnsi="Trebuchet MS"/>
          <w:lang w:val="pt-BR"/>
        </w:rPr>
      </w:pPr>
    </w:p>
    <w:p w:rsidR="00AE762B" w:rsidRPr="004F0887" w:rsidRDefault="00AE762B" w:rsidP="00174F3E">
      <w:pPr>
        <w:pStyle w:val="Default"/>
        <w:rPr>
          <w:rFonts w:ascii="Trebuchet MS" w:hAnsi="Trebuchet MS"/>
          <w:sz w:val="22"/>
          <w:szCs w:val="22"/>
          <w:lang w:val="it-IT"/>
        </w:rPr>
      </w:pPr>
      <w:r w:rsidRPr="004F0887">
        <w:rPr>
          <w:rFonts w:ascii="Trebuchet MS" w:hAnsi="Trebuchet MS"/>
          <w:b/>
          <w:bCs/>
          <w:sz w:val="22"/>
          <w:szCs w:val="22"/>
          <w:lang w:val="it-IT"/>
        </w:rPr>
        <w:t xml:space="preserve">A. Indicatori specifici </w:t>
      </w:r>
    </w:p>
    <w:p w:rsidR="00AE762B" w:rsidRPr="004F0887" w:rsidRDefault="00AE762B" w:rsidP="00174F3E">
      <w:pPr>
        <w:pStyle w:val="Default"/>
        <w:rPr>
          <w:rFonts w:ascii="Trebuchet MS" w:hAnsi="Trebuchet MS"/>
          <w:sz w:val="22"/>
          <w:szCs w:val="22"/>
          <w:lang w:val="it-IT"/>
        </w:rPr>
      </w:pPr>
      <w:r w:rsidRPr="004F0887">
        <w:rPr>
          <w:rFonts w:ascii="Trebuchet MS" w:hAnsi="Trebuchet MS"/>
          <w:b/>
          <w:bCs/>
          <w:sz w:val="22"/>
          <w:szCs w:val="22"/>
          <w:lang w:val="it-IT"/>
        </w:rPr>
        <w:t>COD INDICATOR</w:t>
      </w:r>
      <w:r w:rsidRPr="004F0887">
        <w:rPr>
          <w:rFonts w:ascii="Trebuchet MS" w:hAnsi="Trebuchet MS"/>
          <w:sz w:val="22"/>
          <w:szCs w:val="22"/>
          <w:lang w:val="it-IT"/>
        </w:rPr>
        <w:t xml:space="preserve"> </w:t>
      </w:r>
    </w:p>
    <w:p w:rsidR="00AE762B" w:rsidRPr="004F0887" w:rsidRDefault="00AE762B" w:rsidP="00174F3E">
      <w:pPr>
        <w:pStyle w:val="Default"/>
        <w:rPr>
          <w:rFonts w:ascii="Trebuchet MS" w:hAnsi="Trebuchet MS"/>
          <w:sz w:val="22"/>
          <w:szCs w:val="22"/>
          <w:lang w:val="it-IT"/>
        </w:rPr>
      </w:pPr>
      <w:r w:rsidRPr="004F0887">
        <w:rPr>
          <w:rFonts w:ascii="Trebuchet MS" w:hAnsi="Trebuchet MS"/>
          <w:sz w:val="22"/>
          <w:szCs w:val="22"/>
          <w:lang w:val="it-IT"/>
        </w:rPr>
        <w:t xml:space="preserve">Cod indicator România: </w:t>
      </w:r>
      <w:r w:rsidRPr="004F0887">
        <w:rPr>
          <w:rFonts w:ascii="Trebuchet MS" w:hAnsi="Trebuchet MS"/>
          <w:b/>
          <w:bCs/>
          <w:sz w:val="22"/>
          <w:szCs w:val="22"/>
          <w:lang w:val="it-IT"/>
        </w:rPr>
        <w:t>RO 05</w:t>
      </w:r>
    </w:p>
    <w:p w:rsidR="00AE762B" w:rsidRPr="004F0887" w:rsidRDefault="00AE762B" w:rsidP="00174F3E">
      <w:pPr>
        <w:pStyle w:val="Default"/>
        <w:rPr>
          <w:rFonts w:ascii="Trebuchet MS" w:hAnsi="Trebuchet MS"/>
          <w:sz w:val="22"/>
          <w:szCs w:val="22"/>
          <w:lang w:val="it-IT"/>
        </w:rPr>
      </w:pPr>
      <w:r w:rsidRPr="004F0887">
        <w:rPr>
          <w:rFonts w:ascii="Trebuchet MS" w:hAnsi="Trebuchet MS"/>
          <w:sz w:val="22"/>
          <w:szCs w:val="22"/>
          <w:lang w:val="it-IT"/>
        </w:rPr>
        <w:t xml:space="preserve">Cod indicator AEM: </w:t>
      </w:r>
      <w:r w:rsidRPr="004F0887">
        <w:rPr>
          <w:rFonts w:ascii="Trebuchet MS" w:hAnsi="Trebuchet MS"/>
          <w:b/>
          <w:bCs/>
          <w:sz w:val="22"/>
          <w:szCs w:val="22"/>
          <w:lang w:val="it-IT"/>
        </w:rPr>
        <w:t xml:space="preserve">CSI 05 </w:t>
      </w:r>
    </w:p>
    <w:p w:rsidR="00AE762B" w:rsidRPr="004F0887" w:rsidRDefault="00AE762B" w:rsidP="00174F3E">
      <w:pPr>
        <w:pStyle w:val="Default"/>
        <w:rPr>
          <w:rFonts w:ascii="Trebuchet MS" w:hAnsi="Trebuchet MS"/>
          <w:sz w:val="22"/>
          <w:szCs w:val="22"/>
          <w:lang w:val="it-IT"/>
        </w:rPr>
      </w:pPr>
      <w:r w:rsidRPr="004F0887">
        <w:rPr>
          <w:rFonts w:ascii="Trebuchet MS" w:hAnsi="Trebuchet MS"/>
          <w:b/>
          <w:bCs/>
          <w:sz w:val="22"/>
          <w:szCs w:val="22"/>
          <w:lang w:val="it-IT"/>
        </w:rPr>
        <w:t xml:space="preserve">DENUMIRE </w:t>
      </w:r>
    </w:p>
    <w:p w:rsidR="00AE762B" w:rsidRPr="004F0887" w:rsidRDefault="00AE762B" w:rsidP="008D62B8">
      <w:pPr>
        <w:autoSpaceDE w:val="0"/>
        <w:autoSpaceDN w:val="0"/>
        <w:adjustRightInd w:val="0"/>
        <w:rPr>
          <w:rFonts w:ascii="Trebuchet MS" w:hAnsi="Trebuchet MS" w:cs="Arial"/>
          <w:sz w:val="22"/>
          <w:szCs w:val="22"/>
          <w:lang w:val="it-IT"/>
        </w:rPr>
      </w:pPr>
      <w:r w:rsidRPr="004F0887">
        <w:rPr>
          <w:rFonts w:ascii="Trebuchet MS" w:hAnsi="Trebuchet MS" w:cs="Arial"/>
          <w:b/>
          <w:bCs/>
          <w:sz w:val="22"/>
          <w:szCs w:val="22"/>
          <w:lang w:val="it-IT"/>
        </w:rPr>
        <w:t>EXPUNEREA ECOSISTEMELOR LA ACIDIFIERE, EUTROFIZARE ŞI OZON</w:t>
      </w:r>
    </w:p>
    <w:p w:rsidR="00AE762B" w:rsidRPr="004F0887" w:rsidRDefault="00AE762B" w:rsidP="008D62B8">
      <w:pPr>
        <w:autoSpaceDE w:val="0"/>
        <w:autoSpaceDN w:val="0"/>
        <w:adjustRightInd w:val="0"/>
        <w:rPr>
          <w:rFonts w:ascii="Trebuchet MS" w:eastAsia="Times New Roman" w:hAnsi="Trebuchet MS"/>
          <w:sz w:val="22"/>
          <w:szCs w:val="22"/>
          <w:lang w:val="it-IT"/>
        </w:rPr>
      </w:pPr>
    </w:p>
    <w:p w:rsidR="00AE762B" w:rsidRPr="004F0887" w:rsidRDefault="00AE762B" w:rsidP="00174F3E">
      <w:pPr>
        <w:pStyle w:val="Default"/>
        <w:rPr>
          <w:rFonts w:ascii="Trebuchet MS" w:hAnsi="Trebuchet MS"/>
          <w:sz w:val="22"/>
          <w:szCs w:val="22"/>
          <w:lang w:val="it-IT"/>
        </w:rPr>
      </w:pPr>
      <w:r w:rsidRPr="004F0887">
        <w:rPr>
          <w:rFonts w:ascii="Trebuchet MS" w:hAnsi="Trebuchet MS"/>
          <w:b/>
          <w:bCs/>
          <w:sz w:val="22"/>
          <w:szCs w:val="22"/>
          <w:lang w:val="it-IT"/>
        </w:rPr>
        <w:t xml:space="preserve">DEFINIŢIE </w:t>
      </w:r>
    </w:p>
    <w:p w:rsidR="00AE762B" w:rsidRPr="004F0887" w:rsidRDefault="00AE762B" w:rsidP="00B345BB">
      <w:pPr>
        <w:pStyle w:val="Default"/>
        <w:jc w:val="both"/>
        <w:rPr>
          <w:rFonts w:ascii="Trebuchet MS" w:hAnsi="Trebuchet MS"/>
          <w:sz w:val="22"/>
          <w:szCs w:val="22"/>
          <w:lang w:val="it-IT"/>
        </w:rPr>
      </w:pPr>
      <w:r w:rsidRPr="004F0887">
        <w:rPr>
          <w:rFonts w:ascii="Trebuchet MS" w:hAnsi="Trebuchet MS"/>
          <w:sz w:val="22"/>
          <w:szCs w:val="22"/>
          <w:lang w:val="it-IT"/>
        </w:rPr>
        <w:t xml:space="preserve">Procentul populaţiei urbane potenţial expusă la concentraţii de poluanţi în aerul înconjutător care depăşesc valoarea-limită pentru protecţia sănătăţii umane. </w:t>
      </w:r>
    </w:p>
    <w:p w:rsidR="0058077F" w:rsidRPr="004F0887" w:rsidRDefault="0058077F" w:rsidP="00174F3E">
      <w:pPr>
        <w:pStyle w:val="Default"/>
        <w:rPr>
          <w:rFonts w:ascii="Trebuchet MS" w:hAnsi="Trebuchet MS"/>
          <w:sz w:val="22"/>
          <w:szCs w:val="22"/>
          <w:lang w:val="it-IT"/>
        </w:rPr>
      </w:pPr>
    </w:p>
    <w:p w:rsidR="0058077F" w:rsidRPr="004F0887" w:rsidRDefault="00892708" w:rsidP="00B345BB">
      <w:pPr>
        <w:pStyle w:val="Default"/>
        <w:jc w:val="both"/>
        <w:rPr>
          <w:rFonts w:ascii="Trebuchet MS" w:hAnsi="Trebuchet MS"/>
          <w:sz w:val="22"/>
          <w:szCs w:val="22"/>
          <w:lang w:val="it-IT"/>
        </w:rPr>
      </w:pPr>
      <w:r w:rsidRPr="004F0887">
        <w:rPr>
          <w:rFonts w:ascii="Trebuchet MS" w:hAnsi="Trebuchet MS"/>
          <w:sz w:val="22"/>
          <w:szCs w:val="22"/>
          <w:lang w:val="it-IT"/>
        </w:rPr>
        <w:t>Doar stația B8 de fond regional, situată in Balotesti, este destinată măsurării efectelor poluării aerului asupra ecosistemelor</w:t>
      </w:r>
    </w:p>
    <w:p w:rsidR="00B345BB" w:rsidRPr="004F0887" w:rsidRDefault="00B345BB" w:rsidP="00174F3E">
      <w:pPr>
        <w:pStyle w:val="Default"/>
        <w:rPr>
          <w:rFonts w:ascii="Trebuchet MS" w:hAnsi="Trebuchet MS"/>
          <w:sz w:val="22"/>
          <w:szCs w:val="22"/>
          <w:lang w:val="it-IT"/>
        </w:rPr>
      </w:pPr>
      <w:r w:rsidRPr="004F0887">
        <w:rPr>
          <w:rFonts w:ascii="Trebuchet MS" w:hAnsi="Trebuchet MS"/>
          <w:sz w:val="22"/>
          <w:szCs w:val="22"/>
          <w:lang w:val="it-IT"/>
        </w:rPr>
        <w:t>Grafic I.1.2.2.1- Expunerea acumulată anuală (AOT 40) -statia B8</w:t>
      </w:r>
    </w:p>
    <w:p w:rsidR="009F0B45" w:rsidRDefault="009F0B45" w:rsidP="007E1A99">
      <w:pPr>
        <w:autoSpaceDE w:val="0"/>
        <w:autoSpaceDN w:val="0"/>
        <w:adjustRightInd w:val="0"/>
        <w:rPr>
          <w:rFonts w:ascii="Arial" w:hAnsi="Arial" w:cs="Arial"/>
          <w:b/>
          <w:lang w:val="it-IT"/>
        </w:rPr>
      </w:pPr>
      <w:r>
        <w:rPr>
          <w:rFonts w:ascii="Arial" w:hAnsi="Arial" w:cs="Arial"/>
          <w:noProof/>
          <w:lang w:val="en-US"/>
        </w:rPr>
        <w:drawing>
          <wp:inline distT="0" distB="0" distL="0" distR="0" wp14:anchorId="6C9A8ED2" wp14:editId="0066020F">
            <wp:extent cx="5200650" cy="2647950"/>
            <wp:effectExtent l="0" t="0" r="19050" b="19050"/>
            <wp:docPr id="66" name="Objec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E762B" w:rsidRPr="004F0887" w:rsidRDefault="00AE762B" w:rsidP="007E1A99">
      <w:pPr>
        <w:autoSpaceDE w:val="0"/>
        <w:autoSpaceDN w:val="0"/>
        <w:adjustRightInd w:val="0"/>
        <w:rPr>
          <w:rFonts w:ascii="Trebuchet MS" w:hAnsi="Trebuchet MS" w:cs="Arial"/>
          <w:sz w:val="22"/>
          <w:szCs w:val="22"/>
          <w:lang w:val="it-IT"/>
        </w:rPr>
      </w:pPr>
      <w:r w:rsidRPr="004F0887">
        <w:rPr>
          <w:rFonts w:ascii="Trebuchet MS" w:hAnsi="Trebuchet MS" w:cs="Arial"/>
          <w:b/>
          <w:sz w:val="22"/>
          <w:szCs w:val="22"/>
          <w:lang w:val="it-IT"/>
        </w:rPr>
        <w:t>Pentru ozon nu a fost depăşită valoarea ţintă a AOT40 (18000 µg/m3xh medie pe 5 ani)</w:t>
      </w:r>
      <w:r w:rsidR="003C67EA" w:rsidRPr="004F0887">
        <w:rPr>
          <w:rFonts w:ascii="Trebuchet MS" w:hAnsi="Trebuchet MS" w:cs="Arial"/>
          <w:b/>
          <w:sz w:val="22"/>
          <w:szCs w:val="22"/>
          <w:lang w:val="it-IT"/>
        </w:rPr>
        <w:t xml:space="preserve"> dar a fost depasit </w:t>
      </w:r>
      <w:r w:rsidRPr="004F0887">
        <w:rPr>
          <w:rFonts w:ascii="Trebuchet MS" w:hAnsi="Trebuchet MS" w:cs="Arial"/>
          <w:b/>
          <w:sz w:val="22"/>
          <w:szCs w:val="22"/>
          <w:lang w:val="it-IT"/>
        </w:rPr>
        <w:t xml:space="preserve"> obiectivul pe termen lung AOT 40 ( 6000 µg/m3xh</w:t>
      </w:r>
      <w:r w:rsidRPr="004F0887">
        <w:rPr>
          <w:rFonts w:ascii="Trebuchet MS" w:hAnsi="Trebuchet MS" w:cs="Arial"/>
          <w:sz w:val="22"/>
          <w:szCs w:val="22"/>
          <w:lang w:val="it-IT"/>
        </w:rPr>
        <w:t>)</w:t>
      </w:r>
    </w:p>
    <w:p w:rsidR="00AE762B" w:rsidRPr="00B345BB" w:rsidRDefault="00AE762B" w:rsidP="000158EB">
      <w:pPr>
        <w:pStyle w:val="Default"/>
        <w:rPr>
          <w:rFonts w:ascii="Trebuchet MS" w:hAnsi="Trebuchet MS"/>
          <w:lang w:val="it-IT"/>
        </w:rPr>
      </w:pPr>
    </w:p>
    <w:p w:rsidR="00AE762B" w:rsidRPr="00B345BB" w:rsidRDefault="00AE762B" w:rsidP="007E1A99">
      <w:pPr>
        <w:autoSpaceDE w:val="0"/>
        <w:autoSpaceDN w:val="0"/>
        <w:adjustRightInd w:val="0"/>
        <w:rPr>
          <w:rFonts w:ascii="Trebuchet MS" w:hAnsi="Trebuchet MS" w:cs="Arial,Italic"/>
          <w:sz w:val="20"/>
          <w:szCs w:val="20"/>
          <w:lang w:val="it-IT"/>
        </w:rPr>
      </w:pPr>
      <w:r w:rsidRPr="00B345BB">
        <w:rPr>
          <w:rFonts w:ascii="Trebuchet MS" w:hAnsi="Trebuchet MS" w:cs="Arial,Italic"/>
          <w:i/>
          <w:iCs/>
          <w:sz w:val="18"/>
          <w:szCs w:val="18"/>
          <w:lang w:val="it-IT"/>
        </w:rPr>
        <w:t xml:space="preserve">AOT40: reprezintă suma diferenţelor dintre concentraţiile orare mai mari de 80 </w:t>
      </w:r>
      <w:r w:rsidRPr="00B345BB">
        <w:rPr>
          <w:rFonts w:ascii="Trebuchet MS" w:hAnsi="Trebuchet MS" w:cs="Arial,Italic"/>
          <w:i/>
          <w:iCs/>
          <w:sz w:val="18"/>
          <w:szCs w:val="18"/>
          <w:lang w:val="en-US"/>
        </w:rPr>
        <w:t>μ</w:t>
      </w:r>
      <w:r w:rsidRPr="00B345BB">
        <w:rPr>
          <w:rFonts w:ascii="Trebuchet MS" w:hAnsi="Trebuchet MS" w:cs="Arial,Italic"/>
          <w:i/>
          <w:iCs/>
          <w:sz w:val="18"/>
          <w:szCs w:val="18"/>
          <w:lang w:val="it-IT"/>
        </w:rPr>
        <w:t>g/m</w:t>
      </w:r>
      <w:r w:rsidRPr="00B345BB">
        <w:rPr>
          <w:rFonts w:ascii="Trebuchet MS" w:hAnsi="Trebuchet MS" w:cs="Arial"/>
          <w:i/>
          <w:iCs/>
          <w:sz w:val="12"/>
          <w:szCs w:val="12"/>
          <w:lang w:val="it-IT"/>
        </w:rPr>
        <w:t xml:space="preserve">3 </w:t>
      </w:r>
      <w:r w:rsidRPr="00B345BB">
        <w:rPr>
          <w:rFonts w:ascii="Trebuchet MS" w:hAnsi="Trebuchet MS" w:cs="Arial"/>
          <w:i/>
          <w:iCs/>
          <w:sz w:val="18"/>
          <w:szCs w:val="18"/>
          <w:lang w:val="it-IT"/>
        </w:rPr>
        <w:t>(40 pp</w:t>
      </w:r>
      <w:r w:rsidRPr="00B345BB">
        <w:rPr>
          <w:rFonts w:ascii="Trebuchet MS" w:hAnsi="Trebuchet MS" w:cs="Arial,Italic"/>
          <w:i/>
          <w:iCs/>
          <w:sz w:val="18"/>
          <w:szCs w:val="18"/>
          <w:lang w:val="it-IT"/>
        </w:rPr>
        <w:t xml:space="preserve">b) şi 80 </w:t>
      </w:r>
      <w:r w:rsidRPr="00B345BB">
        <w:rPr>
          <w:rFonts w:ascii="Trebuchet MS" w:hAnsi="Trebuchet MS" w:cs="Arial,Italic"/>
          <w:i/>
          <w:iCs/>
          <w:sz w:val="18"/>
          <w:szCs w:val="18"/>
          <w:lang w:val="en-US"/>
        </w:rPr>
        <w:t>μ</w:t>
      </w:r>
      <w:r w:rsidRPr="00B345BB">
        <w:rPr>
          <w:rFonts w:ascii="Trebuchet MS" w:hAnsi="Trebuchet MS" w:cs="Arial,Italic"/>
          <w:i/>
          <w:iCs/>
          <w:sz w:val="18"/>
          <w:szCs w:val="18"/>
          <w:lang w:val="it-IT"/>
        </w:rPr>
        <w:t>g/m</w:t>
      </w:r>
      <w:r w:rsidRPr="00B345BB">
        <w:rPr>
          <w:rFonts w:ascii="Trebuchet MS" w:hAnsi="Trebuchet MS" w:cs="Arial"/>
          <w:i/>
          <w:iCs/>
          <w:sz w:val="12"/>
          <w:szCs w:val="12"/>
          <w:lang w:val="it-IT"/>
        </w:rPr>
        <w:t xml:space="preserve">3 </w:t>
      </w:r>
      <w:r w:rsidRPr="00B345BB">
        <w:rPr>
          <w:rFonts w:ascii="Trebuchet MS" w:hAnsi="Trebuchet MS" w:cs="Arial,Italic"/>
          <w:i/>
          <w:iCs/>
          <w:sz w:val="18"/>
          <w:szCs w:val="18"/>
          <w:lang w:val="it-IT"/>
        </w:rPr>
        <w:t>acumulate în toate valorile orare măsurate între 8.00</w:t>
      </w:r>
      <w:r w:rsidRPr="00B345BB">
        <w:rPr>
          <w:rFonts w:ascii="Trebuchet MS" w:hAnsi="Trebuchet MS" w:cs="Arial"/>
          <w:i/>
          <w:iCs/>
          <w:sz w:val="18"/>
          <w:szCs w:val="18"/>
          <w:lang w:val="it-IT"/>
        </w:rPr>
        <w:t xml:space="preserve">-20.00 ora Europei Centrale (9,00-21,00 ora României). </w:t>
      </w:r>
      <w:r w:rsidRPr="00B345BB">
        <w:rPr>
          <w:rFonts w:ascii="Trebuchet MS" w:hAnsi="Trebuchet MS" w:cs="Arial,Italic"/>
          <w:i/>
          <w:iCs/>
          <w:sz w:val="18"/>
          <w:szCs w:val="18"/>
          <w:lang w:val="it-IT"/>
        </w:rPr>
        <w:t>Pentru culturi, acumularea este de la 1 mai până pe 30 iulie</w:t>
      </w:r>
    </w:p>
    <w:p w:rsidR="00AE762B" w:rsidRPr="0059186B" w:rsidRDefault="00AE762B" w:rsidP="000158EB">
      <w:pPr>
        <w:pStyle w:val="Default"/>
        <w:rPr>
          <w:lang w:val="it-IT"/>
        </w:rPr>
      </w:pPr>
    </w:p>
    <w:p w:rsidR="00AE762B" w:rsidRPr="00B345BB" w:rsidRDefault="00AE762B" w:rsidP="000158EB">
      <w:pPr>
        <w:pStyle w:val="Default"/>
        <w:rPr>
          <w:rFonts w:ascii="Trebuchet MS" w:hAnsi="Trebuchet MS"/>
          <w:b/>
          <w:lang w:val="it-IT"/>
        </w:rPr>
      </w:pPr>
      <w:r w:rsidRPr="00B345BB">
        <w:rPr>
          <w:rFonts w:ascii="Trebuchet MS" w:hAnsi="Trebuchet MS"/>
          <w:b/>
          <w:lang w:val="it-IT"/>
        </w:rPr>
        <w:t>I.1.2.2.3 Efectele poluării aerului înconjurător asupra solului şi vegetaţiei</w:t>
      </w:r>
    </w:p>
    <w:p w:rsidR="00AE762B" w:rsidRPr="004F0887" w:rsidRDefault="00AE762B" w:rsidP="000158EB">
      <w:pPr>
        <w:pStyle w:val="Default"/>
        <w:rPr>
          <w:rFonts w:ascii="Trebuchet MS" w:hAnsi="Trebuchet MS"/>
          <w:sz w:val="22"/>
          <w:szCs w:val="22"/>
          <w:lang w:val="it-IT"/>
        </w:rPr>
      </w:pPr>
      <w:r w:rsidRPr="004F0887">
        <w:rPr>
          <w:rFonts w:ascii="Trebuchet MS" w:hAnsi="Trebuchet MS"/>
          <w:sz w:val="22"/>
          <w:szCs w:val="22"/>
          <w:lang w:val="it-IT"/>
        </w:rPr>
        <w:t>Nu sunt disponibile date pentru acest subcapitol</w:t>
      </w:r>
    </w:p>
    <w:p w:rsidR="00AE762B" w:rsidRPr="00065C7C" w:rsidRDefault="00AE762B" w:rsidP="009A7611">
      <w:pPr>
        <w:rPr>
          <w:rFonts w:ascii="Trebuchet MS" w:hAnsi="Trebuchet MS" w:cs="Arial"/>
          <w:b/>
          <w:bCs/>
          <w:iCs/>
          <w:lang w:val="it-IT"/>
        </w:rPr>
      </w:pPr>
      <w:r w:rsidRPr="00B345BB">
        <w:rPr>
          <w:rFonts w:ascii="Trebuchet MS" w:hAnsi="Trebuchet MS"/>
          <w:lang w:val="it-IT"/>
        </w:rPr>
        <w:br w:type="page"/>
      </w:r>
      <w:r w:rsidRPr="00065C7C">
        <w:rPr>
          <w:rFonts w:ascii="Trebuchet MS" w:hAnsi="Trebuchet MS" w:cs="Arial"/>
          <w:b/>
          <w:bCs/>
          <w:iCs/>
          <w:lang w:val="it-IT"/>
        </w:rPr>
        <w:t>I.2. Factorii determinanţi şi presiunile care afectează starea de calitate a aerului înconjurător</w:t>
      </w:r>
    </w:p>
    <w:p w:rsidR="00236654" w:rsidRPr="00065C7C" w:rsidRDefault="00236654" w:rsidP="009A7611">
      <w:pPr>
        <w:rPr>
          <w:rFonts w:ascii="Trebuchet MS" w:hAnsi="Trebuchet MS" w:cs="Arial"/>
          <w:b/>
          <w:bCs/>
          <w:iCs/>
          <w:lang w:val="it-IT"/>
        </w:rPr>
      </w:pPr>
    </w:p>
    <w:p w:rsidR="00AE762B" w:rsidRPr="004F0887" w:rsidRDefault="00236654" w:rsidP="00236654">
      <w:pPr>
        <w:jc w:val="both"/>
        <w:rPr>
          <w:rFonts w:ascii="Trebuchet MS" w:hAnsi="Trebuchet MS" w:cs="Arial"/>
          <w:bCs/>
          <w:i/>
          <w:iCs/>
          <w:sz w:val="22"/>
          <w:szCs w:val="22"/>
          <w:lang w:val="it-IT"/>
        </w:rPr>
      </w:pPr>
      <w:r w:rsidRPr="004F0887">
        <w:rPr>
          <w:rFonts w:ascii="Trebuchet MS" w:hAnsi="Trebuchet MS" w:cs="Arial"/>
          <w:bCs/>
          <w:i/>
          <w:iCs/>
          <w:sz w:val="22"/>
          <w:szCs w:val="22"/>
          <w:lang w:val="it-IT"/>
        </w:rPr>
        <w:t xml:space="preserve">Pentru sursele fixe de emisie (emisii industriale) </w:t>
      </w:r>
      <w:r w:rsidR="009F143C" w:rsidRPr="004F0887">
        <w:rPr>
          <w:rFonts w:ascii="Trebuchet MS" w:hAnsi="Trebuchet MS" w:cs="Arial"/>
          <w:bCs/>
          <w:i/>
          <w:iCs/>
          <w:sz w:val="22"/>
          <w:szCs w:val="22"/>
          <w:lang w:val="it-IT"/>
        </w:rPr>
        <w:t>interpretarile</w:t>
      </w:r>
      <w:r w:rsidRPr="004F0887">
        <w:rPr>
          <w:rFonts w:ascii="Trebuchet MS" w:hAnsi="Trebuchet MS" w:cs="Arial"/>
          <w:bCs/>
          <w:i/>
          <w:iCs/>
          <w:sz w:val="22"/>
          <w:szCs w:val="22"/>
          <w:lang w:val="it-IT"/>
        </w:rPr>
        <w:t xml:space="preserve"> au fost realizate cu datele de em</w:t>
      </w:r>
      <w:r w:rsidR="003C67EA" w:rsidRPr="004F0887">
        <w:rPr>
          <w:rFonts w:ascii="Trebuchet MS" w:hAnsi="Trebuchet MS" w:cs="Arial"/>
          <w:bCs/>
          <w:i/>
          <w:iCs/>
          <w:sz w:val="22"/>
          <w:szCs w:val="22"/>
          <w:lang w:val="it-IT"/>
        </w:rPr>
        <w:t>i</w:t>
      </w:r>
      <w:r w:rsidR="00F81D5C" w:rsidRPr="004F0887">
        <w:rPr>
          <w:rFonts w:ascii="Trebuchet MS" w:hAnsi="Trebuchet MS" w:cs="Arial"/>
          <w:bCs/>
          <w:i/>
          <w:iCs/>
          <w:sz w:val="22"/>
          <w:szCs w:val="22"/>
          <w:lang w:val="it-IT"/>
        </w:rPr>
        <w:t>sii disponibile pentru anul 202</w:t>
      </w:r>
      <w:r w:rsidR="00892708" w:rsidRPr="004F0887">
        <w:rPr>
          <w:rFonts w:ascii="Trebuchet MS" w:hAnsi="Trebuchet MS" w:cs="Arial"/>
          <w:bCs/>
          <w:i/>
          <w:iCs/>
          <w:sz w:val="22"/>
          <w:szCs w:val="22"/>
          <w:lang w:val="it-IT"/>
        </w:rPr>
        <w:t>3</w:t>
      </w:r>
      <w:r w:rsidR="003C67EA" w:rsidRPr="004F0887">
        <w:rPr>
          <w:rFonts w:ascii="Trebuchet MS" w:hAnsi="Trebuchet MS" w:cs="Arial"/>
          <w:bCs/>
          <w:i/>
          <w:iCs/>
          <w:sz w:val="22"/>
          <w:szCs w:val="22"/>
          <w:lang w:val="it-IT"/>
        </w:rPr>
        <w:t xml:space="preserve"> </w:t>
      </w:r>
    </w:p>
    <w:p w:rsidR="00236654" w:rsidRPr="004F0887" w:rsidRDefault="00236654" w:rsidP="009A7611">
      <w:pPr>
        <w:rPr>
          <w:rFonts w:ascii="Trebuchet MS" w:hAnsi="Trebuchet MS" w:cs="Arial"/>
          <w:b/>
          <w:bCs/>
          <w:iCs/>
          <w:color w:val="FF0000"/>
          <w:sz w:val="22"/>
          <w:szCs w:val="22"/>
          <w:lang w:val="ro-RO"/>
        </w:rPr>
      </w:pPr>
    </w:p>
    <w:p w:rsidR="00AE762B" w:rsidRPr="00065C7C" w:rsidRDefault="00AE762B" w:rsidP="009A7611">
      <w:pPr>
        <w:rPr>
          <w:rFonts w:ascii="Trebuchet MS" w:hAnsi="Trebuchet MS" w:cs="Arial"/>
          <w:b/>
          <w:bCs/>
          <w:iCs/>
          <w:lang w:val="it-IT"/>
        </w:rPr>
      </w:pPr>
      <w:r w:rsidRPr="00065C7C">
        <w:rPr>
          <w:rFonts w:ascii="Trebuchet MS" w:hAnsi="Trebuchet MS" w:cs="Arial"/>
          <w:b/>
          <w:bCs/>
          <w:iCs/>
          <w:lang w:val="it-IT"/>
        </w:rPr>
        <w:t>I.2.1 Energia</w:t>
      </w:r>
    </w:p>
    <w:p w:rsidR="00AE762B" w:rsidRPr="00065C7C" w:rsidRDefault="00AE762B" w:rsidP="009A7611">
      <w:pPr>
        <w:rPr>
          <w:rFonts w:ascii="Trebuchet MS" w:hAnsi="Trebuchet MS" w:cs="Arial"/>
          <w:b/>
          <w:bCs/>
          <w:iCs/>
          <w:lang w:val="it-IT"/>
        </w:rPr>
      </w:pPr>
    </w:p>
    <w:p w:rsidR="00AE762B" w:rsidRPr="004F0887" w:rsidRDefault="00AE762B" w:rsidP="009A7611">
      <w:pPr>
        <w:pStyle w:val="Default"/>
        <w:rPr>
          <w:rFonts w:ascii="Trebuchet MS" w:hAnsi="Trebuchet MS"/>
          <w:sz w:val="22"/>
          <w:szCs w:val="22"/>
          <w:lang w:val="it-IT"/>
        </w:rPr>
      </w:pPr>
      <w:r w:rsidRPr="004F0887">
        <w:rPr>
          <w:rFonts w:ascii="Trebuchet MS" w:hAnsi="Trebuchet MS"/>
          <w:b/>
          <w:bCs/>
          <w:sz w:val="22"/>
          <w:szCs w:val="22"/>
          <w:lang w:val="it-IT"/>
        </w:rPr>
        <w:t xml:space="preserve">A. Indicatori specifici </w:t>
      </w:r>
    </w:p>
    <w:p w:rsidR="00AE762B" w:rsidRPr="004F0887" w:rsidRDefault="00AE762B" w:rsidP="009A7611">
      <w:pPr>
        <w:pStyle w:val="Default"/>
        <w:rPr>
          <w:rFonts w:ascii="Trebuchet MS" w:hAnsi="Trebuchet MS"/>
          <w:sz w:val="22"/>
          <w:szCs w:val="22"/>
          <w:lang w:val="it-IT"/>
        </w:rPr>
      </w:pPr>
      <w:r w:rsidRPr="004F0887">
        <w:rPr>
          <w:rFonts w:ascii="Trebuchet MS" w:hAnsi="Trebuchet MS"/>
          <w:b/>
          <w:bCs/>
          <w:sz w:val="22"/>
          <w:szCs w:val="22"/>
          <w:lang w:val="it-IT"/>
        </w:rPr>
        <w:t>COD INDICATOR</w:t>
      </w:r>
      <w:r w:rsidRPr="004F0887">
        <w:rPr>
          <w:rFonts w:ascii="Trebuchet MS" w:hAnsi="Trebuchet MS"/>
          <w:sz w:val="22"/>
          <w:szCs w:val="22"/>
          <w:lang w:val="it-IT"/>
        </w:rPr>
        <w:t xml:space="preserve"> </w:t>
      </w:r>
    </w:p>
    <w:p w:rsidR="00AE762B" w:rsidRPr="004F0887" w:rsidRDefault="00AE762B" w:rsidP="009A7611">
      <w:pPr>
        <w:pStyle w:val="Default"/>
        <w:rPr>
          <w:rFonts w:ascii="Trebuchet MS" w:hAnsi="Trebuchet MS"/>
          <w:sz w:val="22"/>
          <w:szCs w:val="22"/>
          <w:lang w:val="it-IT"/>
        </w:rPr>
      </w:pPr>
      <w:r w:rsidRPr="004F0887">
        <w:rPr>
          <w:rFonts w:ascii="Trebuchet MS" w:hAnsi="Trebuchet MS"/>
          <w:sz w:val="22"/>
          <w:szCs w:val="22"/>
          <w:lang w:val="it-IT"/>
        </w:rPr>
        <w:t xml:space="preserve">Cod indicator România: </w:t>
      </w:r>
      <w:r w:rsidRPr="004F0887">
        <w:rPr>
          <w:rFonts w:ascii="Trebuchet MS" w:hAnsi="Trebuchet MS"/>
          <w:b/>
          <w:bCs/>
          <w:sz w:val="22"/>
          <w:szCs w:val="22"/>
          <w:lang w:val="it-IT"/>
        </w:rPr>
        <w:t>RO 01</w:t>
      </w:r>
    </w:p>
    <w:p w:rsidR="00AE762B" w:rsidRPr="004F0887" w:rsidRDefault="00AE762B" w:rsidP="009A7611">
      <w:pPr>
        <w:pStyle w:val="Default"/>
        <w:rPr>
          <w:rFonts w:ascii="Trebuchet MS" w:hAnsi="Trebuchet MS"/>
          <w:sz w:val="22"/>
          <w:szCs w:val="22"/>
          <w:lang w:val="it-IT"/>
        </w:rPr>
      </w:pPr>
      <w:r w:rsidRPr="004F0887">
        <w:rPr>
          <w:rFonts w:ascii="Trebuchet MS" w:hAnsi="Trebuchet MS"/>
          <w:sz w:val="22"/>
          <w:szCs w:val="22"/>
          <w:lang w:val="it-IT"/>
        </w:rPr>
        <w:t xml:space="preserve">Cod indicator AEM: </w:t>
      </w:r>
      <w:r w:rsidRPr="004F0887">
        <w:rPr>
          <w:rFonts w:ascii="Trebuchet MS" w:hAnsi="Trebuchet MS"/>
          <w:b/>
          <w:bCs/>
          <w:sz w:val="22"/>
          <w:szCs w:val="22"/>
          <w:lang w:val="it-IT"/>
        </w:rPr>
        <w:t xml:space="preserve">CSI 01 </w:t>
      </w:r>
    </w:p>
    <w:p w:rsidR="00AE762B" w:rsidRPr="004F0887" w:rsidRDefault="00AE762B" w:rsidP="009A7611">
      <w:pPr>
        <w:pStyle w:val="Default"/>
        <w:rPr>
          <w:rFonts w:ascii="Trebuchet MS" w:hAnsi="Trebuchet MS"/>
          <w:sz w:val="22"/>
          <w:szCs w:val="22"/>
          <w:lang w:val="it-IT"/>
        </w:rPr>
      </w:pPr>
      <w:r w:rsidRPr="004F0887">
        <w:rPr>
          <w:rFonts w:ascii="Trebuchet MS" w:hAnsi="Trebuchet MS"/>
          <w:b/>
          <w:bCs/>
          <w:sz w:val="22"/>
          <w:szCs w:val="22"/>
          <w:lang w:val="it-IT"/>
        </w:rPr>
        <w:t xml:space="preserve">DENUMIRE </w:t>
      </w:r>
    </w:p>
    <w:p w:rsidR="00AE762B" w:rsidRPr="004F0887" w:rsidRDefault="00AE762B" w:rsidP="009A7611">
      <w:pPr>
        <w:pStyle w:val="Default"/>
        <w:rPr>
          <w:rFonts w:ascii="Trebuchet MS" w:hAnsi="Trebuchet MS"/>
          <w:b/>
          <w:bCs/>
          <w:sz w:val="22"/>
          <w:szCs w:val="22"/>
          <w:lang w:val="ro-RO"/>
        </w:rPr>
      </w:pPr>
      <w:r w:rsidRPr="004F0887">
        <w:rPr>
          <w:rFonts w:ascii="Trebuchet MS" w:hAnsi="Trebuchet MS"/>
          <w:b/>
          <w:bCs/>
          <w:sz w:val="22"/>
          <w:szCs w:val="22"/>
          <w:lang w:val="ro-RO"/>
        </w:rPr>
        <w:t>EMISIILE DE SUBSTANŢE AC</w:t>
      </w:r>
      <w:r w:rsidR="003B450C" w:rsidRPr="004F0887">
        <w:rPr>
          <w:rFonts w:ascii="Trebuchet MS" w:hAnsi="Trebuchet MS"/>
          <w:b/>
          <w:bCs/>
          <w:sz w:val="22"/>
          <w:szCs w:val="22"/>
          <w:lang w:val="ro-RO"/>
        </w:rPr>
        <w:t>I</w:t>
      </w:r>
      <w:r w:rsidRPr="004F0887">
        <w:rPr>
          <w:rFonts w:ascii="Trebuchet MS" w:hAnsi="Trebuchet MS"/>
          <w:b/>
          <w:bCs/>
          <w:sz w:val="22"/>
          <w:szCs w:val="22"/>
          <w:lang w:val="ro-RO"/>
        </w:rPr>
        <w:t>DIFIANTE</w:t>
      </w:r>
    </w:p>
    <w:p w:rsidR="00AE762B" w:rsidRPr="004F0887" w:rsidRDefault="00AE762B" w:rsidP="009A7611">
      <w:pPr>
        <w:pStyle w:val="Default"/>
        <w:rPr>
          <w:rFonts w:ascii="Trebuchet MS" w:hAnsi="Trebuchet MS"/>
          <w:sz w:val="22"/>
          <w:szCs w:val="22"/>
          <w:lang w:val="it-IT"/>
        </w:rPr>
      </w:pPr>
      <w:r w:rsidRPr="004F0887">
        <w:rPr>
          <w:rFonts w:ascii="Trebuchet MS" w:hAnsi="Trebuchet MS"/>
          <w:b/>
          <w:bCs/>
          <w:sz w:val="22"/>
          <w:szCs w:val="22"/>
          <w:lang w:val="it-IT"/>
        </w:rPr>
        <w:t xml:space="preserve">DEFINIŢIE </w:t>
      </w:r>
    </w:p>
    <w:p w:rsidR="00AE762B" w:rsidRPr="004F0887" w:rsidRDefault="00AE762B" w:rsidP="009A7611">
      <w:pPr>
        <w:autoSpaceDE w:val="0"/>
        <w:autoSpaceDN w:val="0"/>
        <w:adjustRightInd w:val="0"/>
        <w:jc w:val="both"/>
        <w:rPr>
          <w:rFonts w:ascii="Trebuchet MS" w:hAnsi="Trebuchet MS" w:cs="Arial"/>
          <w:sz w:val="22"/>
          <w:szCs w:val="22"/>
          <w:lang w:val="it-IT"/>
        </w:rPr>
      </w:pPr>
      <w:r w:rsidRPr="004F0887">
        <w:rPr>
          <w:rFonts w:ascii="Trebuchet MS" w:hAnsi="Trebuchet MS" w:cs="Arial"/>
          <w:sz w:val="22"/>
          <w:szCs w:val="22"/>
          <w:lang w:val="it-IT"/>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Pr="004F0887" w:rsidRDefault="00AE762B" w:rsidP="009A7611">
      <w:pPr>
        <w:rPr>
          <w:rFonts w:ascii="Trebuchet MS" w:hAnsi="Trebuchet MS" w:cs="Arial"/>
          <w:sz w:val="22"/>
          <w:szCs w:val="22"/>
          <w:lang w:val="it-IT"/>
        </w:rPr>
      </w:pPr>
    </w:p>
    <w:p w:rsidR="00AE762B" w:rsidRPr="004F0887" w:rsidRDefault="00AE762B" w:rsidP="009A7611">
      <w:pPr>
        <w:autoSpaceDE w:val="0"/>
        <w:autoSpaceDN w:val="0"/>
        <w:adjustRightInd w:val="0"/>
        <w:rPr>
          <w:rFonts w:ascii="Trebuchet MS" w:hAnsi="Trebuchet MS" w:cs="Arial"/>
          <w:color w:val="000000"/>
          <w:sz w:val="22"/>
          <w:szCs w:val="22"/>
          <w:lang w:val="it-IT"/>
        </w:rPr>
      </w:pPr>
      <w:r w:rsidRPr="004F0887">
        <w:rPr>
          <w:rFonts w:ascii="Trebuchet MS" w:hAnsi="Trebuchet MS" w:cs="Arial"/>
          <w:color w:val="000000"/>
          <w:sz w:val="22"/>
          <w:szCs w:val="22"/>
          <w:lang w:val="it-IT"/>
        </w:rPr>
        <w:t>Contribuţia sectoarelor de activitate din energie la emisiile poluante cu efect de acidifiere (</w:t>
      </w:r>
      <w:r w:rsidR="003C67EA" w:rsidRPr="004F0887">
        <w:rPr>
          <w:rFonts w:ascii="Trebuchet MS" w:hAnsi="Trebuchet MS" w:cs="Arial"/>
          <w:color w:val="000000"/>
          <w:sz w:val="22"/>
          <w:szCs w:val="22"/>
          <w:lang w:val="it-IT"/>
        </w:rPr>
        <w:t>N</w:t>
      </w:r>
      <w:r w:rsidR="00F81D5C" w:rsidRPr="004F0887">
        <w:rPr>
          <w:rFonts w:ascii="Trebuchet MS" w:hAnsi="Trebuchet MS" w:cs="Arial"/>
          <w:color w:val="000000"/>
          <w:sz w:val="22"/>
          <w:szCs w:val="22"/>
          <w:lang w:val="it-IT"/>
        </w:rPr>
        <w:t>Ox, SO2, şi HN3), , în anul 202</w:t>
      </w:r>
      <w:r w:rsidR="00E10593" w:rsidRPr="004F0887">
        <w:rPr>
          <w:rFonts w:ascii="Trebuchet MS" w:hAnsi="Trebuchet MS" w:cs="Arial"/>
          <w:color w:val="000000"/>
          <w:sz w:val="22"/>
          <w:szCs w:val="22"/>
          <w:lang w:val="it-IT"/>
        </w:rPr>
        <w:t>3</w:t>
      </w:r>
      <w:r w:rsidRPr="004F0887">
        <w:rPr>
          <w:rFonts w:ascii="Trebuchet MS" w:hAnsi="Trebuchet MS" w:cs="Arial"/>
          <w:color w:val="000000"/>
          <w:sz w:val="22"/>
          <w:szCs w:val="22"/>
          <w:lang w:val="it-IT"/>
        </w:rPr>
        <w:t xml:space="preserve"> este prezentată  în graficul următor:</w:t>
      </w:r>
    </w:p>
    <w:p w:rsidR="00AE762B" w:rsidRPr="004F0887" w:rsidRDefault="00AE762B" w:rsidP="009A7611">
      <w:pPr>
        <w:autoSpaceDE w:val="0"/>
        <w:autoSpaceDN w:val="0"/>
        <w:adjustRightInd w:val="0"/>
        <w:rPr>
          <w:rFonts w:ascii="Trebuchet MS" w:hAnsi="Trebuchet MS" w:cs="Arial"/>
          <w:color w:val="000000"/>
          <w:sz w:val="22"/>
          <w:szCs w:val="22"/>
          <w:lang w:val="it-IT"/>
        </w:rPr>
      </w:pPr>
    </w:p>
    <w:p w:rsidR="00B57CD6" w:rsidRPr="004F0887" w:rsidRDefault="00AE762B" w:rsidP="009A7611">
      <w:pPr>
        <w:autoSpaceDE w:val="0"/>
        <w:autoSpaceDN w:val="0"/>
        <w:adjustRightInd w:val="0"/>
        <w:rPr>
          <w:rFonts w:ascii="Trebuchet MS" w:hAnsi="Trebuchet MS" w:cs="Arial"/>
          <w:sz w:val="22"/>
          <w:szCs w:val="22"/>
          <w:lang w:val="pt-BR"/>
        </w:rPr>
      </w:pPr>
      <w:r w:rsidRPr="004F0887">
        <w:rPr>
          <w:rFonts w:ascii="Trebuchet MS" w:hAnsi="Trebuchet MS" w:cs="Arial"/>
          <w:color w:val="000000"/>
          <w:sz w:val="22"/>
          <w:szCs w:val="22"/>
          <w:lang w:val="pt-BR"/>
        </w:rPr>
        <w:t xml:space="preserve">grafic 1.2.1.1 </w:t>
      </w:r>
      <w:r w:rsidRPr="004F0887">
        <w:rPr>
          <w:rFonts w:ascii="Trebuchet MS" w:hAnsi="Trebuchet MS" w:cs="Arial"/>
          <w:sz w:val="22"/>
          <w:szCs w:val="22"/>
          <w:lang w:val="pt-BR"/>
        </w:rPr>
        <w:t>Contributia sectoarelor de activitate din energie la e</w:t>
      </w:r>
      <w:r w:rsidR="00B57CD6" w:rsidRPr="004F0887">
        <w:rPr>
          <w:rFonts w:ascii="Trebuchet MS" w:hAnsi="Trebuchet MS" w:cs="Arial"/>
          <w:sz w:val="22"/>
          <w:szCs w:val="22"/>
          <w:lang w:val="pt-BR"/>
        </w:rPr>
        <w:t>misiile de poluanti cu efect de a</w:t>
      </w:r>
      <w:r w:rsidRPr="004F0887">
        <w:rPr>
          <w:rFonts w:ascii="Trebuchet MS" w:hAnsi="Trebuchet MS" w:cs="Arial"/>
          <w:sz w:val="22"/>
          <w:szCs w:val="22"/>
          <w:lang w:val="pt-BR"/>
        </w:rPr>
        <w:t>cidifiere</w:t>
      </w:r>
    </w:p>
    <w:p w:rsidR="00AE762B" w:rsidRPr="00153601" w:rsidRDefault="000946BE" w:rsidP="009A7611">
      <w:pPr>
        <w:autoSpaceDE w:val="0"/>
        <w:autoSpaceDN w:val="0"/>
        <w:adjustRightInd w:val="0"/>
        <w:rPr>
          <w:rFonts w:ascii="Arial" w:hAnsi="Arial" w:cs="Arial"/>
          <w:color w:val="000000"/>
          <w:lang w:val="pt-BR"/>
        </w:rPr>
      </w:pPr>
      <w:bookmarkStart w:id="60" w:name="_MON_1566116170"/>
      <w:bookmarkEnd w:id="60"/>
      <w:r>
        <w:rPr>
          <w:rFonts w:ascii="Arial" w:hAnsi="Arial" w:cs="Arial"/>
          <w:noProof/>
          <w:color w:val="000000"/>
          <w:lang w:val="en-US"/>
        </w:rPr>
        <w:drawing>
          <wp:inline distT="0" distB="0" distL="0" distR="0" wp14:anchorId="0C57E4C7" wp14:editId="22F05101">
            <wp:extent cx="5695950" cy="3562350"/>
            <wp:effectExtent l="0" t="0" r="0" b="0"/>
            <wp:docPr id="21" name="Objec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E762B" w:rsidRDefault="00AE762B" w:rsidP="009A7611">
      <w:pPr>
        <w:pStyle w:val="Default"/>
        <w:rPr>
          <w:b/>
          <w:bCs/>
          <w:lang w:val="it-IT"/>
        </w:rPr>
      </w:pPr>
    </w:p>
    <w:p w:rsidR="002336A8" w:rsidRDefault="002336A8" w:rsidP="009A7611">
      <w:pPr>
        <w:pStyle w:val="Default"/>
        <w:rPr>
          <w:b/>
          <w:bCs/>
          <w:lang w:val="it-IT"/>
        </w:rPr>
      </w:pPr>
    </w:p>
    <w:p w:rsidR="002336A8" w:rsidRDefault="002336A8" w:rsidP="009A7611">
      <w:pPr>
        <w:pStyle w:val="Default"/>
        <w:rPr>
          <w:b/>
          <w:bCs/>
          <w:lang w:val="it-IT"/>
        </w:rPr>
      </w:pPr>
    </w:p>
    <w:p w:rsidR="002336A8" w:rsidRDefault="002336A8" w:rsidP="009A7611">
      <w:pPr>
        <w:pStyle w:val="Default"/>
        <w:rPr>
          <w:b/>
          <w:bCs/>
          <w:lang w:val="it-IT"/>
        </w:rPr>
      </w:pPr>
    </w:p>
    <w:p w:rsidR="002336A8" w:rsidRDefault="002336A8" w:rsidP="009A7611">
      <w:pPr>
        <w:pStyle w:val="Default"/>
        <w:rPr>
          <w:b/>
          <w:bCs/>
          <w:lang w:val="it-IT"/>
        </w:rPr>
      </w:pPr>
    </w:p>
    <w:p w:rsidR="004F0887" w:rsidRDefault="004F0887" w:rsidP="009A7611">
      <w:pPr>
        <w:pStyle w:val="Default"/>
        <w:rPr>
          <w:b/>
          <w:bCs/>
          <w:lang w:val="it-IT"/>
        </w:rPr>
      </w:pPr>
    </w:p>
    <w:p w:rsidR="004F0887" w:rsidRDefault="004F0887" w:rsidP="009A7611">
      <w:pPr>
        <w:pStyle w:val="Default"/>
        <w:rPr>
          <w:b/>
          <w:bCs/>
          <w:lang w:val="it-IT"/>
        </w:rPr>
      </w:pPr>
    </w:p>
    <w:p w:rsidR="002336A8" w:rsidRDefault="002336A8" w:rsidP="009A7611">
      <w:pPr>
        <w:pStyle w:val="Default"/>
        <w:rPr>
          <w:b/>
          <w:bCs/>
          <w:lang w:val="it-IT"/>
        </w:rPr>
      </w:pPr>
    </w:p>
    <w:p w:rsidR="00AE762B" w:rsidRPr="004F0887" w:rsidRDefault="00AE762B" w:rsidP="009A7611">
      <w:pPr>
        <w:pStyle w:val="Default"/>
        <w:rPr>
          <w:rFonts w:ascii="Trebuchet MS" w:hAnsi="Trebuchet MS"/>
          <w:sz w:val="22"/>
          <w:szCs w:val="22"/>
          <w:lang w:val="it-IT"/>
        </w:rPr>
      </w:pPr>
      <w:r w:rsidRPr="004F0887">
        <w:rPr>
          <w:rFonts w:ascii="Trebuchet MS" w:hAnsi="Trebuchet MS"/>
          <w:b/>
          <w:bCs/>
          <w:sz w:val="22"/>
          <w:szCs w:val="22"/>
          <w:lang w:val="it-IT"/>
        </w:rPr>
        <w:t>COD INDICATOR</w:t>
      </w:r>
      <w:r w:rsidRPr="004F0887">
        <w:rPr>
          <w:rFonts w:ascii="Trebuchet MS" w:hAnsi="Trebuchet MS"/>
          <w:sz w:val="22"/>
          <w:szCs w:val="22"/>
          <w:lang w:val="it-IT"/>
        </w:rPr>
        <w:t xml:space="preserve"> </w:t>
      </w:r>
    </w:p>
    <w:p w:rsidR="00AE762B" w:rsidRPr="004F0887" w:rsidRDefault="00AE762B" w:rsidP="009A7611">
      <w:pPr>
        <w:pStyle w:val="Default"/>
        <w:rPr>
          <w:rFonts w:ascii="Trebuchet MS" w:hAnsi="Trebuchet MS"/>
          <w:sz w:val="22"/>
          <w:szCs w:val="22"/>
          <w:lang w:val="it-IT"/>
        </w:rPr>
      </w:pPr>
      <w:r w:rsidRPr="004F0887">
        <w:rPr>
          <w:rFonts w:ascii="Trebuchet MS" w:hAnsi="Trebuchet MS"/>
          <w:sz w:val="22"/>
          <w:szCs w:val="22"/>
          <w:lang w:val="it-IT"/>
        </w:rPr>
        <w:t xml:space="preserve">Cod indicator România: </w:t>
      </w:r>
      <w:r w:rsidRPr="004F0887">
        <w:rPr>
          <w:rFonts w:ascii="Trebuchet MS" w:hAnsi="Trebuchet MS"/>
          <w:b/>
          <w:bCs/>
          <w:sz w:val="22"/>
          <w:szCs w:val="22"/>
          <w:lang w:val="it-IT"/>
        </w:rPr>
        <w:t>RO 02</w:t>
      </w:r>
    </w:p>
    <w:p w:rsidR="00AE762B" w:rsidRPr="004F0887" w:rsidRDefault="00AE762B" w:rsidP="009A7611">
      <w:pPr>
        <w:pStyle w:val="Default"/>
        <w:rPr>
          <w:rFonts w:ascii="Trebuchet MS" w:hAnsi="Trebuchet MS"/>
          <w:sz w:val="22"/>
          <w:szCs w:val="22"/>
          <w:lang w:val="it-IT"/>
        </w:rPr>
      </w:pPr>
      <w:r w:rsidRPr="004F0887">
        <w:rPr>
          <w:rFonts w:ascii="Trebuchet MS" w:hAnsi="Trebuchet MS"/>
          <w:sz w:val="22"/>
          <w:szCs w:val="22"/>
          <w:lang w:val="it-IT"/>
        </w:rPr>
        <w:t xml:space="preserve">Cod indicator AEM: </w:t>
      </w:r>
      <w:r w:rsidRPr="004F0887">
        <w:rPr>
          <w:rFonts w:ascii="Trebuchet MS" w:hAnsi="Trebuchet MS"/>
          <w:b/>
          <w:bCs/>
          <w:sz w:val="22"/>
          <w:szCs w:val="22"/>
          <w:lang w:val="it-IT"/>
        </w:rPr>
        <w:t xml:space="preserve">CSI 02 </w:t>
      </w:r>
    </w:p>
    <w:p w:rsidR="00AE762B" w:rsidRPr="004F0887" w:rsidRDefault="00AE762B" w:rsidP="009A7611">
      <w:pPr>
        <w:pStyle w:val="Default"/>
        <w:rPr>
          <w:rFonts w:ascii="Trebuchet MS" w:hAnsi="Trebuchet MS"/>
          <w:sz w:val="22"/>
          <w:szCs w:val="22"/>
          <w:lang w:val="it-IT"/>
        </w:rPr>
      </w:pPr>
      <w:r w:rsidRPr="004F0887">
        <w:rPr>
          <w:rFonts w:ascii="Trebuchet MS" w:hAnsi="Trebuchet MS"/>
          <w:b/>
          <w:bCs/>
          <w:sz w:val="22"/>
          <w:szCs w:val="22"/>
          <w:lang w:val="it-IT"/>
        </w:rPr>
        <w:t xml:space="preserve">DENUMIRE </w:t>
      </w:r>
    </w:p>
    <w:p w:rsidR="00AE762B" w:rsidRPr="004F0887" w:rsidRDefault="00AE762B" w:rsidP="009A7611">
      <w:pPr>
        <w:pStyle w:val="Default"/>
        <w:rPr>
          <w:rFonts w:ascii="Trebuchet MS" w:hAnsi="Trebuchet MS"/>
          <w:b/>
          <w:bCs/>
          <w:sz w:val="22"/>
          <w:szCs w:val="22"/>
          <w:lang w:val="ro-RO"/>
        </w:rPr>
      </w:pPr>
      <w:r w:rsidRPr="004F0887">
        <w:rPr>
          <w:rFonts w:ascii="Trebuchet MS" w:hAnsi="Trebuchet MS"/>
          <w:b/>
          <w:bCs/>
          <w:sz w:val="22"/>
          <w:szCs w:val="22"/>
          <w:lang w:val="ro-RO"/>
        </w:rPr>
        <w:t>EMISIILE DE PRECURSORI AI OZONULUI</w:t>
      </w:r>
    </w:p>
    <w:p w:rsidR="00AE762B" w:rsidRPr="004F0887" w:rsidRDefault="00AE762B" w:rsidP="009A7611">
      <w:pPr>
        <w:pStyle w:val="Default"/>
        <w:rPr>
          <w:rFonts w:ascii="Trebuchet MS" w:hAnsi="Trebuchet MS"/>
          <w:sz w:val="22"/>
          <w:szCs w:val="22"/>
          <w:lang w:val="ro-RO"/>
        </w:rPr>
      </w:pPr>
      <w:r w:rsidRPr="004F0887">
        <w:rPr>
          <w:rFonts w:ascii="Trebuchet MS" w:hAnsi="Trebuchet MS"/>
          <w:b/>
          <w:bCs/>
          <w:sz w:val="22"/>
          <w:szCs w:val="22"/>
          <w:lang w:val="ro-RO"/>
        </w:rPr>
        <w:t xml:space="preserve">DEFINIŢIE </w:t>
      </w:r>
    </w:p>
    <w:p w:rsidR="00AE762B" w:rsidRPr="004F0887" w:rsidRDefault="00AE762B" w:rsidP="009A7611">
      <w:pPr>
        <w:rPr>
          <w:rFonts w:ascii="Trebuchet MS" w:hAnsi="Trebuchet MS" w:cs="Arial"/>
          <w:sz w:val="22"/>
          <w:szCs w:val="22"/>
          <w:lang w:val="ro-RO"/>
        </w:rPr>
      </w:pPr>
      <w:r w:rsidRPr="004F0887">
        <w:rPr>
          <w:rFonts w:ascii="Trebuchet MS" w:hAnsi="Trebuchet MS" w:cs="Arial"/>
          <w:sz w:val="22"/>
          <w:szCs w:val="22"/>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4F0887" w:rsidRDefault="00AE762B" w:rsidP="009A7611">
      <w:pPr>
        <w:autoSpaceDE w:val="0"/>
        <w:autoSpaceDN w:val="0"/>
        <w:adjustRightInd w:val="0"/>
        <w:rPr>
          <w:rFonts w:ascii="Trebuchet MS" w:hAnsi="Trebuchet MS" w:cs="Arial"/>
          <w:color w:val="000000"/>
          <w:sz w:val="22"/>
          <w:szCs w:val="22"/>
          <w:lang w:val="ro-RO"/>
        </w:rPr>
      </w:pPr>
    </w:p>
    <w:p w:rsidR="00AE762B" w:rsidRPr="004F0887" w:rsidRDefault="00AE762B" w:rsidP="009A7611">
      <w:pPr>
        <w:autoSpaceDE w:val="0"/>
        <w:autoSpaceDN w:val="0"/>
        <w:adjustRightInd w:val="0"/>
        <w:rPr>
          <w:rFonts w:ascii="Trebuchet MS" w:hAnsi="Trebuchet MS" w:cs="Arial"/>
          <w:color w:val="000000"/>
          <w:sz w:val="22"/>
          <w:szCs w:val="22"/>
          <w:lang w:val="ro-RO"/>
        </w:rPr>
      </w:pPr>
    </w:p>
    <w:p w:rsidR="00AE762B" w:rsidRPr="004F0887" w:rsidRDefault="00AE762B" w:rsidP="009A7611">
      <w:pPr>
        <w:autoSpaceDE w:val="0"/>
        <w:autoSpaceDN w:val="0"/>
        <w:adjustRightInd w:val="0"/>
        <w:rPr>
          <w:rFonts w:ascii="Trebuchet MS" w:hAnsi="Trebuchet MS" w:cs="Arial"/>
          <w:color w:val="000000"/>
          <w:sz w:val="22"/>
          <w:szCs w:val="22"/>
          <w:lang w:val="pt-BR"/>
        </w:rPr>
      </w:pPr>
      <w:r w:rsidRPr="004F0887">
        <w:rPr>
          <w:rFonts w:ascii="Trebuchet MS" w:hAnsi="Trebuchet MS" w:cs="Arial"/>
          <w:color w:val="000000"/>
          <w:sz w:val="22"/>
          <w:szCs w:val="22"/>
          <w:lang w:val="pt-BR"/>
        </w:rPr>
        <w:t xml:space="preserve">grafic 1.2.1.2 </w:t>
      </w:r>
      <w:r w:rsidRPr="004F0887">
        <w:rPr>
          <w:rFonts w:ascii="Trebuchet MS" w:hAnsi="Trebuchet MS" w:cs="Arial"/>
          <w:sz w:val="22"/>
          <w:szCs w:val="22"/>
          <w:lang w:val="pt-BR"/>
        </w:rPr>
        <w:t>Contributia sectoarelor de activitate din energie la emisiile de poluanti precursori ai ozonului in anul 20</w:t>
      </w:r>
      <w:r w:rsidR="00A00E4A" w:rsidRPr="004F0887">
        <w:rPr>
          <w:rFonts w:ascii="Trebuchet MS" w:hAnsi="Trebuchet MS" w:cs="Arial"/>
          <w:sz w:val="22"/>
          <w:szCs w:val="22"/>
          <w:lang w:val="pt-BR"/>
        </w:rPr>
        <w:t>2</w:t>
      </w:r>
      <w:r w:rsidR="00146024" w:rsidRPr="004F0887">
        <w:rPr>
          <w:rFonts w:ascii="Trebuchet MS" w:hAnsi="Trebuchet MS" w:cs="Arial"/>
          <w:sz w:val="22"/>
          <w:szCs w:val="22"/>
          <w:lang w:val="pt-BR"/>
        </w:rPr>
        <w:t>3</w:t>
      </w:r>
    </w:p>
    <w:p w:rsidR="00AE762B" w:rsidRPr="004F0887" w:rsidRDefault="00AE762B" w:rsidP="009A7611">
      <w:pPr>
        <w:autoSpaceDE w:val="0"/>
        <w:autoSpaceDN w:val="0"/>
        <w:adjustRightInd w:val="0"/>
        <w:rPr>
          <w:rFonts w:ascii="Arial" w:hAnsi="Arial" w:cs="Arial"/>
          <w:color w:val="000000"/>
          <w:sz w:val="22"/>
          <w:szCs w:val="22"/>
          <w:lang w:val="pt-BR"/>
        </w:rPr>
      </w:pPr>
    </w:p>
    <w:p w:rsidR="00AE762B" w:rsidRPr="00153601" w:rsidRDefault="000946BE" w:rsidP="009A7611">
      <w:pPr>
        <w:autoSpaceDE w:val="0"/>
        <w:autoSpaceDN w:val="0"/>
        <w:adjustRightInd w:val="0"/>
        <w:rPr>
          <w:rFonts w:ascii="Arial" w:hAnsi="Arial" w:cs="Arial"/>
          <w:color w:val="000000"/>
          <w:lang w:val="pt-BR"/>
        </w:rPr>
      </w:pPr>
      <w:bookmarkStart w:id="61" w:name="_MON_1566116792"/>
      <w:bookmarkStart w:id="62" w:name="_MON_1566116808"/>
      <w:bookmarkEnd w:id="61"/>
      <w:bookmarkEnd w:id="62"/>
      <w:r>
        <w:rPr>
          <w:rFonts w:ascii="Arial" w:hAnsi="Arial" w:cs="Arial"/>
          <w:noProof/>
          <w:color w:val="000000"/>
          <w:lang w:val="en-US"/>
        </w:rPr>
        <w:drawing>
          <wp:inline distT="0" distB="0" distL="0" distR="0" wp14:anchorId="6FCAA6DD" wp14:editId="4C7055B5">
            <wp:extent cx="6381750" cy="4133850"/>
            <wp:effectExtent l="0" t="0" r="19050" b="0"/>
            <wp:docPr id="22" name="Objec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E762B" w:rsidRDefault="00AE762B" w:rsidP="009A7611">
      <w:pPr>
        <w:rPr>
          <w:rFonts w:ascii="Arial" w:hAnsi="Arial" w:cs="Arial"/>
          <w:lang w:val="pt-BR"/>
        </w:rPr>
      </w:pPr>
    </w:p>
    <w:p w:rsidR="00AE762B" w:rsidRPr="004F0887" w:rsidRDefault="00AE762B" w:rsidP="009A7611">
      <w:pPr>
        <w:pStyle w:val="Default"/>
        <w:rPr>
          <w:rFonts w:ascii="Trebuchet MS" w:hAnsi="Trebuchet MS"/>
          <w:sz w:val="22"/>
          <w:szCs w:val="22"/>
          <w:lang w:val="pt-BR"/>
        </w:rPr>
      </w:pPr>
      <w:r>
        <w:rPr>
          <w:lang w:val="pt-BR"/>
        </w:rPr>
        <w:br w:type="page"/>
      </w:r>
      <w:r w:rsidRPr="004F0887">
        <w:rPr>
          <w:rFonts w:ascii="Trebuchet MS" w:hAnsi="Trebuchet MS"/>
          <w:b/>
          <w:bCs/>
          <w:sz w:val="22"/>
          <w:szCs w:val="22"/>
          <w:lang w:val="pt-BR"/>
        </w:rPr>
        <w:t>COD INDICATOR</w:t>
      </w:r>
      <w:r w:rsidRPr="004F0887">
        <w:rPr>
          <w:rFonts w:ascii="Trebuchet MS" w:hAnsi="Trebuchet MS"/>
          <w:sz w:val="22"/>
          <w:szCs w:val="22"/>
          <w:lang w:val="pt-BR"/>
        </w:rPr>
        <w:t xml:space="preserve"> </w:t>
      </w:r>
    </w:p>
    <w:p w:rsidR="00AE762B" w:rsidRPr="004F0887" w:rsidRDefault="00AE762B" w:rsidP="009A7611">
      <w:pPr>
        <w:pStyle w:val="Default"/>
        <w:rPr>
          <w:rFonts w:ascii="Trebuchet MS" w:hAnsi="Trebuchet MS"/>
          <w:sz w:val="22"/>
          <w:szCs w:val="22"/>
          <w:lang w:val="pt-BR"/>
        </w:rPr>
      </w:pPr>
      <w:r w:rsidRPr="004F0887">
        <w:rPr>
          <w:rFonts w:ascii="Trebuchet MS" w:hAnsi="Trebuchet MS"/>
          <w:sz w:val="22"/>
          <w:szCs w:val="22"/>
          <w:lang w:val="pt-BR"/>
        </w:rPr>
        <w:t xml:space="preserve">Cod indicator România: </w:t>
      </w:r>
      <w:r w:rsidRPr="004F0887">
        <w:rPr>
          <w:rFonts w:ascii="Trebuchet MS" w:hAnsi="Trebuchet MS"/>
          <w:b/>
          <w:bCs/>
          <w:sz w:val="22"/>
          <w:szCs w:val="22"/>
          <w:lang w:val="pt-BR"/>
        </w:rPr>
        <w:t>RO 03</w:t>
      </w:r>
    </w:p>
    <w:p w:rsidR="00AE762B" w:rsidRPr="004F0887" w:rsidRDefault="00AE762B" w:rsidP="009A7611">
      <w:pPr>
        <w:pStyle w:val="Default"/>
        <w:rPr>
          <w:rFonts w:ascii="Trebuchet MS" w:hAnsi="Trebuchet MS"/>
          <w:sz w:val="22"/>
          <w:szCs w:val="22"/>
          <w:lang w:val="pt-BR"/>
        </w:rPr>
      </w:pPr>
      <w:r w:rsidRPr="004F0887">
        <w:rPr>
          <w:rFonts w:ascii="Trebuchet MS" w:hAnsi="Trebuchet MS"/>
          <w:sz w:val="22"/>
          <w:szCs w:val="22"/>
          <w:lang w:val="pt-BR"/>
        </w:rPr>
        <w:t xml:space="preserve">Cod indicator AEM: </w:t>
      </w:r>
      <w:r w:rsidRPr="004F0887">
        <w:rPr>
          <w:rFonts w:ascii="Trebuchet MS" w:hAnsi="Trebuchet MS"/>
          <w:b/>
          <w:bCs/>
          <w:sz w:val="22"/>
          <w:szCs w:val="22"/>
          <w:lang w:val="pt-BR"/>
        </w:rPr>
        <w:t xml:space="preserve">CSI 03 </w:t>
      </w:r>
    </w:p>
    <w:p w:rsidR="00AE762B" w:rsidRPr="004F0887" w:rsidRDefault="00AE762B" w:rsidP="009A7611">
      <w:pPr>
        <w:pStyle w:val="Default"/>
        <w:rPr>
          <w:rFonts w:ascii="Trebuchet MS" w:hAnsi="Trebuchet MS"/>
          <w:sz w:val="22"/>
          <w:szCs w:val="22"/>
          <w:lang w:val="pt-BR"/>
        </w:rPr>
      </w:pPr>
      <w:r w:rsidRPr="004F0887">
        <w:rPr>
          <w:rFonts w:ascii="Trebuchet MS" w:hAnsi="Trebuchet MS"/>
          <w:b/>
          <w:bCs/>
          <w:sz w:val="22"/>
          <w:szCs w:val="22"/>
          <w:lang w:val="pt-BR"/>
        </w:rPr>
        <w:t xml:space="preserve">DENUMIRE </w:t>
      </w:r>
    </w:p>
    <w:p w:rsidR="00AE762B" w:rsidRPr="004F0887" w:rsidRDefault="00AE762B" w:rsidP="009A7611">
      <w:pPr>
        <w:pStyle w:val="Default"/>
        <w:rPr>
          <w:rFonts w:ascii="Trebuchet MS" w:hAnsi="Trebuchet MS"/>
          <w:b/>
          <w:bCs/>
          <w:sz w:val="22"/>
          <w:szCs w:val="22"/>
          <w:lang w:val="ro-RO"/>
        </w:rPr>
      </w:pPr>
      <w:r w:rsidRPr="004F0887">
        <w:rPr>
          <w:rFonts w:ascii="Trebuchet MS" w:hAnsi="Trebuchet MS"/>
          <w:b/>
          <w:bCs/>
          <w:sz w:val="22"/>
          <w:szCs w:val="22"/>
          <w:lang w:val="ro-RO"/>
        </w:rPr>
        <w:t>EMISII DE PARTICULE PRIMARE SI PRECURSORI SECUNDARI DE PARTICULE</w:t>
      </w:r>
    </w:p>
    <w:p w:rsidR="00AE762B" w:rsidRPr="004F0887" w:rsidRDefault="00AE762B" w:rsidP="009A7611">
      <w:pPr>
        <w:pStyle w:val="Default"/>
        <w:rPr>
          <w:rFonts w:ascii="Trebuchet MS" w:hAnsi="Trebuchet MS"/>
          <w:sz w:val="22"/>
          <w:szCs w:val="22"/>
          <w:lang w:val="ro-RO"/>
        </w:rPr>
      </w:pPr>
      <w:r w:rsidRPr="004F0887">
        <w:rPr>
          <w:rFonts w:ascii="Trebuchet MS" w:hAnsi="Trebuchet MS"/>
          <w:b/>
          <w:bCs/>
          <w:sz w:val="22"/>
          <w:szCs w:val="22"/>
          <w:lang w:val="ro-RO"/>
        </w:rPr>
        <w:t xml:space="preserve">DEFINIŢIE </w:t>
      </w:r>
    </w:p>
    <w:p w:rsidR="00AE762B" w:rsidRPr="004F0887" w:rsidRDefault="00AE762B" w:rsidP="009A7611">
      <w:pPr>
        <w:autoSpaceDE w:val="0"/>
        <w:autoSpaceDN w:val="0"/>
        <w:adjustRightInd w:val="0"/>
        <w:rPr>
          <w:rFonts w:ascii="Trebuchet MS" w:hAnsi="Trebuchet MS" w:cs="Arial"/>
          <w:color w:val="000000"/>
          <w:sz w:val="22"/>
          <w:szCs w:val="22"/>
          <w:lang w:val="ro-RO"/>
        </w:rPr>
      </w:pPr>
      <w:r w:rsidRPr="004F0887">
        <w:rPr>
          <w:rFonts w:ascii="Trebuchet MS" w:hAnsi="Trebuchet MS" w:cs="Arial"/>
          <w:sz w:val="22"/>
          <w:szCs w:val="22"/>
          <w:lang w:val="ro-RO"/>
        </w:rPr>
        <w:t xml:space="preserve">Acest indicator prezintă tendinţele emisiilor de particule primare cu diametrul mai mic de 2,5 </w:t>
      </w:r>
      <w:r w:rsidRPr="004F0887">
        <w:rPr>
          <w:rFonts w:ascii="Trebuchet MS" w:hAnsi="Trebuchet MS" w:cs="Arial"/>
          <w:sz w:val="22"/>
          <w:szCs w:val="22"/>
        </w:rPr>
        <w:t>μ</w:t>
      </w:r>
      <w:r w:rsidRPr="004F0887">
        <w:rPr>
          <w:rFonts w:ascii="Trebuchet MS" w:hAnsi="Trebuchet MS" w:cs="Arial"/>
          <w:sz w:val="22"/>
          <w:szCs w:val="22"/>
          <w:lang w:val="ro-RO"/>
        </w:rPr>
        <w:t xml:space="preserve">m (PM2,5) şi respectiv 10 </w:t>
      </w:r>
      <w:r w:rsidRPr="004F0887">
        <w:rPr>
          <w:rFonts w:ascii="Trebuchet MS" w:hAnsi="Trebuchet MS" w:cs="Arial"/>
          <w:sz w:val="22"/>
          <w:szCs w:val="22"/>
        </w:rPr>
        <w:t>μ</w:t>
      </w:r>
      <w:r w:rsidRPr="004F0887">
        <w:rPr>
          <w:rFonts w:ascii="Trebuchet MS" w:hAnsi="Trebuchet MS" w:cs="Arial"/>
          <w:sz w:val="22"/>
          <w:szCs w:val="22"/>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4F0887" w:rsidRDefault="00AE762B" w:rsidP="009A7611">
      <w:pPr>
        <w:autoSpaceDE w:val="0"/>
        <w:autoSpaceDN w:val="0"/>
        <w:adjustRightInd w:val="0"/>
        <w:rPr>
          <w:rFonts w:ascii="Trebuchet MS" w:hAnsi="Trebuchet MS" w:cs="Arial"/>
          <w:color w:val="000000"/>
          <w:sz w:val="22"/>
          <w:szCs w:val="22"/>
          <w:lang w:val="ro-RO"/>
        </w:rPr>
      </w:pPr>
    </w:p>
    <w:p w:rsidR="00AE762B" w:rsidRPr="004F0887" w:rsidRDefault="00AE762B" w:rsidP="009A7611">
      <w:pPr>
        <w:pStyle w:val="Default"/>
        <w:rPr>
          <w:rFonts w:ascii="Trebuchet MS" w:hAnsi="Trebuchet MS"/>
          <w:sz w:val="22"/>
          <w:szCs w:val="22"/>
          <w:lang w:val="ro-RO"/>
        </w:rPr>
      </w:pPr>
      <w:r w:rsidRPr="004F0887">
        <w:rPr>
          <w:rFonts w:ascii="Trebuchet MS" w:hAnsi="Trebuchet MS"/>
          <w:sz w:val="22"/>
          <w:szCs w:val="22"/>
          <w:lang w:val="ro-RO"/>
        </w:rPr>
        <w:t xml:space="preserve">grafic 1.2.1.3 Contribuţia sectoarelor de activitate din energie, la emisiile de particule primare în suspensie PM2,5 şi PM10, </w:t>
      </w:r>
      <w:r w:rsidR="00A00E4A" w:rsidRPr="004F0887">
        <w:rPr>
          <w:rFonts w:ascii="Trebuchet MS" w:hAnsi="Trebuchet MS"/>
          <w:sz w:val="22"/>
          <w:szCs w:val="22"/>
          <w:lang w:val="ro-RO"/>
        </w:rPr>
        <w:t>in anul 202</w:t>
      </w:r>
      <w:r w:rsidR="009959F5" w:rsidRPr="004F0887">
        <w:rPr>
          <w:rFonts w:ascii="Trebuchet MS" w:hAnsi="Trebuchet MS"/>
          <w:sz w:val="22"/>
          <w:szCs w:val="22"/>
          <w:lang w:val="ro-RO"/>
        </w:rPr>
        <w:t>3</w:t>
      </w:r>
      <w:r w:rsidRPr="004F0887">
        <w:rPr>
          <w:rFonts w:ascii="Trebuchet MS" w:hAnsi="Trebuchet MS"/>
          <w:sz w:val="22"/>
          <w:szCs w:val="22"/>
          <w:lang w:val="ro-RO"/>
        </w:rPr>
        <w:t xml:space="preserve"> </w:t>
      </w:r>
    </w:p>
    <w:p w:rsidR="00AE762B" w:rsidRPr="004F0887" w:rsidRDefault="00AE762B" w:rsidP="009A7611">
      <w:pPr>
        <w:autoSpaceDE w:val="0"/>
        <w:autoSpaceDN w:val="0"/>
        <w:adjustRightInd w:val="0"/>
        <w:rPr>
          <w:rFonts w:ascii="Trebuchet MS" w:hAnsi="Trebuchet MS" w:cs="Arial"/>
          <w:color w:val="000000"/>
          <w:sz w:val="22"/>
          <w:szCs w:val="22"/>
          <w:lang w:val="ro-RO"/>
        </w:rPr>
      </w:pPr>
    </w:p>
    <w:p w:rsidR="00AE762B" w:rsidRDefault="000946BE" w:rsidP="009A7611">
      <w:pPr>
        <w:rPr>
          <w:rFonts w:ascii="Arial" w:hAnsi="Arial" w:cs="Arial"/>
          <w:lang w:val="pt-BR"/>
        </w:rPr>
      </w:pPr>
      <w:bookmarkStart w:id="63" w:name="_MON_1566117107"/>
      <w:bookmarkEnd w:id="63"/>
      <w:r>
        <w:rPr>
          <w:rFonts w:ascii="Arial" w:hAnsi="Arial" w:cs="Arial"/>
          <w:noProof/>
          <w:color w:val="000000"/>
          <w:lang w:val="en-US"/>
        </w:rPr>
        <w:drawing>
          <wp:inline distT="0" distB="0" distL="0" distR="0" wp14:anchorId="0BCB7C9F" wp14:editId="18788754">
            <wp:extent cx="5353050" cy="4648200"/>
            <wp:effectExtent l="0" t="0" r="19050" b="0"/>
            <wp:docPr id="23" name="Objec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CD0327" w:rsidRDefault="00AE762B" w:rsidP="009A7611">
      <w:pPr>
        <w:pStyle w:val="Default"/>
        <w:rPr>
          <w:rFonts w:ascii="Trebuchet MS" w:hAnsi="Trebuchet MS"/>
          <w:sz w:val="22"/>
          <w:szCs w:val="22"/>
          <w:lang w:val="pt-BR"/>
        </w:rPr>
      </w:pPr>
      <w:r>
        <w:rPr>
          <w:lang w:val="pt-BR"/>
        </w:rPr>
        <w:br w:type="page"/>
      </w:r>
      <w:r w:rsidRPr="00CD0327">
        <w:rPr>
          <w:rFonts w:ascii="Trebuchet MS" w:hAnsi="Trebuchet MS"/>
          <w:b/>
          <w:bCs/>
          <w:sz w:val="22"/>
          <w:szCs w:val="22"/>
          <w:lang w:val="pt-BR"/>
        </w:rPr>
        <w:t>COD INDICATOR</w:t>
      </w:r>
      <w:r w:rsidRPr="00CD0327">
        <w:rPr>
          <w:rFonts w:ascii="Trebuchet MS" w:hAnsi="Trebuchet MS"/>
          <w:sz w:val="22"/>
          <w:szCs w:val="22"/>
          <w:lang w:val="pt-BR"/>
        </w:rPr>
        <w:t xml:space="preserve"> </w:t>
      </w:r>
    </w:p>
    <w:p w:rsidR="00AE762B" w:rsidRPr="00CD0327" w:rsidRDefault="00AE762B" w:rsidP="009A7611">
      <w:pPr>
        <w:pStyle w:val="Default"/>
        <w:rPr>
          <w:rFonts w:ascii="Trebuchet MS" w:hAnsi="Trebuchet MS"/>
          <w:sz w:val="22"/>
          <w:szCs w:val="22"/>
          <w:lang w:val="pt-BR"/>
        </w:rPr>
      </w:pPr>
      <w:r w:rsidRPr="00CD0327">
        <w:rPr>
          <w:rFonts w:ascii="Trebuchet MS" w:hAnsi="Trebuchet MS"/>
          <w:sz w:val="22"/>
          <w:szCs w:val="22"/>
          <w:lang w:val="pt-BR"/>
        </w:rPr>
        <w:t xml:space="preserve">Cod indicator România: </w:t>
      </w:r>
      <w:r w:rsidRPr="00CD0327">
        <w:rPr>
          <w:rFonts w:ascii="Trebuchet MS" w:hAnsi="Trebuchet MS"/>
          <w:b/>
          <w:bCs/>
          <w:sz w:val="22"/>
          <w:szCs w:val="22"/>
          <w:lang w:val="pt-BR"/>
        </w:rPr>
        <w:t>RO 38</w:t>
      </w:r>
    </w:p>
    <w:p w:rsidR="00AE762B" w:rsidRPr="00CD0327" w:rsidRDefault="00AE762B" w:rsidP="009A7611">
      <w:pPr>
        <w:pStyle w:val="Default"/>
        <w:rPr>
          <w:rFonts w:ascii="Trebuchet MS" w:hAnsi="Trebuchet MS"/>
          <w:sz w:val="22"/>
          <w:szCs w:val="22"/>
          <w:lang w:val="pt-BR"/>
        </w:rPr>
      </w:pPr>
      <w:r w:rsidRPr="00CD0327">
        <w:rPr>
          <w:rFonts w:ascii="Trebuchet MS" w:hAnsi="Trebuchet MS"/>
          <w:sz w:val="22"/>
          <w:szCs w:val="22"/>
          <w:lang w:val="pt-BR"/>
        </w:rPr>
        <w:t xml:space="preserve">Cod indicator AEM: </w:t>
      </w:r>
      <w:r w:rsidRPr="00CD0327">
        <w:rPr>
          <w:rFonts w:ascii="Trebuchet MS" w:hAnsi="Trebuchet MS"/>
          <w:b/>
          <w:sz w:val="22"/>
          <w:szCs w:val="22"/>
          <w:lang w:val="pt-BR"/>
        </w:rPr>
        <w:t>APE</w:t>
      </w:r>
      <w:r w:rsidRPr="00CD0327">
        <w:rPr>
          <w:rFonts w:ascii="Trebuchet MS" w:hAnsi="Trebuchet MS"/>
          <w:b/>
          <w:bCs/>
          <w:sz w:val="22"/>
          <w:szCs w:val="22"/>
          <w:lang w:val="pt-BR"/>
        </w:rPr>
        <w:t xml:space="preserve"> 05 </w:t>
      </w:r>
    </w:p>
    <w:p w:rsidR="00AE762B" w:rsidRPr="00CD0327" w:rsidRDefault="00AE762B" w:rsidP="009A7611">
      <w:pPr>
        <w:pStyle w:val="Default"/>
        <w:rPr>
          <w:rFonts w:ascii="Trebuchet MS" w:hAnsi="Trebuchet MS"/>
          <w:sz w:val="22"/>
          <w:szCs w:val="22"/>
          <w:lang w:val="pt-BR"/>
        </w:rPr>
      </w:pPr>
      <w:r w:rsidRPr="00CD0327">
        <w:rPr>
          <w:rFonts w:ascii="Trebuchet MS" w:hAnsi="Trebuchet MS"/>
          <w:b/>
          <w:bCs/>
          <w:sz w:val="22"/>
          <w:szCs w:val="22"/>
          <w:lang w:val="pt-BR"/>
        </w:rPr>
        <w:t xml:space="preserve">DENUMIRE </w:t>
      </w:r>
    </w:p>
    <w:p w:rsidR="00AE762B" w:rsidRPr="00CD0327" w:rsidRDefault="00AE762B" w:rsidP="009A7611">
      <w:pPr>
        <w:pStyle w:val="Default"/>
        <w:rPr>
          <w:rFonts w:ascii="Trebuchet MS" w:hAnsi="Trebuchet MS"/>
          <w:b/>
          <w:bCs/>
          <w:sz w:val="22"/>
          <w:szCs w:val="22"/>
          <w:lang w:val="ro-RO"/>
        </w:rPr>
      </w:pPr>
      <w:r w:rsidRPr="00CD0327">
        <w:rPr>
          <w:rFonts w:ascii="Trebuchet MS" w:hAnsi="Trebuchet MS"/>
          <w:b/>
          <w:bCs/>
          <w:sz w:val="22"/>
          <w:szCs w:val="22"/>
          <w:lang w:val="ro-RO"/>
        </w:rPr>
        <w:t>EMISII DE PARTICULE METALE GRELE</w:t>
      </w:r>
    </w:p>
    <w:p w:rsidR="00AE762B" w:rsidRPr="00CD0327" w:rsidRDefault="00AE762B" w:rsidP="009A7611">
      <w:pPr>
        <w:pStyle w:val="Default"/>
        <w:rPr>
          <w:rFonts w:ascii="Trebuchet MS" w:hAnsi="Trebuchet MS"/>
          <w:sz w:val="22"/>
          <w:szCs w:val="22"/>
          <w:lang w:val="ro-RO"/>
        </w:rPr>
      </w:pPr>
      <w:r w:rsidRPr="00CD0327">
        <w:rPr>
          <w:rFonts w:ascii="Trebuchet MS" w:hAnsi="Trebuchet MS"/>
          <w:b/>
          <w:bCs/>
          <w:sz w:val="22"/>
          <w:szCs w:val="22"/>
          <w:lang w:val="ro-RO"/>
        </w:rPr>
        <w:t xml:space="preserve">DEFINIŢIE </w:t>
      </w:r>
    </w:p>
    <w:p w:rsidR="00AE762B" w:rsidRPr="00CD0327" w:rsidRDefault="00AE762B" w:rsidP="009A7611">
      <w:pPr>
        <w:autoSpaceDE w:val="0"/>
        <w:autoSpaceDN w:val="0"/>
        <w:adjustRightInd w:val="0"/>
        <w:rPr>
          <w:rFonts w:ascii="Trebuchet MS" w:hAnsi="Trebuchet MS" w:cs="Arial"/>
          <w:sz w:val="22"/>
          <w:szCs w:val="22"/>
          <w:lang w:val="ro-RO"/>
        </w:rPr>
      </w:pPr>
      <w:r w:rsidRPr="00CD0327">
        <w:rPr>
          <w:rFonts w:ascii="Trebuchet MS" w:hAnsi="Trebuchet MS" w:cs="Arial"/>
          <w:sz w:val="22"/>
          <w:szCs w:val="22"/>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CD0327" w:rsidRDefault="00AE762B" w:rsidP="009A7611">
      <w:pPr>
        <w:autoSpaceDE w:val="0"/>
        <w:autoSpaceDN w:val="0"/>
        <w:adjustRightInd w:val="0"/>
        <w:rPr>
          <w:rFonts w:ascii="Trebuchet MS" w:hAnsi="Trebuchet MS" w:cs="Arial"/>
          <w:color w:val="000000"/>
          <w:sz w:val="22"/>
          <w:szCs w:val="22"/>
          <w:lang w:val="ro-RO"/>
        </w:rPr>
      </w:pPr>
    </w:p>
    <w:p w:rsidR="00AE762B" w:rsidRPr="00CD0327" w:rsidRDefault="00AE762B" w:rsidP="009A7611">
      <w:pPr>
        <w:pStyle w:val="Default"/>
        <w:rPr>
          <w:rFonts w:ascii="Trebuchet MS" w:hAnsi="Trebuchet MS"/>
          <w:sz w:val="22"/>
          <w:szCs w:val="22"/>
          <w:lang w:val="ro-RO"/>
        </w:rPr>
      </w:pPr>
      <w:r w:rsidRPr="00CD0327">
        <w:rPr>
          <w:rFonts w:ascii="Trebuchet MS" w:hAnsi="Trebuchet MS"/>
          <w:sz w:val="22"/>
          <w:szCs w:val="22"/>
          <w:lang w:val="ro-RO"/>
        </w:rPr>
        <w:t xml:space="preserve">grafic 1.2.1.4 Contribuţia sectoarelor de activitate din energie, la emisiile metale grele </w:t>
      </w:r>
      <w:r w:rsidR="00A00E4A" w:rsidRPr="00CD0327">
        <w:rPr>
          <w:rFonts w:ascii="Trebuchet MS" w:hAnsi="Trebuchet MS"/>
          <w:sz w:val="22"/>
          <w:szCs w:val="22"/>
          <w:lang w:val="ro-RO"/>
        </w:rPr>
        <w:t>in anul 202</w:t>
      </w:r>
      <w:r w:rsidR="001C03CB" w:rsidRPr="00CD0327">
        <w:rPr>
          <w:rFonts w:ascii="Trebuchet MS" w:hAnsi="Trebuchet MS"/>
          <w:sz w:val="22"/>
          <w:szCs w:val="22"/>
          <w:lang w:val="ro-RO"/>
        </w:rPr>
        <w:t>3</w:t>
      </w:r>
    </w:p>
    <w:p w:rsidR="00AE762B" w:rsidRPr="00CD0327" w:rsidRDefault="00AE762B" w:rsidP="009A7611">
      <w:pPr>
        <w:autoSpaceDE w:val="0"/>
        <w:autoSpaceDN w:val="0"/>
        <w:adjustRightInd w:val="0"/>
        <w:rPr>
          <w:rFonts w:ascii="Trebuchet MS" w:hAnsi="Trebuchet MS" w:cs="Arial"/>
          <w:color w:val="000000"/>
          <w:sz w:val="22"/>
          <w:szCs w:val="22"/>
          <w:lang w:val="ro-RO"/>
        </w:rPr>
      </w:pPr>
    </w:p>
    <w:p w:rsidR="00AE762B" w:rsidRPr="00C4296C" w:rsidRDefault="000946BE" w:rsidP="009A7611">
      <w:pPr>
        <w:rPr>
          <w:rFonts w:ascii="Arial" w:hAnsi="Arial" w:cs="Arial"/>
          <w:lang w:val="ro-RO"/>
        </w:rPr>
      </w:pPr>
      <w:bookmarkStart w:id="64" w:name="_MON_1566117251"/>
      <w:bookmarkStart w:id="65" w:name="_MON_1721801416"/>
      <w:bookmarkEnd w:id="64"/>
      <w:bookmarkEnd w:id="65"/>
      <w:r>
        <w:rPr>
          <w:rFonts w:ascii="Arial" w:hAnsi="Arial" w:cs="Arial"/>
          <w:noProof/>
          <w:color w:val="000000"/>
          <w:lang w:val="en-US"/>
        </w:rPr>
        <w:drawing>
          <wp:inline distT="0" distB="0" distL="0" distR="0" wp14:anchorId="619C493D" wp14:editId="43B29223">
            <wp:extent cx="6038850" cy="4476750"/>
            <wp:effectExtent l="0" t="0" r="19050" b="0"/>
            <wp:docPr id="24" name="Objec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D0327" w:rsidRDefault="00AE762B" w:rsidP="009A7611">
      <w:pPr>
        <w:pStyle w:val="Default"/>
        <w:rPr>
          <w:rFonts w:ascii="Trebuchet MS" w:hAnsi="Trebuchet MS"/>
          <w:sz w:val="22"/>
          <w:szCs w:val="22"/>
          <w:lang w:val="ro-RO"/>
        </w:rPr>
      </w:pPr>
      <w:r w:rsidRPr="00C4296C">
        <w:rPr>
          <w:lang w:val="ro-RO"/>
        </w:rPr>
        <w:br w:type="page"/>
      </w:r>
      <w:r w:rsidRPr="00CD0327">
        <w:rPr>
          <w:rFonts w:ascii="Trebuchet MS" w:hAnsi="Trebuchet MS"/>
          <w:b/>
          <w:bCs/>
          <w:sz w:val="22"/>
          <w:szCs w:val="22"/>
          <w:lang w:val="ro-RO"/>
        </w:rPr>
        <w:t>COD INDICATOR</w:t>
      </w:r>
      <w:r w:rsidRPr="00CD0327">
        <w:rPr>
          <w:rFonts w:ascii="Trebuchet MS" w:hAnsi="Trebuchet MS"/>
          <w:sz w:val="22"/>
          <w:szCs w:val="22"/>
          <w:lang w:val="ro-RO"/>
        </w:rPr>
        <w:t xml:space="preserve"> </w:t>
      </w:r>
    </w:p>
    <w:p w:rsidR="00AE762B" w:rsidRPr="00CD0327" w:rsidRDefault="00AE762B" w:rsidP="009A7611">
      <w:pPr>
        <w:pStyle w:val="Default"/>
        <w:rPr>
          <w:rFonts w:ascii="Trebuchet MS" w:hAnsi="Trebuchet MS"/>
          <w:sz w:val="22"/>
          <w:szCs w:val="22"/>
          <w:lang w:val="ro-RO"/>
        </w:rPr>
      </w:pPr>
      <w:r w:rsidRPr="00CD0327">
        <w:rPr>
          <w:rFonts w:ascii="Trebuchet MS" w:hAnsi="Trebuchet MS"/>
          <w:sz w:val="22"/>
          <w:szCs w:val="22"/>
          <w:lang w:val="ro-RO"/>
        </w:rPr>
        <w:t xml:space="preserve">Cod indicator România: </w:t>
      </w:r>
      <w:r w:rsidRPr="00CD0327">
        <w:rPr>
          <w:rFonts w:ascii="Trebuchet MS" w:hAnsi="Trebuchet MS"/>
          <w:b/>
          <w:bCs/>
          <w:sz w:val="22"/>
          <w:szCs w:val="22"/>
          <w:lang w:val="ro-RO"/>
        </w:rPr>
        <w:t>RO 39</w:t>
      </w:r>
    </w:p>
    <w:p w:rsidR="00AE762B" w:rsidRPr="00CD0327" w:rsidRDefault="00AE762B" w:rsidP="009A7611">
      <w:pPr>
        <w:pStyle w:val="Default"/>
        <w:rPr>
          <w:rFonts w:ascii="Trebuchet MS" w:hAnsi="Trebuchet MS"/>
          <w:sz w:val="22"/>
          <w:szCs w:val="22"/>
          <w:lang w:val="ro-RO"/>
        </w:rPr>
      </w:pPr>
      <w:r w:rsidRPr="00CD0327">
        <w:rPr>
          <w:rFonts w:ascii="Trebuchet MS" w:hAnsi="Trebuchet MS"/>
          <w:sz w:val="22"/>
          <w:szCs w:val="22"/>
          <w:lang w:val="ro-RO"/>
        </w:rPr>
        <w:t xml:space="preserve">Cod indicator AEM: </w:t>
      </w:r>
      <w:r w:rsidRPr="00CD0327">
        <w:rPr>
          <w:rFonts w:ascii="Trebuchet MS" w:hAnsi="Trebuchet MS"/>
          <w:b/>
          <w:sz w:val="22"/>
          <w:szCs w:val="22"/>
          <w:lang w:val="ro-RO"/>
        </w:rPr>
        <w:t>APE</w:t>
      </w:r>
      <w:r w:rsidRPr="00CD0327">
        <w:rPr>
          <w:rFonts w:ascii="Trebuchet MS" w:hAnsi="Trebuchet MS"/>
          <w:b/>
          <w:bCs/>
          <w:sz w:val="22"/>
          <w:szCs w:val="22"/>
          <w:lang w:val="ro-RO"/>
        </w:rPr>
        <w:t xml:space="preserve"> 06 </w:t>
      </w:r>
    </w:p>
    <w:p w:rsidR="00AE762B" w:rsidRPr="00CD0327" w:rsidRDefault="00AE762B" w:rsidP="009A7611">
      <w:pPr>
        <w:pStyle w:val="Default"/>
        <w:rPr>
          <w:rFonts w:ascii="Trebuchet MS" w:hAnsi="Trebuchet MS"/>
          <w:sz w:val="22"/>
          <w:szCs w:val="22"/>
          <w:lang w:val="ro-RO"/>
        </w:rPr>
      </w:pPr>
      <w:r w:rsidRPr="00CD0327">
        <w:rPr>
          <w:rFonts w:ascii="Trebuchet MS" w:hAnsi="Trebuchet MS"/>
          <w:b/>
          <w:bCs/>
          <w:sz w:val="22"/>
          <w:szCs w:val="22"/>
          <w:lang w:val="ro-RO"/>
        </w:rPr>
        <w:t xml:space="preserve">DENUMIRE </w:t>
      </w:r>
    </w:p>
    <w:p w:rsidR="00AE762B" w:rsidRPr="00CD0327" w:rsidRDefault="00AE762B" w:rsidP="009A7611">
      <w:pPr>
        <w:pStyle w:val="Default"/>
        <w:rPr>
          <w:rFonts w:ascii="Trebuchet MS" w:hAnsi="Trebuchet MS"/>
          <w:b/>
          <w:bCs/>
          <w:sz w:val="22"/>
          <w:szCs w:val="22"/>
          <w:lang w:val="ro-RO"/>
        </w:rPr>
      </w:pPr>
      <w:r w:rsidRPr="00CD0327">
        <w:rPr>
          <w:rFonts w:ascii="Trebuchet MS" w:hAnsi="Trebuchet MS"/>
          <w:b/>
          <w:bCs/>
          <w:sz w:val="22"/>
          <w:szCs w:val="22"/>
          <w:lang w:val="ro-RO"/>
        </w:rPr>
        <w:t>EMISII DE POLUANTI ORGANICI PERSISTENTI</w:t>
      </w:r>
    </w:p>
    <w:p w:rsidR="00AE762B" w:rsidRPr="00CD0327" w:rsidRDefault="00AE762B" w:rsidP="009A7611">
      <w:pPr>
        <w:pStyle w:val="Default"/>
        <w:rPr>
          <w:rFonts w:ascii="Trebuchet MS" w:hAnsi="Trebuchet MS"/>
          <w:sz w:val="22"/>
          <w:szCs w:val="22"/>
          <w:lang w:val="ro-RO"/>
        </w:rPr>
      </w:pPr>
      <w:r w:rsidRPr="00CD0327">
        <w:rPr>
          <w:rFonts w:ascii="Trebuchet MS" w:hAnsi="Trebuchet MS"/>
          <w:b/>
          <w:bCs/>
          <w:sz w:val="22"/>
          <w:szCs w:val="22"/>
          <w:lang w:val="ro-RO"/>
        </w:rPr>
        <w:t xml:space="preserve">DEFINIŢIE </w:t>
      </w:r>
    </w:p>
    <w:p w:rsidR="00AE762B" w:rsidRPr="00CD0327" w:rsidRDefault="00AE762B" w:rsidP="009A7611">
      <w:pPr>
        <w:autoSpaceDE w:val="0"/>
        <w:autoSpaceDN w:val="0"/>
        <w:adjustRightInd w:val="0"/>
        <w:rPr>
          <w:rFonts w:ascii="Trebuchet MS" w:hAnsi="Trebuchet MS" w:cs="Arial"/>
          <w:color w:val="000000"/>
          <w:sz w:val="22"/>
          <w:szCs w:val="22"/>
          <w:lang w:val="ro-RO"/>
        </w:rPr>
      </w:pPr>
      <w:r w:rsidRPr="00CD0327">
        <w:rPr>
          <w:rFonts w:ascii="Trebuchet MS" w:hAnsi="Trebuchet MS" w:cs="Arial"/>
          <w:sz w:val="22"/>
          <w:szCs w:val="22"/>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CD0327" w:rsidRDefault="00AE762B" w:rsidP="009A7611">
      <w:pPr>
        <w:pStyle w:val="Default"/>
        <w:rPr>
          <w:rFonts w:ascii="Trebuchet MS" w:hAnsi="Trebuchet MS"/>
          <w:sz w:val="22"/>
          <w:szCs w:val="22"/>
          <w:lang w:val="ro-RO"/>
        </w:rPr>
      </w:pPr>
    </w:p>
    <w:p w:rsidR="00AE762B" w:rsidRPr="00CD0327" w:rsidRDefault="00AE762B" w:rsidP="009A7611">
      <w:pPr>
        <w:pStyle w:val="Default"/>
        <w:rPr>
          <w:rFonts w:ascii="Trebuchet MS" w:hAnsi="Trebuchet MS"/>
          <w:sz w:val="22"/>
          <w:szCs w:val="22"/>
          <w:lang w:val="ro-RO"/>
        </w:rPr>
      </w:pPr>
      <w:r w:rsidRPr="00CD0327">
        <w:rPr>
          <w:rFonts w:ascii="Trebuchet MS" w:hAnsi="Trebuchet MS"/>
          <w:sz w:val="22"/>
          <w:szCs w:val="22"/>
          <w:lang w:val="ro-RO"/>
        </w:rPr>
        <w:t>grafic 1.2.1.5 Contribuţia sectoarelor de activitate din energie, la emisiile de poluanti o</w:t>
      </w:r>
      <w:r w:rsidR="00355D4F" w:rsidRPr="00CD0327">
        <w:rPr>
          <w:rFonts w:ascii="Trebuchet MS" w:hAnsi="Trebuchet MS"/>
          <w:sz w:val="22"/>
          <w:szCs w:val="22"/>
          <w:lang w:val="ro-RO"/>
        </w:rPr>
        <w:t>rganici persistenti in anul 202</w:t>
      </w:r>
      <w:r w:rsidR="00BC473A" w:rsidRPr="00CD0327">
        <w:rPr>
          <w:rFonts w:ascii="Trebuchet MS" w:hAnsi="Trebuchet MS"/>
          <w:sz w:val="22"/>
          <w:szCs w:val="22"/>
          <w:lang w:val="ro-RO"/>
        </w:rPr>
        <w:t>3</w:t>
      </w:r>
    </w:p>
    <w:p w:rsidR="00AE762B" w:rsidRPr="00CD0327" w:rsidRDefault="00AE762B" w:rsidP="009A7611">
      <w:pPr>
        <w:autoSpaceDE w:val="0"/>
        <w:autoSpaceDN w:val="0"/>
        <w:adjustRightInd w:val="0"/>
        <w:rPr>
          <w:rFonts w:ascii="Trebuchet MS" w:hAnsi="Trebuchet MS" w:cs="Arial"/>
          <w:color w:val="000000"/>
          <w:sz w:val="22"/>
          <w:szCs w:val="22"/>
          <w:lang w:val="ro-RO"/>
        </w:rPr>
      </w:pPr>
    </w:p>
    <w:p w:rsidR="00AE762B" w:rsidRPr="00153601" w:rsidRDefault="000946BE" w:rsidP="009A7611">
      <w:pPr>
        <w:rPr>
          <w:rFonts w:ascii="Arial" w:hAnsi="Arial" w:cs="Arial"/>
          <w:lang w:val="pt-BR"/>
        </w:rPr>
      </w:pPr>
      <w:bookmarkStart w:id="66" w:name="_MON_1566117595"/>
      <w:bookmarkEnd w:id="66"/>
      <w:r>
        <w:rPr>
          <w:rFonts w:ascii="Arial" w:hAnsi="Arial" w:cs="Arial"/>
          <w:noProof/>
          <w:color w:val="000000"/>
          <w:lang w:val="en-US"/>
        </w:rPr>
        <w:drawing>
          <wp:inline distT="0" distB="0" distL="0" distR="0" wp14:anchorId="097EF112" wp14:editId="65F2F855">
            <wp:extent cx="6134100" cy="4391025"/>
            <wp:effectExtent l="0" t="0" r="19050" b="0"/>
            <wp:docPr id="25" name="Object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E762B" w:rsidRDefault="00AE762B" w:rsidP="009A7611">
      <w:pPr>
        <w:tabs>
          <w:tab w:val="left" w:pos="1350"/>
        </w:tabs>
        <w:rPr>
          <w:rFonts w:ascii="Arial" w:hAnsi="Arial" w:cs="Arial"/>
          <w:lang w:val="pt-BR"/>
        </w:rPr>
      </w:pPr>
    </w:p>
    <w:p w:rsidR="00AE762B" w:rsidRDefault="00AE762B" w:rsidP="009A7611">
      <w:pPr>
        <w:tabs>
          <w:tab w:val="left" w:pos="1350"/>
        </w:tabs>
        <w:rPr>
          <w:rFonts w:ascii="Arial" w:hAnsi="Arial" w:cs="Arial"/>
          <w:lang w:val="it-IT"/>
        </w:rPr>
      </w:pPr>
    </w:p>
    <w:p w:rsidR="00AE762B" w:rsidRPr="00CD0327" w:rsidRDefault="00AE762B" w:rsidP="009A7611">
      <w:pPr>
        <w:tabs>
          <w:tab w:val="left" w:pos="1350"/>
        </w:tabs>
        <w:rPr>
          <w:rFonts w:ascii="Trebuchet MS" w:hAnsi="Trebuchet MS" w:cs="Arial"/>
          <w:sz w:val="22"/>
          <w:szCs w:val="22"/>
          <w:lang w:val="it-IT"/>
        </w:rPr>
      </w:pPr>
      <w:r>
        <w:rPr>
          <w:rFonts w:ascii="Arial" w:hAnsi="Arial" w:cs="Arial"/>
          <w:lang w:val="it-IT"/>
        </w:rPr>
        <w:br w:type="page"/>
      </w:r>
      <w:r w:rsidRPr="00CD0327">
        <w:rPr>
          <w:rFonts w:ascii="Trebuchet MS" w:hAnsi="Trebuchet MS" w:cs="Arial"/>
          <w:sz w:val="22"/>
          <w:szCs w:val="22"/>
          <w:lang w:val="it-IT"/>
        </w:rPr>
        <w:t>B. Alte date şi informaţii specifice</w:t>
      </w:r>
    </w:p>
    <w:p w:rsidR="00AE762B" w:rsidRPr="00CD0327" w:rsidRDefault="00AE762B" w:rsidP="009A7611">
      <w:pPr>
        <w:tabs>
          <w:tab w:val="left" w:pos="1350"/>
        </w:tabs>
        <w:rPr>
          <w:rFonts w:ascii="Trebuchet MS" w:hAnsi="Trebuchet MS" w:cs="Arial"/>
          <w:sz w:val="22"/>
          <w:szCs w:val="22"/>
          <w:lang w:val="it-IT"/>
        </w:rPr>
      </w:pPr>
    </w:p>
    <w:p w:rsidR="00AE762B" w:rsidRPr="00CD0327" w:rsidRDefault="00AE762B" w:rsidP="009A7611">
      <w:pPr>
        <w:tabs>
          <w:tab w:val="left" w:pos="1350"/>
        </w:tabs>
        <w:rPr>
          <w:rFonts w:ascii="Trebuchet MS" w:hAnsi="Trebuchet MS" w:cs="Arial"/>
          <w:sz w:val="22"/>
          <w:szCs w:val="22"/>
          <w:lang w:val="it-IT"/>
        </w:rPr>
      </w:pPr>
    </w:p>
    <w:p w:rsidR="00AE762B" w:rsidRPr="00CD0327" w:rsidRDefault="00AE762B" w:rsidP="009A7611">
      <w:pPr>
        <w:autoSpaceDE w:val="0"/>
        <w:autoSpaceDN w:val="0"/>
        <w:adjustRightInd w:val="0"/>
        <w:rPr>
          <w:rFonts w:ascii="Trebuchet MS" w:hAnsi="Trebuchet MS" w:cs="Arial"/>
          <w:sz w:val="22"/>
          <w:szCs w:val="22"/>
          <w:lang w:val="it-IT"/>
        </w:rPr>
      </w:pPr>
      <w:r w:rsidRPr="00CD0327">
        <w:rPr>
          <w:rFonts w:ascii="Trebuchet MS" w:hAnsi="Trebuchet MS" w:cs="Arial"/>
          <w:sz w:val="22"/>
          <w:szCs w:val="22"/>
          <w:lang w:val="it-IT"/>
        </w:rPr>
        <w:t>Contributia sectoarelor de activitate din energie la emisiile de poluanti cu efect de acidifiere, respectiv la emisiile de precursori ai ozonului sau particule este destul de redusă, în special datorită faptului că emisiile cele mai importante pentru aceşti poluanţi provin din sectorul de transport , aşa cum se va vedea în subcapitolele următoare.</w:t>
      </w:r>
      <w:r w:rsidR="00C6177E" w:rsidRPr="00CD0327">
        <w:rPr>
          <w:rFonts w:ascii="Trebuchet MS" w:hAnsi="Trebuchet MS" w:cs="Arial"/>
          <w:sz w:val="22"/>
          <w:szCs w:val="22"/>
          <w:lang w:val="it-IT"/>
        </w:rPr>
        <w:t xml:space="preserve"> Procent destul de ridicat în ceea ce privește emisiile de particule PM 10 și PM 2.5 sectorul de incalzire rezidențială (cu combustibil solid) având un rol important in totalul acestor emisii.</w:t>
      </w:r>
    </w:p>
    <w:p w:rsidR="00AE762B" w:rsidRPr="00CD0327" w:rsidRDefault="00AE762B" w:rsidP="009A7611">
      <w:pPr>
        <w:autoSpaceDE w:val="0"/>
        <w:autoSpaceDN w:val="0"/>
        <w:adjustRightInd w:val="0"/>
        <w:rPr>
          <w:rFonts w:ascii="Trebuchet MS" w:hAnsi="Trebuchet MS" w:cs="Arial"/>
          <w:sz w:val="22"/>
          <w:szCs w:val="22"/>
          <w:lang w:val="it-IT"/>
        </w:rPr>
      </w:pPr>
      <w:r w:rsidRPr="00CD0327">
        <w:rPr>
          <w:rFonts w:ascii="Trebuchet MS" w:hAnsi="Trebuchet MS" w:cs="Arial"/>
          <w:sz w:val="22"/>
          <w:szCs w:val="22"/>
          <w:lang w:val="it-IT"/>
        </w:rPr>
        <w:t xml:space="preserve">In ceea ce priveşte emisiile de metale grele, se vede o contribuţie destul de importantă pentru </w:t>
      </w:r>
      <w:r w:rsidR="00C6177E" w:rsidRPr="00CD0327">
        <w:rPr>
          <w:rFonts w:ascii="Trebuchet MS" w:hAnsi="Trebuchet MS" w:cs="Arial"/>
          <w:sz w:val="22"/>
          <w:szCs w:val="22"/>
          <w:lang w:val="it-IT"/>
        </w:rPr>
        <w:t>Cd</w:t>
      </w:r>
      <w:r w:rsidRPr="00CD0327">
        <w:rPr>
          <w:rFonts w:ascii="Trebuchet MS" w:hAnsi="Trebuchet MS" w:cs="Arial"/>
          <w:sz w:val="22"/>
          <w:szCs w:val="22"/>
          <w:lang w:val="it-IT"/>
        </w:rPr>
        <w:t xml:space="preserve">, </w:t>
      </w:r>
      <w:r w:rsidR="00C6177E" w:rsidRPr="00CD0327">
        <w:rPr>
          <w:rFonts w:ascii="Trebuchet MS" w:hAnsi="Trebuchet MS" w:cs="Arial"/>
          <w:sz w:val="22"/>
          <w:szCs w:val="22"/>
          <w:lang w:val="it-IT"/>
        </w:rPr>
        <w:t>tot</w:t>
      </w:r>
      <w:r w:rsidRPr="00CD0327">
        <w:rPr>
          <w:rFonts w:ascii="Trebuchet MS" w:hAnsi="Trebuchet MS" w:cs="Arial"/>
          <w:sz w:val="22"/>
          <w:szCs w:val="22"/>
          <w:lang w:val="it-IT"/>
        </w:rPr>
        <w:t xml:space="preserve"> din sectorul </w:t>
      </w:r>
      <w:r w:rsidR="00C6177E" w:rsidRPr="00CD0327">
        <w:rPr>
          <w:rFonts w:ascii="Trebuchet MS" w:hAnsi="Trebuchet MS" w:cs="Arial"/>
          <w:sz w:val="22"/>
          <w:szCs w:val="22"/>
          <w:lang w:val="it-IT"/>
        </w:rPr>
        <w:t>încălzirii rezidențiale.</w:t>
      </w:r>
    </w:p>
    <w:p w:rsidR="00AE762B" w:rsidRPr="00CD0327" w:rsidRDefault="00AE762B" w:rsidP="009A7611">
      <w:pPr>
        <w:autoSpaceDE w:val="0"/>
        <w:autoSpaceDN w:val="0"/>
        <w:adjustRightInd w:val="0"/>
        <w:rPr>
          <w:rFonts w:ascii="Trebuchet MS" w:hAnsi="Trebuchet MS" w:cs="Arial"/>
          <w:color w:val="FF0000"/>
          <w:sz w:val="22"/>
          <w:szCs w:val="22"/>
          <w:lang w:val="it-IT"/>
        </w:rPr>
      </w:pPr>
    </w:p>
    <w:p w:rsidR="00AE762B" w:rsidRPr="00CD0327" w:rsidRDefault="00AE762B" w:rsidP="009A7611">
      <w:pPr>
        <w:autoSpaceDE w:val="0"/>
        <w:autoSpaceDN w:val="0"/>
        <w:adjustRightInd w:val="0"/>
        <w:rPr>
          <w:rFonts w:ascii="Trebuchet MS" w:hAnsi="Trebuchet MS" w:cs="Arial"/>
          <w:sz w:val="22"/>
          <w:szCs w:val="22"/>
          <w:lang w:val="it-IT"/>
        </w:rPr>
      </w:pPr>
      <w:r w:rsidRPr="00CD0327">
        <w:rPr>
          <w:rFonts w:ascii="Trebuchet MS" w:hAnsi="Trebuchet MS" w:cs="Arial"/>
          <w:sz w:val="22"/>
          <w:szCs w:val="22"/>
          <w:lang w:val="it-IT"/>
        </w:rPr>
        <w:t>În ceea ce priveşte producerea şi consumul de energie, pe tipuri de combustibili , datele disponibile la Institutul Naţional de Statistică sunt la nivel Naţional. Din anuarul statistic al Municipiului Bucureşti am reuşit să extragem doar situatia consumului de energie pentru termoficare. Totusi , din inventarul de emisii, putem aprecia ca peste 95% din energia produsă pentru caldura, electricitate, sau pentru sectiorul industrie provine din utilizarea gazelor naturale</w:t>
      </w:r>
    </w:p>
    <w:p w:rsidR="00AE762B" w:rsidRPr="00CD0327" w:rsidRDefault="00AE762B" w:rsidP="009A7611">
      <w:pPr>
        <w:tabs>
          <w:tab w:val="left" w:pos="1350"/>
        </w:tabs>
        <w:rPr>
          <w:rFonts w:ascii="Trebuchet MS" w:hAnsi="Trebuchet MS" w:cs="Arial"/>
          <w:sz w:val="22"/>
          <w:szCs w:val="22"/>
          <w:lang w:val="it-IT"/>
        </w:rPr>
      </w:pPr>
    </w:p>
    <w:p w:rsidR="00AE762B" w:rsidRPr="00CD0327" w:rsidRDefault="00AE762B" w:rsidP="009A7611">
      <w:pPr>
        <w:tabs>
          <w:tab w:val="left" w:pos="1350"/>
        </w:tabs>
        <w:rPr>
          <w:rFonts w:ascii="Trebuchet MS" w:hAnsi="Trebuchet MS" w:cs="Arial"/>
          <w:sz w:val="22"/>
          <w:szCs w:val="22"/>
          <w:lang w:val="it-IT"/>
        </w:rPr>
      </w:pPr>
      <w:r w:rsidRPr="00CD0327">
        <w:rPr>
          <w:rFonts w:ascii="Trebuchet MS" w:hAnsi="Trebuchet MS" w:cs="Arial"/>
          <w:sz w:val="22"/>
          <w:szCs w:val="22"/>
          <w:lang w:val="it-IT"/>
        </w:rPr>
        <w:t>grafic 1.2.1.6  Situatia consumului de energie pentru termoficare în Bucureşti (mii Gcal)</w:t>
      </w:r>
    </w:p>
    <w:p w:rsidR="00AE762B" w:rsidRPr="00C20497" w:rsidRDefault="000946BE" w:rsidP="009A7611">
      <w:pPr>
        <w:tabs>
          <w:tab w:val="left" w:pos="1350"/>
        </w:tabs>
        <w:rPr>
          <w:rFonts w:ascii="Arial" w:hAnsi="Arial" w:cs="Arial"/>
          <w:color w:val="FF0000"/>
          <w:lang w:val="it-IT"/>
        </w:rPr>
      </w:pPr>
      <w:bookmarkStart w:id="67" w:name="_MON_1566120146"/>
      <w:bookmarkStart w:id="68" w:name="_MON_1566120046"/>
      <w:bookmarkStart w:id="69" w:name="_MON_1722161332"/>
      <w:bookmarkEnd w:id="67"/>
      <w:bookmarkEnd w:id="68"/>
      <w:bookmarkEnd w:id="69"/>
      <w:r w:rsidRPr="00C20497">
        <w:rPr>
          <w:rFonts w:ascii="Arial" w:hAnsi="Arial" w:cs="Arial"/>
          <w:noProof/>
          <w:color w:val="FF0000"/>
          <w:lang w:val="en-US"/>
        </w:rPr>
        <w:drawing>
          <wp:inline distT="0" distB="0" distL="0" distR="0" wp14:anchorId="50D34A3B" wp14:editId="54D39A77">
            <wp:extent cx="5915025" cy="4495800"/>
            <wp:effectExtent l="0" t="0" r="0" b="0"/>
            <wp:docPr id="26" name="Objec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E762B" w:rsidRPr="00C20497" w:rsidRDefault="00AE762B" w:rsidP="009A7611">
      <w:pPr>
        <w:tabs>
          <w:tab w:val="left" w:pos="1350"/>
        </w:tabs>
        <w:rPr>
          <w:rFonts w:ascii="Arial" w:hAnsi="Arial" w:cs="Arial"/>
          <w:color w:val="FF0000"/>
          <w:lang w:val="it-IT"/>
        </w:rPr>
      </w:pPr>
    </w:p>
    <w:p w:rsidR="00AE762B" w:rsidRPr="00E51397" w:rsidRDefault="00B648AC" w:rsidP="009A7611">
      <w:pPr>
        <w:rPr>
          <w:rFonts w:ascii="Trebuchet MS" w:hAnsi="Trebuchet MS" w:cs="Arial"/>
          <w:b/>
          <w:bCs/>
          <w:iCs/>
          <w:lang w:val="it-IT"/>
        </w:rPr>
      </w:pPr>
      <w:r w:rsidRPr="00CD0327">
        <w:rPr>
          <w:rFonts w:ascii="Trebuchet MS" w:hAnsi="Trebuchet MS" w:cs="Arial"/>
          <w:sz w:val="22"/>
          <w:szCs w:val="22"/>
          <w:lang w:val="it-IT"/>
        </w:rPr>
        <w:t>Sursa- Anuarul statistic- capitolul 5.10</w:t>
      </w:r>
      <w:r w:rsidR="00AE762B">
        <w:rPr>
          <w:rFonts w:ascii="Arial" w:hAnsi="Arial" w:cs="Arial"/>
          <w:lang w:val="it-IT"/>
        </w:rPr>
        <w:br w:type="page"/>
      </w:r>
      <w:r w:rsidR="00AE762B" w:rsidRPr="00E51397">
        <w:rPr>
          <w:rFonts w:ascii="Trebuchet MS" w:hAnsi="Trebuchet MS" w:cs="Arial"/>
          <w:b/>
          <w:bCs/>
          <w:iCs/>
          <w:lang w:val="it-IT"/>
        </w:rPr>
        <w:t>I.2.2 Industria</w:t>
      </w:r>
    </w:p>
    <w:p w:rsidR="00AE762B" w:rsidRPr="00E51397" w:rsidRDefault="00AE762B" w:rsidP="009A7611">
      <w:pPr>
        <w:rPr>
          <w:rFonts w:ascii="Trebuchet MS" w:hAnsi="Trebuchet MS" w:cs="Arial"/>
          <w:b/>
          <w:bCs/>
          <w:iCs/>
          <w:lang w:val="it-IT"/>
        </w:rPr>
      </w:pPr>
    </w:p>
    <w:p w:rsidR="00AE762B" w:rsidRPr="00CD0327" w:rsidRDefault="00AE762B" w:rsidP="009A7611">
      <w:pPr>
        <w:pStyle w:val="Default"/>
        <w:rPr>
          <w:rFonts w:ascii="Trebuchet MS" w:hAnsi="Trebuchet MS"/>
          <w:sz w:val="22"/>
          <w:szCs w:val="22"/>
          <w:lang w:val="it-IT"/>
        </w:rPr>
      </w:pPr>
      <w:r w:rsidRPr="00CD0327">
        <w:rPr>
          <w:rFonts w:ascii="Trebuchet MS" w:hAnsi="Trebuchet MS"/>
          <w:b/>
          <w:bCs/>
          <w:sz w:val="22"/>
          <w:szCs w:val="22"/>
          <w:lang w:val="it-IT"/>
        </w:rPr>
        <w:t xml:space="preserve">A. Indicatori specifici </w:t>
      </w:r>
    </w:p>
    <w:p w:rsidR="00AE762B" w:rsidRPr="00CD0327" w:rsidRDefault="00AE762B" w:rsidP="009A7611">
      <w:pPr>
        <w:pStyle w:val="Default"/>
        <w:rPr>
          <w:rFonts w:ascii="Trebuchet MS" w:hAnsi="Trebuchet MS"/>
          <w:sz w:val="22"/>
          <w:szCs w:val="22"/>
          <w:lang w:val="it-IT"/>
        </w:rPr>
      </w:pPr>
      <w:r w:rsidRPr="00CD0327">
        <w:rPr>
          <w:rFonts w:ascii="Trebuchet MS" w:hAnsi="Trebuchet MS"/>
          <w:b/>
          <w:bCs/>
          <w:sz w:val="22"/>
          <w:szCs w:val="22"/>
          <w:lang w:val="it-IT"/>
        </w:rPr>
        <w:t>COD INDICATOR</w:t>
      </w:r>
      <w:r w:rsidRPr="00CD0327">
        <w:rPr>
          <w:rFonts w:ascii="Trebuchet MS" w:hAnsi="Trebuchet MS"/>
          <w:sz w:val="22"/>
          <w:szCs w:val="22"/>
          <w:lang w:val="it-IT"/>
        </w:rPr>
        <w:t xml:space="preserve"> </w:t>
      </w:r>
    </w:p>
    <w:p w:rsidR="00AE762B" w:rsidRPr="00CD0327" w:rsidRDefault="00AE762B" w:rsidP="009A7611">
      <w:pPr>
        <w:pStyle w:val="Default"/>
        <w:rPr>
          <w:rFonts w:ascii="Trebuchet MS" w:hAnsi="Trebuchet MS"/>
          <w:sz w:val="22"/>
          <w:szCs w:val="22"/>
          <w:lang w:val="it-IT"/>
        </w:rPr>
      </w:pPr>
      <w:r w:rsidRPr="00CD0327">
        <w:rPr>
          <w:rFonts w:ascii="Trebuchet MS" w:hAnsi="Trebuchet MS"/>
          <w:sz w:val="22"/>
          <w:szCs w:val="22"/>
          <w:lang w:val="it-IT"/>
        </w:rPr>
        <w:t xml:space="preserve">Cod indicator România: </w:t>
      </w:r>
      <w:r w:rsidRPr="00CD0327">
        <w:rPr>
          <w:rFonts w:ascii="Trebuchet MS" w:hAnsi="Trebuchet MS"/>
          <w:b/>
          <w:bCs/>
          <w:sz w:val="22"/>
          <w:szCs w:val="22"/>
          <w:lang w:val="it-IT"/>
        </w:rPr>
        <w:t>RO 01</w:t>
      </w:r>
    </w:p>
    <w:p w:rsidR="00AE762B" w:rsidRPr="00CD0327" w:rsidRDefault="00AE762B" w:rsidP="009A7611">
      <w:pPr>
        <w:pStyle w:val="Default"/>
        <w:rPr>
          <w:rFonts w:ascii="Trebuchet MS" w:hAnsi="Trebuchet MS"/>
          <w:sz w:val="22"/>
          <w:szCs w:val="22"/>
          <w:lang w:val="it-IT"/>
        </w:rPr>
      </w:pPr>
      <w:r w:rsidRPr="00CD0327">
        <w:rPr>
          <w:rFonts w:ascii="Trebuchet MS" w:hAnsi="Trebuchet MS"/>
          <w:sz w:val="22"/>
          <w:szCs w:val="22"/>
          <w:lang w:val="it-IT"/>
        </w:rPr>
        <w:t xml:space="preserve">Cod indicator AEM: </w:t>
      </w:r>
      <w:r w:rsidRPr="00CD0327">
        <w:rPr>
          <w:rFonts w:ascii="Trebuchet MS" w:hAnsi="Trebuchet MS"/>
          <w:b/>
          <w:bCs/>
          <w:sz w:val="22"/>
          <w:szCs w:val="22"/>
          <w:lang w:val="it-IT"/>
        </w:rPr>
        <w:t xml:space="preserve">CSI 01 </w:t>
      </w:r>
    </w:p>
    <w:p w:rsidR="00AE762B" w:rsidRPr="00CD0327" w:rsidRDefault="00AE762B" w:rsidP="009A7611">
      <w:pPr>
        <w:pStyle w:val="Default"/>
        <w:rPr>
          <w:rFonts w:ascii="Trebuchet MS" w:hAnsi="Trebuchet MS"/>
          <w:sz w:val="22"/>
          <w:szCs w:val="22"/>
          <w:lang w:val="it-IT"/>
        </w:rPr>
      </w:pPr>
      <w:r w:rsidRPr="00CD0327">
        <w:rPr>
          <w:rFonts w:ascii="Trebuchet MS" w:hAnsi="Trebuchet MS"/>
          <w:b/>
          <w:bCs/>
          <w:sz w:val="22"/>
          <w:szCs w:val="22"/>
          <w:lang w:val="it-IT"/>
        </w:rPr>
        <w:t xml:space="preserve">DENUMIRE </w:t>
      </w:r>
    </w:p>
    <w:p w:rsidR="00AE762B" w:rsidRPr="00CD0327" w:rsidRDefault="00AE762B" w:rsidP="009A7611">
      <w:pPr>
        <w:pStyle w:val="Default"/>
        <w:rPr>
          <w:rFonts w:ascii="Trebuchet MS" w:hAnsi="Trebuchet MS"/>
          <w:b/>
          <w:bCs/>
          <w:sz w:val="22"/>
          <w:szCs w:val="22"/>
          <w:lang w:val="ro-RO"/>
        </w:rPr>
      </w:pPr>
      <w:r w:rsidRPr="00CD0327">
        <w:rPr>
          <w:rFonts w:ascii="Trebuchet MS" w:hAnsi="Trebuchet MS"/>
          <w:b/>
          <w:bCs/>
          <w:sz w:val="22"/>
          <w:szCs w:val="22"/>
          <w:lang w:val="ro-RO"/>
        </w:rPr>
        <w:t>EMISIILE DE SUBSTANŢE AC</w:t>
      </w:r>
      <w:r w:rsidR="005C2C6A" w:rsidRPr="00CD0327">
        <w:rPr>
          <w:rFonts w:ascii="Trebuchet MS" w:hAnsi="Trebuchet MS"/>
          <w:b/>
          <w:bCs/>
          <w:sz w:val="22"/>
          <w:szCs w:val="22"/>
          <w:lang w:val="ro-RO"/>
        </w:rPr>
        <w:t>I</w:t>
      </w:r>
      <w:r w:rsidRPr="00CD0327">
        <w:rPr>
          <w:rFonts w:ascii="Trebuchet MS" w:hAnsi="Trebuchet MS"/>
          <w:b/>
          <w:bCs/>
          <w:sz w:val="22"/>
          <w:szCs w:val="22"/>
          <w:lang w:val="ro-RO"/>
        </w:rPr>
        <w:t>DIFIANTE</w:t>
      </w:r>
    </w:p>
    <w:p w:rsidR="00AE762B" w:rsidRPr="00CD0327" w:rsidRDefault="00AE762B" w:rsidP="009A7611">
      <w:pPr>
        <w:pStyle w:val="Default"/>
        <w:rPr>
          <w:rFonts w:ascii="Trebuchet MS" w:hAnsi="Trebuchet MS"/>
          <w:sz w:val="22"/>
          <w:szCs w:val="22"/>
          <w:lang w:val="it-IT"/>
        </w:rPr>
      </w:pPr>
      <w:r w:rsidRPr="00CD0327">
        <w:rPr>
          <w:rFonts w:ascii="Trebuchet MS" w:hAnsi="Trebuchet MS"/>
          <w:b/>
          <w:bCs/>
          <w:sz w:val="22"/>
          <w:szCs w:val="22"/>
          <w:lang w:val="it-IT"/>
        </w:rPr>
        <w:t xml:space="preserve">DEFINIŢIE </w:t>
      </w:r>
    </w:p>
    <w:p w:rsidR="00AE762B" w:rsidRPr="00CD0327" w:rsidRDefault="00AE762B" w:rsidP="009A7611">
      <w:pPr>
        <w:autoSpaceDE w:val="0"/>
        <w:autoSpaceDN w:val="0"/>
        <w:adjustRightInd w:val="0"/>
        <w:jc w:val="both"/>
        <w:rPr>
          <w:rFonts w:ascii="Trebuchet MS" w:hAnsi="Trebuchet MS" w:cs="Arial"/>
          <w:sz w:val="22"/>
          <w:szCs w:val="22"/>
          <w:lang w:val="it-IT"/>
        </w:rPr>
      </w:pPr>
      <w:r w:rsidRPr="00CD0327">
        <w:rPr>
          <w:rFonts w:ascii="Trebuchet MS" w:hAnsi="Trebuchet MS" w:cs="Arial"/>
          <w:sz w:val="22"/>
          <w:szCs w:val="22"/>
          <w:lang w:val="it-IT"/>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Pr="00CD0327" w:rsidRDefault="00AE762B" w:rsidP="009A7611">
      <w:pPr>
        <w:rPr>
          <w:rFonts w:ascii="Trebuchet MS" w:hAnsi="Trebuchet MS" w:cs="Arial"/>
          <w:sz w:val="22"/>
          <w:szCs w:val="22"/>
          <w:lang w:val="it-IT"/>
        </w:rPr>
      </w:pPr>
    </w:p>
    <w:p w:rsidR="00AE762B" w:rsidRPr="00CD0327" w:rsidRDefault="00AE762B" w:rsidP="009A7611">
      <w:pPr>
        <w:autoSpaceDE w:val="0"/>
        <w:autoSpaceDN w:val="0"/>
        <w:adjustRightInd w:val="0"/>
        <w:rPr>
          <w:rFonts w:ascii="Trebuchet MS" w:hAnsi="Trebuchet MS" w:cs="Arial"/>
          <w:color w:val="000000"/>
          <w:sz w:val="22"/>
          <w:szCs w:val="22"/>
          <w:lang w:val="it-IT"/>
        </w:rPr>
      </w:pPr>
    </w:p>
    <w:p w:rsidR="00AE762B" w:rsidRPr="00CD0327" w:rsidRDefault="00AE762B" w:rsidP="009A7611">
      <w:pPr>
        <w:autoSpaceDE w:val="0"/>
        <w:autoSpaceDN w:val="0"/>
        <w:adjustRightInd w:val="0"/>
        <w:rPr>
          <w:rFonts w:ascii="Trebuchet MS" w:hAnsi="Trebuchet MS" w:cs="Arial"/>
          <w:color w:val="000000"/>
          <w:sz w:val="22"/>
          <w:szCs w:val="22"/>
          <w:lang w:val="it-IT"/>
        </w:rPr>
      </w:pPr>
      <w:r w:rsidRPr="00CD0327">
        <w:rPr>
          <w:rFonts w:ascii="Trebuchet MS" w:hAnsi="Trebuchet MS" w:cs="Arial"/>
          <w:color w:val="000000"/>
          <w:sz w:val="22"/>
          <w:szCs w:val="22"/>
          <w:lang w:val="it-IT"/>
        </w:rPr>
        <w:t xml:space="preserve">Contribuţia sectoarelor de activitate la emisiile poluante cu efect de acidifiere </w:t>
      </w:r>
      <w:r w:rsidR="00313A32" w:rsidRPr="00CD0327">
        <w:rPr>
          <w:rFonts w:ascii="Trebuchet MS" w:hAnsi="Trebuchet MS" w:cs="Arial"/>
          <w:color w:val="000000"/>
          <w:sz w:val="22"/>
          <w:szCs w:val="22"/>
          <w:lang w:val="it-IT"/>
        </w:rPr>
        <w:t>(NOx, SO2, şi HN3),  în anul 202</w:t>
      </w:r>
      <w:r w:rsidR="009D3D95" w:rsidRPr="00CD0327">
        <w:rPr>
          <w:rFonts w:ascii="Trebuchet MS" w:hAnsi="Trebuchet MS" w:cs="Arial"/>
          <w:color w:val="000000"/>
          <w:sz w:val="22"/>
          <w:szCs w:val="22"/>
          <w:lang w:val="it-IT"/>
        </w:rPr>
        <w:t>3</w:t>
      </w:r>
      <w:r w:rsidRPr="00CD0327">
        <w:rPr>
          <w:rFonts w:ascii="Trebuchet MS" w:hAnsi="Trebuchet MS" w:cs="Arial"/>
          <w:color w:val="000000"/>
          <w:sz w:val="22"/>
          <w:szCs w:val="22"/>
          <w:lang w:val="it-IT"/>
        </w:rPr>
        <w:t xml:space="preserve"> este prezentată  în graficul următor:</w:t>
      </w:r>
    </w:p>
    <w:p w:rsidR="00AE762B" w:rsidRPr="00CD0327" w:rsidRDefault="00AE762B" w:rsidP="009A7611">
      <w:pPr>
        <w:autoSpaceDE w:val="0"/>
        <w:autoSpaceDN w:val="0"/>
        <w:adjustRightInd w:val="0"/>
        <w:rPr>
          <w:rFonts w:ascii="Trebuchet MS" w:hAnsi="Trebuchet MS" w:cs="Arial"/>
          <w:color w:val="000000"/>
          <w:sz w:val="22"/>
          <w:szCs w:val="22"/>
          <w:lang w:val="it-IT"/>
        </w:rPr>
      </w:pPr>
    </w:p>
    <w:p w:rsidR="00AE762B" w:rsidRPr="00CD0327" w:rsidRDefault="00AE762B" w:rsidP="009A7611">
      <w:pPr>
        <w:autoSpaceDE w:val="0"/>
        <w:autoSpaceDN w:val="0"/>
        <w:adjustRightInd w:val="0"/>
        <w:rPr>
          <w:rFonts w:ascii="Trebuchet MS" w:hAnsi="Trebuchet MS" w:cs="Arial"/>
          <w:color w:val="000000"/>
          <w:sz w:val="22"/>
          <w:szCs w:val="22"/>
          <w:lang w:val="pt-BR"/>
        </w:rPr>
      </w:pPr>
      <w:r w:rsidRPr="00CD0327">
        <w:rPr>
          <w:rFonts w:ascii="Trebuchet MS" w:hAnsi="Trebuchet MS" w:cs="Arial"/>
          <w:color w:val="000000"/>
          <w:sz w:val="22"/>
          <w:szCs w:val="22"/>
          <w:lang w:val="pt-BR"/>
        </w:rPr>
        <w:t xml:space="preserve">grafic 1.2.2.1 </w:t>
      </w:r>
      <w:r w:rsidRPr="00CD0327">
        <w:rPr>
          <w:rFonts w:ascii="Trebuchet MS" w:hAnsi="Trebuchet MS" w:cs="Arial"/>
          <w:sz w:val="22"/>
          <w:szCs w:val="22"/>
          <w:lang w:val="pt-BR"/>
        </w:rPr>
        <w:t>Contributia sectoarelor de activitate la emisiile de poluanti cu efect de acidifiere</w:t>
      </w:r>
    </w:p>
    <w:p w:rsidR="00AE762B" w:rsidRPr="00CD0327" w:rsidRDefault="00AE762B" w:rsidP="009A7611">
      <w:pPr>
        <w:autoSpaceDE w:val="0"/>
        <w:autoSpaceDN w:val="0"/>
        <w:adjustRightInd w:val="0"/>
        <w:rPr>
          <w:rFonts w:ascii="Trebuchet MS" w:hAnsi="Trebuchet MS" w:cs="Arial"/>
          <w:color w:val="000000"/>
          <w:sz w:val="22"/>
          <w:szCs w:val="22"/>
          <w:lang w:val="pt-BR"/>
        </w:rPr>
      </w:pPr>
    </w:p>
    <w:p w:rsidR="00AE762B" w:rsidRPr="00153601" w:rsidRDefault="000946BE" w:rsidP="009A7611">
      <w:pPr>
        <w:autoSpaceDE w:val="0"/>
        <w:autoSpaceDN w:val="0"/>
        <w:adjustRightInd w:val="0"/>
        <w:rPr>
          <w:rFonts w:ascii="Arial" w:hAnsi="Arial" w:cs="Arial"/>
          <w:color w:val="000000"/>
          <w:lang w:val="pt-BR"/>
        </w:rPr>
      </w:pPr>
      <w:bookmarkStart w:id="70" w:name="_MON_1566118763"/>
      <w:bookmarkStart w:id="71" w:name="_MON_1721805078"/>
      <w:bookmarkEnd w:id="70"/>
      <w:bookmarkEnd w:id="71"/>
      <w:r>
        <w:rPr>
          <w:rFonts w:ascii="Arial" w:hAnsi="Arial" w:cs="Arial"/>
          <w:noProof/>
          <w:color w:val="000000"/>
          <w:lang w:val="en-US"/>
        </w:rPr>
        <w:drawing>
          <wp:inline distT="0" distB="0" distL="0" distR="0" wp14:anchorId="6A9F7E10" wp14:editId="03B40D99">
            <wp:extent cx="6734175" cy="4457700"/>
            <wp:effectExtent l="0" t="0" r="0" b="0"/>
            <wp:docPr id="27"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20497" w:rsidRDefault="00C20497" w:rsidP="009A7611">
      <w:pPr>
        <w:pStyle w:val="Default"/>
        <w:rPr>
          <w:lang w:val="pt-BR"/>
        </w:rPr>
      </w:pPr>
    </w:p>
    <w:p w:rsidR="00C20497" w:rsidRDefault="00C20497" w:rsidP="009A7611">
      <w:pPr>
        <w:pStyle w:val="Default"/>
        <w:rPr>
          <w:lang w:val="pt-BR"/>
        </w:rPr>
      </w:pPr>
    </w:p>
    <w:p w:rsidR="00E51397" w:rsidRDefault="00E51397" w:rsidP="009A7611">
      <w:pPr>
        <w:pStyle w:val="Default"/>
        <w:rPr>
          <w:lang w:val="pt-BR"/>
        </w:rPr>
      </w:pPr>
    </w:p>
    <w:p w:rsidR="00E51397" w:rsidRDefault="00E51397" w:rsidP="009A7611">
      <w:pPr>
        <w:pStyle w:val="Default"/>
        <w:rPr>
          <w:lang w:val="pt-BR"/>
        </w:rPr>
      </w:pPr>
    </w:p>
    <w:p w:rsidR="00E51397" w:rsidRDefault="00E51397" w:rsidP="009A7611">
      <w:pPr>
        <w:pStyle w:val="Default"/>
        <w:rPr>
          <w:lang w:val="pt-BR"/>
        </w:rPr>
      </w:pPr>
    </w:p>
    <w:p w:rsidR="00CD0327" w:rsidRDefault="00CD0327" w:rsidP="009A7611">
      <w:pPr>
        <w:pStyle w:val="Default"/>
        <w:rPr>
          <w:lang w:val="pt-BR"/>
        </w:rPr>
      </w:pPr>
    </w:p>
    <w:p w:rsidR="00CD0327" w:rsidRDefault="00CD0327" w:rsidP="009A7611">
      <w:pPr>
        <w:pStyle w:val="Default"/>
        <w:rPr>
          <w:lang w:val="pt-BR"/>
        </w:rPr>
      </w:pPr>
    </w:p>
    <w:p w:rsidR="00AE762B" w:rsidRPr="00CD0327" w:rsidRDefault="00AE762B" w:rsidP="009A7611">
      <w:pPr>
        <w:pStyle w:val="Default"/>
        <w:rPr>
          <w:rFonts w:ascii="Trebuchet MS" w:hAnsi="Trebuchet MS"/>
          <w:sz w:val="22"/>
          <w:szCs w:val="22"/>
          <w:lang w:val="pt-BR"/>
        </w:rPr>
      </w:pPr>
      <w:r w:rsidRPr="00CD0327">
        <w:rPr>
          <w:rFonts w:ascii="Trebuchet MS" w:hAnsi="Trebuchet MS"/>
          <w:sz w:val="22"/>
          <w:szCs w:val="22"/>
          <w:lang w:val="pt-BR"/>
        </w:rPr>
        <w:t>grafic 1.2.2.2 Evoluţia emisiilor totale de poluanţi cu efect de acidifiere</w:t>
      </w:r>
    </w:p>
    <w:p w:rsidR="00AE762B" w:rsidRDefault="000946BE" w:rsidP="009A7611">
      <w:pPr>
        <w:pStyle w:val="Default"/>
        <w:rPr>
          <w:b/>
          <w:bCs/>
          <w:lang w:val="pt-BR"/>
        </w:rPr>
      </w:pPr>
      <w:bookmarkStart w:id="72" w:name="_MON_1566118978"/>
      <w:bookmarkEnd w:id="72"/>
      <w:r>
        <w:rPr>
          <w:noProof/>
        </w:rPr>
        <w:drawing>
          <wp:inline distT="0" distB="0" distL="0" distR="0" wp14:anchorId="792517F0" wp14:editId="1F143B9D">
            <wp:extent cx="4800600" cy="3790950"/>
            <wp:effectExtent l="0" t="0" r="0" b="0"/>
            <wp:docPr id="28" name="Objec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16DBF" w:rsidRDefault="00516DBF" w:rsidP="009A7611">
      <w:pPr>
        <w:pStyle w:val="Default"/>
        <w:rPr>
          <w:b/>
          <w:bCs/>
          <w:lang w:val="it-IT"/>
        </w:rPr>
      </w:pPr>
    </w:p>
    <w:p w:rsidR="00AE762B" w:rsidRPr="00CD0327" w:rsidRDefault="002F42E5" w:rsidP="009A7611">
      <w:pPr>
        <w:pStyle w:val="Default"/>
        <w:rPr>
          <w:rFonts w:ascii="Trebuchet MS" w:hAnsi="Trebuchet MS"/>
          <w:sz w:val="22"/>
          <w:szCs w:val="22"/>
          <w:lang w:val="it-IT"/>
        </w:rPr>
      </w:pPr>
      <w:r w:rsidRPr="00CD0327">
        <w:rPr>
          <w:rFonts w:ascii="Trebuchet MS" w:hAnsi="Trebuchet MS"/>
          <w:b/>
          <w:bCs/>
          <w:sz w:val="22"/>
          <w:szCs w:val="22"/>
          <w:lang w:val="it-IT"/>
        </w:rPr>
        <w:t>C</w:t>
      </w:r>
      <w:r w:rsidR="00AE762B" w:rsidRPr="00CD0327">
        <w:rPr>
          <w:rFonts w:ascii="Trebuchet MS" w:hAnsi="Trebuchet MS"/>
          <w:b/>
          <w:bCs/>
          <w:sz w:val="22"/>
          <w:szCs w:val="22"/>
          <w:lang w:val="it-IT"/>
        </w:rPr>
        <w:t>OD INDICATOR</w:t>
      </w:r>
      <w:r w:rsidR="00AE762B" w:rsidRPr="00CD0327">
        <w:rPr>
          <w:rFonts w:ascii="Trebuchet MS" w:hAnsi="Trebuchet MS"/>
          <w:sz w:val="22"/>
          <w:szCs w:val="22"/>
          <w:lang w:val="it-IT"/>
        </w:rPr>
        <w:t xml:space="preserve"> </w:t>
      </w:r>
    </w:p>
    <w:p w:rsidR="00AE762B" w:rsidRPr="00CD0327" w:rsidRDefault="00AE762B" w:rsidP="009A7611">
      <w:pPr>
        <w:pStyle w:val="Default"/>
        <w:rPr>
          <w:rFonts w:ascii="Trebuchet MS" w:hAnsi="Trebuchet MS"/>
          <w:sz w:val="22"/>
          <w:szCs w:val="22"/>
          <w:lang w:val="it-IT"/>
        </w:rPr>
      </w:pPr>
      <w:r w:rsidRPr="00CD0327">
        <w:rPr>
          <w:rFonts w:ascii="Trebuchet MS" w:hAnsi="Trebuchet MS"/>
          <w:sz w:val="22"/>
          <w:szCs w:val="22"/>
          <w:lang w:val="it-IT"/>
        </w:rPr>
        <w:t xml:space="preserve">Cod indicator România: </w:t>
      </w:r>
      <w:r w:rsidRPr="00CD0327">
        <w:rPr>
          <w:rFonts w:ascii="Trebuchet MS" w:hAnsi="Trebuchet MS"/>
          <w:b/>
          <w:bCs/>
          <w:sz w:val="22"/>
          <w:szCs w:val="22"/>
          <w:lang w:val="it-IT"/>
        </w:rPr>
        <w:t>RO 02</w:t>
      </w:r>
    </w:p>
    <w:p w:rsidR="00AE762B" w:rsidRPr="00CD0327" w:rsidRDefault="00AE762B" w:rsidP="009A7611">
      <w:pPr>
        <w:pStyle w:val="Default"/>
        <w:rPr>
          <w:rFonts w:ascii="Trebuchet MS" w:hAnsi="Trebuchet MS"/>
          <w:sz w:val="22"/>
          <w:szCs w:val="22"/>
          <w:lang w:val="it-IT"/>
        </w:rPr>
      </w:pPr>
      <w:r w:rsidRPr="00CD0327">
        <w:rPr>
          <w:rFonts w:ascii="Trebuchet MS" w:hAnsi="Trebuchet MS"/>
          <w:sz w:val="22"/>
          <w:szCs w:val="22"/>
          <w:lang w:val="it-IT"/>
        </w:rPr>
        <w:t xml:space="preserve">Cod indicator AEM: </w:t>
      </w:r>
      <w:r w:rsidRPr="00CD0327">
        <w:rPr>
          <w:rFonts w:ascii="Trebuchet MS" w:hAnsi="Trebuchet MS"/>
          <w:b/>
          <w:bCs/>
          <w:sz w:val="22"/>
          <w:szCs w:val="22"/>
          <w:lang w:val="it-IT"/>
        </w:rPr>
        <w:t xml:space="preserve">CSI 02 </w:t>
      </w:r>
    </w:p>
    <w:p w:rsidR="00AE762B" w:rsidRPr="00CD0327" w:rsidRDefault="00AE762B" w:rsidP="009A7611">
      <w:pPr>
        <w:pStyle w:val="Default"/>
        <w:rPr>
          <w:rFonts w:ascii="Trebuchet MS" w:hAnsi="Trebuchet MS"/>
          <w:sz w:val="22"/>
          <w:szCs w:val="22"/>
          <w:lang w:val="it-IT"/>
        </w:rPr>
      </w:pPr>
      <w:r w:rsidRPr="00CD0327">
        <w:rPr>
          <w:rFonts w:ascii="Trebuchet MS" w:hAnsi="Trebuchet MS"/>
          <w:b/>
          <w:bCs/>
          <w:sz w:val="22"/>
          <w:szCs w:val="22"/>
          <w:lang w:val="it-IT"/>
        </w:rPr>
        <w:t xml:space="preserve">DENUMIRE </w:t>
      </w:r>
    </w:p>
    <w:p w:rsidR="00AE762B" w:rsidRPr="00CD0327" w:rsidRDefault="00AE762B" w:rsidP="009A7611">
      <w:pPr>
        <w:pStyle w:val="Default"/>
        <w:rPr>
          <w:rFonts w:ascii="Trebuchet MS" w:hAnsi="Trebuchet MS"/>
          <w:b/>
          <w:bCs/>
          <w:sz w:val="22"/>
          <w:szCs w:val="22"/>
          <w:lang w:val="ro-RO"/>
        </w:rPr>
      </w:pPr>
      <w:r w:rsidRPr="00CD0327">
        <w:rPr>
          <w:rFonts w:ascii="Trebuchet MS" w:hAnsi="Trebuchet MS"/>
          <w:b/>
          <w:bCs/>
          <w:sz w:val="22"/>
          <w:szCs w:val="22"/>
          <w:lang w:val="ro-RO"/>
        </w:rPr>
        <w:t>EMISIILE DE PRECURSORI AI OZONULUI</w:t>
      </w:r>
    </w:p>
    <w:p w:rsidR="00AE762B" w:rsidRPr="00CD0327" w:rsidRDefault="00AE762B" w:rsidP="009A7611">
      <w:pPr>
        <w:pStyle w:val="Default"/>
        <w:rPr>
          <w:rFonts w:ascii="Trebuchet MS" w:hAnsi="Trebuchet MS"/>
          <w:sz w:val="22"/>
          <w:szCs w:val="22"/>
          <w:lang w:val="ro-RO"/>
        </w:rPr>
      </w:pPr>
      <w:r w:rsidRPr="00CD0327">
        <w:rPr>
          <w:rFonts w:ascii="Trebuchet MS" w:hAnsi="Trebuchet MS"/>
          <w:b/>
          <w:bCs/>
          <w:sz w:val="22"/>
          <w:szCs w:val="22"/>
          <w:lang w:val="ro-RO"/>
        </w:rPr>
        <w:t xml:space="preserve">DEFINIŢIE </w:t>
      </w:r>
    </w:p>
    <w:p w:rsidR="00AE762B" w:rsidRPr="00CD0327" w:rsidRDefault="00AE762B" w:rsidP="009A7611">
      <w:pPr>
        <w:rPr>
          <w:rFonts w:ascii="Trebuchet MS" w:hAnsi="Trebuchet MS" w:cs="Arial"/>
          <w:sz w:val="22"/>
          <w:szCs w:val="22"/>
          <w:lang w:val="ro-RO"/>
        </w:rPr>
      </w:pPr>
      <w:r w:rsidRPr="00CD0327">
        <w:rPr>
          <w:rFonts w:ascii="Trebuchet MS" w:hAnsi="Trebuchet MS" w:cs="Arial"/>
          <w:sz w:val="22"/>
          <w:szCs w:val="22"/>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D0327" w:rsidRDefault="00AE762B" w:rsidP="009A7611">
      <w:pPr>
        <w:autoSpaceDE w:val="0"/>
        <w:autoSpaceDN w:val="0"/>
        <w:adjustRightInd w:val="0"/>
        <w:rPr>
          <w:rFonts w:ascii="Trebuchet MS" w:hAnsi="Trebuchet MS" w:cs="Arial"/>
          <w:color w:val="000000"/>
          <w:sz w:val="22"/>
          <w:szCs w:val="22"/>
          <w:lang w:val="pt-BR"/>
        </w:rPr>
      </w:pPr>
      <w:r w:rsidRPr="00CD0327">
        <w:rPr>
          <w:rFonts w:ascii="Trebuchet MS" w:hAnsi="Trebuchet MS" w:cs="Arial"/>
          <w:color w:val="000000"/>
          <w:sz w:val="22"/>
          <w:szCs w:val="22"/>
          <w:lang w:val="pt-BR"/>
        </w:rPr>
        <w:t xml:space="preserve">grafic 1.2.2.3 </w:t>
      </w:r>
      <w:r w:rsidRPr="00CD0327">
        <w:rPr>
          <w:rFonts w:ascii="Trebuchet MS" w:hAnsi="Trebuchet MS" w:cs="Arial"/>
          <w:sz w:val="22"/>
          <w:szCs w:val="22"/>
          <w:lang w:val="pt-BR"/>
        </w:rPr>
        <w:t>Contributia sectoarelor de activitate la emisiile de poluanti precursori ai ozonului in anul 20</w:t>
      </w:r>
      <w:r w:rsidR="00295081" w:rsidRPr="00CD0327">
        <w:rPr>
          <w:rFonts w:ascii="Trebuchet MS" w:hAnsi="Trebuchet MS" w:cs="Arial"/>
          <w:sz w:val="22"/>
          <w:szCs w:val="22"/>
          <w:lang w:val="pt-BR"/>
        </w:rPr>
        <w:t>2</w:t>
      </w:r>
      <w:r w:rsidR="009847BB" w:rsidRPr="00CD0327">
        <w:rPr>
          <w:rFonts w:ascii="Trebuchet MS" w:hAnsi="Trebuchet MS" w:cs="Arial"/>
          <w:sz w:val="22"/>
          <w:szCs w:val="22"/>
          <w:lang w:val="pt-BR"/>
        </w:rPr>
        <w:t>3</w:t>
      </w:r>
    </w:p>
    <w:p w:rsidR="00AE762B" w:rsidRPr="00153601" w:rsidRDefault="000946BE" w:rsidP="009A7611">
      <w:pPr>
        <w:autoSpaceDE w:val="0"/>
        <w:autoSpaceDN w:val="0"/>
        <w:adjustRightInd w:val="0"/>
        <w:rPr>
          <w:rFonts w:ascii="Arial" w:hAnsi="Arial" w:cs="Arial"/>
          <w:color w:val="000000"/>
          <w:lang w:val="pt-BR"/>
        </w:rPr>
      </w:pPr>
      <w:bookmarkStart w:id="73" w:name="_MON_1566119426"/>
      <w:bookmarkStart w:id="74" w:name="_MON_1721806684"/>
      <w:bookmarkStart w:id="75" w:name="_MON_1566120378"/>
      <w:bookmarkEnd w:id="73"/>
      <w:bookmarkEnd w:id="74"/>
      <w:bookmarkEnd w:id="75"/>
      <w:r>
        <w:rPr>
          <w:rFonts w:ascii="Arial" w:hAnsi="Arial" w:cs="Arial"/>
          <w:noProof/>
          <w:color w:val="000000"/>
          <w:lang w:val="en-US"/>
        </w:rPr>
        <w:drawing>
          <wp:inline distT="0" distB="0" distL="0" distR="0" wp14:anchorId="1EF37B96" wp14:editId="7DD8F145">
            <wp:extent cx="5686425" cy="2876550"/>
            <wp:effectExtent l="0" t="0" r="0" b="0"/>
            <wp:docPr id="29" name="Objec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E762B" w:rsidRDefault="00AE762B" w:rsidP="009A7611">
      <w:pPr>
        <w:pStyle w:val="Default"/>
        <w:rPr>
          <w:lang w:val="pt-BR"/>
        </w:rPr>
      </w:pPr>
    </w:p>
    <w:p w:rsidR="00AE762B" w:rsidRPr="00E34909" w:rsidRDefault="00AE762B" w:rsidP="009A7611">
      <w:pPr>
        <w:autoSpaceDE w:val="0"/>
        <w:autoSpaceDN w:val="0"/>
        <w:adjustRightInd w:val="0"/>
        <w:rPr>
          <w:rFonts w:ascii="Trebuchet MS" w:hAnsi="Trebuchet MS" w:cs="Arial"/>
          <w:color w:val="000000"/>
          <w:sz w:val="22"/>
          <w:szCs w:val="22"/>
          <w:lang w:val="it-IT"/>
        </w:rPr>
      </w:pPr>
      <w:r w:rsidRPr="00E34909">
        <w:rPr>
          <w:rFonts w:ascii="Trebuchet MS" w:hAnsi="Trebuchet MS" w:cs="Arial"/>
          <w:color w:val="000000"/>
          <w:sz w:val="22"/>
          <w:szCs w:val="22"/>
          <w:lang w:val="it-IT"/>
        </w:rPr>
        <w:t xml:space="preserve">grafic 1.2.2.4 </w:t>
      </w:r>
      <w:r w:rsidRPr="00E34909">
        <w:rPr>
          <w:rFonts w:ascii="Trebuchet MS" w:hAnsi="Trebuchet MS" w:cs="Arial"/>
          <w:sz w:val="22"/>
          <w:szCs w:val="22"/>
          <w:lang w:val="it-IT"/>
        </w:rPr>
        <w:t>Contributia sectoarelor de activitate din industrie la emisiile de poluanti precursori ai ozonului din industrie, in anul 20</w:t>
      </w:r>
      <w:r w:rsidR="00295081" w:rsidRPr="00E34909">
        <w:rPr>
          <w:rFonts w:ascii="Trebuchet MS" w:hAnsi="Trebuchet MS" w:cs="Arial"/>
          <w:sz w:val="22"/>
          <w:szCs w:val="22"/>
          <w:lang w:val="it-IT"/>
        </w:rPr>
        <w:t>2</w:t>
      </w:r>
      <w:r w:rsidR="0068705F" w:rsidRPr="00E34909">
        <w:rPr>
          <w:rFonts w:ascii="Trebuchet MS" w:hAnsi="Trebuchet MS" w:cs="Arial"/>
          <w:sz w:val="22"/>
          <w:szCs w:val="22"/>
          <w:lang w:val="it-IT"/>
        </w:rPr>
        <w:t>3</w:t>
      </w:r>
    </w:p>
    <w:p w:rsidR="00AE762B" w:rsidRDefault="000946BE" w:rsidP="009A7611">
      <w:pPr>
        <w:pStyle w:val="Default"/>
        <w:rPr>
          <w:lang w:val="pt-BR"/>
        </w:rPr>
      </w:pPr>
      <w:bookmarkStart w:id="76" w:name="_MON_1566119979"/>
      <w:bookmarkStart w:id="77" w:name="_MON_1721807158"/>
      <w:bookmarkStart w:id="78" w:name="_MON_1566120532"/>
      <w:bookmarkStart w:id="79" w:name="_MON_1566121660"/>
      <w:bookmarkStart w:id="80" w:name="_MON_1566645796"/>
      <w:bookmarkStart w:id="81" w:name="_MON_1566645814"/>
      <w:bookmarkStart w:id="82" w:name="_MON_1566645837"/>
      <w:bookmarkEnd w:id="76"/>
      <w:bookmarkEnd w:id="77"/>
      <w:bookmarkEnd w:id="78"/>
      <w:bookmarkEnd w:id="79"/>
      <w:bookmarkEnd w:id="80"/>
      <w:bookmarkEnd w:id="81"/>
      <w:bookmarkEnd w:id="82"/>
      <w:r>
        <w:rPr>
          <w:noProof/>
        </w:rPr>
        <w:drawing>
          <wp:inline distT="0" distB="0" distL="0" distR="0" wp14:anchorId="6E5F0142" wp14:editId="4DC0265B">
            <wp:extent cx="6057900" cy="3571875"/>
            <wp:effectExtent l="0" t="0" r="0" b="0"/>
            <wp:docPr id="30" name="Objec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16DBF" w:rsidRDefault="00516DBF" w:rsidP="009A7611">
      <w:pPr>
        <w:pStyle w:val="Default"/>
        <w:rPr>
          <w:b/>
          <w:bCs/>
          <w:lang w:val="pt-BR"/>
        </w:rPr>
      </w:pPr>
    </w:p>
    <w:p w:rsidR="00516DBF" w:rsidRDefault="00516DBF" w:rsidP="009A7611">
      <w:pPr>
        <w:pStyle w:val="Default"/>
        <w:rPr>
          <w:b/>
          <w:bCs/>
          <w:lang w:val="pt-BR"/>
        </w:rPr>
      </w:pPr>
    </w:p>
    <w:p w:rsidR="00AE762B" w:rsidRPr="00E34909" w:rsidRDefault="00AE762B" w:rsidP="009A7611">
      <w:pPr>
        <w:pStyle w:val="Default"/>
        <w:rPr>
          <w:rFonts w:ascii="Trebuchet MS" w:hAnsi="Trebuchet MS"/>
          <w:sz w:val="22"/>
          <w:szCs w:val="22"/>
          <w:lang w:val="pt-BR"/>
        </w:rPr>
      </w:pPr>
      <w:r w:rsidRPr="00E34909">
        <w:rPr>
          <w:rFonts w:ascii="Trebuchet MS" w:hAnsi="Trebuchet MS"/>
          <w:b/>
          <w:bCs/>
          <w:sz w:val="22"/>
          <w:szCs w:val="22"/>
          <w:lang w:val="pt-BR"/>
        </w:rPr>
        <w:t>COD INDICATOR</w:t>
      </w:r>
      <w:r w:rsidRPr="00E34909">
        <w:rPr>
          <w:rFonts w:ascii="Trebuchet MS" w:hAnsi="Trebuchet MS"/>
          <w:sz w:val="22"/>
          <w:szCs w:val="22"/>
          <w:lang w:val="pt-BR"/>
        </w:rPr>
        <w:t xml:space="preserve"> </w:t>
      </w:r>
    </w:p>
    <w:p w:rsidR="00AE762B" w:rsidRPr="00E34909" w:rsidRDefault="00AE762B" w:rsidP="009A7611">
      <w:pPr>
        <w:pStyle w:val="Default"/>
        <w:rPr>
          <w:rFonts w:ascii="Trebuchet MS" w:hAnsi="Trebuchet MS"/>
          <w:sz w:val="22"/>
          <w:szCs w:val="22"/>
          <w:lang w:val="pt-BR"/>
        </w:rPr>
      </w:pPr>
      <w:r w:rsidRPr="00E34909">
        <w:rPr>
          <w:rFonts w:ascii="Trebuchet MS" w:hAnsi="Trebuchet MS"/>
          <w:sz w:val="22"/>
          <w:szCs w:val="22"/>
          <w:lang w:val="pt-BR"/>
        </w:rPr>
        <w:t xml:space="preserve">Cod indicator România: </w:t>
      </w:r>
      <w:r w:rsidRPr="00E34909">
        <w:rPr>
          <w:rFonts w:ascii="Trebuchet MS" w:hAnsi="Trebuchet MS"/>
          <w:b/>
          <w:bCs/>
          <w:sz w:val="22"/>
          <w:szCs w:val="22"/>
          <w:lang w:val="pt-BR"/>
        </w:rPr>
        <w:t>RO 03</w:t>
      </w:r>
    </w:p>
    <w:p w:rsidR="00AE762B" w:rsidRPr="00E34909" w:rsidRDefault="00AE762B" w:rsidP="009A7611">
      <w:pPr>
        <w:pStyle w:val="Default"/>
        <w:rPr>
          <w:rFonts w:ascii="Trebuchet MS" w:hAnsi="Trebuchet MS"/>
          <w:sz w:val="22"/>
          <w:szCs w:val="22"/>
          <w:lang w:val="pt-BR"/>
        </w:rPr>
      </w:pPr>
      <w:r w:rsidRPr="00E34909">
        <w:rPr>
          <w:rFonts w:ascii="Trebuchet MS" w:hAnsi="Trebuchet MS"/>
          <w:sz w:val="22"/>
          <w:szCs w:val="22"/>
          <w:lang w:val="pt-BR"/>
        </w:rPr>
        <w:t xml:space="preserve">Cod indicator AEM: </w:t>
      </w:r>
      <w:r w:rsidRPr="00E34909">
        <w:rPr>
          <w:rFonts w:ascii="Trebuchet MS" w:hAnsi="Trebuchet MS"/>
          <w:b/>
          <w:bCs/>
          <w:sz w:val="22"/>
          <w:szCs w:val="22"/>
          <w:lang w:val="pt-BR"/>
        </w:rPr>
        <w:t xml:space="preserve">CSI 03 </w:t>
      </w:r>
    </w:p>
    <w:p w:rsidR="00AE762B" w:rsidRPr="00E34909" w:rsidRDefault="00AE762B" w:rsidP="009A7611">
      <w:pPr>
        <w:pStyle w:val="Default"/>
        <w:rPr>
          <w:rFonts w:ascii="Trebuchet MS" w:hAnsi="Trebuchet MS"/>
          <w:sz w:val="22"/>
          <w:szCs w:val="22"/>
          <w:lang w:val="pt-BR"/>
        </w:rPr>
      </w:pPr>
      <w:r w:rsidRPr="00E34909">
        <w:rPr>
          <w:rFonts w:ascii="Trebuchet MS" w:hAnsi="Trebuchet MS"/>
          <w:b/>
          <w:bCs/>
          <w:sz w:val="22"/>
          <w:szCs w:val="22"/>
          <w:lang w:val="pt-BR"/>
        </w:rPr>
        <w:t xml:space="preserve">DENUMIRE </w:t>
      </w:r>
    </w:p>
    <w:p w:rsidR="00AE762B" w:rsidRPr="00E34909" w:rsidRDefault="00AE762B" w:rsidP="009A7611">
      <w:pPr>
        <w:pStyle w:val="Default"/>
        <w:rPr>
          <w:rFonts w:ascii="Trebuchet MS" w:hAnsi="Trebuchet MS"/>
          <w:b/>
          <w:bCs/>
          <w:sz w:val="22"/>
          <w:szCs w:val="22"/>
          <w:lang w:val="ro-RO"/>
        </w:rPr>
      </w:pPr>
      <w:r w:rsidRPr="00E34909">
        <w:rPr>
          <w:rFonts w:ascii="Trebuchet MS" w:hAnsi="Trebuchet MS"/>
          <w:b/>
          <w:bCs/>
          <w:sz w:val="22"/>
          <w:szCs w:val="22"/>
          <w:lang w:val="ro-RO"/>
        </w:rPr>
        <w:t>EMISII DE PARTICULE PRIMARE SI PRECURSORI SECUNDARI DE PARTICULE</w:t>
      </w:r>
    </w:p>
    <w:p w:rsidR="00AE762B" w:rsidRPr="00E34909" w:rsidRDefault="00AE762B" w:rsidP="009A7611">
      <w:pPr>
        <w:pStyle w:val="Default"/>
        <w:rPr>
          <w:rFonts w:ascii="Trebuchet MS" w:hAnsi="Trebuchet MS"/>
          <w:sz w:val="22"/>
          <w:szCs w:val="22"/>
          <w:lang w:val="ro-RO"/>
        </w:rPr>
      </w:pPr>
      <w:r w:rsidRPr="00E34909">
        <w:rPr>
          <w:rFonts w:ascii="Trebuchet MS" w:hAnsi="Trebuchet MS"/>
          <w:b/>
          <w:bCs/>
          <w:sz w:val="22"/>
          <w:szCs w:val="22"/>
          <w:lang w:val="ro-RO"/>
        </w:rPr>
        <w:t xml:space="preserve">DEFINIŢIE </w:t>
      </w:r>
    </w:p>
    <w:p w:rsidR="00AE762B" w:rsidRPr="00E34909" w:rsidRDefault="00AE762B" w:rsidP="009A7611">
      <w:pPr>
        <w:autoSpaceDE w:val="0"/>
        <w:autoSpaceDN w:val="0"/>
        <w:adjustRightInd w:val="0"/>
        <w:rPr>
          <w:rFonts w:ascii="Trebuchet MS" w:hAnsi="Trebuchet MS" w:cs="Arial"/>
          <w:color w:val="000000"/>
          <w:sz w:val="22"/>
          <w:szCs w:val="22"/>
          <w:lang w:val="ro-RO"/>
        </w:rPr>
      </w:pPr>
      <w:r w:rsidRPr="00E34909">
        <w:rPr>
          <w:rFonts w:ascii="Trebuchet MS" w:hAnsi="Trebuchet MS" w:cs="Arial"/>
          <w:sz w:val="22"/>
          <w:szCs w:val="22"/>
          <w:lang w:val="ro-RO"/>
        </w:rPr>
        <w:t xml:space="preserve">Acest indicator prezintă tendinţele emisiilor de particule primare cu diametrul mai mic de 2,5 </w:t>
      </w:r>
      <w:r w:rsidRPr="00E34909">
        <w:rPr>
          <w:rFonts w:ascii="Trebuchet MS" w:hAnsi="Trebuchet MS" w:cs="Arial"/>
          <w:sz w:val="22"/>
          <w:szCs w:val="22"/>
        </w:rPr>
        <w:t>μ</w:t>
      </w:r>
      <w:r w:rsidRPr="00E34909">
        <w:rPr>
          <w:rFonts w:ascii="Trebuchet MS" w:hAnsi="Trebuchet MS" w:cs="Arial"/>
          <w:sz w:val="22"/>
          <w:szCs w:val="22"/>
          <w:lang w:val="ro-RO"/>
        </w:rPr>
        <w:t xml:space="preserve">m (PM2,5) şi respectiv 10 </w:t>
      </w:r>
      <w:r w:rsidRPr="00E34909">
        <w:rPr>
          <w:rFonts w:ascii="Trebuchet MS" w:hAnsi="Trebuchet MS" w:cs="Arial"/>
          <w:sz w:val="22"/>
          <w:szCs w:val="22"/>
        </w:rPr>
        <w:t>μ</w:t>
      </w:r>
      <w:r w:rsidRPr="00E34909">
        <w:rPr>
          <w:rFonts w:ascii="Trebuchet MS" w:hAnsi="Trebuchet MS" w:cs="Arial"/>
          <w:sz w:val="22"/>
          <w:szCs w:val="22"/>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E34909" w:rsidRDefault="00AE762B" w:rsidP="009A7611">
      <w:pPr>
        <w:autoSpaceDE w:val="0"/>
        <w:autoSpaceDN w:val="0"/>
        <w:adjustRightInd w:val="0"/>
        <w:rPr>
          <w:rFonts w:ascii="Trebuchet MS" w:hAnsi="Trebuchet MS" w:cs="Arial"/>
          <w:color w:val="000000"/>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5F6A32" w:rsidRDefault="005F6A32" w:rsidP="009A7611">
      <w:pPr>
        <w:pStyle w:val="Default"/>
        <w:rPr>
          <w:rFonts w:ascii="Trebuchet MS" w:hAnsi="Trebuchet MS"/>
          <w:sz w:val="22"/>
          <w:szCs w:val="22"/>
          <w:lang w:val="ro-RO"/>
        </w:rPr>
      </w:pPr>
    </w:p>
    <w:p w:rsidR="00AE762B" w:rsidRPr="00E34909" w:rsidRDefault="00AE762B" w:rsidP="009A7611">
      <w:pPr>
        <w:pStyle w:val="Default"/>
        <w:rPr>
          <w:rFonts w:ascii="Trebuchet MS" w:hAnsi="Trebuchet MS"/>
          <w:sz w:val="22"/>
          <w:szCs w:val="22"/>
          <w:lang w:val="ro-RO"/>
        </w:rPr>
      </w:pPr>
      <w:r w:rsidRPr="00E34909">
        <w:rPr>
          <w:rFonts w:ascii="Trebuchet MS" w:hAnsi="Trebuchet MS"/>
          <w:sz w:val="22"/>
          <w:szCs w:val="22"/>
          <w:lang w:val="ro-RO"/>
        </w:rPr>
        <w:t xml:space="preserve">grafic 1.2.2.5  Contribuţia sectoarelor de activitate, la emisiile de particule primare în suspensie PM2,5 şi PM10, </w:t>
      </w:r>
      <w:r w:rsidR="00004321" w:rsidRPr="00E34909">
        <w:rPr>
          <w:rFonts w:ascii="Trebuchet MS" w:hAnsi="Trebuchet MS"/>
          <w:sz w:val="22"/>
          <w:szCs w:val="22"/>
          <w:lang w:val="ro-RO"/>
        </w:rPr>
        <w:t>in anul 202</w:t>
      </w:r>
      <w:r w:rsidR="00BC41D9" w:rsidRPr="00E34909">
        <w:rPr>
          <w:rFonts w:ascii="Trebuchet MS" w:hAnsi="Trebuchet MS"/>
          <w:sz w:val="22"/>
          <w:szCs w:val="22"/>
          <w:lang w:val="ro-RO"/>
        </w:rPr>
        <w:t>3</w:t>
      </w:r>
    </w:p>
    <w:p w:rsidR="00AE762B" w:rsidRPr="006B381B" w:rsidRDefault="000946BE" w:rsidP="009A7611">
      <w:pPr>
        <w:rPr>
          <w:rFonts w:ascii="Arial" w:hAnsi="Arial" w:cs="Arial"/>
          <w:lang w:val="ro-RO"/>
        </w:rPr>
      </w:pPr>
      <w:bookmarkStart w:id="83" w:name="_MON_1721808978"/>
      <w:bookmarkStart w:id="84" w:name="_MON_1721808983"/>
      <w:bookmarkStart w:id="85" w:name="_MON_1566120784"/>
      <w:bookmarkEnd w:id="83"/>
      <w:bookmarkEnd w:id="84"/>
      <w:bookmarkEnd w:id="85"/>
      <w:r>
        <w:rPr>
          <w:rFonts w:ascii="Arial" w:hAnsi="Arial" w:cs="Arial"/>
          <w:noProof/>
          <w:color w:val="000000"/>
          <w:lang w:val="en-US"/>
        </w:rPr>
        <w:drawing>
          <wp:inline distT="0" distB="0" distL="0" distR="0" wp14:anchorId="6B1C5EE3" wp14:editId="3A711038">
            <wp:extent cx="5838825" cy="4238625"/>
            <wp:effectExtent l="0" t="0" r="0" b="0"/>
            <wp:docPr id="31" name="Objec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E762B" w:rsidRPr="006A0A76" w:rsidRDefault="00AE762B" w:rsidP="00BE15B5">
      <w:pPr>
        <w:autoSpaceDE w:val="0"/>
        <w:autoSpaceDN w:val="0"/>
        <w:adjustRightInd w:val="0"/>
        <w:rPr>
          <w:lang w:val="ro-RO"/>
        </w:rPr>
      </w:pPr>
      <w:r w:rsidRPr="005F6A32">
        <w:rPr>
          <w:rFonts w:ascii="Trebuchet MS" w:hAnsi="Trebuchet MS" w:cs="Arial"/>
          <w:color w:val="000000"/>
          <w:sz w:val="22"/>
          <w:szCs w:val="22"/>
          <w:lang w:val="ro-RO"/>
        </w:rPr>
        <w:t xml:space="preserve">grafic 1.2.2.6 </w:t>
      </w:r>
      <w:r w:rsidRPr="005F6A32">
        <w:rPr>
          <w:rFonts w:ascii="Trebuchet MS" w:hAnsi="Trebuchet MS" w:cs="Arial"/>
          <w:sz w:val="22"/>
          <w:szCs w:val="22"/>
          <w:lang w:val="ro-RO"/>
        </w:rPr>
        <w:t>Contributia sectoarelor de activitate din industrie la emisiile particule provenite din industrie in anul 20</w:t>
      </w:r>
      <w:r w:rsidR="00DF4350" w:rsidRPr="005F6A32">
        <w:rPr>
          <w:rFonts w:ascii="Trebuchet MS" w:hAnsi="Trebuchet MS" w:cs="Arial"/>
          <w:sz w:val="22"/>
          <w:szCs w:val="22"/>
          <w:lang w:val="ro-RO"/>
        </w:rPr>
        <w:t>2</w:t>
      </w:r>
      <w:bookmarkStart w:id="86" w:name="_MON_1566646014"/>
      <w:bookmarkStart w:id="87" w:name="_MON_1566646028"/>
      <w:bookmarkStart w:id="88" w:name="_MON_1721809173"/>
      <w:bookmarkStart w:id="89" w:name="_MON_1566646077"/>
      <w:bookmarkStart w:id="90" w:name="_MON_1566646119"/>
      <w:bookmarkStart w:id="91" w:name="_MON_1566646217"/>
      <w:bookmarkStart w:id="92" w:name="_MON_1566121068"/>
      <w:bookmarkStart w:id="93" w:name="_MON_1566121834"/>
      <w:bookmarkEnd w:id="86"/>
      <w:bookmarkEnd w:id="87"/>
      <w:bookmarkEnd w:id="88"/>
      <w:bookmarkEnd w:id="89"/>
      <w:bookmarkEnd w:id="90"/>
      <w:bookmarkEnd w:id="91"/>
      <w:bookmarkEnd w:id="92"/>
      <w:bookmarkEnd w:id="93"/>
      <w:r w:rsidR="00F51159" w:rsidRPr="005F6A32">
        <w:rPr>
          <w:rFonts w:ascii="Trebuchet MS" w:hAnsi="Trebuchet MS" w:cs="Arial"/>
          <w:sz w:val="22"/>
          <w:szCs w:val="22"/>
          <w:lang w:val="ro-RO"/>
        </w:rPr>
        <w:t>3</w:t>
      </w:r>
      <w:r w:rsidR="000946BE">
        <w:rPr>
          <w:noProof/>
          <w:lang w:val="en-US"/>
        </w:rPr>
        <w:drawing>
          <wp:inline distT="0" distB="0" distL="0" distR="0" wp14:anchorId="15D8558A" wp14:editId="27564DED">
            <wp:extent cx="5800725" cy="3486150"/>
            <wp:effectExtent l="0" t="0" r="0" b="0"/>
            <wp:docPr id="32" name="Objec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52DFD" w:rsidRDefault="00852DFD" w:rsidP="009A7611">
      <w:pPr>
        <w:pStyle w:val="Default"/>
        <w:rPr>
          <w:b/>
          <w:bCs/>
          <w:lang w:val="ro-RO"/>
        </w:rPr>
      </w:pPr>
    </w:p>
    <w:p w:rsidR="005F6A32" w:rsidRDefault="005F6A32" w:rsidP="009A7611">
      <w:pPr>
        <w:pStyle w:val="Default"/>
        <w:rPr>
          <w:rFonts w:ascii="Trebuchet MS" w:hAnsi="Trebuchet MS"/>
          <w:b/>
          <w:bCs/>
          <w:lang w:val="ro-RO"/>
        </w:rPr>
      </w:pPr>
    </w:p>
    <w:p w:rsidR="005F6A32" w:rsidRDefault="005F6A32" w:rsidP="009A7611">
      <w:pPr>
        <w:pStyle w:val="Default"/>
        <w:rPr>
          <w:rFonts w:ascii="Trebuchet MS" w:hAnsi="Trebuchet MS"/>
          <w:b/>
          <w:bCs/>
          <w:lang w:val="ro-RO"/>
        </w:rPr>
      </w:pPr>
    </w:p>
    <w:p w:rsidR="005F6A32" w:rsidRDefault="005F6A32" w:rsidP="009A7611">
      <w:pPr>
        <w:pStyle w:val="Default"/>
        <w:rPr>
          <w:rFonts w:ascii="Trebuchet MS" w:hAnsi="Trebuchet MS"/>
          <w:b/>
          <w:bCs/>
          <w:lang w:val="ro-RO"/>
        </w:rPr>
      </w:pPr>
    </w:p>
    <w:p w:rsidR="005F6A32" w:rsidRDefault="005F6A32" w:rsidP="009A7611">
      <w:pPr>
        <w:pStyle w:val="Default"/>
        <w:rPr>
          <w:rFonts w:ascii="Trebuchet MS" w:hAnsi="Trebuchet MS"/>
          <w:b/>
          <w:bCs/>
          <w:lang w:val="ro-RO"/>
        </w:rPr>
      </w:pPr>
    </w:p>
    <w:p w:rsidR="005F6A32" w:rsidRDefault="005F6A32" w:rsidP="009A7611">
      <w:pPr>
        <w:pStyle w:val="Default"/>
        <w:rPr>
          <w:rFonts w:ascii="Trebuchet MS" w:hAnsi="Trebuchet MS"/>
          <w:b/>
          <w:bCs/>
          <w:lang w:val="ro-RO"/>
        </w:rPr>
      </w:pPr>
    </w:p>
    <w:p w:rsidR="005F6A32" w:rsidRDefault="005F6A32" w:rsidP="009A7611">
      <w:pPr>
        <w:pStyle w:val="Default"/>
        <w:rPr>
          <w:rFonts w:ascii="Trebuchet MS" w:hAnsi="Trebuchet MS"/>
          <w:b/>
          <w:bCs/>
          <w:lang w:val="ro-RO"/>
        </w:rPr>
      </w:pP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COD INDICATOR</w:t>
      </w:r>
      <w:r w:rsidRPr="005F6A32">
        <w:rPr>
          <w:rFonts w:ascii="Trebuchet MS" w:hAnsi="Trebuchet MS"/>
          <w:sz w:val="22"/>
          <w:szCs w:val="22"/>
          <w:lang w:val="ro-RO"/>
        </w:rPr>
        <w:t xml:space="preserve"> </w:t>
      </w: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Cod indicator România: </w:t>
      </w:r>
      <w:r w:rsidRPr="005F6A32">
        <w:rPr>
          <w:rFonts w:ascii="Trebuchet MS" w:hAnsi="Trebuchet MS"/>
          <w:b/>
          <w:bCs/>
          <w:sz w:val="22"/>
          <w:szCs w:val="22"/>
          <w:lang w:val="ro-RO"/>
        </w:rPr>
        <w:t>RO 38</w:t>
      </w: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Cod indicator AEM: </w:t>
      </w:r>
      <w:r w:rsidRPr="005F6A32">
        <w:rPr>
          <w:rFonts w:ascii="Trebuchet MS" w:hAnsi="Trebuchet MS"/>
          <w:b/>
          <w:sz w:val="22"/>
          <w:szCs w:val="22"/>
          <w:lang w:val="ro-RO"/>
        </w:rPr>
        <w:t>APE</w:t>
      </w:r>
      <w:r w:rsidRPr="005F6A32">
        <w:rPr>
          <w:rFonts w:ascii="Trebuchet MS" w:hAnsi="Trebuchet MS"/>
          <w:b/>
          <w:bCs/>
          <w:sz w:val="22"/>
          <w:szCs w:val="22"/>
          <w:lang w:val="ro-RO"/>
        </w:rPr>
        <w:t xml:space="preserve"> 05 </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METALE GRELE</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sz w:val="22"/>
          <w:szCs w:val="22"/>
          <w:lang w:val="ro-RO"/>
        </w:rPr>
      </w:pPr>
      <w:r w:rsidRPr="005F6A32">
        <w:rPr>
          <w:rFonts w:ascii="Trebuchet MS" w:hAnsi="Trebuchet MS" w:cs="Arial"/>
          <w:sz w:val="22"/>
          <w:szCs w:val="22"/>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grafic 1.2.2.7 Contribuţia sectoarelor de activitate , la emisiile metale grele </w:t>
      </w:r>
      <w:r w:rsidR="00A10832" w:rsidRPr="005F6A32">
        <w:rPr>
          <w:rFonts w:ascii="Trebuchet MS" w:hAnsi="Trebuchet MS"/>
          <w:sz w:val="22"/>
          <w:szCs w:val="22"/>
          <w:lang w:val="ro-RO"/>
        </w:rPr>
        <w:t>in anul 202</w:t>
      </w:r>
      <w:r w:rsidR="00AA4B59" w:rsidRPr="005F6A32">
        <w:rPr>
          <w:rFonts w:ascii="Trebuchet MS" w:hAnsi="Trebuchet MS"/>
          <w:sz w:val="22"/>
          <w:szCs w:val="22"/>
          <w:lang w:val="ro-RO"/>
        </w:rPr>
        <w:t>3</w:t>
      </w:r>
      <w:r w:rsidRPr="005F6A32">
        <w:rPr>
          <w:rFonts w:ascii="Trebuchet MS" w:hAnsi="Trebuchet MS"/>
          <w:sz w:val="22"/>
          <w:szCs w:val="22"/>
          <w:lang w:val="ro-RO"/>
        </w:rPr>
        <w:t xml:space="preserve"> </w:t>
      </w:r>
    </w:p>
    <w:p w:rsidR="00AE762B" w:rsidRDefault="000946BE" w:rsidP="009A7611">
      <w:pPr>
        <w:rPr>
          <w:rFonts w:ascii="Arial" w:hAnsi="Arial" w:cs="Arial"/>
          <w:lang w:val="pt-BR"/>
        </w:rPr>
      </w:pPr>
      <w:bookmarkStart w:id="94" w:name="_MON_1566646248"/>
      <w:bookmarkStart w:id="95" w:name="_MON_1566368059"/>
      <w:bookmarkEnd w:id="94"/>
      <w:bookmarkEnd w:id="95"/>
      <w:r>
        <w:rPr>
          <w:rFonts w:ascii="Arial" w:hAnsi="Arial" w:cs="Arial"/>
          <w:noProof/>
          <w:color w:val="000000"/>
          <w:lang w:val="en-US"/>
        </w:rPr>
        <w:drawing>
          <wp:inline distT="0" distB="0" distL="0" distR="0" wp14:anchorId="0457965C" wp14:editId="2F2FE864">
            <wp:extent cx="5562600" cy="3333750"/>
            <wp:effectExtent l="0" t="0" r="0" b="0"/>
            <wp:docPr id="33" name="Objec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E762B" w:rsidRDefault="00AE762B" w:rsidP="009A7611">
      <w:pPr>
        <w:tabs>
          <w:tab w:val="left" w:pos="1350"/>
        </w:tabs>
        <w:rPr>
          <w:rFonts w:ascii="Arial" w:hAnsi="Arial" w:cs="Arial"/>
          <w:lang w:val="pt-BR"/>
        </w:rPr>
      </w:pPr>
    </w:p>
    <w:p w:rsidR="00AE762B" w:rsidRPr="005F6A32" w:rsidRDefault="00AE762B" w:rsidP="009A7611">
      <w:pPr>
        <w:autoSpaceDE w:val="0"/>
        <w:autoSpaceDN w:val="0"/>
        <w:adjustRightInd w:val="0"/>
        <w:rPr>
          <w:rFonts w:ascii="Trebuchet MS" w:hAnsi="Trebuchet MS" w:cs="Arial"/>
          <w:color w:val="000000"/>
          <w:sz w:val="22"/>
          <w:szCs w:val="22"/>
          <w:lang w:val="ro-RO"/>
        </w:rPr>
      </w:pPr>
      <w:r w:rsidRPr="005F6A32">
        <w:rPr>
          <w:rFonts w:ascii="Trebuchet MS" w:hAnsi="Trebuchet MS" w:cs="Arial"/>
          <w:color w:val="000000"/>
          <w:sz w:val="22"/>
          <w:szCs w:val="22"/>
          <w:lang w:val="ro-RO"/>
        </w:rPr>
        <w:t xml:space="preserve">grafic 1.2.2.8 </w:t>
      </w:r>
      <w:r w:rsidRPr="005F6A32">
        <w:rPr>
          <w:rFonts w:ascii="Trebuchet MS" w:hAnsi="Trebuchet MS" w:cs="Arial"/>
          <w:sz w:val="22"/>
          <w:szCs w:val="22"/>
          <w:lang w:val="ro-RO"/>
        </w:rPr>
        <w:t>Contributia sectoarelor de activitate din industrie la emisiile de metale grele provenite din industrie in anul 20</w:t>
      </w:r>
      <w:r w:rsidR="00A73104" w:rsidRPr="005F6A32">
        <w:rPr>
          <w:rFonts w:ascii="Trebuchet MS" w:hAnsi="Trebuchet MS" w:cs="Arial"/>
          <w:sz w:val="22"/>
          <w:szCs w:val="22"/>
          <w:lang w:val="ro-RO"/>
        </w:rPr>
        <w:t>2</w:t>
      </w:r>
      <w:r w:rsidR="00980AA4" w:rsidRPr="005F6A32">
        <w:rPr>
          <w:rFonts w:ascii="Trebuchet MS" w:hAnsi="Trebuchet MS" w:cs="Arial"/>
          <w:sz w:val="22"/>
          <w:szCs w:val="22"/>
          <w:lang w:val="ro-RO"/>
        </w:rPr>
        <w:t>3</w:t>
      </w:r>
    </w:p>
    <w:p w:rsidR="00AE762B" w:rsidRPr="006A0A76" w:rsidRDefault="000946BE" w:rsidP="009A7611">
      <w:pPr>
        <w:pStyle w:val="Default"/>
        <w:rPr>
          <w:lang w:val="ro-RO"/>
        </w:rPr>
      </w:pPr>
      <w:r>
        <w:rPr>
          <w:noProof/>
        </w:rPr>
        <w:drawing>
          <wp:inline distT="0" distB="0" distL="0" distR="0" wp14:anchorId="277DB744" wp14:editId="1CEC7CC7">
            <wp:extent cx="5810250" cy="3105150"/>
            <wp:effectExtent l="0" t="0" r="0" b="0"/>
            <wp:docPr id="34" name="Objec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F6A32" w:rsidRDefault="005F6A32" w:rsidP="009A7611">
      <w:pPr>
        <w:pStyle w:val="Default"/>
        <w:rPr>
          <w:rFonts w:ascii="Trebuchet MS" w:hAnsi="Trebuchet MS"/>
          <w:b/>
          <w:bCs/>
          <w:lang w:val="pt-BR"/>
        </w:rPr>
      </w:pPr>
    </w:p>
    <w:p w:rsidR="005F6A32" w:rsidRDefault="005F6A32" w:rsidP="009A7611">
      <w:pPr>
        <w:pStyle w:val="Default"/>
        <w:rPr>
          <w:rFonts w:ascii="Trebuchet MS" w:hAnsi="Trebuchet MS"/>
          <w:b/>
          <w:bCs/>
          <w:lang w:val="pt-BR"/>
        </w:rPr>
      </w:pPr>
    </w:p>
    <w:p w:rsidR="005F6A32" w:rsidRDefault="005F6A32" w:rsidP="009A7611">
      <w:pPr>
        <w:pStyle w:val="Default"/>
        <w:rPr>
          <w:rFonts w:ascii="Trebuchet MS" w:hAnsi="Trebuchet MS"/>
          <w:b/>
          <w:bCs/>
          <w:lang w:val="pt-BR"/>
        </w:rPr>
      </w:pPr>
    </w:p>
    <w:p w:rsidR="005F6A32" w:rsidRDefault="005F6A32" w:rsidP="009A7611">
      <w:pPr>
        <w:pStyle w:val="Default"/>
        <w:rPr>
          <w:rFonts w:ascii="Trebuchet MS" w:hAnsi="Trebuchet MS"/>
          <w:b/>
          <w:bCs/>
          <w:lang w:val="pt-BR"/>
        </w:rPr>
      </w:pPr>
    </w:p>
    <w:p w:rsidR="005F6A32" w:rsidRDefault="005F6A32" w:rsidP="009A7611">
      <w:pPr>
        <w:pStyle w:val="Default"/>
        <w:rPr>
          <w:rFonts w:ascii="Trebuchet MS" w:hAnsi="Trebuchet MS"/>
          <w:b/>
          <w:bCs/>
          <w:lang w:val="pt-BR"/>
        </w:rPr>
      </w:pPr>
    </w:p>
    <w:p w:rsidR="00AE762B" w:rsidRPr="005F6A32" w:rsidRDefault="00AE762B" w:rsidP="009A7611">
      <w:pPr>
        <w:pStyle w:val="Default"/>
        <w:rPr>
          <w:rFonts w:ascii="Trebuchet MS" w:hAnsi="Trebuchet MS"/>
          <w:sz w:val="22"/>
          <w:szCs w:val="22"/>
          <w:lang w:val="pt-BR"/>
        </w:rPr>
      </w:pPr>
      <w:r w:rsidRPr="005F6A32">
        <w:rPr>
          <w:rFonts w:ascii="Trebuchet MS" w:hAnsi="Trebuchet MS"/>
          <w:b/>
          <w:bCs/>
          <w:sz w:val="22"/>
          <w:szCs w:val="22"/>
          <w:lang w:val="pt-BR"/>
        </w:rPr>
        <w:t>COD INDICATOR</w:t>
      </w:r>
      <w:r w:rsidRPr="005F6A32">
        <w:rPr>
          <w:rFonts w:ascii="Trebuchet MS" w:hAnsi="Trebuchet MS"/>
          <w:sz w:val="22"/>
          <w:szCs w:val="22"/>
          <w:lang w:val="pt-BR"/>
        </w:rPr>
        <w:t xml:space="preserve"> </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România: </w:t>
      </w:r>
      <w:r w:rsidRPr="005F6A32">
        <w:rPr>
          <w:rFonts w:ascii="Trebuchet MS" w:hAnsi="Trebuchet MS"/>
          <w:b/>
          <w:bCs/>
          <w:sz w:val="22"/>
          <w:szCs w:val="22"/>
          <w:lang w:val="pt-BR"/>
        </w:rPr>
        <w:t>RO 39</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AEM: </w:t>
      </w:r>
      <w:r w:rsidRPr="005F6A32">
        <w:rPr>
          <w:rFonts w:ascii="Trebuchet MS" w:hAnsi="Trebuchet MS"/>
          <w:b/>
          <w:sz w:val="22"/>
          <w:szCs w:val="22"/>
          <w:lang w:val="pt-BR"/>
        </w:rPr>
        <w:t>APE</w:t>
      </w:r>
      <w:r w:rsidRPr="005F6A32">
        <w:rPr>
          <w:rFonts w:ascii="Trebuchet MS" w:hAnsi="Trebuchet MS"/>
          <w:b/>
          <w:bCs/>
          <w:sz w:val="22"/>
          <w:szCs w:val="22"/>
          <w:lang w:val="pt-BR"/>
        </w:rPr>
        <w:t xml:space="preserve"> 06 </w:t>
      </w:r>
    </w:p>
    <w:p w:rsidR="00AE762B" w:rsidRPr="005F6A32" w:rsidRDefault="00AE762B" w:rsidP="009A7611">
      <w:pPr>
        <w:pStyle w:val="Default"/>
        <w:rPr>
          <w:rFonts w:ascii="Trebuchet MS" w:hAnsi="Trebuchet MS"/>
          <w:sz w:val="22"/>
          <w:szCs w:val="22"/>
          <w:lang w:val="pt-BR"/>
        </w:rPr>
      </w:pPr>
      <w:r w:rsidRPr="005F6A32">
        <w:rPr>
          <w:rFonts w:ascii="Trebuchet MS" w:hAnsi="Trebuchet MS"/>
          <w:b/>
          <w:bCs/>
          <w:sz w:val="22"/>
          <w:szCs w:val="22"/>
          <w:lang w:val="pt-BR"/>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POLUANTI ORGANICI PERSISTENTI</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color w:val="000000"/>
          <w:sz w:val="22"/>
          <w:szCs w:val="22"/>
          <w:lang w:val="ro-RO"/>
        </w:rPr>
      </w:pPr>
      <w:r w:rsidRPr="005F6A32">
        <w:rPr>
          <w:rFonts w:ascii="Trebuchet MS" w:hAnsi="Trebuchet MS" w:cs="Arial"/>
          <w:sz w:val="22"/>
          <w:szCs w:val="22"/>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5F6A32" w:rsidRDefault="00AE762B" w:rsidP="005F6A32">
      <w:pPr>
        <w:pStyle w:val="Default"/>
        <w:rPr>
          <w:rFonts w:ascii="Trebuchet MS" w:hAnsi="Trebuchet MS"/>
          <w:sz w:val="22"/>
          <w:szCs w:val="22"/>
          <w:lang w:val="ro-RO"/>
        </w:rPr>
      </w:pPr>
      <w:r w:rsidRPr="005F6A32">
        <w:rPr>
          <w:rFonts w:ascii="Trebuchet MS" w:hAnsi="Trebuchet MS"/>
          <w:sz w:val="22"/>
          <w:szCs w:val="22"/>
          <w:lang w:val="ro-RO"/>
        </w:rPr>
        <w:t>grafic 1.2.2.9 Contribuţia sectoarelor de activitate, la emisiile de poluanti organici persistenti</w:t>
      </w:r>
      <w:r w:rsidR="004436A6" w:rsidRPr="005F6A32">
        <w:rPr>
          <w:rFonts w:ascii="Trebuchet MS" w:hAnsi="Trebuchet MS"/>
          <w:sz w:val="22"/>
          <w:szCs w:val="22"/>
          <w:lang w:val="ro-RO"/>
        </w:rPr>
        <w:t xml:space="preserve"> in anul 202</w:t>
      </w:r>
      <w:r w:rsidR="009111F0" w:rsidRPr="005F6A32">
        <w:rPr>
          <w:rFonts w:ascii="Trebuchet MS" w:hAnsi="Trebuchet MS"/>
          <w:sz w:val="22"/>
          <w:szCs w:val="22"/>
          <w:lang w:val="ro-RO"/>
        </w:rPr>
        <w:t>3</w:t>
      </w:r>
    </w:p>
    <w:p w:rsidR="00AE762B" w:rsidRPr="00153601" w:rsidRDefault="000946BE" w:rsidP="009A7611">
      <w:pPr>
        <w:rPr>
          <w:rFonts w:ascii="Arial" w:hAnsi="Arial" w:cs="Arial"/>
          <w:lang w:val="pt-BR"/>
        </w:rPr>
      </w:pPr>
      <w:bookmarkStart w:id="96" w:name="_MON_1566368976"/>
      <w:bookmarkStart w:id="97" w:name="_MON_1566368981"/>
      <w:bookmarkStart w:id="98" w:name="_MON_1566369022"/>
      <w:bookmarkStart w:id="99" w:name="_MON_1566368560"/>
      <w:bookmarkStart w:id="100" w:name="_MON_1566368841"/>
      <w:bookmarkStart w:id="101" w:name="_MON_1566368877"/>
      <w:bookmarkStart w:id="102" w:name="_MON_1566368964"/>
      <w:bookmarkEnd w:id="96"/>
      <w:bookmarkEnd w:id="97"/>
      <w:bookmarkEnd w:id="98"/>
      <w:bookmarkEnd w:id="99"/>
      <w:bookmarkEnd w:id="100"/>
      <w:bookmarkEnd w:id="101"/>
      <w:bookmarkEnd w:id="102"/>
      <w:r>
        <w:rPr>
          <w:rFonts w:ascii="Arial" w:hAnsi="Arial" w:cs="Arial"/>
          <w:noProof/>
          <w:color w:val="000000"/>
          <w:lang w:val="en-US"/>
        </w:rPr>
        <w:drawing>
          <wp:inline distT="0" distB="0" distL="0" distR="0" wp14:anchorId="6855BF4C" wp14:editId="3C98A7B8">
            <wp:extent cx="6134100" cy="3048000"/>
            <wp:effectExtent l="0" t="0" r="0" b="0"/>
            <wp:docPr id="35" name="Objec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E762B" w:rsidRDefault="00AE762B" w:rsidP="009A7611">
      <w:pPr>
        <w:tabs>
          <w:tab w:val="left" w:pos="1350"/>
        </w:tabs>
        <w:rPr>
          <w:rFonts w:ascii="Arial" w:hAnsi="Arial" w:cs="Arial"/>
          <w:lang w:val="pt-BR"/>
        </w:rPr>
      </w:pPr>
    </w:p>
    <w:p w:rsidR="00AE762B" w:rsidRPr="005F6A32" w:rsidRDefault="00AE762B" w:rsidP="009A7611">
      <w:pPr>
        <w:autoSpaceDE w:val="0"/>
        <w:autoSpaceDN w:val="0"/>
        <w:adjustRightInd w:val="0"/>
        <w:rPr>
          <w:rFonts w:ascii="Trebuchet MS" w:hAnsi="Trebuchet MS" w:cs="Arial"/>
          <w:color w:val="000000"/>
          <w:sz w:val="22"/>
          <w:szCs w:val="22"/>
          <w:lang w:val="ro-RO"/>
        </w:rPr>
      </w:pPr>
      <w:r w:rsidRPr="005F6A32">
        <w:rPr>
          <w:rFonts w:ascii="Trebuchet MS" w:hAnsi="Trebuchet MS" w:cs="Arial"/>
          <w:color w:val="000000"/>
          <w:sz w:val="22"/>
          <w:szCs w:val="22"/>
          <w:lang w:val="ro-RO"/>
        </w:rPr>
        <w:t xml:space="preserve">grafic 1.2.2.8 </w:t>
      </w:r>
      <w:r w:rsidRPr="005F6A32">
        <w:rPr>
          <w:rFonts w:ascii="Trebuchet MS" w:hAnsi="Trebuchet MS" w:cs="Arial"/>
          <w:sz w:val="22"/>
          <w:szCs w:val="22"/>
          <w:lang w:val="ro-RO"/>
        </w:rPr>
        <w:t>Contributia sectoarelor de activitate din industrie la emisiile de poluanti organici persistenti provenite din industrie in anul 20</w:t>
      </w:r>
      <w:r w:rsidR="00E869CE" w:rsidRPr="005F6A32">
        <w:rPr>
          <w:rFonts w:ascii="Trebuchet MS" w:hAnsi="Trebuchet MS" w:cs="Arial"/>
          <w:sz w:val="22"/>
          <w:szCs w:val="22"/>
          <w:lang w:val="ro-RO"/>
        </w:rPr>
        <w:t>2</w:t>
      </w:r>
      <w:r w:rsidR="00CF7F85" w:rsidRPr="005F6A32">
        <w:rPr>
          <w:rFonts w:ascii="Trebuchet MS" w:hAnsi="Trebuchet MS" w:cs="Arial"/>
          <w:sz w:val="22"/>
          <w:szCs w:val="22"/>
          <w:lang w:val="ro-RO"/>
        </w:rPr>
        <w:t>3</w:t>
      </w:r>
    </w:p>
    <w:p w:rsidR="00AE762B" w:rsidRPr="00EC54B7" w:rsidRDefault="00AE762B" w:rsidP="009A7611">
      <w:pPr>
        <w:pStyle w:val="Default"/>
        <w:rPr>
          <w:rFonts w:ascii="Trebuchet MS" w:hAnsi="Trebuchet MS"/>
          <w:lang w:val="ro-RO"/>
        </w:rPr>
      </w:pPr>
    </w:p>
    <w:p w:rsidR="00AE762B" w:rsidRPr="006A0A76" w:rsidRDefault="000946BE" w:rsidP="009A7611">
      <w:pPr>
        <w:pStyle w:val="Default"/>
        <w:rPr>
          <w:lang w:val="ro-RO"/>
        </w:rPr>
      </w:pPr>
      <w:bookmarkStart w:id="103" w:name="_MON_1566369239"/>
      <w:bookmarkEnd w:id="103"/>
      <w:r>
        <w:rPr>
          <w:noProof/>
        </w:rPr>
        <w:drawing>
          <wp:inline distT="0" distB="0" distL="0" distR="0" wp14:anchorId="4B7D190B" wp14:editId="1936A5FF">
            <wp:extent cx="5257800" cy="3552825"/>
            <wp:effectExtent l="0" t="0" r="0" b="0"/>
            <wp:docPr id="36" name="Objec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Pr="00EC54B7" w:rsidRDefault="00AE762B" w:rsidP="009A7611">
      <w:pPr>
        <w:tabs>
          <w:tab w:val="left" w:pos="1350"/>
        </w:tabs>
        <w:rPr>
          <w:rFonts w:ascii="Trebuchet MS" w:hAnsi="Trebuchet MS" w:cs="Arial"/>
          <w:lang w:val="it-IT"/>
        </w:rPr>
      </w:pPr>
    </w:p>
    <w:p w:rsidR="00AE762B" w:rsidRPr="005F6A32" w:rsidRDefault="00AE762B" w:rsidP="009A7611">
      <w:pPr>
        <w:tabs>
          <w:tab w:val="left" w:pos="1350"/>
        </w:tabs>
        <w:rPr>
          <w:rFonts w:ascii="Trebuchet MS" w:hAnsi="Trebuchet MS" w:cs="Arial"/>
          <w:sz w:val="22"/>
          <w:szCs w:val="22"/>
          <w:lang w:val="it-IT"/>
        </w:rPr>
      </w:pPr>
      <w:r w:rsidRPr="005F6A32">
        <w:rPr>
          <w:rFonts w:ascii="Trebuchet MS" w:hAnsi="Trebuchet MS" w:cs="Arial"/>
          <w:sz w:val="22"/>
          <w:szCs w:val="22"/>
          <w:lang w:val="it-IT"/>
        </w:rPr>
        <w:t>B. Alte date şi informaţii specifice</w:t>
      </w:r>
    </w:p>
    <w:p w:rsidR="00AE762B" w:rsidRPr="005F6A32" w:rsidRDefault="00AE762B" w:rsidP="009A7611">
      <w:pPr>
        <w:tabs>
          <w:tab w:val="left" w:pos="1350"/>
        </w:tabs>
        <w:rPr>
          <w:rFonts w:ascii="Trebuchet MS" w:hAnsi="Trebuchet MS" w:cs="Arial"/>
          <w:sz w:val="22"/>
          <w:szCs w:val="22"/>
          <w:lang w:val="it-IT"/>
        </w:rPr>
      </w:pPr>
    </w:p>
    <w:p w:rsidR="00AE762B" w:rsidRPr="005F6A32" w:rsidRDefault="00AE762B" w:rsidP="009A7611">
      <w:pPr>
        <w:pStyle w:val="Default"/>
        <w:jc w:val="both"/>
        <w:rPr>
          <w:rFonts w:ascii="Trebuchet MS" w:hAnsi="Trebuchet MS"/>
          <w:bCs/>
          <w:color w:val="auto"/>
          <w:sz w:val="22"/>
          <w:szCs w:val="22"/>
          <w:lang w:val="it-IT"/>
        </w:rPr>
      </w:pPr>
      <w:r w:rsidRPr="005F6A32">
        <w:rPr>
          <w:rFonts w:ascii="Trebuchet MS" w:hAnsi="Trebuchet MS"/>
          <w:bCs/>
          <w:sz w:val="22"/>
          <w:szCs w:val="22"/>
          <w:lang w:val="it-IT"/>
        </w:rPr>
        <w:tab/>
      </w:r>
      <w:r w:rsidRPr="005F6A32">
        <w:rPr>
          <w:rFonts w:ascii="Trebuchet MS" w:hAnsi="Trebuchet MS"/>
          <w:bCs/>
          <w:color w:val="auto"/>
          <w:sz w:val="22"/>
          <w:szCs w:val="22"/>
          <w:lang w:val="it-IT"/>
        </w:rPr>
        <w:t xml:space="preserve">Majoritatea emisiilor de substante cu efect de acidifiere provin din sectorul transporturi </w:t>
      </w:r>
      <w:r w:rsidR="00E94C33" w:rsidRPr="005F6A32">
        <w:rPr>
          <w:rFonts w:ascii="Trebuchet MS" w:hAnsi="Trebuchet MS"/>
          <w:bCs/>
          <w:color w:val="auto"/>
          <w:sz w:val="22"/>
          <w:szCs w:val="22"/>
          <w:lang w:val="it-IT"/>
        </w:rPr>
        <w:t>si apoi din energie</w:t>
      </w:r>
      <w:r w:rsidRPr="005F6A32">
        <w:rPr>
          <w:rFonts w:ascii="Trebuchet MS" w:hAnsi="Trebuchet MS"/>
          <w:bCs/>
          <w:color w:val="auto"/>
          <w:sz w:val="22"/>
          <w:szCs w:val="22"/>
          <w:lang w:val="it-IT"/>
        </w:rPr>
        <w:t xml:space="preserve">. </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 xml:space="preserve">In ceea ce priveste emisiile de substanţe precursori ai ozonului, emisiile cele mai importante provin din sectorul transporturi, cu o usoara pondere in sectorul energetic pentru NOx si </w:t>
      </w:r>
      <w:r w:rsidR="00E94C33" w:rsidRPr="005F6A32">
        <w:rPr>
          <w:rFonts w:ascii="Trebuchet MS" w:hAnsi="Trebuchet MS" w:cs="Arial"/>
          <w:sz w:val="22"/>
          <w:szCs w:val="22"/>
          <w:lang w:val="it-IT"/>
        </w:rPr>
        <w:t>deseuri</w:t>
      </w:r>
      <w:r w:rsidR="00DB37E7" w:rsidRPr="005F6A32">
        <w:rPr>
          <w:rFonts w:ascii="Trebuchet MS" w:hAnsi="Trebuchet MS" w:cs="Arial"/>
          <w:sz w:val="22"/>
          <w:szCs w:val="22"/>
          <w:lang w:val="it-IT"/>
        </w:rPr>
        <w:t xml:space="preserve"> </w:t>
      </w:r>
      <w:r w:rsidRPr="005F6A32">
        <w:rPr>
          <w:rFonts w:ascii="Trebuchet MS" w:hAnsi="Trebuchet MS" w:cs="Arial"/>
          <w:sz w:val="22"/>
          <w:szCs w:val="22"/>
          <w:lang w:val="it-IT"/>
        </w:rPr>
        <w:t xml:space="preserve">(pentru NMVOC). Emisiile din sectorul industrial sunt foarte mici, fabricarea produselor alimentare </w:t>
      </w:r>
      <w:r w:rsidR="007E7863" w:rsidRPr="005F6A32">
        <w:rPr>
          <w:rFonts w:ascii="Trebuchet MS" w:hAnsi="Trebuchet MS" w:cs="Arial"/>
          <w:sz w:val="22"/>
          <w:szCs w:val="22"/>
          <w:lang w:val="it-IT"/>
        </w:rPr>
        <w:t>având ponderea cea mai mare din subsectoarele de activitate specific</w:t>
      </w:r>
      <w:r w:rsidRPr="005F6A32">
        <w:rPr>
          <w:rFonts w:ascii="Trebuchet MS" w:hAnsi="Trebuchet MS" w:cs="Arial"/>
          <w:sz w:val="22"/>
          <w:szCs w:val="22"/>
          <w:lang w:val="it-IT"/>
        </w:rPr>
        <w:t>. La NMVOC, fabricarea produselor alimentare are o pondere importanta in emisiile de tip industrial datorita in special proceselor de fermentatie ce apar in productia de paine.</w:t>
      </w:r>
    </w:p>
    <w:p w:rsidR="00AE762B" w:rsidRPr="005F6A32" w:rsidRDefault="00AE762B" w:rsidP="009A7611">
      <w:pPr>
        <w:tabs>
          <w:tab w:val="left" w:pos="720"/>
        </w:tabs>
        <w:jc w:val="both"/>
        <w:rPr>
          <w:rFonts w:ascii="Trebuchet MS" w:hAnsi="Trebuchet MS"/>
          <w:bCs/>
          <w:sz w:val="22"/>
          <w:szCs w:val="22"/>
          <w:lang w:val="it-IT"/>
        </w:rPr>
      </w:pPr>
      <w:r w:rsidRPr="005F6A32">
        <w:rPr>
          <w:rFonts w:ascii="Trebuchet MS" w:hAnsi="Trebuchet MS" w:cs="Arial"/>
          <w:bCs/>
          <w:sz w:val="22"/>
          <w:szCs w:val="22"/>
          <w:lang w:val="it-IT"/>
        </w:rPr>
        <w:t>Emisiile de particule provin in special din sectorul transporturi</w:t>
      </w:r>
      <w:r w:rsidR="000B2C29" w:rsidRPr="005F6A32">
        <w:rPr>
          <w:rFonts w:ascii="Trebuchet MS" w:hAnsi="Trebuchet MS" w:cs="Arial"/>
          <w:bCs/>
          <w:sz w:val="22"/>
          <w:szCs w:val="22"/>
          <w:lang w:val="it-IT"/>
        </w:rPr>
        <w:t xml:space="preserve"> apoi din energie (datorita incalzirii rezidentiale cu lemne)</w:t>
      </w:r>
      <w:r w:rsidRPr="005F6A32">
        <w:rPr>
          <w:rFonts w:ascii="Trebuchet MS" w:hAnsi="Trebuchet MS" w:cs="Arial"/>
          <w:bCs/>
          <w:sz w:val="22"/>
          <w:szCs w:val="22"/>
          <w:lang w:val="it-IT"/>
        </w:rPr>
        <w:t>. Emisiile provenite din industrie pentru acest tip de poluanti sunt mici  si provin aproape in totalitate din subsectorul Producere aluminiu secundar</w:t>
      </w:r>
      <w:r w:rsidRPr="005F6A32">
        <w:rPr>
          <w:rFonts w:ascii="Trebuchet MS" w:hAnsi="Trebuchet MS"/>
          <w:bCs/>
          <w:sz w:val="22"/>
          <w:szCs w:val="22"/>
          <w:lang w:val="it-IT"/>
        </w:rPr>
        <w:t>.</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 xml:space="preserve">In cazul emisiilor de metale grele, Pb si Cd provin în special din transporturi, Hg din sectorul </w:t>
      </w:r>
      <w:r w:rsidR="007E7863" w:rsidRPr="005F6A32">
        <w:rPr>
          <w:rFonts w:ascii="Trebuchet MS" w:hAnsi="Trebuchet MS" w:cs="Arial"/>
          <w:sz w:val="22"/>
          <w:szCs w:val="22"/>
          <w:lang w:val="it-IT"/>
        </w:rPr>
        <w:t xml:space="preserve">deseuri si </w:t>
      </w:r>
      <w:r w:rsidR="006F52EB" w:rsidRPr="005F6A32">
        <w:rPr>
          <w:rFonts w:ascii="Trebuchet MS" w:hAnsi="Trebuchet MS" w:cs="Arial"/>
          <w:sz w:val="22"/>
          <w:szCs w:val="22"/>
          <w:lang w:val="it-IT"/>
        </w:rPr>
        <w:t>energie</w:t>
      </w:r>
      <w:r w:rsidRPr="005F6A32">
        <w:rPr>
          <w:rFonts w:ascii="Trebuchet MS" w:hAnsi="Trebuchet MS" w:cs="Arial"/>
          <w:sz w:val="22"/>
          <w:szCs w:val="22"/>
          <w:lang w:val="it-IT"/>
        </w:rPr>
        <w:t>. Din nou intâlnim emisii mici provenite din sectorul industrial, acestea venind in totalitate din subsectorul producere fonta şi oţel .</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Poluanţii organici persistenţi provin in majoritate din sectorul industrial</w:t>
      </w:r>
      <w:r w:rsidR="00C63962" w:rsidRPr="005F6A32">
        <w:rPr>
          <w:rFonts w:ascii="Trebuchet MS" w:hAnsi="Trebuchet MS" w:cs="Arial"/>
          <w:sz w:val="22"/>
          <w:szCs w:val="22"/>
          <w:lang w:val="it-IT"/>
        </w:rPr>
        <w:t xml:space="preserve"> și deșeuri.</w:t>
      </w:r>
    </w:p>
    <w:p w:rsidR="00AE762B" w:rsidRPr="000B5151" w:rsidRDefault="00AE762B" w:rsidP="009A7611">
      <w:pPr>
        <w:rPr>
          <w:rFonts w:ascii="Trebuchet MS" w:hAnsi="Trebuchet MS" w:cs="Arial"/>
          <w:b/>
          <w:bCs/>
          <w:iCs/>
          <w:lang w:val="it-IT"/>
        </w:rPr>
      </w:pPr>
      <w:r w:rsidRPr="005F6A32">
        <w:rPr>
          <w:rFonts w:ascii="Trebuchet MS" w:hAnsi="Trebuchet MS" w:cs="Arial"/>
          <w:color w:val="FF0000"/>
          <w:sz w:val="22"/>
          <w:szCs w:val="22"/>
          <w:lang w:val="it-IT"/>
        </w:rPr>
        <w:br w:type="page"/>
      </w:r>
      <w:r w:rsidRPr="000B5151">
        <w:rPr>
          <w:rFonts w:ascii="Trebuchet MS" w:hAnsi="Trebuchet MS" w:cs="Arial"/>
          <w:b/>
          <w:bCs/>
          <w:iCs/>
          <w:lang w:val="it-IT"/>
        </w:rPr>
        <w:t>I.2.3 Transportul</w:t>
      </w:r>
    </w:p>
    <w:p w:rsidR="00AE762B" w:rsidRPr="000B5151" w:rsidRDefault="00AE762B" w:rsidP="009A7611">
      <w:pPr>
        <w:rPr>
          <w:rFonts w:ascii="Trebuchet MS" w:hAnsi="Trebuchet MS" w:cs="Arial"/>
          <w:b/>
          <w:bCs/>
          <w:iCs/>
          <w:lang w:val="it-IT"/>
        </w:rPr>
      </w:pP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 xml:space="preserve">A. Indicatori specifici </w:t>
      </w: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COD INDICATOR</w:t>
      </w:r>
      <w:r w:rsidRPr="005F6A32">
        <w:rPr>
          <w:rFonts w:ascii="Trebuchet MS" w:hAnsi="Trebuchet MS"/>
          <w:sz w:val="22"/>
          <w:szCs w:val="22"/>
          <w:lang w:val="it-IT"/>
        </w:rPr>
        <w:t xml:space="preserve"> </w:t>
      </w:r>
    </w:p>
    <w:p w:rsidR="00AE762B" w:rsidRPr="005F6A32" w:rsidRDefault="00AE762B" w:rsidP="009A7611">
      <w:pPr>
        <w:pStyle w:val="Default"/>
        <w:rPr>
          <w:rFonts w:ascii="Trebuchet MS" w:hAnsi="Trebuchet MS"/>
          <w:sz w:val="22"/>
          <w:szCs w:val="22"/>
          <w:lang w:val="it-IT"/>
        </w:rPr>
      </w:pPr>
      <w:r w:rsidRPr="005F6A32">
        <w:rPr>
          <w:rFonts w:ascii="Trebuchet MS" w:hAnsi="Trebuchet MS"/>
          <w:sz w:val="22"/>
          <w:szCs w:val="22"/>
          <w:lang w:val="it-IT"/>
        </w:rPr>
        <w:t xml:space="preserve">Cod indicator România: </w:t>
      </w:r>
      <w:r w:rsidRPr="005F6A32">
        <w:rPr>
          <w:rFonts w:ascii="Trebuchet MS" w:hAnsi="Trebuchet MS"/>
          <w:b/>
          <w:bCs/>
          <w:sz w:val="22"/>
          <w:szCs w:val="22"/>
          <w:lang w:val="it-IT"/>
        </w:rPr>
        <w:t>RO 01</w:t>
      </w:r>
    </w:p>
    <w:p w:rsidR="00AE762B" w:rsidRPr="005F6A32" w:rsidRDefault="00AE762B" w:rsidP="009A7611">
      <w:pPr>
        <w:pStyle w:val="Default"/>
        <w:rPr>
          <w:rFonts w:ascii="Trebuchet MS" w:hAnsi="Trebuchet MS"/>
          <w:sz w:val="22"/>
          <w:szCs w:val="22"/>
          <w:lang w:val="it-IT"/>
        </w:rPr>
      </w:pPr>
      <w:r w:rsidRPr="005F6A32">
        <w:rPr>
          <w:rFonts w:ascii="Trebuchet MS" w:hAnsi="Trebuchet MS"/>
          <w:sz w:val="22"/>
          <w:szCs w:val="22"/>
          <w:lang w:val="it-IT"/>
        </w:rPr>
        <w:t xml:space="preserve">Cod indicator AEM: </w:t>
      </w:r>
      <w:r w:rsidRPr="005F6A32">
        <w:rPr>
          <w:rFonts w:ascii="Trebuchet MS" w:hAnsi="Trebuchet MS"/>
          <w:b/>
          <w:bCs/>
          <w:sz w:val="22"/>
          <w:szCs w:val="22"/>
          <w:lang w:val="it-IT"/>
        </w:rPr>
        <w:t xml:space="preserve">CSI 01 </w:t>
      </w: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EMISIILE DE SUBSTANŢE AC</w:t>
      </w:r>
      <w:r w:rsidR="00840240" w:rsidRPr="005F6A32">
        <w:rPr>
          <w:rFonts w:ascii="Trebuchet MS" w:hAnsi="Trebuchet MS"/>
          <w:b/>
          <w:bCs/>
          <w:sz w:val="22"/>
          <w:szCs w:val="22"/>
          <w:lang w:val="ro-RO"/>
        </w:rPr>
        <w:t>I</w:t>
      </w:r>
      <w:r w:rsidRPr="005F6A32">
        <w:rPr>
          <w:rFonts w:ascii="Trebuchet MS" w:hAnsi="Trebuchet MS"/>
          <w:b/>
          <w:bCs/>
          <w:sz w:val="22"/>
          <w:szCs w:val="22"/>
          <w:lang w:val="ro-RO"/>
        </w:rPr>
        <w:t>DIFIANTE</w:t>
      </w: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 xml:space="preserve">DEFINIŢIE </w:t>
      </w:r>
    </w:p>
    <w:p w:rsidR="00AE762B" w:rsidRPr="005F6A32" w:rsidRDefault="00AE762B" w:rsidP="009A7611">
      <w:pPr>
        <w:autoSpaceDE w:val="0"/>
        <w:autoSpaceDN w:val="0"/>
        <w:adjustRightInd w:val="0"/>
        <w:jc w:val="both"/>
        <w:rPr>
          <w:rFonts w:ascii="Trebuchet MS" w:hAnsi="Trebuchet MS" w:cs="Arial"/>
          <w:sz w:val="22"/>
          <w:szCs w:val="22"/>
          <w:lang w:val="it-IT"/>
        </w:rPr>
      </w:pPr>
      <w:r w:rsidRPr="005F6A32">
        <w:rPr>
          <w:rFonts w:ascii="Trebuchet MS" w:hAnsi="Trebuchet MS" w:cs="Arial"/>
          <w:sz w:val="22"/>
          <w:szCs w:val="22"/>
          <w:lang w:val="it-IT"/>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Pr="005F6A32" w:rsidRDefault="00AE762B" w:rsidP="009A7611">
      <w:pPr>
        <w:autoSpaceDE w:val="0"/>
        <w:autoSpaceDN w:val="0"/>
        <w:adjustRightInd w:val="0"/>
        <w:rPr>
          <w:rFonts w:ascii="Trebuchet MS" w:hAnsi="Trebuchet MS" w:cs="Arial"/>
          <w:color w:val="000000"/>
          <w:sz w:val="22"/>
          <w:szCs w:val="22"/>
          <w:lang w:val="it-IT"/>
        </w:rPr>
      </w:pPr>
    </w:p>
    <w:p w:rsidR="00AE762B" w:rsidRPr="005F6A32" w:rsidRDefault="00AE762B" w:rsidP="009A7611">
      <w:pPr>
        <w:autoSpaceDE w:val="0"/>
        <w:autoSpaceDN w:val="0"/>
        <w:adjustRightInd w:val="0"/>
        <w:rPr>
          <w:rFonts w:ascii="Trebuchet MS" w:hAnsi="Trebuchet MS" w:cs="Arial"/>
          <w:color w:val="000000"/>
          <w:sz w:val="22"/>
          <w:szCs w:val="22"/>
          <w:lang w:val="pt-BR"/>
        </w:rPr>
      </w:pPr>
      <w:r w:rsidRPr="005F6A32">
        <w:rPr>
          <w:rFonts w:ascii="Trebuchet MS" w:hAnsi="Trebuchet MS" w:cs="Arial"/>
          <w:color w:val="000000"/>
          <w:sz w:val="22"/>
          <w:szCs w:val="22"/>
          <w:lang w:val="pt-BR"/>
        </w:rPr>
        <w:t xml:space="preserve">grafic 1.2.3.1 </w:t>
      </w:r>
      <w:r w:rsidRPr="005F6A32">
        <w:rPr>
          <w:rFonts w:ascii="Trebuchet MS" w:hAnsi="Trebuchet MS" w:cs="Arial"/>
          <w:sz w:val="22"/>
          <w:szCs w:val="22"/>
          <w:lang w:val="pt-BR"/>
        </w:rPr>
        <w:t>Contributia tipurilor de vehicule la emisiile de poluanti cu efect de acidifiere provenite din transporturi</w:t>
      </w:r>
    </w:p>
    <w:p w:rsidR="00AE762B" w:rsidRPr="005F6A32" w:rsidRDefault="00AE762B" w:rsidP="009A7611">
      <w:pPr>
        <w:autoSpaceDE w:val="0"/>
        <w:autoSpaceDN w:val="0"/>
        <w:adjustRightInd w:val="0"/>
        <w:rPr>
          <w:rFonts w:ascii="Arial" w:hAnsi="Arial" w:cs="Arial"/>
          <w:color w:val="000000"/>
          <w:sz w:val="22"/>
          <w:szCs w:val="22"/>
          <w:lang w:val="pt-BR"/>
        </w:rPr>
      </w:pPr>
    </w:p>
    <w:p w:rsidR="00AE762B" w:rsidRPr="00153601" w:rsidRDefault="000946BE" w:rsidP="009A7611">
      <w:pPr>
        <w:autoSpaceDE w:val="0"/>
        <w:autoSpaceDN w:val="0"/>
        <w:adjustRightInd w:val="0"/>
        <w:rPr>
          <w:rFonts w:ascii="Arial" w:hAnsi="Arial" w:cs="Arial"/>
          <w:color w:val="000000"/>
          <w:lang w:val="pt-BR"/>
        </w:rPr>
      </w:pPr>
      <w:bookmarkStart w:id="104" w:name="_MON_1722142543"/>
      <w:bookmarkEnd w:id="104"/>
      <w:r>
        <w:rPr>
          <w:rFonts w:ascii="Arial" w:hAnsi="Arial" w:cs="Arial"/>
          <w:noProof/>
          <w:color w:val="000000"/>
          <w:lang w:val="en-US"/>
        </w:rPr>
        <w:drawing>
          <wp:inline distT="0" distB="0" distL="0" distR="0" wp14:anchorId="612963C0" wp14:editId="0BE4A3C8">
            <wp:extent cx="5562600" cy="4972050"/>
            <wp:effectExtent l="0" t="0" r="19050" b="0"/>
            <wp:docPr id="37" name="Objec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E762B" w:rsidRDefault="00AE762B" w:rsidP="009A7611">
      <w:pPr>
        <w:pStyle w:val="Default"/>
        <w:rPr>
          <w:b/>
          <w:bCs/>
          <w:lang w:val="pt-BR"/>
        </w:rPr>
      </w:pPr>
    </w:p>
    <w:p w:rsidR="00AE762B" w:rsidRDefault="00AE762B" w:rsidP="009A7611">
      <w:pPr>
        <w:pStyle w:val="Default"/>
        <w:rPr>
          <w:b/>
          <w:bCs/>
          <w:lang w:val="pt-BR"/>
        </w:rPr>
      </w:pPr>
    </w:p>
    <w:p w:rsidR="000B5151" w:rsidRDefault="000B5151" w:rsidP="009A7611">
      <w:pPr>
        <w:pStyle w:val="Default"/>
        <w:rPr>
          <w:b/>
          <w:bCs/>
          <w:lang w:val="pt-BR"/>
        </w:rPr>
      </w:pPr>
    </w:p>
    <w:p w:rsidR="000B5151" w:rsidRDefault="000B5151" w:rsidP="009A7611">
      <w:pPr>
        <w:pStyle w:val="Default"/>
        <w:rPr>
          <w:b/>
          <w:bCs/>
          <w:lang w:val="pt-BR"/>
        </w:rPr>
      </w:pPr>
    </w:p>
    <w:p w:rsidR="000B5151" w:rsidRDefault="000B5151" w:rsidP="009A7611">
      <w:pPr>
        <w:pStyle w:val="Default"/>
        <w:rPr>
          <w:b/>
          <w:bCs/>
          <w:lang w:val="pt-BR"/>
        </w:rPr>
      </w:pPr>
    </w:p>
    <w:p w:rsidR="00AE762B" w:rsidRDefault="00AE762B" w:rsidP="009A7611">
      <w:pPr>
        <w:pStyle w:val="Default"/>
        <w:rPr>
          <w:b/>
          <w:bCs/>
          <w:lang w:val="pt-BR"/>
        </w:rPr>
      </w:pPr>
    </w:p>
    <w:p w:rsidR="005F6A32" w:rsidRDefault="005F6A32" w:rsidP="009A7611">
      <w:pPr>
        <w:pStyle w:val="Default"/>
        <w:rPr>
          <w:b/>
          <w:bCs/>
          <w:lang w:val="pt-BR"/>
        </w:rPr>
      </w:pP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COD INDICATOR</w:t>
      </w:r>
      <w:r w:rsidRPr="005F6A32">
        <w:rPr>
          <w:rFonts w:ascii="Trebuchet MS" w:hAnsi="Trebuchet MS"/>
          <w:sz w:val="22"/>
          <w:szCs w:val="22"/>
          <w:lang w:val="it-IT"/>
        </w:rPr>
        <w:t xml:space="preserve"> </w:t>
      </w:r>
    </w:p>
    <w:p w:rsidR="00AE762B" w:rsidRPr="005F6A32" w:rsidRDefault="00AE762B" w:rsidP="009A7611">
      <w:pPr>
        <w:pStyle w:val="Default"/>
        <w:rPr>
          <w:rFonts w:ascii="Trebuchet MS" w:hAnsi="Trebuchet MS"/>
          <w:sz w:val="22"/>
          <w:szCs w:val="22"/>
          <w:lang w:val="it-IT"/>
        </w:rPr>
      </w:pPr>
      <w:r w:rsidRPr="005F6A32">
        <w:rPr>
          <w:rFonts w:ascii="Trebuchet MS" w:hAnsi="Trebuchet MS"/>
          <w:sz w:val="22"/>
          <w:szCs w:val="22"/>
          <w:lang w:val="it-IT"/>
        </w:rPr>
        <w:t xml:space="preserve">Cod indicator România: </w:t>
      </w:r>
      <w:r w:rsidRPr="005F6A32">
        <w:rPr>
          <w:rFonts w:ascii="Trebuchet MS" w:hAnsi="Trebuchet MS"/>
          <w:b/>
          <w:bCs/>
          <w:sz w:val="22"/>
          <w:szCs w:val="22"/>
          <w:lang w:val="it-IT"/>
        </w:rPr>
        <w:t>RO 02</w:t>
      </w:r>
    </w:p>
    <w:p w:rsidR="00AE762B" w:rsidRPr="005F6A32" w:rsidRDefault="00AE762B" w:rsidP="009A7611">
      <w:pPr>
        <w:pStyle w:val="Default"/>
        <w:rPr>
          <w:rFonts w:ascii="Trebuchet MS" w:hAnsi="Trebuchet MS"/>
          <w:sz w:val="22"/>
          <w:szCs w:val="22"/>
          <w:lang w:val="it-IT"/>
        </w:rPr>
      </w:pPr>
      <w:r w:rsidRPr="005F6A32">
        <w:rPr>
          <w:rFonts w:ascii="Trebuchet MS" w:hAnsi="Trebuchet MS"/>
          <w:sz w:val="22"/>
          <w:szCs w:val="22"/>
          <w:lang w:val="it-IT"/>
        </w:rPr>
        <w:t xml:space="preserve">Cod indicator AEM: </w:t>
      </w:r>
      <w:r w:rsidRPr="005F6A32">
        <w:rPr>
          <w:rFonts w:ascii="Trebuchet MS" w:hAnsi="Trebuchet MS"/>
          <w:b/>
          <w:bCs/>
          <w:sz w:val="22"/>
          <w:szCs w:val="22"/>
          <w:lang w:val="it-IT"/>
        </w:rPr>
        <w:t xml:space="preserve">CSI 02 </w:t>
      </w: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EMISIILE DE PRECURSORI AI OZONULUI</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rPr>
          <w:rFonts w:ascii="Trebuchet MS" w:hAnsi="Trebuchet MS" w:cs="Arial"/>
          <w:sz w:val="22"/>
          <w:szCs w:val="22"/>
          <w:lang w:val="ro-RO"/>
        </w:rPr>
      </w:pPr>
      <w:r w:rsidRPr="005F6A32">
        <w:rPr>
          <w:rFonts w:ascii="Trebuchet MS" w:hAnsi="Trebuchet MS" w:cs="Arial"/>
          <w:sz w:val="22"/>
          <w:szCs w:val="22"/>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it-IT"/>
        </w:rPr>
      </w:pPr>
      <w:r w:rsidRPr="005F6A32">
        <w:rPr>
          <w:rFonts w:ascii="Trebuchet MS" w:hAnsi="Trebuchet MS" w:cs="Arial"/>
          <w:color w:val="000000"/>
          <w:sz w:val="22"/>
          <w:szCs w:val="22"/>
          <w:lang w:val="it-IT"/>
        </w:rPr>
        <w:t xml:space="preserve">grafic 1.2.3.2 </w:t>
      </w:r>
      <w:r w:rsidRPr="005F6A32">
        <w:rPr>
          <w:rFonts w:ascii="Trebuchet MS" w:hAnsi="Trebuchet MS" w:cs="Arial"/>
          <w:sz w:val="22"/>
          <w:szCs w:val="22"/>
          <w:lang w:val="it-IT"/>
        </w:rPr>
        <w:t>Contributia tipurilor de vehicule la emisiile de poluanti precursori ai ozonului din transport in anul 20</w:t>
      </w:r>
      <w:r w:rsidR="00F51AC1" w:rsidRPr="005F6A32">
        <w:rPr>
          <w:rFonts w:ascii="Trebuchet MS" w:hAnsi="Trebuchet MS" w:cs="Arial"/>
          <w:sz w:val="22"/>
          <w:szCs w:val="22"/>
          <w:lang w:val="it-IT"/>
        </w:rPr>
        <w:t>2</w:t>
      </w:r>
      <w:r w:rsidR="00ED718E" w:rsidRPr="005F6A32">
        <w:rPr>
          <w:rFonts w:ascii="Trebuchet MS" w:hAnsi="Trebuchet MS" w:cs="Arial"/>
          <w:sz w:val="22"/>
          <w:szCs w:val="22"/>
          <w:lang w:val="it-IT"/>
        </w:rPr>
        <w:t>3</w:t>
      </w:r>
    </w:p>
    <w:p w:rsidR="00AE762B" w:rsidRPr="005F6A32" w:rsidRDefault="00AE762B" w:rsidP="009A7611">
      <w:pPr>
        <w:autoSpaceDE w:val="0"/>
        <w:autoSpaceDN w:val="0"/>
        <w:adjustRightInd w:val="0"/>
        <w:rPr>
          <w:rFonts w:ascii="Trebuchet MS" w:hAnsi="Trebuchet MS" w:cs="Arial"/>
          <w:color w:val="000000"/>
          <w:sz w:val="22"/>
          <w:szCs w:val="22"/>
          <w:lang w:val="it-IT"/>
        </w:rPr>
      </w:pPr>
    </w:p>
    <w:p w:rsidR="00AE762B" w:rsidRPr="00153601" w:rsidRDefault="000946BE" w:rsidP="009A7611">
      <w:pPr>
        <w:autoSpaceDE w:val="0"/>
        <w:autoSpaceDN w:val="0"/>
        <w:adjustRightInd w:val="0"/>
        <w:rPr>
          <w:rFonts w:ascii="Arial" w:hAnsi="Arial" w:cs="Arial"/>
          <w:color w:val="000000"/>
          <w:lang w:val="pt-BR"/>
        </w:rPr>
      </w:pPr>
      <w:bookmarkStart w:id="105" w:name="_MON_1722142882"/>
      <w:bookmarkStart w:id="106" w:name="_MON_1566369930"/>
      <w:bookmarkStart w:id="107" w:name="_MON_1566370133"/>
      <w:bookmarkEnd w:id="105"/>
      <w:bookmarkEnd w:id="106"/>
      <w:bookmarkEnd w:id="107"/>
      <w:r>
        <w:rPr>
          <w:rFonts w:ascii="Arial" w:hAnsi="Arial" w:cs="Arial"/>
          <w:noProof/>
          <w:color w:val="000000"/>
          <w:lang w:val="en-US"/>
        </w:rPr>
        <w:drawing>
          <wp:inline distT="0" distB="0" distL="0" distR="0" wp14:anchorId="7817F618" wp14:editId="4A48F07A">
            <wp:extent cx="5772150" cy="3752850"/>
            <wp:effectExtent l="0" t="0" r="0" b="0"/>
            <wp:docPr id="38" name="Objec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E762B" w:rsidRDefault="00AE762B" w:rsidP="009A7611">
      <w:pPr>
        <w:rPr>
          <w:rFonts w:ascii="Arial" w:hAnsi="Arial" w:cs="Arial"/>
          <w:lang w:val="pt-BR"/>
        </w:rPr>
      </w:pPr>
    </w:p>
    <w:p w:rsidR="00AE762B" w:rsidRPr="005F6A32" w:rsidRDefault="00AE762B" w:rsidP="009A7611">
      <w:pPr>
        <w:pStyle w:val="Default"/>
        <w:rPr>
          <w:rFonts w:ascii="Trebuchet MS" w:hAnsi="Trebuchet MS"/>
          <w:sz w:val="22"/>
          <w:szCs w:val="22"/>
          <w:lang w:val="pt-BR"/>
        </w:rPr>
      </w:pPr>
      <w:r>
        <w:rPr>
          <w:lang w:val="pt-BR"/>
        </w:rPr>
        <w:br w:type="page"/>
      </w:r>
      <w:r w:rsidRPr="005F6A32">
        <w:rPr>
          <w:rFonts w:ascii="Trebuchet MS" w:hAnsi="Trebuchet MS"/>
          <w:b/>
          <w:bCs/>
          <w:sz w:val="22"/>
          <w:szCs w:val="22"/>
          <w:lang w:val="pt-BR"/>
        </w:rPr>
        <w:t>COD INDICATOR</w:t>
      </w:r>
      <w:r w:rsidRPr="005F6A32">
        <w:rPr>
          <w:rFonts w:ascii="Trebuchet MS" w:hAnsi="Trebuchet MS"/>
          <w:sz w:val="22"/>
          <w:szCs w:val="22"/>
          <w:lang w:val="pt-BR"/>
        </w:rPr>
        <w:t xml:space="preserve"> </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România: </w:t>
      </w:r>
      <w:r w:rsidRPr="005F6A32">
        <w:rPr>
          <w:rFonts w:ascii="Trebuchet MS" w:hAnsi="Trebuchet MS"/>
          <w:b/>
          <w:bCs/>
          <w:sz w:val="22"/>
          <w:szCs w:val="22"/>
          <w:lang w:val="pt-BR"/>
        </w:rPr>
        <w:t>RO 03</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AEM: </w:t>
      </w:r>
      <w:r w:rsidRPr="005F6A32">
        <w:rPr>
          <w:rFonts w:ascii="Trebuchet MS" w:hAnsi="Trebuchet MS"/>
          <w:b/>
          <w:bCs/>
          <w:sz w:val="22"/>
          <w:szCs w:val="22"/>
          <w:lang w:val="pt-BR"/>
        </w:rPr>
        <w:t xml:space="preserve">CSI 03 </w:t>
      </w:r>
    </w:p>
    <w:p w:rsidR="00AE762B" w:rsidRPr="005F6A32" w:rsidRDefault="00AE762B" w:rsidP="009A7611">
      <w:pPr>
        <w:pStyle w:val="Default"/>
        <w:rPr>
          <w:rFonts w:ascii="Trebuchet MS" w:hAnsi="Trebuchet MS"/>
          <w:sz w:val="22"/>
          <w:szCs w:val="22"/>
          <w:lang w:val="pt-BR"/>
        </w:rPr>
      </w:pPr>
      <w:r w:rsidRPr="005F6A32">
        <w:rPr>
          <w:rFonts w:ascii="Trebuchet MS" w:hAnsi="Trebuchet MS"/>
          <w:b/>
          <w:bCs/>
          <w:sz w:val="22"/>
          <w:szCs w:val="22"/>
          <w:lang w:val="pt-BR"/>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PARTICULE PRIMARE SI PRECURSORI SECUNDARI DE PARTICULE</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color w:val="000000"/>
          <w:sz w:val="22"/>
          <w:szCs w:val="22"/>
          <w:lang w:val="ro-RO"/>
        </w:rPr>
      </w:pPr>
      <w:r w:rsidRPr="005F6A32">
        <w:rPr>
          <w:rFonts w:ascii="Trebuchet MS" w:hAnsi="Trebuchet MS" w:cs="Arial"/>
          <w:sz w:val="22"/>
          <w:szCs w:val="22"/>
          <w:lang w:val="ro-RO"/>
        </w:rPr>
        <w:t xml:space="preserve">Acest indicator prezintă tendinţele emisiilor de particule primare cu diametrul mai mic de 2,5 </w:t>
      </w:r>
      <w:r w:rsidRPr="005F6A32">
        <w:rPr>
          <w:rFonts w:ascii="Trebuchet MS" w:hAnsi="Trebuchet MS" w:cs="Arial"/>
          <w:sz w:val="22"/>
          <w:szCs w:val="22"/>
        </w:rPr>
        <w:t>μ</w:t>
      </w:r>
      <w:r w:rsidRPr="005F6A32">
        <w:rPr>
          <w:rFonts w:ascii="Trebuchet MS" w:hAnsi="Trebuchet MS" w:cs="Arial"/>
          <w:sz w:val="22"/>
          <w:szCs w:val="22"/>
          <w:lang w:val="ro-RO"/>
        </w:rPr>
        <w:t xml:space="preserve">m (PM2,5) şi respectiv 10 </w:t>
      </w:r>
      <w:r w:rsidRPr="005F6A32">
        <w:rPr>
          <w:rFonts w:ascii="Trebuchet MS" w:hAnsi="Trebuchet MS" w:cs="Arial"/>
          <w:sz w:val="22"/>
          <w:szCs w:val="22"/>
        </w:rPr>
        <w:t>μ</w:t>
      </w:r>
      <w:r w:rsidRPr="005F6A32">
        <w:rPr>
          <w:rFonts w:ascii="Trebuchet MS" w:hAnsi="Trebuchet MS" w:cs="Arial"/>
          <w:sz w:val="22"/>
          <w:szCs w:val="22"/>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grafic 1.2.3.3 Contribuţia tipurilor de vehicule, la emisiile de particule primare în suspensie PM2,5 şi PM10, din transport, </w:t>
      </w:r>
      <w:r w:rsidR="00D0393E" w:rsidRPr="005F6A32">
        <w:rPr>
          <w:rFonts w:ascii="Trebuchet MS" w:hAnsi="Trebuchet MS"/>
          <w:sz w:val="22"/>
          <w:szCs w:val="22"/>
          <w:lang w:val="ro-RO"/>
        </w:rPr>
        <w:t>in anul 202</w:t>
      </w:r>
      <w:r w:rsidR="00656C72" w:rsidRPr="005F6A32">
        <w:rPr>
          <w:rFonts w:ascii="Trebuchet MS" w:hAnsi="Trebuchet MS"/>
          <w:sz w:val="22"/>
          <w:szCs w:val="22"/>
          <w:lang w:val="ro-RO"/>
        </w:rPr>
        <w:t>3</w:t>
      </w:r>
    </w:p>
    <w:p w:rsidR="00AE762B" w:rsidRPr="0085019F" w:rsidRDefault="00AE762B" w:rsidP="009A7611">
      <w:pPr>
        <w:autoSpaceDE w:val="0"/>
        <w:autoSpaceDN w:val="0"/>
        <w:adjustRightInd w:val="0"/>
        <w:rPr>
          <w:rFonts w:ascii="Arial" w:hAnsi="Arial" w:cs="Arial"/>
          <w:color w:val="000000"/>
          <w:lang w:val="ro-RO"/>
        </w:rPr>
      </w:pPr>
    </w:p>
    <w:p w:rsidR="00AE762B" w:rsidRDefault="000946BE" w:rsidP="009A7611">
      <w:pPr>
        <w:rPr>
          <w:rFonts w:ascii="Arial" w:hAnsi="Arial" w:cs="Arial"/>
          <w:lang w:val="pt-BR"/>
        </w:rPr>
      </w:pPr>
      <w:bookmarkStart w:id="108" w:name="_MON_1566370462"/>
      <w:bookmarkStart w:id="109" w:name="_MON_1566370474"/>
      <w:bookmarkEnd w:id="108"/>
      <w:bookmarkEnd w:id="109"/>
      <w:r>
        <w:rPr>
          <w:rFonts w:ascii="Arial" w:hAnsi="Arial" w:cs="Arial"/>
          <w:noProof/>
          <w:color w:val="000000"/>
          <w:lang w:val="en-US"/>
        </w:rPr>
        <w:drawing>
          <wp:inline distT="0" distB="0" distL="0" distR="0" wp14:anchorId="31AA9DED" wp14:editId="79795420">
            <wp:extent cx="6419850" cy="5314950"/>
            <wp:effectExtent l="0" t="0" r="0" b="0"/>
            <wp:docPr id="39" name="Object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5F6A32" w:rsidRDefault="00AE762B" w:rsidP="009A7611">
      <w:pPr>
        <w:pStyle w:val="Default"/>
        <w:rPr>
          <w:rFonts w:ascii="Trebuchet MS" w:hAnsi="Trebuchet MS"/>
          <w:sz w:val="22"/>
          <w:szCs w:val="22"/>
          <w:lang w:val="pt-BR"/>
        </w:rPr>
      </w:pPr>
      <w:r>
        <w:rPr>
          <w:lang w:val="pt-BR"/>
        </w:rPr>
        <w:br w:type="page"/>
      </w:r>
      <w:r w:rsidRPr="005F6A32">
        <w:rPr>
          <w:rFonts w:ascii="Trebuchet MS" w:hAnsi="Trebuchet MS"/>
          <w:b/>
          <w:bCs/>
          <w:sz w:val="22"/>
          <w:szCs w:val="22"/>
          <w:lang w:val="pt-BR"/>
        </w:rPr>
        <w:t>COD INDICATOR</w:t>
      </w:r>
      <w:r w:rsidRPr="005F6A32">
        <w:rPr>
          <w:rFonts w:ascii="Trebuchet MS" w:hAnsi="Trebuchet MS"/>
          <w:sz w:val="22"/>
          <w:szCs w:val="22"/>
          <w:lang w:val="pt-BR"/>
        </w:rPr>
        <w:t xml:space="preserve"> </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România: </w:t>
      </w:r>
      <w:r w:rsidRPr="005F6A32">
        <w:rPr>
          <w:rFonts w:ascii="Trebuchet MS" w:hAnsi="Trebuchet MS"/>
          <w:b/>
          <w:bCs/>
          <w:sz w:val="22"/>
          <w:szCs w:val="22"/>
          <w:lang w:val="pt-BR"/>
        </w:rPr>
        <w:t>RO 38</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AEM: </w:t>
      </w:r>
      <w:r w:rsidRPr="005F6A32">
        <w:rPr>
          <w:rFonts w:ascii="Trebuchet MS" w:hAnsi="Trebuchet MS"/>
          <w:b/>
          <w:sz w:val="22"/>
          <w:szCs w:val="22"/>
          <w:lang w:val="pt-BR"/>
        </w:rPr>
        <w:t>APE</w:t>
      </w:r>
      <w:r w:rsidRPr="005F6A32">
        <w:rPr>
          <w:rFonts w:ascii="Trebuchet MS" w:hAnsi="Trebuchet MS"/>
          <w:b/>
          <w:bCs/>
          <w:sz w:val="22"/>
          <w:szCs w:val="22"/>
          <w:lang w:val="pt-BR"/>
        </w:rPr>
        <w:t xml:space="preserve"> 05 </w:t>
      </w:r>
    </w:p>
    <w:p w:rsidR="00AE762B" w:rsidRPr="005F6A32" w:rsidRDefault="00AE762B" w:rsidP="009A7611">
      <w:pPr>
        <w:pStyle w:val="Default"/>
        <w:rPr>
          <w:rFonts w:ascii="Trebuchet MS" w:hAnsi="Trebuchet MS"/>
          <w:sz w:val="22"/>
          <w:szCs w:val="22"/>
          <w:lang w:val="pt-BR"/>
        </w:rPr>
      </w:pPr>
      <w:r w:rsidRPr="005F6A32">
        <w:rPr>
          <w:rFonts w:ascii="Trebuchet MS" w:hAnsi="Trebuchet MS"/>
          <w:b/>
          <w:bCs/>
          <w:sz w:val="22"/>
          <w:szCs w:val="22"/>
          <w:lang w:val="pt-BR"/>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PARTICULE METALE GRELE</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sz w:val="22"/>
          <w:szCs w:val="22"/>
          <w:lang w:val="ro-RO"/>
        </w:rPr>
      </w:pPr>
      <w:r w:rsidRPr="005F6A32">
        <w:rPr>
          <w:rFonts w:ascii="Trebuchet MS" w:hAnsi="Trebuchet MS" w:cs="Arial"/>
          <w:sz w:val="22"/>
          <w:szCs w:val="22"/>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grafic 1.2.3.4 Contribuţia tipurilor de vehicule, la emisiile de  metale grele din transport </w:t>
      </w:r>
      <w:r w:rsidR="0083125F" w:rsidRPr="005F6A32">
        <w:rPr>
          <w:rFonts w:ascii="Trebuchet MS" w:hAnsi="Trebuchet MS"/>
          <w:sz w:val="22"/>
          <w:szCs w:val="22"/>
          <w:lang w:val="ro-RO"/>
        </w:rPr>
        <w:t>in anul 202</w:t>
      </w:r>
      <w:r w:rsidR="00656C72" w:rsidRPr="005F6A32">
        <w:rPr>
          <w:rFonts w:ascii="Trebuchet MS" w:hAnsi="Trebuchet MS"/>
          <w:sz w:val="22"/>
          <w:szCs w:val="22"/>
          <w:lang w:val="ro-RO"/>
        </w:rPr>
        <w:t>3</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C4296C" w:rsidRDefault="000946BE" w:rsidP="009A7611">
      <w:pPr>
        <w:rPr>
          <w:rFonts w:ascii="Arial" w:hAnsi="Arial" w:cs="Arial"/>
          <w:lang w:val="ro-RO"/>
        </w:rPr>
      </w:pPr>
      <w:bookmarkStart w:id="110" w:name="_MON_1566370793"/>
      <w:bookmarkStart w:id="111" w:name="_MON_1566370800"/>
      <w:bookmarkEnd w:id="110"/>
      <w:bookmarkEnd w:id="111"/>
      <w:r>
        <w:rPr>
          <w:rFonts w:ascii="Arial" w:hAnsi="Arial" w:cs="Arial"/>
          <w:noProof/>
          <w:color w:val="000000"/>
          <w:lang w:val="en-US"/>
        </w:rPr>
        <w:drawing>
          <wp:inline distT="0" distB="0" distL="0" distR="0" wp14:anchorId="19C7983A" wp14:editId="1927B1D4">
            <wp:extent cx="6419850" cy="4791075"/>
            <wp:effectExtent l="0" t="0" r="0" b="0"/>
            <wp:docPr id="40" name="Objec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5F6A32" w:rsidRDefault="00AE762B" w:rsidP="009A7611">
      <w:pPr>
        <w:pStyle w:val="Default"/>
        <w:rPr>
          <w:rFonts w:ascii="Trebuchet MS" w:hAnsi="Trebuchet MS"/>
          <w:sz w:val="22"/>
          <w:szCs w:val="22"/>
          <w:lang w:val="ro-RO"/>
        </w:rPr>
      </w:pPr>
      <w:r w:rsidRPr="00C4296C">
        <w:rPr>
          <w:lang w:val="ro-RO"/>
        </w:rPr>
        <w:br w:type="page"/>
      </w:r>
      <w:r w:rsidRPr="005F6A32">
        <w:rPr>
          <w:rFonts w:ascii="Trebuchet MS" w:hAnsi="Trebuchet MS"/>
          <w:b/>
          <w:bCs/>
          <w:sz w:val="22"/>
          <w:szCs w:val="22"/>
          <w:lang w:val="ro-RO"/>
        </w:rPr>
        <w:t>COD INDICATOR</w:t>
      </w:r>
      <w:r w:rsidRPr="005F6A32">
        <w:rPr>
          <w:rFonts w:ascii="Trebuchet MS" w:hAnsi="Trebuchet MS"/>
          <w:sz w:val="22"/>
          <w:szCs w:val="22"/>
          <w:lang w:val="ro-RO"/>
        </w:rPr>
        <w:t xml:space="preserve"> </w:t>
      </w: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Cod indicator România: </w:t>
      </w:r>
      <w:r w:rsidRPr="005F6A32">
        <w:rPr>
          <w:rFonts w:ascii="Trebuchet MS" w:hAnsi="Trebuchet MS"/>
          <w:b/>
          <w:bCs/>
          <w:sz w:val="22"/>
          <w:szCs w:val="22"/>
          <w:lang w:val="ro-RO"/>
        </w:rPr>
        <w:t>RO 39</w:t>
      </w: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Cod indicator AEM: </w:t>
      </w:r>
      <w:r w:rsidRPr="005F6A32">
        <w:rPr>
          <w:rFonts w:ascii="Trebuchet MS" w:hAnsi="Trebuchet MS"/>
          <w:b/>
          <w:sz w:val="22"/>
          <w:szCs w:val="22"/>
          <w:lang w:val="ro-RO"/>
        </w:rPr>
        <w:t>APE</w:t>
      </w:r>
      <w:r w:rsidRPr="005F6A32">
        <w:rPr>
          <w:rFonts w:ascii="Trebuchet MS" w:hAnsi="Trebuchet MS"/>
          <w:b/>
          <w:bCs/>
          <w:sz w:val="22"/>
          <w:szCs w:val="22"/>
          <w:lang w:val="ro-RO"/>
        </w:rPr>
        <w:t xml:space="preserve"> 06 </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POLUANTI ORGANICI PERSISTENTI</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sz w:val="22"/>
          <w:szCs w:val="22"/>
          <w:lang w:val="ro-RO"/>
        </w:rPr>
      </w:pPr>
      <w:r w:rsidRPr="005F6A32">
        <w:rPr>
          <w:rFonts w:ascii="Trebuchet MS" w:hAnsi="Trebuchet MS" w:cs="Arial"/>
          <w:sz w:val="22"/>
          <w:szCs w:val="22"/>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656C72" w:rsidRPr="005F6A32" w:rsidRDefault="00656C72" w:rsidP="00656C72">
      <w:pPr>
        <w:pStyle w:val="Default"/>
        <w:rPr>
          <w:rFonts w:ascii="Trebuchet MS" w:hAnsi="Trebuchet MS"/>
          <w:sz w:val="22"/>
          <w:szCs w:val="22"/>
          <w:lang w:val="ro-RO"/>
        </w:rPr>
      </w:pPr>
      <w:r w:rsidRPr="005F6A32">
        <w:rPr>
          <w:rFonts w:ascii="Trebuchet MS" w:hAnsi="Trebuchet MS"/>
          <w:sz w:val="22"/>
          <w:szCs w:val="22"/>
          <w:lang w:val="ro-RO"/>
        </w:rPr>
        <w:t>grafic 1.2.3.5 Contribuţia tipurilor de vehicule, la emisiile de  poluanti organici persistenti in anul 2023</w:t>
      </w:r>
    </w:p>
    <w:p w:rsidR="00AE762B" w:rsidRPr="0059186B" w:rsidRDefault="00656C72" w:rsidP="009A7611">
      <w:pPr>
        <w:tabs>
          <w:tab w:val="left" w:pos="1350"/>
        </w:tabs>
        <w:rPr>
          <w:rFonts w:ascii="Arial" w:hAnsi="Arial" w:cs="Arial"/>
          <w:lang w:val="fr-FR"/>
        </w:rPr>
      </w:pPr>
      <w:r>
        <w:rPr>
          <w:rFonts w:ascii="Arial" w:hAnsi="Arial" w:cs="Arial"/>
          <w:noProof/>
          <w:color w:val="000000"/>
          <w:lang w:val="en-US"/>
        </w:rPr>
        <w:drawing>
          <wp:inline distT="0" distB="0" distL="0" distR="0" wp14:anchorId="303CC07F" wp14:editId="25B18F19">
            <wp:extent cx="5943600" cy="4171950"/>
            <wp:effectExtent l="0" t="0" r="0" b="0"/>
            <wp:docPr id="57" name="Objec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E762B" w:rsidRPr="0059186B" w:rsidRDefault="00AE762B" w:rsidP="009A7611">
      <w:pPr>
        <w:tabs>
          <w:tab w:val="left" w:pos="720"/>
        </w:tabs>
        <w:jc w:val="both"/>
        <w:rPr>
          <w:rFonts w:ascii="Arial" w:hAnsi="Arial" w:cs="Arial"/>
          <w:lang w:val="fr-FR"/>
        </w:rPr>
      </w:pPr>
    </w:p>
    <w:p w:rsidR="00AE762B" w:rsidRPr="005F6A32" w:rsidRDefault="00AE762B" w:rsidP="009A7611">
      <w:pPr>
        <w:tabs>
          <w:tab w:val="left" w:pos="720"/>
        </w:tabs>
        <w:jc w:val="both"/>
        <w:rPr>
          <w:rFonts w:ascii="Arial" w:hAnsi="Arial" w:cs="Arial"/>
          <w:sz w:val="22"/>
          <w:szCs w:val="22"/>
          <w:lang w:val="it-IT"/>
        </w:rPr>
      </w:pPr>
      <w:r w:rsidRPr="005F6A32">
        <w:rPr>
          <w:rFonts w:ascii="Arial" w:hAnsi="Arial" w:cs="Arial"/>
          <w:sz w:val="22"/>
          <w:szCs w:val="22"/>
          <w:lang w:val="it-IT"/>
        </w:rPr>
        <w:t>B. Alte date şi informaţii specifice</w:t>
      </w:r>
    </w:p>
    <w:p w:rsidR="00AE762B" w:rsidRPr="005F6A32" w:rsidRDefault="00AE762B" w:rsidP="009A7611">
      <w:pPr>
        <w:tabs>
          <w:tab w:val="left" w:pos="720"/>
        </w:tabs>
        <w:jc w:val="both"/>
        <w:rPr>
          <w:rFonts w:ascii="Arial" w:hAnsi="Arial" w:cs="Arial"/>
          <w:sz w:val="22"/>
          <w:szCs w:val="22"/>
          <w:lang w:val="it-IT"/>
        </w:rPr>
      </w:pPr>
    </w:p>
    <w:p w:rsidR="00AE762B" w:rsidRPr="005F6A32" w:rsidRDefault="00AE762B" w:rsidP="009A7611">
      <w:pPr>
        <w:tabs>
          <w:tab w:val="left" w:pos="720"/>
        </w:tabs>
        <w:jc w:val="both"/>
        <w:rPr>
          <w:rFonts w:ascii="Arial" w:hAnsi="Arial" w:cs="Arial"/>
          <w:sz w:val="22"/>
          <w:szCs w:val="22"/>
          <w:lang w:val="it-IT"/>
        </w:rPr>
      </w:pPr>
      <w:r w:rsidRPr="005F6A32">
        <w:rPr>
          <w:rFonts w:ascii="Arial" w:hAnsi="Arial" w:cs="Arial"/>
          <w:sz w:val="22"/>
          <w:szCs w:val="22"/>
          <w:lang w:val="it-IT"/>
        </w:rPr>
        <w:tab/>
        <w:t>Emisiile de substante cu efect de acidifiere din cadrul sectorului transporturi provin pentru NOx de la Vehicule grele (ca nivel de emisie) si apoi de la autoturisme (datorita numarului mai mare)</w:t>
      </w:r>
    </w:p>
    <w:p w:rsidR="00AE762B" w:rsidRPr="005F6A32" w:rsidRDefault="00AE762B" w:rsidP="009A7611">
      <w:pPr>
        <w:tabs>
          <w:tab w:val="left" w:pos="720"/>
        </w:tabs>
        <w:jc w:val="both"/>
        <w:rPr>
          <w:rFonts w:ascii="Arial" w:hAnsi="Arial" w:cs="Arial"/>
          <w:sz w:val="22"/>
          <w:szCs w:val="22"/>
          <w:lang w:val="it-IT"/>
        </w:rPr>
      </w:pPr>
      <w:r w:rsidRPr="005F6A32">
        <w:rPr>
          <w:rFonts w:ascii="Arial" w:hAnsi="Arial" w:cs="Arial"/>
          <w:sz w:val="22"/>
          <w:szCs w:val="22"/>
          <w:lang w:val="it-IT"/>
        </w:rPr>
        <w:tab/>
        <w:t xml:space="preserve">Emisiile de precursori ai ozonului din cadrul sectorului transporturi provin in cea mai mare parte de la autoturisme (pentru CO şi NMVOC), urmat de </w:t>
      </w:r>
      <w:r w:rsidR="009753A9" w:rsidRPr="005F6A32">
        <w:rPr>
          <w:rFonts w:ascii="Arial" w:hAnsi="Arial" w:cs="Arial"/>
          <w:sz w:val="22"/>
          <w:szCs w:val="22"/>
          <w:lang w:val="it-IT"/>
        </w:rPr>
        <w:t xml:space="preserve">vehiculele grele </w:t>
      </w:r>
      <w:r w:rsidRPr="005F6A32">
        <w:rPr>
          <w:rFonts w:ascii="Arial" w:hAnsi="Arial" w:cs="Arial"/>
          <w:sz w:val="22"/>
          <w:szCs w:val="22"/>
          <w:lang w:val="it-IT"/>
        </w:rPr>
        <w:t xml:space="preserve">şi apoi de </w:t>
      </w:r>
      <w:r w:rsidR="009753A9" w:rsidRPr="005F6A32">
        <w:rPr>
          <w:rFonts w:ascii="Arial" w:hAnsi="Arial" w:cs="Arial"/>
          <w:sz w:val="22"/>
          <w:szCs w:val="22"/>
          <w:lang w:val="it-IT"/>
        </w:rPr>
        <w:t>vehicule usoare</w:t>
      </w:r>
      <w:r w:rsidRPr="005F6A32">
        <w:rPr>
          <w:rFonts w:ascii="Arial" w:hAnsi="Arial" w:cs="Arial"/>
          <w:sz w:val="22"/>
          <w:szCs w:val="22"/>
          <w:lang w:val="it-IT"/>
        </w:rPr>
        <w:t>. Pentru NOx ramân valabile comentariile de la pc. anterior</w:t>
      </w:r>
    </w:p>
    <w:p w:rsidR="00AE762B" w:rsidRPr="005F6A32" w:rsidRDefault="00AE762B" w:rsidP="009A7611">
      <w:pPr>
        <w:tabs>
          <w:tab w:val="left" w:pos="720"/>
        </w:tabs>
        <w:jc w:val="both"/>
        <w:rPr>
          <w:rFonts w:ascii="Arial" w:hAnsi="Arial" w:cs="Arial"/>
          <w:sz w:val="22"/>
          <w:szCs w:val="22"/>
          <w:lang w:val="it-IT"/>
        </w:rPr>
      </w:pPr>
      <w:r w:rsidRPr="005F6A32">
        <w:rPr>
          <w:rFonts w:ascii="Arial" w:hAnsi="Arial" w:cs="Arial"/>
          <w:sz w:val="22"/>
          <w:szCs w:val="22"/>
          <w:lang w:val="it-IT"/>
        </w:rPr>
        <w:tab/>
        <w:t>PM 10 şi PM 2,5 se comporta similar ca şi contribuţie a tipului de vehicul, emisiile provenind în primul rând de la autoturisme (nr mai mare), apoi de la vehiculele grele (emisii mai mari pt acest tip de vehicule), apoi urmand vehiculele usoare si foarte jos motoretele si mopedele.</w:t>
      </w:r>
    </w:p>
    <w:p w:rsidR="00AE762B" w:rsidRPr="005F6A32" w:rsidRDefault="00AE762B" w:rsidP="009A7611">
      <w:pPr>
        <w:tabs>
          <w:tab w:val="left" w:pos="720"/>
        </w:tabs>
        <w:jc w:val="both"/>
        <w:rPr>
          <w:rFonts w:ascii="Arial" w:hAnsi="Arial" w:cs="Arial"/>
          <w:sz w:val="22"/>
          <w:szCs w:val="22"/>
          <w:lang w:val="it-IT"/>
        </w:rPr>
      </w:pPr>
      <w:r w:rsidRPr="005F6A32">
        <w:rPr>
          <w:rFonts w:ascii="Arial" w:hAnsi="Arial" w:cs="Arial"/>
          <w:sz w:val="22"/>
          <w:szCs w:val="22"/>
          <w:lang w:val="it-IT"/>
        </w:rPr>
        <w:tab/>
        <w:t>Contributia este aproape identică în cazul emisiilor de metale grele</w:t>
      </w:r>
      <w:r w:rsidR="002F2A89" w:rsidRPr="005F6A32">
        <w:rPr>
          <w:rFonts w:ascii="Arial" w:hAnsi="Arial" w:cs="Arial"/>
          <w:sz w:val="22"/>
          <w:szCs w:val="22"/>
          <w:lang w:val="it-IT"/>
        </w:rPr>
        <w:t>.</w:t>
      </w:r>
    </w:p>
    <w:p w:rsidR="00AE762B" w:rsidRPr="005F6A32" w:rsidRDefault="00AE762B" w:rsidP="009A7611">
      <w:pPr>
        <w:tabs>
          <w:tab w:val="left" w:pos="720"/>
        </w:tabs>
        <w:jc w:val="both"/>
        <w:rPr>
          <w:rFonts w:ascii="Arial" w:hAnsi="Arial" w:cs="Arial"/>
          <w:sz w:val="22"/>
          <w:szCs w:val="22"/>
          <w:lang w:val="it-IT"/>
        </w:rPr>
      </w:pP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1.2.4  Agricultura</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NU ESTE CAZUL PENTRU BUCURESTI</w:t>
      </w:r>
    </w:p>
    <w:p w:rsidR="00AE762B" w:rsidRPr="00323DA4" w:rsidRDefault="00AE762B" w:rsidP="009A7611">
      <w:pPr>
        <w:tabs>
          <w:tab w:val="left" w:pos="720"/>
        </w:tabs>
        <w:jc w:val="both"/>
        <w:rPr>
          <w:rFonts w:ascii="Trebuchet MS" w:hAnsi="Trebuchet MS" w:cs="Arial"/>
          <w:b/>
          <w:bCs/>
          <w:i/>
          <w:iCs/>
          <w:lang w:val="it-IT"/>
        </w:rPr>
      </w:pPr>
      <w:r w:rsidRPr="005F6A32">
        <w:rPr>
          <w:rFonts w:ascii="Trebuchet MS" w:hAnsi="Trebuchet MS" w:cs="Arial"/>
          <w:sz w:val="22"/>
          <w:szCs w:val="22"/>
          <w:lang w:val="it-IT"/>
        </w:rPr>
        <w:br w:type="page"/>
      </w:r>
      <w:r w:rsidRPr="00323DA4">
        <w:rPr>
          <w:rFonts w:ascii="Trebuchet MS" w:hAnsi="Trebuchet MS" w:cs="Arial"/>
          <w:b/>
          <w:bCs/>
          <w:i/>
          <w:iCs/>
          <w:lang w:val="it-IT"/>
        </w:rPr>
        <w:t>I.3. Tendinţe şi prognoze privind poluarea aerului înconjurător</w:t>
      </w:r>
    </w:p>
    <w:p w:rsidR="00AE762B" w:rsidRPr="00323DA4" w:rsidRDefault="00AE762B" w:rsidP="009A7611">
      <w:pPr>
        <w:tabs>
          <w:tab w:val="left" w:pos="720"/>
        </w:tabs>
        <w:jc w:val="both"/>
        <w:rPr>
          <w:rFonts w:ascii="Trebuchet MS" w:hAnsi="Trebuchet MS" w:cs="Arial"/>
          <w:b/>
          <w:bCs/>
          <w:i/>
          <w:iCs/>
          <w:lang w:val="it-IT"/>
        </w:rPr>
      </w:pP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 xml:space="preserve">A. Indicatori specifici </w:t>
      </w: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COD INDICATOR</w:t>
      </w:r>
      <w:r w:rsidRPr="005F6A32">
        <w:rPr>
          <w:rFonts w:ascii="Trebuchet MS" w:hAnsi="Trebuchet MS"/>
          <w:sz w:val="22"/>
          <w:szCs w:val="22"/>
          <w:lang w:val="it-IT"/>
        </w:rPr>
        <w:t xml:space="preserve"> </w:t>
      </w:r>
    </w:p>
    <w:p w:rsidR="00AE762B" w:rsidRPr="005F6A32" w:rsidRDefault="00AE762B" w:rsidP="009A7611">
      <w:pPr>
        <w:pStyle w:val="Default"/>
        <w:rPr>
          <w:rFonts w:ascii="Trebuchet MS" w:hAnsi="Trebuchet MS"/>
          <w:sz w:val="22"/>
          <w:szCs w:val="22"/>
          <w:lang w:val="it-IT"/>
        </w:rPr>
      </w:pPr>
      <w:r w:rsidRPr="005F6A32">
        <w:rPr>
          <w:rFonts w:ascii="Trebuchet MS" w:hAnsi="Trebuchet MS"/>
          <w:sz w:val="22"/>
          <w:szCs w:val="22"/>
          <w:lang w:val="it-IT"/>
        </w:rPr>
        <w:t xml:space="preserve">Cod indicator România: </w:t>
      </w:r>
      <w:r w:rsidRPr="005F6A32">
        <w:rPr>
          <w:rFonts w:ascii="Trebuchet MS" w:hAnsi="Trebuchet MS"/>
          <w:b/>
          <w:bCs/>
          <w:sz w:val="22"/>
          <w:szCs w:val="22"/>
          <w:lang w:val="it-IT"/>
        </w:rPr>
        <w:t>RO 01</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AEM: </w:t>
      </w:r>
      <w:r w:rsidRPr="005F6A32">
        <w:rPr>
          <w:rFonts w:ascii="Trebuchet MS" w:hAnsi="Trebuchet MS"/>
          <w:b/>
          <w:bCs/>
          <w:sz w:val="22"/>
          <w:szCs w:val="22"/>
          <w:lang w:val="pt-BR"/>
        </w:rPr>
        <w:t xml:space="preserve">CSI 01 </w:t>
      </w:r>
    </w:p>
    <w:p w:rsidR="00AE762B" w:rsidRPr="005F6A32" w:rsidRDefault="00AE762B" w:rsidP="009A7611">
      <w:pPr>
        <w:pStyle w:val="Default"/>
        <w:rPr>
          <w:rFonts w:ascii="Trebuchet MS" w:hAnsi="Trebuchet MS"/>
          <w:sz w:val="22"/>
          <w:szCs w:val="22"/>
          <w:lang w:val="pt-BR"/>
        </w:rPr>
      </w:pPr>
      <w:r w:rsidRPr="005F6A32">
        <w:rPr>
          <w:rFonts w:ascii="Trebuchet MS" w:hAnsi="Trebuchet MS"/>
          <w:b/>
          <w:bCs/>
          <w:sz w:val="22"/>
          <w:szCs w:val="22"/>
          <w:lang w:val="pt-BR"/>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EMISIILE DE SUBSTANŢE ACIDIFIANTE</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jc w:val="both"/>
        <w:rPr>
          <w:rFonts w:ascii="Trebuchet MS" w:hAnsi="Trebuchet MS" w:cs="Arial"/>
          <w:sz w:val="22"/>
          <w:szCs w:val="22"/>
          <w:lang w:val="ro-RO"/>
        </w:rPr>
      </w:pPr>
      <w:r w:rsidRPr="005F6A32">
        <w:rPr>
          <w:rFonts w:ascii="Trebuchet MS" w:hAnsi="Trebuchet MS" w:cs="Arial"/>
          <w:sz w:val="22"/>
          <w:szCs w:val="22"/>
          <w:lang w:val="ro-RO"/>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323DA4" w:rsidRPr="005F6A32" w:rsidRDefault="00AE762B" w:rsidP="002A6CBB">
      <w:pPr>
        <w:autoSpaceDE w:val="0"/>
        <w:autoSpaceDN w:val="0"/>
        <w:adjustRightInd w:val="0"/>
        <w:rPr>
          <w:rFonts w:ascii="Trebuchet MS" w:hAnsi="Trebuchet MS" w:cs="Arial"/>
          <w:sz w:val="22"/>
          <w:szCs w:val="22"/>
          <w:lang w:val="pt-BR"/>
        </w:rPr>
      </w:pPr>
      <w:r w:rsidRPr="005F6A32">
        <w:rPr>
          <w:rFonts w:ascii="Trebuchet MS" w:hAnsi="Trebuchet MS" w:cs="Arial"/>
          <w:color w:val="000000"/>
          <w:sz w:val="22"/>
          <w:szCs w:val="22"/>
          <w:lang w:val="pt-BR"/>
        </w:rPr>
        <w:t xml:space="preserve">grafic 1.3.1. </w:t>
      </w:r>
      <w:r w:rsidRPr="005F6A32">
        <w:rPr>
          <w:rFonts w:ascii="Trebuchet MS" w:hAnsi="Trebuchet MS" w:cs="Arial"/>
          <w:sz w:val="22"/>
          <w:szCs w:val="22"/>
          <w:lang w:val="pt-BR"/>
        </w:rPr>
        <w:t>Tendinta emisiilor de poluanti cu efect de acidifiere</w:t>
      </w:r>
    </w:p>
    <w:p w:rsidR="00323DA4" w:rsidRPr="005F6A32" w:rsidRDefault="00323DA4" w:rsidP="002A6CBB">
      <w:pPr>
        <w:autoSpaceDE w:val="0"/>
        <w:autoSpaceDN w:val="0"/>
        <w:adjustRightInd w:val="0"/>
        <w:rPr>
          <w:rFonts w:ascii="Trebuchet MS" w:hAnsi="Trebuchet MS" w:cs="Arial"/>
          <w:sz w:val="22"/>
          <w:szCs w:val="22"/>
          <w:lang w:val="pt-BR"/>
        </w:rPr>
      </w:pPr>
    </w:p>
    <w:p w:rsidR="00AE762B" w:rsidRDefault="002A6CBB" w:rsidP="002A6CBB">
      <w:pPr>
        <w:autoSpaceDE w:val="0"/>
        <w:autoSpaceDN w:val="0"/>
        <w:adjustRightInd w:val="0"/>
        <w:rPr>
          <w:b/>
          <w:bCs/>
          <w:lang w:val="pt-BR"/>
        </w:rPr>
      </w:pPr>
      <w:r>
        <w:rPr>
          <w:noProof/>
          <w:lang w:val="en-US"/>
        </w:rPr>
        <w:drawing>
          <wp:inline distT="0" distB="0" distL="0" distR="0" wp14:anchorId="6435951D" wp14:editId="76A6565E">
            <wp:extent cx="5939790" cy="4254547"/>
            <wp:effectExtent l="0" t="0" r="0" b="0"/>
            <wp:docPr id="58" name="Objec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E762B" w:rsidRDefault="00AE762B" w:rsidP="009A7611">
      <w:pPr>
        <w:pStyle w:val="Default"/>
        <w:rPr>
          <w:b/>
          <w:bCs/>
          <w:lang w:val="pt-BR"/>
        </w:rPr>
      </w:pPr>
    </w:p>
    <w:p w:rsidR="00AE762B" w:rsidRPr="00323DA4" w:rsidRDefault="00AE762B" w:rsidP="009A7611">
      <w:pPr>
        <w:pStyle w:val="Default"/>
        <w:rPr>
          <w:rFonts w:ascii="Trebuchet MS" w:hAnsi="Trebuchet MS"/>
          <w:b/>
          <w:bCs/>
          <w:lang w:val="pt-BR"/>
        </w:rPr>
      </w:pPr>
    </w:p>
    <w:p w:rsidR="00CF7D4C" w:rsidRPr="00323DA4" w:rsidRDefault="00CF7D4C" w:rsidP="009A7611">
      <w:pPr>
        <w:pStyle w:val="Default"/>
        <w:rPr>
          <w:rFonts w:ascii="Trebuchet MS" w:hAnsi="Trebuchet MS"/>
          <w:b/>
          <w:bCs/>
          <w:lang w:val="pt-BR"/>
        </w:rPr>
      </w:pPr>
    </w:p>
    <w:p w:rsidR="00CF7D4C" w:rsidRPr="00323DA4" w:rsidRDefault="00CF7D4C" w:rsidP="009A7611">
      <w:pPr>
        <w:pStyle w:val="Default"/>
        <w:rPr>
          <w:rFonts w:ascii="Trebuchet MS" w:hAnsi="Trebuchet MS"/>
          <w:b/>
          <w:bCs/>
          <w:lang w:val="pt-BR"/>
        </w:rPr>
      </w:pPr>
    </w:p>
    <w:p w:rsidR="00AE762B" w:rsidRPr="00323DA4" w:rsidRDefault="00AE762B" w:rsidP="009A7611">
      <w:pPr>
        <w:pStyle w:val="Default"/>
        <w:rPr>
          <w:rFonts w:ascii="Trebuchet MS" w:hAnsi="Trebuchet MS"/>
          <w:b/>
          <w:bCs/>
          <w:lang w:val="pt-BR"/>
        </w:rPr>
      </w:pPr>
    </w:p>
    <w:p w:rsidR="00323DA4" w:rsidRPr="00323DA4" w:rsidRDefault="00323DA4" w:rsidP="009A7611">
      <w:pPr>
        <w:pStyle w:val="Default"/>
        <w:rPr>
          <w:rFonts w:ascii="Trebuchet MS" w:hAnsi="Trebuchet MS"/>
          <w:b/>
          <w:bCs/>
          <w:lang w:val="pt-BR"/>
        </w:rPr>
      </w:pPr>
    </w:p>
    <w:p w:rsidR="00323DA4" w:rsidRPr="00323DA4" w:rsidRDefault="00323DA4" w:rsidP="009A7611">
      <w:pPr>
        <w:pStyle w:val="Default"/>
        <w:rPr>
          <w:rFonts w:ascii="Trebuchet MS" w:hAnsi="Trebuchet MS"/>
          <w:b/>
          <w:bCs/>
          <w:lang w:val="pt-BR"/>
        </w:rPr>
      </w:pPr>
    </w:p>
    <w:p w:rsidR="00323DA4" w:rsidRPr="00323DA4" w:rsidRDefault="00323DA4" w:rsidP="009A7611">
      <w:pPr>
        <w:pStyle w:val="Default"/>
        <w:rPr>
          <w:rFonts w:ascii="Trebuchet MS" w:hAnsi="Trebuchet MS"/>
          <w:b/>
          <w:bCs/>
          <w:lang w:val="pt-BR"/>
        </w:rPr>
      </w:pPr>
    </w:p>
    <w:p w:rsidR="00323DA4" w:rsidRDefault="00323DA4" w:rsidP="009A7611">
      <w:pPr>
        <w:pStyle w:val="Default"/>
        <w:rPr>
          <w:rFonts w:ascii="Trebuchet MS" w:hAnsi="Trebuchet MS"/>
          <w:b/>
          <w:bCs/>
          <w:lang w:val="pt-BR"/>
        </w:rPr>
      </w:pPr>
    </w:p>
    <w:p w:rsidR="005F6A32" w:rsidRPr="00323DA4" w:rsidRDefault="005F6A32" w:rsidP="009A7611">
      <w:pPr>
        <w:pStyle w:val="Default"/>
        <w:rPr>
          <w:rFonts w:ascii="Trebuchet MS" w:hAnsi="Trebuchet MS"/>
          <w:b/>
          <w:bCs/>
          <w:lang w:val="pt-BR"/>
        </w:rPr>
      </w:pPr>
    </w:p>
    <w:p w:rsidR="00AE762B" w:rsidRPr="00323DA4" w:rsidRDefault="00AE762B" w:rsidP="009A7611">
      <w:pPr>
        <w:pStyle w:val="Default"/>
        <w:rPr>
          <w:rFonts w:ascii="Trebuchet MS" w:hAnsi="Trebuchet MS"/>
          <w:b/>
          <w:bCs/>
          <w:lang w:val="pt-BR"/>
        </w:rPr>
      </w:pP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COD INDICATOR</w:t>
      </w:r>
      <w:r w:rsidRPr="005F6A32">
        <w:rPr>
          <w:rFonts w:ascii="Trebuchet MS" w:hAnsi="Trebuchet MS"/>
          <w:sz w:val="22"/>
          <w:szCs w:val="22"/>
          <w:lang w:val="it-IT"/>
        </w:rPr>
        <w:t xml:space="preserve"> </w:t>
      </w:r>
    </w:p>
    <w:p w:rsidR="00AE762B" w:rsidRPr="005F6A32" w:rsidRDefault="00AE762B" w:rsidP="009A7611">
      <w:pPr>
        <w:pStyle w:val="Default"/>
        <w:rPr>
          <w:rFonts w:ascii="Trebuchet MS" w:hAnsi="Trebuchet MS"/>
          <w:sz w:val="22"/>
          <w:szCs w:val="22"/>
          <w:lang w:val="it-IT"/>
        </w:rPr>
      </w:pPr>
      <w:r w:rsidRPr="005F6A32">
        <w:rPr>
          <w:rFonts w:ascii="Trebuchet MS" w:hAnsi="Trebuchet MS"/>
          <w:sz w:val="22"/>
          <w:szCs w:val="22"/>
          <w:lang w:val="it-IT"/>
        </w:rPr>
        <w:t xml:space="preserve">Cod indicator România: </w:t>
      </w:r>
      <w:r w:rsidRPr="005F6A32">
        <w:rPr>
          <w:rFonts w:ascii="Trebuchet MS" w:hAnsi="Trebuchet MS"/>
          <w:b/>
          <w:bCs/>
          <w:sz w:val="22"/>
          <w:szCs w:val="22"/>
          <w:lang w:val="it-IT"/>
        </w:rPr>
        <w:t>RO 02</w:t>
      </w:r>
    </w:p>
    <w:p w:rsidR="00AE762B" w:rsidRPr="005F6A32" w:rsidRDefault="00AE762B" w:rsidP="009A7611">
      <w:pPr>
        <w:pStyle w:val="Default"/>
        <w:rPr>
          <w:rFonts w:ascii="Trebuchet MS" w:hAnsi="Trebuchet MS"/>
          <w:sz w:val="22"/>
          <w:szCs w:val="22"/>
          <w:lang w:val="it-IT"/>
        </w:rPr>
      </w:pPr>
      <w:r w:rsidRPr="005F6A32">
        <w:rPr>
          <w:rFonts w:ascii="Trebuchet MS" w:hAnsi="Trebuchet MS"/>
          <w:sz w:val="22"/>
          <w:szCs w:val="22"/>
          <w:lang w:val="it-IT"/>
        </w:rPr>
        <w:t xml:space="preserve">Cod indicator AEM: </w:t>
      </w:r>
      <w:r w:rsidRPr="005F6A32">
        <w:rPr>
          <w:rFonts w:ascii="Trebuchet MS" w:hAnsi="Trebuchet MS"/>
          <w:b/>
          <w:bCs/>
          <w:sz w:val="22"/>
          <w:szCs w:val="22"/>
          <w:lang w:val="it-IT"/>
        </w:rPr>
        <w:t xml:space="preserve">CSI 02 </w:t>
      </w:r>
    </w:p>
    <w:p w:rsidR="00AE762B" w:rsidRPr="005F6A32" w:rsidRDefault="00AE762B" w:rsidP="009A7611">
      <w:pPr>
        <w:pStyle w:val="Default"/>
        <w:rPr>
          <w:rFonts w:ascii="Trebuchet MS" w:hAnsi="Trebuchet MS"/>
          <w:sz w:val="22"/>
          <w:szCs w:val="22"/>
          <w:lang w:val="it-IT"/>
        </w:rPr>
      </w:pPr>
      <w:r w:rsidRPr="005F6A32">
        <w:rPr>
          <w:rFonts w:ascii="Trebuchet MS" w:hAnsi="Trebuchet MS"/>
          <w:b/>
          <w:bCs/>
          <w:sz w:val="22"/>
          <w:szCs w:val="22"/>
          <w:lang w:val="it-IT"/>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EMISIILE DE PRECURSORI AI OZONULUI</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rPr>
          <w:rFonts w:ascii="Trebuchet MS" w:hAnsi="Trebuchet MS" w:cs="Arial"/>
          <w:sz w:val="22"/>
          <w:szCs w:val="22"/>
          <w:lang w:val="ro-RO"/>
        </w:rPr>
      </w:pPr>
      <w:r w:rsidRPr="005F6A32">
        <w:rPr>
          <w:rFonts w:ascii="Trebuchet MS" w:hAnsi="Trebuchet MS" w:cs="Arial"/>
          <w:sz w:val="22"/>
          <w:szCs w:val="22"/>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pt-BR"/>
        </w:rPr>
      </w:pPr>
      <w:r w:rsidRPr="005F6A32">
        <w:rPr>
          <w:rFonts w:ascii="Trebuchet MS" w:hAnsi="Trebuchet MS" w:cs="Arial"/>
          <w:color w:val="000000"/>
          <w:sz w:val="22"/>
          <w:szCs w:val="22"/>
          <w:lang w:val="pt-BR"/>
        </w:rPr>
        <w:t xml:space="preserve">grafic 1.3.2. </w:t>
      </w:r>
      <w:r w:rsidRPr="005F6A32">
        <w:rPr>
          <w:rFonts w:ascii="Trebuchet MS" w:hAnsi="Trebuchet MS" w:cs="Arial"/>
          <w:sz w:val="22"/>
          <w:szCs w:val="22"/>
          <w:lang w:val="pt-BR"/>
        </w:rPr>
        <w:t>Tendinţa emisiilor de precursori ai ozonului</w:t>
      </w:r>
    </w:p>
    <w:p w:rsidR="00AE762B" w:rsidRPr="00153601" w:rsidRDefault="000946BE" w:rsidP="009A7611">
      <w:pPr>
        <w:autoSpaceDE w:val="0"/>
        <w:autoSpaceDN w:val="0"/>
        <w:adjustRightInd w:val="0"/>
        <w:rPr>
          <w:rFonts w:ascii="Arial" w:hAnsi="Arial" w:cs="Arial"/>
          <w:color w:val="000000"/>
          <w:lang w:val="pt-BR"/>
        </w:rPr>
      </w:pPr>
      <w:bookmarkStart w:id="112" w:name="_MON_1722144169"/>
      <w:bookmarkStart w:id="113" w:name="_MON_1566371361"/>
      <w:bookmarkStart w:id="114" w:name="_MON_1722144480"/>
      <w:bookmarkStart w:id="115" w:name="_MON_1566371454"/>
      <w:bookmarkEnd w:id="112"/>
      <w:bookmarkEnd w:id="113"/>
      <w:bookmarkEnd w:id="114"/>
      <w:bookmarkEnd w:id="115"/>
      <w:r>
        <w:rPr>
          <w:noProof/>
          <w:lang w:val="en-US"/>
        </w:rPr>
        <w:drawing>
          <wp:inline distT="0" distB="0" distL="0" distR="0" wp14:anchorId="0D125FC2" wp14:editId="14F04090">
            <wp:extent cx="5181600" cy="3133725"/>
            <wp:effectExtent l="0" t="0" r="0" b="0"/>
            <wp:docPr id="42" name="Object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E762B" w:rsidRDefault="00AE762B" w:rsidP="009A7611">
      <w:pPr>
        <w:rPr>
          <w:rFonts w:ascii="Arial" w:hAnsi="Arial" w:cs="Arial"/>
          <w:lang w:val="pt-BR"/>
        </w:rPr>
      </w:pPr>
    </w:p>
    <w:p w:rsidR="00AE762B" w:rsidRPr="005F6A32" w:rsidRDefault="00AE762B" w:rsidP="009A7611">
      <w:pPr>
        <w:pStyle w:val="Default"/>
        <w:rPr>
          <w:rFonts w:ascii="Trebuchet MS" w:hAnsi="Trebuchet MS"/>
          <w:sz w:val="22"/>
          <w:szCs w:val="22"/>
          <w:lang w:val="pt-BR"/>
        </w:rPr>
      </w:pPr>
      <w:r>
        <w:rPr>
          <w:lang w:val="pt-BR"/>
        </w:rPr>
        <w:br w:type="page"/>
      </w:r>
      <w:r w:rsidRPr="005F6A32">
        <w:rPr>
          <w:rFonts w:ascii="Trebuchet MS" w:hAnsi="Trebuchet MS"/>
          <w:b/>
          <w:bCs/>
          <w:sz w:val="22"/>
          <w:szCs w:val="22"/>
          <w:lang w:val="pt-BR"/>
        </w:rPr>
        <w:t>COD INDICATOR</w:t>
      </w:r>
      <w:r w:rsidRPr="005F6A32">
        <w:rPr>
          <w:rFonts w:ascii="Trebuchet MS" w:hAnsi="Trebuchet MS"/>
          <w:sz w:val="22"/>
          <w:szCs w:val="22"/>
          <w:lang w:val="pt-BR"/>
        </w:rPr>
        <w:t xml:space="preserve"> </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România: </w:t>
      </w:r>
      <w:r w:rsidRPr="005F6A32">
        <w:rPr>
          <w:rFonts w:ascii="Trebuchet MS" w:hAnsi="Trebuchet MS"/>
          <w:b/>
          <w:bCs/>
          <w:sz w:val="22"/>
          <w:szCs w:val="22"/>
          <w:lang w:val="pt-BR"/>
        </w:rPr>
        <w:t>RO 03</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AEM: </w:t>
      </w:r>
      <w:r w:rsidRPr="005F6A32">
        <w:rPr>
          <w:rFonts w:ascii="Trebuchet MS" w:hAnsi="Trebuchet MS"/>
          <w:b/>
          <w:bCs/>
          <w:sz w:val="22"/>
          <w:szCs w:val="22"/>
          <w:lang w:val="pt-BR"/>
        </w:rPr>
        <w:t xml:space="preserve">CSI 03 </w:t>
      </w:r>
    </w:p>
    <w:p w:rsidR="00AE762B" w:rsidRPr="005F6A32" w:rsidRDefault="00AE762B" w:rsidP="009A7611">
      <w:pPr>
        <w:pStyle w:val="Default"/>
        <w:rPr>
          <w:rFonts w:ascii="Trebuchet MS" w:hAnsi="Trebuchet MS"/>
          <w:sz w:val="22"/>
          <w:szCs w:val="22"/>
          <w:lang w:val="pt-BR"/>
        </w:rPr>
      </w:pPr>
      <w:r w:rsidRPr="005F6A32">
        <w:rPr>
          <w:rFonts w:ascii="Trebuchet MS" w:hAnsi="Trebuchet MS"/>
          <w:b/>
          <w:bCs/>
          <w:sz w:val="22"/>
          <w:szCs w:val="22"/>
          <w:lang w:val="pt-BR"/>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PARTICULE PRIMARE SI PRECURSORI SECUNDARI DE PARTICULE</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color w:val="000000"/>
          <w:sz w:val="22"/>
          <w:szCs w:val="22"/>
          <w:lang w:val="ro-RO"/>
        </w:rPr>
      </w:pPr>
      <w:r w:rsidRPr="005F6A32">
        <w:rPr>
          <w:rFonts w:ascii="Trebuchet MS" w:hAnsi="Trebuchet MS" w:cs="Arial"/>
          <w:sz w:val="22"/>
          <w:szCs w:val="22"/>
          <w:lang w:val="ro-RO"/>
        </w:rPr>
        <w:t xml:space="preserve">Acest indicator prezintă tendinţele emisiilor de particule primare cu diametrul mai mic de 2,5 </w:t>
      </w:r>
      <w:r w:rsidRPr="005F6A32">
        <w:rPr>
          <w:rFonts w:ascii="Trebuchet MS" w:hAnsi="Trebuchet MS" w:cs="Arial"/>
          <w:sz w:val="22"/>
          <w:szCs w:val="22"/>
        </w:rPr>
        <w:t>μ</w:t>
      </w:r>
      <w:r w:rsidRPr="005F6A32">
        <w:rPr>
          <w:rFonts w:ascii="Trebuchet MS" w:hAnsi="Trebuchet MS" w:cs="Arial"/>
          <w:sz w:val="22"/>
          <w:szCs w:val="22"/>
          <w:lang w:val="ro-RO"/>
        </w:rPr>
        <w:t xml:space="preserve">m (PM2,5) şi respectiv 10 </w:t>
      </w:r>
      <w:r w:rsidRPr="005F6A32">
        <w:rPr>
          <w:rFonts w:ascii="Trebuchet MS" w:hAnsi="Trebuchet MS" w:cs="Arial"/>
          <w:sz w:val="22"/>
          <w:szCs w:val="22"/>
        </w:rPr>
        <w:t>μ</w:t>
      </w:r>
      <w:r w:rsidRPr="005F6A32">
        <w:rPr>
          <w:rFonts w:ascii="Trebuchet MS" w:hAnsi="Trebuchet MS" w:cs="Arial"/>
          <w:sz w:val="22"/>
          <w:szCs w:val="22"/>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pt-BR"/>
        </w:rPr>
      </w:pPr>
      <w:r w:rsidRPr="005F6A32">
        <w:rPr>
          <w:rFonts w:ascii="Trebuchet MS" w:hAnsi="Trebuchet MS" w:cs="Arial"/>
          <w:color w:val="000000"/>
          <w:sz w:val="22"/>
          <w:szCs w:val="22"/>
          <w:lang w:val="pt-BR"/>
        </w:rPr>
        <w:t xml:space="preserve">grafic 1.3.3. </w:t>
      </w:r>
      <w:r w:rsidRPr="005F6A32">
        <w:rPr>
          <w:rFonts w:ascii="Trebuchet MS" w:hAnsi="Trebuchet MS" w:cs="Arial"/>
          <w:sz w:val="22"/>
          <w:szCs w:val="22"/>
          <w:lang w:val="pt-BR"/>
        </w:rPr>
        <w:t>Tendinţa emisiilor de particule primare în suspensie</w:t>
      </w:r>
    </w:p>
    <w:p w:rsidR="00AE762B" w:rsidRPr="00153601" w:rsidRDefault="000946BE" w:rsidP="009A7611">
      <w:pPr>
        <w:autoSpaceDE w:val="0"/>
        <w:autoSpaceDN w:val="0"/>
        <w:adjustRightInd w:val="0"/>
        <w:rPr>
          <w:rFonts w:ascii="Arial" w:hAnsi="Arial" w:cs="Arial"/>
          <w:color w:val="000000"/>
          <w:lang w:val="pt-BR"/>
        </w:rPr>
      </w:pPr>
      <w:bookmarkStart w:id="116" w:name="_MON_1722143967"/>
      <w:bookmarkEnd w:id="116"/>
      <w:r>
        <w:rPr>
          <w:noProof/>
          <w:lang w:val="en-US"/>
        </w:rPr>
        <w:drawing>
          <wp:inline distT="0" distB="0" distL="0" distR="0" wp14:anchorId="160F10FA" wp14:editId="5B0AFCC4">
            <wp:extent cx="6419850" cy="4276725"/>
            <wp:effectExtent l="0" t="0" r="0" b="0"/>
            <wp:docPr id="43" name="Object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5F6A32" w:rsidRDefault="00AE762B" w:rsidP="009A7611">
      <w:pPr>
        <w:pStyle w:val="Default"/>
        <w:rPr>
          <w:rFonts w:ascii="Trebuchet MS" w:hAnsi="Trebuchet MS"/>
          <w:sz w:val="22"/>
          <w:szCs w:val="22"/>
          <w:lang w:val="pt-BR"/>
        </w:rPr>
      </w:pPr>
      <w:r w:rsidRPr="00040E84">
        <w:rPr>
          <w:rFonts w:ascii="Trebuchet MS" w:hAnsi="Trebuchet MS"/>
          <w:lang w:val="pt-BR"/>
        </w:rPr>
        <w:br w:type="page"/>
      </w:r>
      <w:r w:rsidRPr="005F6A32">
        <w:rPr>
          <w:rFonts w:ascii="Trebuchet MS" w:hAnsi="Trebuchet MS"/>
          <w:b/>
          <w:bCs/>
          <w:sz w:val="22"/>
          <w:szCs w:val="22"/>
          <w:lang w:val="pt-BR"/>
        </w:rPr>
        <w:t>COD INDICATOR</w:t>
      </w:r>
      <w:r w:rsidRPr="005F6A32">
        <w:rPr>
          <w:rFonts w:ascii="Trebuchet MS" w:hAnsi="Trebuchet MS"/>
          <w:sz w:val="22"/>
          <w:szCs w:val="22"/>
          <w:lang w:val="pt-BR"/>
        </w:rPr>
        <w:t xml:space="preserve"> </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România: </w:t>
      </w:r>
      <w:r w:rsidRPr="005F6A32">
        <w:rPr>
          <w:rFonts w:ascii="Trebuchet MS" w:hAnsi="Trebuchet MS"/>
          <w:b/>
          <w:bCs/>
          <w:sz w:val="22"/>
          <w:szCs w:val="22"/>
          <w:lang w:val="pt-BR"/>
        </w:rPr>
        <w:t>RO 38</w:t>
      </w:r>
    </w:p>
    <w:p w:rsidR="00AE762B" w:rsidRPr="005F6A32" w:rsidRDefault="00AE762B" w:rsidP="009A7611">
      <w:pPr>
        <w:pStyle w:val="Default"/>
        <w:rPr>
          <w:rFonts w:ascii="Trebuchet MS" w:hAnsi="Trebuchet MS"/>
          <w:sz w:val="22"/>
          <w:szCs w:val="22"/>
          <w:lang w:val="pt-BR"/>
        </w:rPr>
      </w:pPr>
      <w:r w:rsidRPr="005F6A32">
        <w:rPr>
          <w:rFonts w:ascii="Trebuchet MS" w:hAnsi="Trebuchet MS"/>
          <w:sz w:val="22"/>
          <w:szCs w:val="22"/>
          <w:lang w:val="pt-BR"/>
        </w:rPr>
        <w:t xml:space="preserve">Cod indicator AEM: </w:t>
      </w:r>
      <w:r w:rsidRPr="005F6A32">
        <w:rPr>
          <w:rFonts w:ascii="Trebuchet MS" w:hAnsi="Trebuchet MS"/>
          <w:b/>
          <w:sz w:val="22"/>
          <w:szCs w:val="22"/>
          <w:lang w:val="pt-BR"/>
        </w:rPr>
        <w:t>APE</w:t>
      </w:r>
      <w:r w:rsidRPr="005F6A32">
        <w:rPr>
          <w:rFonts w:ascii="Trebuchet MS" w:hAnsi="Trebuchet MS"/>
          <w:b/>
          <w:bCs/>
          <w:sz w:val="22"/>
          <w:szCs w:val="22"/>
          <w:lang w:val="pt-BR"/>
        </w:rPr>
        <w:t xml:space="preserve"> 05 </w:t>
      </w:r>
    </w:p>
    <w:p w:rsidR="00AE762B" w:rsidRPr="005F6A32" w:rsidRDefault="00AE762B" w:rsidP="009A7611">
      <w:pPr>
        <w:pStyle w:val="Default"/>
        <w:rPr>
          <w:rFonts w:ascii="Trebuchet MS" w:hAnsi="Trebuchet MS"/>
          <w:sz w:val="22"/>
          <w:szCs w:val="22"/>
          <w:lang w:val="pt-BR"/>
        </w:rPr>
      </w:pPr>
      <w:r w:rsidRPr="005F6A32">
        <w:rPr>
          <w:rFonts w:ascii="Trebuchet MS" w:hAnsi="Trebuchet MS"/>
          <w:b/>
          <w:bCs/>
          <w:sz w:val="22"/>
          <w:szCs w:val="22"/>
          <w:lang w:val="pt-BR"/>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PARTICULE METALE GRELE</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sz w:val="22"/>
          <w:szCs w:val="22"/>
          <w:lang w:val="ro-RO"/>
        </w:rPr>
      </w:pPr>
      <w:r w:rsidRPr="005F6A32">
        <w:rPr>
          <w:rFonts w:ascii="Trebuchet MS" w:hAnsi="Trebuchet MS" w:cs="Arial"/>
          <w:sz w:val="22"/>
          <w:szCs w:val="22"/>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5F6A32" w:rsidRDefault="00AE762B" w:rsidP="009A7611">
      <w:pPr>
        <w:autoSpaceDE w:val="0"/>
        <w:autoSpaceDN w:val="0"/>
        <w:adjustRightInd w:val="0"/>
        <w:rPr>
          <w:rFonts w:ascii="Trebuchet MS" w:hAnsi="Trebuchet MS" w:cs="Arial"/>
          <w:color w:val="000000"/>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pt-BR"/>
        </w:rPr>
      </w:pPr>
      <w:r w:rsidRPr="005F6A32">
        <w:rPr>
          <w:rFonts w:ascii="Trebuchet MS" w:hAnsi="Trebuchet MS" w:cs="Arial"/>
          <w:color w:val="000000"/>
          <w:sz w:val="22"/>
          <w:szCs w:val="22"/>
          <w:lang w:val="pt-BR"/>
        </w:rPr>
        <w:t xml:space="preserve">grafic 1.3.4. </w:t>
      </w:r>
      <w:r w:rsidRPr="005F6A32">
        <w:rPr>
          <w:rFonts w:ascii="Trebuchet MS" w:hAnsi="Trebuchet MS" w:cs="Arial"/>
          <w:sz w:val="22"/>
          <w:szCs w:val="22"/>
          <w:lang w:val="pt-BR"/>
        </w:rPr>
        <w:t>Tendinţa emisiilor de metale grele</w:t>
      </w:r>
    </w:p>
    <w:p w:rsidR="00AE762B" w:rsidRPr="00C4296C" w:rsidRDefault="000946BE" w:rsidP="009A7611">
      <w:pPr>
        <w:rPr>
          <w:rFonts w:ascii="Arial" w:hAnsi="Arial" w:cs="Arial"/>
          <w:lang w:val="ro-RO"/>
        </w:rPr>
      </w:pPr>
      <w:bookmarkStart w:id="117" w:name="_MON_1722143873"/>
      <w:bookmarkStart w:id="118" w:name="_MON_1566371899"/>
      <w:bookmarkEnd w:id="117"/>
      <w:bookmarkEnd w:id="118"/>
      <w:r>
        <w:rPr>
          <w:noProof/>
          <w:lang w:val="en-US"/>
        </w:rPr>
        <w:drawing>
          <wp:inline distT="0" distB="0" distL="0" distR="0" wp14:anchorId="15B3F003" wp14:editId="330B5538">
            <wp:extent cx="5915025" cy="4210050"/>
            <wp:effectExtent l="0" t="0" r="0" b="0"/>
            <wp:docPr id="44" name="Objec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5F6A32" w:rsidRDefault="00AE762B" w:rsidP="009A7611">
      <w:pPr>
        <w:pStyle w:val="Default"/>
        <w:rPr>
          <w:rFonts w:ascii="Trebuchet MS" w:hAnsi="Trebuchet MS"/>
          <w:sz w:val="22"/>
          <w:szCs w:val="22"/>
          <w:lang w:val="ro-RO"/>
        </w:rPr>
      </w:pPr>
      <w:r w:rsidRPr="00C4296C">
        <w:rPr>
          <w:lang w:val="ro-RO"/>
        </w:rPr>
        <w:br w:type="page"/>
      </w:r>
      <w:r w:rsidRPr="005F6A32">
        <w:rPr>
          <w:rFonts w:ascii="Trebuchet MS" w:hAnsi="Trebuchet MS"/>
          <w:b/>
          <w:bCs/>
          <w:sz w:val="22"/>
          <w:szCs w:val="22"/>
          <w:lang w:val="ro-RO"/>
        </w:rPr>
        <w:t>COD INDICATOR</w:t>
      </w:r>
      <w:r w:rsidRPr="005F6A32">
        <w:rPr>
          <w:rFonts w:ascii="Trebuchet MS" w:hAnsi="Trebuchet MS"/>
          <w:sz w:val="22"/>
          <w:szCs w:val="22"/>
          <w:lang w:val="ro-RO"/>
        </w:rPr>
        <w:t xml:space="preserve"> </w:t>
      </w: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Cod indicator România: </w:t>
      </w:r>
      <w:r w:rsidRPr="005F6A32">
        <w:rPr>
          <w:rFonts w:ascii="Trebuchet MS" w:hAnsi="Trebuchet MS"/>
          <w:b/>
          <w:bCs/>
          <w:sz w:val="22"/>
          <w:szCs w:val="22"/>
          <w:lang w:val="ro-RO"/>
        </w:rPr>
        <w:t>RO 39</w:t>
      </w:r>
    </w:p>
    <w:p w:rsidR="00AE762B" w:rsidRPr="005F6A32" w:rsidRDefault="00AE762B" w:rsidP="009A7611">
      <w:pPr>
        <w:pStyle w:val="Default"/>
        <w:rPr>
          <w:rFonts w:ascii="Trebuchet MS" w:hAnsi="Trebuchet MS"/>
          <w:sz w:val="22"/>
          <w:szCs w:val="22"/>
          <w:lang w:val="ro-RO"/>
        </w:rPr>
      </w:pPr>
      <w:r w:rsidRPr="005F6A32">
        <w:rPr>
          <w:rFonts w:ascii="Trebuchet MS" w:hAnsi="Trebuchet MS"/>
          <w:sz w:val="22"/>
          <w:szCs w:val="22"/>
          <w:lang w:val="ro-RO"/>
        </w:rPr>
        <w:t xml:space="preserve">Cod indicator AEM: </w:t>
      </w:r>
      <w:r w:rsidRPr="005F6A32">
        <w:rPr>
          <w:rFonts w:ascii="Trebuchet MS" w:hAnsi="Trebuchet MS"/>
          <w:b/>
          <w:sz w:val="22"/>
          <w:szCs w:val="22"/>
          <w:lang w:val="ro-RO"/>
        </w:rPr>
        <w:t>APE</w:t>
      </w:r>
      <w:r w:rsidRPr="005F6A32">
        <w:rPr>
          <w:rFonts w:ascii="Trebuchet MS" w:hAnsi="Trebuchet MS"/>
          <w:b/>
          <w:bCs/>
          <w:sz w:val="22"/>
          <w:szCs w:val="22"/>
          <w:lang w:val="ro-RO"/>
        </w:rPr>
        <w:t xml:space="preserve"> 06 </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DENUMIRE </w:t>
      </w:r>
    </w:p>
    <w:p w:rsidR="00AE762B" w:rsidRPr="005F6A32" w:rsidRDefault="00AE762B" w:rsidP="009A7611">
      <w:pPr>
        <w:pStyle w:val="Default"/>
        <w:rPr>
          <w:rFonts w:ascii="Trebuchet MS" w:hAnsi="Trebuchet MS"/>
          <w:b/>
          <w:bCs/>
          <w:sz w:val="22"/>
          <w:szCs w:val="22"/>
          <w:lang w:val="ro-RO"/>
        </w:rPr>
      </w:pPr>
      <w:r w:rsidRPr="005F6A32">
        <w:rPr>
          <w:rFonts w:ascii="Trebuchet MS" w:hAnsi="Trebuchet MS"/>
          <w:b/>
          <w:bCs/>
          <w:sz w:val="22"/>
          <w:szCs w:val="22"/>
          <w:lang w:val="ro-RO"/>
        </w:rPr>
        <w:t>EMISII DE POLUANTI ORGANICI PERSISTENTI</w:t>
      </w:r>
    </w:p>
    <w:p w:rsidR="00AE762B" w:rsidRPr="005F6A32" w:rsidRDefault="00AE762B" w:rsidP="009A7611">
      <w:pPr>
        <w:pStyle w:val="Default"/>
        <w:rPr>
          <w:rFonts w:ascii="Trebuchet MS" w:hAnsi="Trebuchet MS"/>
          <w:sz w:val="22"/>
          <w:szCs w:val="22"/>
          <w:lang w:val="ro-RO"/>
        </w:rPr>
      </w:pPr>
      <w:r w:rsidRPr="005F6A32">
        <w:rPr>
          <w:rFonts w:ascii="Trebuchet MS" w:hAnsi="Trebuchet MS"/>
          <w:b/>
          <w:bCs/>
          <w:sz w:val="22"/>
          <w:szCs w:val="22"/>
          <w:lang w:val="ro-RO"/>
        </w:rPr>
        <w:t xml:space="preserve">DEFINIŢIE </w:t>
      </w:r>
    </w:p>
    <w:p w:rsidR="00AE762B" w:rsidRPr="005F6A32" w:rsidRDefault="00AE762B" w:rsidP="009A7611">
      <w:pPr>
        <w:autoSpaceDE w:val="0"/>
        <w:autoSpaceDN w:val="0"/>
        <w:adjustRightInd w:val="0"/>
        <w:rPr>
          <w:rFonts w:ascii="Trebuchet MS" w:hAnsi="Trebuchet MS" w:cs="Arial"/>
          <w:color w:val="000000"/>
          <w:sz w:val="22"/>
          <w:szCs w:val="22"/>
          <w:lang w:val="ro-RO"/>
        </w:rPr>
      </w:pPr>
      <w:r w:rsidRPr="005F6A32">
        <w:rPr>
          <w:rFonts w:ascii="Trebuchet MS" w:hAnsi="Trebuchet MS" w:cs="Arial"/>
          <w:sz w:val="22"/>
          <w:szCs w:val="22"/>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5F6A32" w:rsidRDefault="00AE762B" w:rsidP="009A7611">
      <w:pPr>
        <w:pStyle w:val="Default"/>
        <w:rPr>
          <w:rFonts w:ascii="Trebuchet MS" w:hAnsi="Trebuchet MS"/>
          <w:sz w:val="22"/>
          <w:szCs w:val="22"/>
          <w:lang w:val="ro-RO"/>
        </w:rPr>
      </w:pPr>
    </w:p>
    <w:p w:rsidR="00AE762B" w:rsidRPr="005F6A32" w:rsidRDefault="00AE762B" w:rsidP="009A7611">
      <w:pPr>
        <w:autoSpaceDE w:val="0"/>
        <w:autoSpaceDN w:val="0"/>
        <w:adjustRightInd w:val="0"/>
        <w:rPr>
          <w:rFonts w:ascii="Trebuchet MS" w:hAnsi="Trebuchet MS" w:cs="Arial"/>
          <w:color w:val="000000"/>
          <w:sz w:val="22"/>
          <w:szCs w:val="22"/>
          <w:lang w:val="pt-BR"/>
        </w:rPr>
      </w:pPr>
      <w:r w:rsidRPr="005F6A32">
        <w:rPr>
          <w:rFonts w:ascii="Trebuchet MS" w:hAnsi="Trebuchet MS" w:cs="Arial"/>
          <w:color w:val="000000"/>
          <w:sz w:val="22"/>
          <w:szCs w:val="22"/>
          <w:lang w:val="pt-BR"/>
        </w:rPr>
        <w:t xml:space="preserve">grafic 1.3.5. </w:t>
      </w:r>
      <w:r w:rsidRPr="005F6A32">
        <w:rPr>
          <w:rFonts w:ascii="Trebuchet MS" w:hAnsi="Trebuchet MS" w:cs="Arial"/>
          <w:sz w:val="22"/>
          <w:szCs w:val="22"/>
          <w:lang w:val="pt-BR"/>
        </w:rPr>
        <w:t>Tendinta emisiilor de poluanti organici persistenţi</w:t>
      </w:r>
    </w:p>
    <w:p w:rsidR="00AE762B" w:rsidRPr="005F6A32" w:rsidRDefault="00AE762B" w:rsidP="009A7611">
      <w:pPr>
        <w:autoSpaceDE w:val="0"/>
        <w:autoSpaceDN w:val="0"/>
        <w:adjustRightInd w:val="0"/>
        <w:rPr>
          <w:rFonts w:ascii="Trebuchet MS" w:hAnsi="Trebuchet MS" w:cs="Arial"/>
          <w:color w:val="000000"/>
          <w:sz w:val="22"/>
          <w:szCs w:val="22"/>
          <w:lang w:val="pt-BR"/>
        </w:rPr>
      </w:pPr>
    </w:p>
    <w:p w:rsidR="00AE762B" w:rsidRPr="00153601" w:rsidRDefault="000946BE" w:rsidP="009A7611">
      <w:pPr>
        <w:autoSpaceDE w:val="0"/>
        <w:autoSpaceDN w:val="0"/>
        <w:adjustRightInd w:val="0"/>
        <w:rPr>
          <w:rFonts w:ascii="Arial" w:hAnsi="Arial" w:cs="Arial"/>
          <w:color w:val="000000"/>
          <w:lang w:val="pt-BR"/>
        </w:rPr>
      </w:pPr>
      <w:bookmarkStart w:id="119" w:name="_MON_1722144075"/>
      <w:bookmarkStart w:id="120" w:name="_MON_1566372089"/>
      <w:bookmarkEnd w:id="119"/>
      <w:bookmarkEnd w:id="120"/>
      <w:r>
        <w:rPr>
          <w:noProof/>
          <w:lang w:val="en-US"/>
        </w:rPr>
        <w:drawing>
          <wp:inline distT="0" distB="0" distL="0" distR="0" wp14:anchorId="76DAF30F" wp14:editId="48AB6E60">
            <wp:extent cx="6162675" cy="5676900"/>
            <wp:effectExtent l="0" t="0" r="9525" b="0"/>
            <wp:docPr id="45" name="Objec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E762B" w:rsidRDefault="00AE762B" w:rsidP="009A7611">
      <w:pPr>
        <w:tabs>
          <w:tab w:val="left" w:pos="1350"/>
        </w:tabs>
        <w:rPr>
          <w:rFonts w:ascii="Arial" w:hAnsi="Arial" w:cs="Arial"/>
          <w:lang w:val="it-IT"/>
        </w:rPr>
      </w:pPr>
    </w:p>
    <w:p w:rsidR="00040E84" w:rsidRDefault="00040E84" w:rsidP="009A7611">
      <w:pPr>
        <w:tabs>
          <w:tab w:val="left" w:pos="720"/>
        </w:tabs>
        <w:jc w:val="both"/>
        <w:rPr>
          <w:rFonts w:ascii="Arial" w:hAnsi="Arial" w:cs="Arial"/>
          <w:lang w:val="it-IT"/>
        </w:rPr>
      </w:pPr>
    </w:p>
    <w:p w:rsidR="00040E84" w:rsidRDefault="00040E84" w:rsidP="009A7611">
      <w:pPr>
        <w:tabs>
          <w:tab w:val="left" w:pos="720"/>
        </w:tabs>
        <w:jc w:val="both"/>
        <w:rPr>
          <w:rFonts w:ascii="Arial" w:hAnsi="Arial" w:cs="Arial"/>
          <w:lang w:val="it-IT"/>
        </w:rPr>
      </w:pP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B. Alte date şi informaţii specifice</w:t>
      </w:r>
    </w:p>
    <w:p w:rsidR="006113C9" w:rsidRPr="005F6A32" w:rsidRDefault="006113C9" w:rsidP="009A7611">
      <w:pPr>
        <w:tabs>
          <w:tab w:val="left" w:pos="720"/>
        </w:tabs>
        <w:jc w:val="both"/>
        <w:rPr>
          <w:rFonts w:ascii="Trebuchet MS" w:hAnsi="Trebuchet MS" w:cs="Arial"/>
          <w:sz w:val="22"/>
          <w:szCs w:val="22"/>
          <w:lang w:val="it-IT"/>
        </w:rPr>
      </w:pP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Emisiile de Sox sunt în scădere , în principal datorită reducerii cantităţilor de păcură utilizate de către CET-uri pentru producerea de energie termică</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 xml:space="preserve">Emisiile de Nox sunt in </w:t>
      </w:r>
      <w:r w:rsidR="002F0594" w:rsidRPr="005F6A32">
        <w:rPr>
          <w:rFonts w:ascii="Trebuchet MS" w:hAnsi="Trebuchet MS" w:cs="Arial"/>
          <w:sz w:val="22"/>
          <w:szCs w:val="22"/>
          <w:lang w:val="it-IT"/>
        </w:rPr>
        <w:t xml:space="preserve">usoara </w:t>
      </w:r>
      <w:r w:rsidR="007F5A26" w:rsidRPr="005F6A32">
        <w:rPr>
          <w:rFonts w:ascii="Trebuchet MS" w:hAnsi="Trebuchet MS" w:cs="Arial"/>
          <w:sz w:val="22"/>
          <w:szCs w:val="22"/>
          <w:lang w:val="it-IT"/>
        </w:rPr>
        <w:t>crestere</w:t>
      </w:r>
      <w:r w:rsidRPr="005F6A32">
        <w:rPr>
          <w:rFonts w:ascii="Trebuchet MS" w:hAnsi="Trebuchet MS" w:cs="Arial"/>
          <w:sz w:val="22"/>
          <w:szCs w:val="22"/>
          <w:lang w:val="it-IT"/>
        </w:rPr>
        <w:t xml:space="preserve"> </w:t>
      </w:r>
      <w:r w:rsidR="00682BE3" w:rsidRPr="005F6A32">
        <w:rPr>
          <w:rFonts w:ascii="Trebuchet MS" w:hAnsi="Trebuchet MS" w:cs="Arial"/>
          <w:sz w:val="22"/>
          <w:szCs w:val="22"/>
          <w:lang w:val="it-IT"/>
        </w:rPr>
        <w:t>fata de anul 20</w:t>
      </w:r>
      <w:r w:rsidR="005A2B03" w:rsidRPr="005F6A32">
        <w:rPr>
          <w:rFonts w:ascii="Trebuchet MS" w:hAnsi="Trebuchet MS" w:cs="Arial"/>
          <w:sz w:val="22"/>
          <w:szCs w:val="22"/>
          <w:lang w:val="it-IT"/>
        </w:rPr>
        <w:t>22</w:t>
      </w:r>
      <w:r w:rsidRPr="005F6A32">
        <w:rPr>
          <w:rFonts w:ascii="Trebuchet MS" w:hAnsi="Trebuchet MS" w:cs="Arial"/>
          <w:sz w:val="22"/>
          <w:szCs w:val="22"/>
          <w:lang w:val="it-IT"/>
        </w:rPr>
        <w:t>, în special datorită traficului rutier.</w:t>
      </w:r>
    </w:p>
    <w:p w:rsidR="00AE762B" w:rsidRPr="005F6A32" w:rsidRDefault="00682BE3"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Emisii</w:t>
      </w:r>
      <w:r w:rsidR="00AE762B" w:rsidRPr="005F6A32">
        <w:rPr>
          <w:rFonts w:ascii="Trebuchet MS" w:hAnsi="Trebuchet MS" w:cs="Arial"/>
          <w:sz w:val="22"/>
          <w:szCs w:val="22"/>
          <w:lang w:val="it-IT"/>
        </w:rPr>
        <w:t xml:space="preserve">le de NH3 </w:t>
      </w:r>
      <w:r w:rsidR="007F5A26" w:rsidRPr="005F6A32">
        <w:rPr>
          <w:rFonts w:ascii="Trebuchet MS" w:hAnsi="Trebuchet MS" w:cs="Arial"/>
          <w:sz w:val="22"/>
          <w:szCs w:val="22"/>
          <w:lang w:val="it-IT"/>
        </w:rPr>
        <w:t>se mentin la niveluri aproximativ constante.</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r>
      <w:r w:rsidR="007F5A26" w:rsidRPr="005F6A32">
        <w:rPr>
          <w:rFonts w:ascii="Trebuchet MS" w:hAnsi="Trebuchet MS" w:cs="Arial"/>
          <w:sz w:val="22"/>
          <w:szCs w:val="22"/>
          <w:lang w:val="it-IT"/>
        </w:rPr>
        <w:t>Emisiile de CO</w:t>
      </w:r>
      <w:r w:rsidRPr="005F6A32">
        <w:rPr>
          <w:rFonts w:ascii="Trebuchet MS" w:hAnsi="Trebuchet MS" w:cs="Arial"/>
          <w:sz w:val="22"/>
          <w:szCs w:val="22"/>
          <w:lang w:val="it-IT"/>
        </w:rPr>
        <w:t xml:space="preserve"> prezintă o </w:t>
      </w:r>
      <w:r w:rsidR="007F5A26" w:rsidRPr="005F6A32">
        <w:rPr>
          <w:rFonts w:ascii="Trebuchet MS" w:hAnsi="Trebuchet MS" w:cs="Arial"/>
          <w:sz w:val="22"/>
          <w:szCs w:val="22"/>
          <w:lang w:val="it-IT"/>
        </w:rPr>
        <w:t>tendinta de scadere a emisiei in anul 2023 fata de anii 2021 si 2022</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 xml:space="preserve">Pentru </w:t>
      </w:r>
      <w:r w:rsidR="007F5A26" w:rsidRPr="005F6A32">
        <w:rPr>
          <w:rFonts w:ascii="Trebuchet MS" w:hAnsi="Trebuchet MS" w:cs="Arial"/>
          <w:sz w:val="22"/>
          <w:szCs w:val="22"/>
          <w:lang w:val="it-IT"/>
        </w:rPr>
        <w:t>compusii oragnici volatili</w:t>
      </w:r>
      <w:r w:rsidRPr="005F6A32">
        <w:rPr>
          <w:rFonts w:ascii="Trebuchet MS" w:hAnsi="Trebuchet MS" w:cs="Arial"/>
          <w:sz w:val="22"/>
          <w:szCs w:val="22"/>
          <w:lang w:val="it-IT"/>
        </w:rPr>
        <w:t xml:space="preserve"> s-a observat o creştere a emisiilor</w:t>
      </w:r>
      <w:r w:rsidR="007F5A26" w:rsidRPr="005F6A32">
        <w:rPr>
          <w:rFonts w:ascii="Trebuchet MS" w:hAnsi="Trebuchet MS" w:cs="Arial"/>
          <w:sz w:val="22"/>
          <w:szCs w:val="22"/>
          <w:lang w:val="it-IT"/>
        </w:rPr>
        <w:t xml:space="preserve"> in anul 2023</w:t>
      </w:r>
      <w:r w:rsidR="00AC2F02" w:rsidRPr="005F6A32">
        <w:rPr>
          <w:rFonts w:ascii="Trebuchet MS" w:hAnsi="Trebuchet MS" w:cs="Arial"/>
          <w:sz w:val="22"/>
          <w:szCs w:val="22"/>
          <w:lang w:val="it-IT"/>
        </w:rPr>
        <w:t>.</w:t>
      </w:r>
    </w:p>
    <w:p w:rsidR="00682BE3"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Emisiile de particule PM10 si PM 2,5 au inregistrat o crestere</w:t>
      </w:r>
      <w:r w:rsidR="007F5A26" w:rsidRPr="005F6A32">
        <w:rPr>
          <w:rFonts w:ascii="Trebuchet MS" w:hAnsi="Trebuchet MS" w:cs="Arial"/>
          <w:sz w:val="22"/>
          <w:szCs w:val="22"/>
          <w:lang w:val="it-IT"/>
        </w:rPr>
        <w:t xml:space="preserve"> in anii 2022 si 2023 fata de anii precedenti, dar acest fapt este cauzat de sectorul incalzirii rezidentiale (cu combustibil solid), unde am avut o raportare mult mai buna din partea primăriilor la realizarea inventarelor de emisii.</w:t>
      </w:r>
    </w:p>
    <w:p w:rsidR="00AE762B" w:rsidRPr="005F6A32" w:rsidRDefault="00AE762B" w:rsidP="009A7611">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 xml:space="preserve">Emisiile de metale grele </w:t>
      </w:r>
      <w:r w:rsidR="007F5A26" w:rsidRPr="005F6A32">
        <w:rPr>
          <w:rFonts w:ascii="Trebuchet MS" w:hAnsi="Trebuchet MS" w:cs="Arial"/>
          <w:sz w:val="22"/>
          <w:szCs w:val="22"/>
          <w:lang w:val="it-IT"/>
        </w:rPr>
        <w:t>au înregistrat o tendinț</w:t>
      </w:r>
      <w:r w:rsidR="001A7A4D" w:rsidRPr="005F6A32">
        <w:rPr>
          <w:rFonts w:ascii="Trebuchet MS" w:hAnsi="Trebuchet MS" w:cs="Arial"/>
          <w:sz w:val="22"/>
          <w:szCs w:val="22"/>
          <w:lang w:val="it-IT"/>
        </w:rPr>
        <w:t>ă de creștere</w:t>
      </w:r>
      <w:r w:rsidR="00390C4C" w:rsidRPr="005F6A32">
        <w:rPr>
          <w:rFonts w:ascii="Trebuchet MS" w:hAnsi="Trebuchet MS" w:cs="Arial"/>
          <w:sz w:val="22"/>
          <w:szCs w:val="22"/>
          <w:lang w:val="it-IT"/>
        </w:rPr>
        <w:t xml:space="preserve"> </w:t>
      </w:r>
      <w:r w:rsidR="007F5A26" w:rsidRPr="005F6A32">
        <w:rPr>
          <w:rFonts w:ascii="Trebuchet MS" w:hAnsi="Trebuchet MS" w:cs="Arial"/>
          <w:sz w:val="22"/>
          <w:szCs w:val="22"/>
          <w:lang w:val="it-IT"/>
        </w:rPr>
        <w:t>din acelasi motiv.</w:t>
      </w:r>
    </w:p>
    <w:p w:rsidR="001A7A4D" w:rsidRPr="005F6A32" w:rsidRDefault="00AE762B" w:rsidP="001A7A4D">
      <w:pPr>
        <w:tabs>
          <w:tab w:val="left" w:pos="720"/>
        </w:tabs>
        <w:jc w:val="both"/>
        <w:rPr>
          <w:rFonts w:ascii="Trebuchet MS" w:hAnsi="Trebuchet MS" w:cs="Arial"/>
          <w:sz w:val="22"/>
          <w:szCs w:val="22"/>
          <w:lang w:val="it-IT"/>
        </w:rPr>
      </w:pPr>
      <w:r w:rsidRPr="005F6A32">
        <w:rPr>
          <w:rFonts w:ascii="Trebuchet MS" w:hAnsi="Trebuchet MS" w:cs="Arial"/>
          <w:sz w:val="22"/>
          <w:szCs w:val="22"/>
          <w:lang w:val="it-IT"/>
        </w:rPr>
        <w:tab/>
        <w:t xml:space="preserve">Emisiile de POP </w:t>
      </w:r>
      <w:r w:rsidR="001A7A4D" w:rsidRPr="005F6A32">
        <w:rPr>
          <w:rFonts w:ascii="Trebuchet MS" w:hAnsi="Trebuchet MS" w:cs="Arial"/>
          <w:sz w:val="22"/>
          <w:szCs w:val="22"/>
          <w:lang w:val="it-IT"/>
        </w:rPr>
        <w:t xml:space="preserve">au inregistrat o usoara </w:t>
      </w:r>
      <w:r w:rsidR="007F5A26" w:rsidRPr="005F6A32">
        <w:rPr>
          <w:rFonts w:ascii="Trebuchet MS" w:hAnsi="Trebuchet MS" w:cs="Arial"/>
          <w:sz w:val="22"/>
          <w:szCs w:val="22"/>
          <w:lang w:val="it-IT"/>
        </w:rPr>
        <w:t>descrestere in anii 2022 si 2023</w:t>
      </w:r>
      <w:r w:rsidR="001A7A4D" w:rsidRPr="005F6A32">
        <w:rPr>
          <w:rFonts w:ascii="Trebuchet MS" w:hAnsi="Trebuchet MS" w:cs="Arial"/>
          <w:sz w:val="22"/>
          <w:szCs w:val="22"/>
          <w:lang w:val="it-IT"/>
        </w:rPr>
        <w:t xml:space="preserve"> față de anii </w:t>
      </w:r>
      <w:r w:rsidR="007F5A26" w:rsidRPr="005F6A32">
        <w:rPr>
          <w:rFonts w:ascii="Trebuchet MS" w:hAnsi="Trebuchet MS" w:cs="Arial"/>
          <w:sz w:val="22"/>
          <w:szCs w:val="22"/>
          <w:lang w:val="it-IT"/>
        </w:rPr>
        <w:t>anteriori</w:t>
      </w:r>
      <w:r w:rsidR="001A7A4D" w:rsidRPr="005F6A32">
        <w:rPr>
          <w:rFonts w:ascii="Trebuchet MS" w:hAnsi="Trebuchet MS" w:cs="Arial"/>
          <w:sz w:val="22"/>
          <w:szCs w:val="22"/>
          <w:lang w:val="it-IT"/>
        </w:rPr>
        <w:t>.</w:t>
      </w:r>
    </w:p>
    <w:p w:rsidR="00AE762B" w:rsidRPr="00040E84" w:rsidRDefault="00AE762B" w:rsidP="009A7611">
      <w:pPr>
        <w:tabs>
          <w:tab w:val="left" w:pos="720"/>
        </w:tabs>
        <w:jc w:val="both"/>
        <w:rPr>
          <w:rFonts w:ascii="Trebuchet MS" w:hAnsi="Trebuchet MS" w:cs="Arial"/>
          <w:lang w:val="it-IT"/>
        </w:rPr>
      </w:pPr>
      <w:r w:rsidRPr="00040E84">
        <w:rPr>
          <w:rFonts w:ascii="Trebuchet MS" w:hAnsi="Trebuchet MS" w:cs="Arial"/>
          <w:lang w:val="it-IT"/>
        </w:rPr>
        <w:tab/>
      </w:r>
    </w:p>
    <w:p w:rsidR="00AE762B" w:rsidRPr="00040E84" w:rsidRDefault="00AE762B" w:rsidP="009A7611">
      <w:pPr>
        <w:tabs>
          <w:tab w:val="left" w:pos="720"/>
        </w:tabs>
        <w:jc w:val="both"/>
        <w:rPr>
          <w:rFonts w:ascii="Trebuchet MS" w:hAnsi="Trebuchet MS" w:cs="Arial"/>
          <w:lang w:val="it-IT"/>
        </w:rPr>
      </w:pPr>
      <w:r w:rsidRPr="00040E84">
        <w:rPr>
          <w:rFonts w:ascii="Trebuchet MS" w:hAnsi="Trebuchet MS" w:cs="Arial"/>
          <w:b/>
          <w:szCs w:val="26"/>
          <w:lang w:val="ro-RO"/>
        </w:rPr>
        <w:t>I.4. Politici, acţiuni şi măsuri pentru îmbunătăţirea calităţii aerului înconjurător</w:t>
      </w:r>
    </w:p>
    <w:p w:rsidR="00AE762B" w:rsidRPr="005F6A32" w:rsidRDefault="00AE762B" w:rsidP="004C09AD">
      <w:pPr>
        <w:ind w:firstLine="708"/>
        <w:jc w:val="both"/>
        <w:rPr>
          <w:rFonts w:ascii="Trebuchet MS" w:hAnsi="Trebuchet MS" w:cs="Arial"/>
          <w:sz w:val="22"/>
          <w:szCs w:val="22"/>
          <w:lang w:val="fr-FR"/>
        </w:rPr>
      </w:pPr>
      <w:r w:rsidRPr="005F6A32">
        <w:rPr>
          <w:rFonts w:ascii="Trebuchet MS" w:hAnsi="Trebuchet MS" w:cs="Arial"/>
          <w:sz w:val="22"/>
          <w:szCs w:val="22"/>
          <w:lang w:val="it-IT"/>
        </w:rPr>
        <w:t xml:space="preserve">În anul 2015 s-a </w:t>
      </w:r>
      <w:r w:rsidR="00456DB7" w:rsidRPr="005F6A32">
        <w:rPr>
          <w:rFonts w:ascii="Trebuchet MS" w:hAnsi="Trebuchet MS" w:cs="Arial"/>
          <w:sz w:val="22"/>
          <w:szCs w:val="22"/>
          <w:lang w:val="it-IT"/>
        </w:rPr>
        <w:t>incheiat</w:t>
      </w:r>
      <w:r w:rsidRPr="005F6A32">
        <w:rPr>
          <w:rFonts w:ascii="Trebuchet MS" w:hAnsi="Trebuchet MS" w:cs="Arial"/>
          <w:sz w:val="22"/>
          <w:szCs w:val="22"/>
          <w:lang w:val="it-IT"/>
        </w:rPr>
        <w:t xml:space="preserve"> punerea în aplicare a Programului Integrat de Gestionare a Calităţii Aerului pentru Municipiul Bucureşti. Acesta a fost iniţiat în anul 2007 de o comisie tehnică din care au făcut parte reprezentanţi ai Primăriei Municipiului Bucureşti, ai primăriilor de sector, Garda de Mediu – Comisariatul Municipiului Bucureşti, Direcţia de Sănătate Publică, Registrul Auto Român şi Electrocentrale Bucureşti SA. </w:t>
      </w:r>
      <w:r w:rsidRPr="005F6A32">
        <w:rPr>
          <w:rFonts w:ascii="Trebuchet MS" w:hAnsi="Trebuchet MS" w:cs="Arial"/>
          <w:sz w:val="22"/>
          <w:szCs w:val="22"/>
          <w:lang w:val="fr-FR"/>
        </w:rPr>
        <w:t xml:space="preserve">Acest Program a fost aprobat de CGMB în anul 2008 şi a fost revizuit în anul 2010. </w:t>
      </w:r>
    </w:p>
    <w:p w:rsidR="00AE762B" w:rsidRPr="005F6A32" w:rsidRDefault="00AE762B" w:rsidP="00473920">
      <w:pPr>
        <w:ind w:firstLine="720"/>
        <w:jc w:val="both"/>
        <w:rPr>
          <w:rFonts w:ascii="Trebuchet MS" w:hAnsi="Trebuchet MS" w:cs="Arial"/>
          <w:sz w:val="22"/>
          <w:szCs w:val="22"/>
          <w:lang w:val="fr-FR"/>
        </w:rPr>
      </w:pPr>
      <w:r w:rsidRPr="005F6A32">
        <w:rPr>
          <w:rFonts w:ascii="Trebuchet MS" w:hAnsi="Trebuchet MS" w:cs="Arial"/>
          <w:sz w:val="22"/>
          <w:szCs w:val="22"/>
          <w:lang w:val="fr-FR"/>
        </w:rPr>
        <w:t>Programul conţine</w:t>
      </w:r>
      <w:r w:rsidR="00462CE0" w:rsidRPr="005F6A32">
        <w:rPr>
          <w:rFonts w:ascii="Trebuchet MS" w:hAnsi="Trebuchet MS" w:cs="Arial"/>
          <w:sz w:val="22"/>
          <w:szCs w:val="22"/>
          <w:lang w:val="fr-FR"/>
        </w:rPr>
        <w:t>a</w:t>
      </w:r>
      <w:r w:rsidRPr="005F6A32">
        <w:rPr>
          <w:rFonts w:ascii="Trebuchet MS" w:hAnsi="Trebuchet MS" w:cs="Arial"/>
          <w:sz w:val="22"/>
          <w:szCs w:val="22"/>
          <w:lang w:val="fr-FR"/>
        </w:rPr>
        <w:t xml:space="preserve"> măsuri destinate îmbunătăţirii calităţii aerului menite să reducă concentraţiile de poluanţi, în special în zona centrală, unde sursa cea mai importantă de poluare o reprezintă traficul rutier. Există măsuri şi pentru sursele fixe, în special legate de şantierele de construcţii (respectarea prevederilor autorizaţiilor de construire şi controlul organizărilor de şantier etc) şi centralele electrotermice, sau măsuri care vizează spaţiile verzi (pentru asigurarea suprafeţei de spaţiu verde/locuitor prevăzută de Directivele Europene, plantări de arbori şi material dendricol etc)  şi stimularea folosirii bicicletelor (realizare căi de rulare). De asemenea, există măsuri care prevăd promovarea unui transport în comun integrat de o calitate înaltă şi nepoluant (modernizarea infrastructurii, acoperirea zonei centrale cu mijloace de transport cu expunere scăzută la blocaje în trafic, sistem automatizat de management al traficului etc). Programul include şi un capitol cu măsuri dedicate îmbunătăţirii activităţii de salubrizare a oraşului (introducerea de mijloace mecanizate, stropire străzi etc).</w:t>
      </w:r>
    </w:p>
    <w:p w:rsidR="00AE762B" w:rsidRPr="005F6A32" w:rsidRDefault="00AE762B" w:rsidP="00473920">
      <w:pPr>
        <w:ind w:firstLine="720"/>
        <w:jc w:val="both"/>
        <w:rPr>
          <w:rFonts w:ascii="Trebuchet MS" w:hAnsi="Trebuchet MS" w:cs="Arial"/>
          <w:sz w:val="22"/>
          <w:szCs w:val="22"/>
          <w:lang w:val="fr-FR"/>
        </w:rPr>
      </w:pPr>
      <w:r w:rsidRPr="005F6A32">
        <w:rPr>
          <w:rFonts w:ascii="Trebuchet MS" w:hAnsi="Trebuchet MS" w:cs="Arial"/>
          <w:sz w:val="22"/>
          <w:szCs w:val="22"/>
          <w:lang w:val="fr-FR"/>
        </w:rPr>
        <w:t xml:space="preserve">De mentionat ca, o data cu aparitia HG 257/2014 privind aprobarea metodologiei de elaborare a planurilor de calitate a aerului, responsabilitatea elaborarii noului plan de calitate  a aerului cade in sarcina Primariei Municipiului Bucuresti. In acest sens, PMB a initiat in luna octombrie 2015 elaborarea planului de calitate a aerului, </w:t>
      </w:r>
      <w:r w:rsidR="00456DB7" w:rsidRPr="005F6A32">
        <w:rPr>
          <w:rFonts w:ascii="Trebuchet MS" w:hAnsi="Trebuchet MS" w:cs="Arial"/>
          <w:sz w:val="22"/>
          <w:szCs w:val="22"/>
          <w:lang w:val="fr-FR"/>
        </w:rPr>
        <w:t xml:space="preserve">acesta </w:t>
      </w:r>
      <w:r w:rsidR="00462CE0" w:rsidRPr="005F6A32">
        <w:rPr>
          <w:rFonts w:ascii="Trebuchet MS" w:hAnsi="Trebuchet MS" w:cs="Arial"/>
          <w:sz w:val="22"/>
          <w:szCs w:val="22"/>
          <w:lang w:val="fr-FR"/>
        </w:rPr>
        <w:t>fiind</w:t>
      </w:r>
      <w:r w:rsidR="00456DB7" w:rsidRPr="005F6A32">
        <w:rPr>
          <w:rFonts w:ascii="Trebuchet MS" w:hAnsi="Trebuchet MS" w:cs="Arial"/>
          <w:sz w:val="22"/>
          <w:szCs w:val="22"/>
          <w:lang w:val="fr-FR"/>
        </w:rPr>
        <w:t xml:space="preserve"> finalizat </w:t>
      </w:r>
      <w:r w:rsidR="00462CE0" w:rsidRPr="005F6A32">
        <w:rPr>
          <w:rFonts w:ascii="Trebuchet MS" w:hAnsi="Trebuchet MS" w:cs="Arial"/>
          <w:sz w:val="22"/>
          <w:szCs w:val="22"/>
          <w:lang w:val="fr-FR"/>
        </w:rPr>
        <w:t>abia la inceputul anului 2018</w:t>
      </w:r>
      <w:r w:rsidR="00456DB7" w:rsidRPr="005F6A32">
        <w:rPr>
          <w:rFonts w:ascii="Trebuchet MS" w:hAnsi="Trebuchet MS" w:cs="Arial"/>
          <w:sz w:val="22"/>
          <w:szCs w:val="22"/>
          <w:lang w:val="fr-FR"/>
        </w:rPr>
        <w:t>.</w:t>
      </w:r>
      <w:r w:rsidR="00106937" w:rsidRPr="005F6A32">
        <w:rPr>
          <w:rFonts w:ascii="Trebuchet MS" w:hAnsi="Trebuchet MS" w:cs="Arial"/>
          <w:sz w:val="22"/>
          <w:szCs w:val="22"/>
          <w:lang w:val="fr-FR"/>
        </w:rPr>
        <w:t xml:space="preserve"> Planul de calitate a aerului a fost avizat de APMB și apoi aprobat prin HG 325/2018 la mijlocul anului 2018.</w:t>
      </w:r>
      <w:r w:rsidR="00456DB7" w:rsidRPr="005F6A32">
        <w:rPr>
          <w:rFonts w:ascii="Trebuchet MS" w:hAnsi="Trebuchet MS" w:cs="Arial"/>
          <w:sz w:val="22"/>
          <w:szCs w:val="22"/>
          <w:lang w:val="fr-FR"/>
        </w:rPr>
        <w:t xml:space="preserve"> </w:t>
      </w:r>
      <w:r w:rsidR="002C6223" w:rsidRPr="005F6A32">
        <w:rPr>
          <w:rFonts w:ascii="Trebuchet MS" w:hAnsi="Trebuchet MS" w:cs="Arial"/>
          <w:sz w:val="22"/>
          <w:szCs w:val="22"/>
          <w:lang w:val="fr-FR"/>
        </w:rPr>
        <w:t>Noul plan de calitate a aerului, conform scenarului de proiecție, propune măsuri pentru intervalul 2018-2022 menite să reducă poluarea aerului și să conducă la încadrarea în cerințele directivei de calitate a aerului la finalul anului 2022 pentru toți poluanții monitorizați.</w:t>
      </w:r>
    </w:p>
    <w:p w:rsidR="002C6223" w:rsidRPr="005F6A32" w:rsidRDefault="002C6223" w:rsidP="00473920">
      <w:pPr>
        <w:ind w:firstLine="720"/>
        <w:jc w:val="both"/>
        <w:rPr>
          <w:rFonts w:ascii="Trebuchet MS" w:hAnsi="Trebuchet MS" w:cs="Arial"/>
          <w:sz w:val="22"/>
          <w:szCs w:val="22"/>
          <w:lang w:val="fr-FR"/>
        </w:rPr>
      </w:pPr>
      <w:r w:rsidRPr="005F6A32">
        <w:rPr>
          <w:rFonts w:ascii="Trebuchet MS" w:hAnsi="Trebuchet MS" w:cs="Arial"/>
          <w:sz w:val="22"/>
          <w:szCs w:val="22"/>
          <w:lang w:val="fr-FR"/>
        </w:rPr>
        <w:t>În același timp, pentru poluanții ale căror concentrații se încadrează in valorile limită,  PMB a elaborat un plan de</w:t>
      </w:r>
      <w:r w:rsidR="00257D37" w:rsidRPr="005F6A32">
        <w:rPr>
          <w:rFonts w:ascii="Trebuchet MS" w:hAnsi="Trebuchet MS" w:cs="Arial"/>
          <w:sz w:val="22"/>
          <w:szCs w:val="22"/>
          <w:lang w:val="fr-FR"/>
        </w:rPr>
        <w:t xml:space="preserve"> menținere a calității aerului care să asigure și în viitor nedepășirea valorilor limită/țintă.</w:t>
      </w:r>
    </w:p>
    <w:p w:rsidR="00AE762B" w:rsidRPr="002254B7" w:rsidRDefault="001A7A4D" w:rsidP="002254B7">
      <w:pPr>
        <w:ind w:firstLine="720"/>
        <w:jc w:val="both"/>
        <w:rPr>
          <w:rFonts w:ascii="Arial" w:hAnsi="Arial" w:cs="Arial"/>
          <w:b/>
          <w:lang w:val="fr-FR"/>
        </w:rPr>
      </w:pPr>
      <w:r w:rsidRPr="005F6A32">
        <w:rPr>
          <w:rFonts w:ascii="Trebuchet MS" w:hAnsi="Trebuchet MS" w:cs="Arial"/>
          <w:sz w:val="22"/>
          <w:szCs w:val="22"/>
          <w:lang w:val="fr-FR"/>
        </w:rPr>
        <w:t>În acest moment PMB are în curs de elaborare studiul de calitate a aerului ce va sta la baza viitorului plan de calitate a aerului</w:t>
      </w:r>
      <w:r w:rsidR="00AE762B" w:rsidRPr="005F6A32">
        <w:rPr>
          <w:rFonts w:ascii="Arial" w:hAnsi="Arial" w:cs="Arial"/>
          <w:sz w:val="22"/>
          <w:szCs w:val="22"/>
          <w:lang w:val="fr-FR"/>
        </w:rPr>
        <w:br w:type="page"/>
      </w:r>
    </w:p>
    <w:p w:rsidR="00AE762B" w:rsidRPr="00575607" w:rsidRDefault="00AE762B" w:rsidP="005F6A32">
      <w:pPr>
        <w:pStyle w:val="Default"/>
        <w:jc w:val="center"/>
        <w:rPr>
          <w:rFonts w:ascii="Trebuchet MS" w:hAnsi="Trebuchet MS"/>
          <w:b/>
          <w:sz w:val="32"/>
          <w:szCs w:val="32"/>
          <w:lang w:val="fr-FR"/>
        </w:rPr>
      </w:pPr>
      <w:r w:rsidRPr="0059186B">
        <w:rPr>
          <w:lang w:val="fr-FR"/>
        </w:rPr>
        <w:t xml:space="preserve">. </w:t>
      </w:r>
      <w:r w:rsidRPr="00575607">
        <w:rPr>
          <w:rFonts w:ascii="Trebuchet MS" w:hAnsi="Trebuchet MS"/>
          <w:b/>
          <w:sz w:val="32"/>
          <w:szCs w:val="32"/>
          <w:lang w:val="fr-FR"/>
        </w:rPr>
        <w:t>Capitolul II</w:t>
      </w:r>
    </w:p>
    <w:p w:rsidR="00AE762B" w:rsidRPr="00575607" w:rsidRDefault="00AE762B" w:rsidP="002E5B22">
      <w:pPr>
        <w:pStyle w:val="Default"/>
        <w:jc w:val="center"/>
        <w:rPr>
          <w:rFonts w:ascii="Trebuchet MS" w:hAnsi="Trebuchet MS"/>
          <w:b/>
          <w:sz w:val="32"/>
          <w:szCs w:val="32"/>
          <w:lang w:val="fr-FR"/>
        </w:rPr>
      </w:pPr>
      <w:r w:rsidRPr="00575607">
        <w:rPr>
          <w:rFonts w:ascii="Trebuchet MS" w:hAnsi="Trebuchet MS"/>
          <w:b/>
          <w:sz w:val="32"/>
          <w:szCs w:val="32"/>
          <w:lang w:val="fr-FR"/>
        </w:rPr>
        <w:t xml:space="preserve"> APA</w:t>
      </w:r>
    </w:p>
    <w:p w:rsidR="00AE762B" w:rsidRPr="00575607" w:rsidRDefault="00AE762B" w:rsidP="002E5B22">
      <w:pPr>
        <w:pStyle w:val="Default"/>
        <w:jc w:val="center"/>
        <w:rPr>
          <w:rFonts w:ascii="Trebuchet MS" w:hAnsi="Trebuchet MS"/>
          <w:b/>
          <w:lang w:val="fr-FR"/>
        </w:rPr>
      </w:pPr>
    </w:p>
    <w:p w:rsidR="00AE762B" w:rsidRPr="005F6A32" w:rsidRDefault="00AE762B" w:rsidP="005A7B2A">
      <w:pPr>
        <w:pStyle w:val="Default"/>
        <w:jc w:val="both"/>
        <w:rPr>
          <w:rFonts w:ascii="Trebuchet MS" w:hAnsi="Trebuchet MS"/>
          <w:b/>
          <w:sz w:val="22"/>
          <w:szCs w:val="22"/>
          <w:lang w:val="fr-FR"/>
        </w:rPr>
      </w:pPr>
      <w:r w:rsidRPr="005F6A32">
        <w:rPr>
          <w:rFonts w:ascii="Trebuchet MS" w:hAnsi="Trebuchet MS"/>
          <w:b/>
          <w:sz w:val="22"/>
          <w:szCs w:val="22"/>
          <w:lang w:val="fr-FR"/>
        </w:rPr>
        <w:t>Informaţiile prezentate în acest capitol</w:t>
      </w:r>
      <w:r w:rsidR="00B63C48" w:rsidRPr="005F6A32">
        <w:rPr>
          <w:rFonts w:ascii="Trebuchet MS" w:hAnsi="Trebuchet MS"/>
          <w:b/>
          <w:sz w:val="22"/>
          <w:szCs w:val="22"/>
          <w:lang w:val="fr-FR"/>
        </w:rPr>
        <w:t xml:space="preserve"> provin de la Administrația Națională Apele Române, ș</w:t>
      </w:r>
      <w:r w:rsidRPr="005F6A32">
        <w:rPr>
          <w:rFonts w:ascii="Trebuchet MS" w:hAnsi="Trebuchet MS"/>
          <w:b/>
          <w:sz w:val="22"/>
          <w:szCs w:val="22"/>
          <w:lang w:val="fr-FR"/>
        </w:rPr>
        <w:t>i multe dintre acestea sunt prezent</w:t>
      </w:r>
      <w:r w:rsidR="00B63C48" w:rsidRPr="005F6A32">
        <w:rPr>
          <w:rFonts w:ascii="Trebuchet MS" w:hAnsi="Trebuchet MS"/>
          <w:b/>
          <w:sz w:val="22"/>
          <w:szCs w:val="22"/>
          <w:lang w:val="fr-FR"/>
        </w:rPr>
        <w:t>ate doar totalizat, la nivel naț</w:t>
      </w:r>
      <w:r w:rsidRPr="005F6A32">
        <w:rPr>
          <w:rFonts w:ascii="Trebuchet MS" w:hAnsi="Trebuchet MS"/>
          <w:b/>
          <w:sz w:val="22"/>
          <w:szCs w:val="22"/>
          <w:lang w:val="fr-FR"/>
        </w:rPr>
        <w:t>ional</w:t>
      </w:r>
    </w:p>
    <w:p w:rsidR="00212C2D" w:rsidRPr="005F6A32" w:rsidRDefault="00212C2D" w:rsidP="00212C2D">
      <w:pPr>
        <w:rPr>
          <w:rFonts w:ascii="Trebuchet MS" w:hAnsi="Trebuchet MS" w:cs="Arial"/>
          <w:b/>
          <w:sz w:val="22"/>
          <w:szCs w:val="22"/>
          <w:u w:val="single"/>
        </w:rPr>
      </w:pPr>
    </w:p>
    <w:p w:rsidR="00B63C48" w:rsidRPr="005F6A32" w:rsidRDefault="00B63C48" w:rsidP="00B63C48">
      <w:pPr>
        <w:rPr>
          <w:rFonts w:ascii="Trebuchet MS" w:hAnsi="Trebuchet MS" w:cs="Arial"/>
          <w:b/>
          <w:sz w:val="22"/>
          <w:szCs w:val="22"/>
          <w:u w:val="single"/>
        </w:rPr>
      </w:pPr>
      <w:r w:rsidRPr="005F6A32">
        <w:rPr>
          <w:rFonts w:ascii="Trebuchet MS" w:hAnsi="Trebuchet MS" w:cs="Arial"/>
          <w:b/>
          <w:sz w:val="22"/>
          <w:szCs w:val="22"/>
          <w:u w:val="single"/>
          <w:lang w:val="fr-FR"/>
        </w:rPr>
        <w:t>II.1 RESURSELE DE AP</w:t>
      </w:r>
      <w:r w:rsidRPr="005F6A32">
        <w:rPr>
          <w:rFonts w:ascii="Trebuchet MS" w:hAnsi="Trebuchet MS" w:cs="Arial"/>
          <w:b/>
          <w:sz w:val="22"/>
          <w:szCs w:val="22"/>
          <w:u w:val="single"/>
        </w:rPr>
        <w:t>Ă. CANTITĂȚI ȘI DEBITE</w:t>
      </w:r>
    </w:p>
    <w:p w:rsidR="00B63C48" w:rsidRPr="005F6A32" w:rsidRDefault="00B63C48" w:rsidP="00B63C48">
      <w:pPr>
        <w:ind w:firstLine="720"/>
        <w:jc w:val="both"/>
        <w:rPr>
          <w:rFonts w:ascii="Trebuchet MS" w:hAnsi="Trebuchet MS" w:cs="Arial"/>
          <w:b/>
          <w:i/>
          <w:sz w:val="22"/>
          <w:szCs w:val="22"/>
        </w:rPr>
      </w:pPr>
      <w:r w:rsidRPr="005F6A32">
        <w:rPr>
          <w:rFonts w:ascii="Trebuchet MS" w:hAnsi="Trebuchet MS" w:cs="Arial"/>
          <w:b/>
          <w:i/>
          <w:sz w:val="22"/>
          <w:szCs w:val="22"/>
        </w:rPr>
        <w:t>Resursele naturale de apă la nivelul anului 2023</w:t>
      </w:r>
    </w:p>
    <w:p w:rsidR="00B63C48" w:rsidRPr="005F6A32" w:rsidRDefault="00B63C48" w:rsidP="00B63C48">
      <w:pPr>
        <w:ind w:firstLine="720"/>
        <w:jc w:val="both"/>
        <w:rPr>
          <w:rFonts w:ascii="Trebuchet MS" w:hAnsi="Trebuchet MS" w:cs="Arial"/>
          <w:sz w:val="22"/>
          <w:szCs w:val="22"/>
        </w:rPr>
      </w:pP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Resursele naturale de apă reprezintă rezervele de apă de suprafață și subterane ale unui teritoriu care pot fi folosite pentru diverse scopuri.</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Resursa naturală este cantitatea de apă exprimată în unități de volum acumulată în corpurile de apă într-un interval de timp dat, în cazul de față în cursul anului 2023.</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i/>
          <w:sz w:val="22"/>
          <w:szCs w:val="22"/>
        </w:rPr>
        <w:t xml:space="preserve">Resursa teoretică </w:t>
      </w:r>
      <w:r w:rsidRPr="005F6A32">
        <w:rPr>
          <w:rFonts w:ascii="Trebuchet MS" w:hAnsi="Trebuchet MS" w:cs="Arial"/>
          <w:sz w:val="22"/>
          <w:szCs w:val="22"/>
        </w:rPr>
        <w:t>este dată de stocul mediu anual reprezentând totalitatea resurselor naturale de apă atât de suprafață cât și subterane.</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i/>
          <w:sz w:val="22"/>
          <w:szCs w:val="22"/>
        </w:rPr>
        <w:t xml:space="preserve">Resursa tehnic utilizabilă </w:t>
      </w:r>
      <w:r w:rsidRPr="005F6A32">
        <w:rPr>
          <w:rFonts w:ascii="Trebuchet MS" w:hAnsi="Trebuchet MS" w:cs="Arial"/>
          <w:sz w:val="22"/>
          <w:szCs w:val="22"/>
        </w:rPr>
        <w:t>este cota parte din resursa teoretică care poate fi prelevată pentru a servi la satisfacerea cerințelor de apă ale economiei.</w:t>
      </w:r>
    </w:p>
    <w:p w:rsidR="00B63C48" w:rsidRPr="005F6A32" w:rsidRDefault="00B63C48" w:rsidP="00B63C48">
      <w:pPr>
        <w:rPr>
          <w:rFonts w:ascii="Trebuchet MS" w:hAnsi="Trebuchet MS" w:cs="Arial"/>
          <w:b/>
          <w:sz w:val="22"/>
          <w:szCs w:val="22"/>
          <w:u w:val="single"/>
        </w:rPr>
      </w:pPr>
    </w:p>
    <w:p w:rsidR="00B63C48" w:rsidRPr="005F6A32" w:rsidRDefault="00B63C48" w:rsidP="00B63C48">
      <w:pPr>
        <w:rPr>
          <w:rFonts w:ascii="Trebuchet MS" w:hAnsi="Trebuchet MS" w:cs="Arial"/>
          <w:b/>
          <w:i/>
          <w:sz w:val="22"/>
          <w:szCs w:val="22"/>
          <w:u w:val="single"/>
        </w:rPr>
      </w:pPr>
      <w:r w:rsidRPr="005F6A32">
        <w:rPr>
          <w:rFonts w:ascii="Trebuchet MS" w:hAnsi="Trebuchet MS" w:cs="Arial"/>
          <w:b/>
          <w:i/>
          <w:sz w:val="22"/>
          <w:szCs w:val="22"/>
          <w:u w:val="single"/>
        </w:rPr>
        <w:t>II.1.1 Stare, presiuni și consecințe</w:t>
      </w:r>
    </w:p>
    <w:p w:rsidR="00B63C48" w:rsidRPr="005F6A32" w:rsidRDefault="00B63C48" w:rsidP="00B63C48">
      <w:pPr>
        <w:rPr>
          <w:rFonts w:ascii="Trebuchet MS" w:hAnsi="Trebuchet MS" w:cs="Arial"/>
          <w:b/>
          <w:sz w:val="22"/>
          <w:szCs w:val="22"/>
          <w:u w:val="single"/>
        </w:rPr>
      </w:pPr>
      <w:r w:rsidRPr="005F6A32">
        <w:rPr>
          <w:rFonts w:ascii="Trebuchet MS" w:hAnsi="Trebuchet MS" w:cs="Arial"/>
          <w:b/>
          <w:sz w:val="22"/>
          <w:szCs w:val="22"/>
          <w:u w:val="single"/>
        </w:rPr>
        <w:t>II.1.1.1 Resurse de apă potențiale și tehnic utilizabile (teoretică și utilizabilă)</w:t>
      </w:r>
    </w:p>
    <w:p w:rsidR="00B63C48" w:rsidRPr="005F6A32" w:rsidRDefault="00B63C48" w:rsidP="00B63C48">
      <w:pPr>
        <w:shd w:val="clear" w:color="auto" w:fill="99FF66"/>
        <w:jc w:val="center"/>
        <w:rPr>
          <w:rFonts w:ascii="Trebuchet MS" w:hAnsi="Trebuchet MS" w:cs="Arial"/>
          <w:b/>
          <w:sz w:val="22"/>
          <w:szCs w:val="22"/>
          <w:u w:val="single"/>
        </w:rPr>
      </w:pPr>
      <w:r w:rsidRPr="005F6A32">
        <w:rPr>
          <w:rFonts w:ascii="Trebuchet MS" w:hAnsi="Trebuchet MS" w:cs="Arial"/>
          <w:b/>
          <w:sz w:val="22"/>
          <w:szCs w:val="22"/>
          <w:u w:val="single"/>
        </w:rPr>
        <w:t>INDICATOR CSI 18. UTILIZAREA RESURSELOR DE APĂ DULCE (RO 18)</w:t>
      </w:r>
    </w:p>
    <w:tbl>
      <w:tblPr>
        <w:tblW w:w="5670" w:type="dxa"/>
        <w:jc w:val="center"/>
        <w:tblLook w:val="04A0" w:firstRow="1" w:lastRow="0" w:firstColumn="1" w:lastColumn="0" w:noHBand="0" w:noVBand="1"/>
      </w:tblPr>
      <w:tblGrid>
        <w:gridCol w:w="1700"/>
        <w:gridCol w:w="1700"/>
        <w:gridCol w:w="2270"/>
      </w:tblGrid>
      <w:tr w:rsidR="00B63C48" w:rsidRPr="005F6A32" w:rsidTr="00E13AA6">
        <w:trPr>
          <w:trHeight w:val="399"/>
          <w:jc w:val="center"/>
        </w:trPr>
        <w:tc>
          <w:tcPr>
            <w:tcW w:w="1700" w:type="dxa"/>
            <w:tcBorders>
              <w:top w:val="nil"/>
              <w:left w:val="nil"/>
              <w:bottom w:val="nil"/>
              <w:right w:val="nil"/>
            </w:tcBorders>
            <w:shd w:val="clear" w:color="auto" w:fill="auto"/>
            <w:noWrap/>
            <w:vAlign w:val="bottom"/>
            <w:hideMark/>
          </w:tcPr>
          <w:p w:rsidR="00B63C48" w:rsidRPr="005F6A32" w:rsidRDefault="00B63C48" w:rsidP="00E13AA6">
            <w:pPr>
              <w:rPr>
                <w:rFonts w:ascii="Trebuchet MS" w:eastAsia="Times New Roman" w:hAnsi="Trebuchet MS"/>
                <w:sz w:val="22"/>
                <w:szCs w:val="22"/>
                <w:lang w:eastAsia="ro-RO"/>
              </w:rPr>
            </w:pPr>
          </w:p>
        </w:tc>
        <w:tc>
          <w:tcPr>
            <w:tcW w:w="1700" w:type="dxa"/>
            <w:tcBorders>
              <w:top w:val="nil"/>
              <w:left w:val="nil"/>
              <w:bottom w:val="nil"/>
              <w:right w:val="nil"/>
            </w:tcBorders>
            <w:shd w:val="clear" w:color="auto" w:fill="auto"/>
            <w:noWrap/>
            <w:vAlign w:val="bottom"/>
            <w:hideMark/>
          </w:tcPr>
          <w:p w:rsidR="00B63C48" w:rsidRPr="005F6A32" w:rsidRDefault="00B63C48" w:rsidP="00E13AA6">
            <w:pPr>
              <w:jc w:val="center"/>
              <w:rPr>
                <w:rFonts w:ascii="Trebuchet MS" w:eastAsia="Times New Roman" w:hAnsi="Trebuchet MS"/>
                <w:sz w:val="22"/>
                <w:szCs w:val="22"/>
                <w:lang w:eastAsia="ro-RO"/>
              </w:rPr>
            </w:pPr>
          </w:p>
        </w:tc>
        <w:tc>
          <w:tcPr>
            <w:tcW w:w="2270" w:type="dxa"/>
            <w:tcBorders>
              <w:top w:val="nil"/>
              <w:left w:val="nil"/>
              <w:bottom w:val="nil"/>
              <w:right w:val="nil"/>
            </w:tcBorders>
            <w:shd w:val="clear" w:color="auto" w:fill="auto"/>
            <w:noWrap/>
            <w:vAlign w:val="bottom"/>
            <w:hideMark/>
          </w:tcPr>
          <w:p w:rsidR="00B63C48" w:rsidRPr="005F6A32" w:rsidRDefault="00B63C48" w:rsidP="00E13AA6">
            <w:pPr>
              <w:jc w:val="center"/>
              <w:rPr>
                <w:rFonts w:ascii="Trebuchet MS" w:eastAsia="Times New Roman" w:hAnsi="Trebuchet MS" w:cs="Arial"/>
                <w:b/>
                <w:bCs/>
                <w:i/>
                <w:iCs/>
                <w:color w:val="0D0D0D"/>
                <w:sz w:val="22"/>
                <w:szCs w:val="22"/>
                <w:lang w:eastAsia="ro-RO"/>
              </w:rPr>
            </w:pPr>
            <w:r w:rsidRPr="005F6A32">
              <w:rPr>
                <w:rFonts w:ascii="Trebuchet MS" w:eastAsia="Times New Roman" w:hAnsi="Trebuchet MS" w:cs="Arial"/>
                <w:b/>
                <w:bCs/>
                <w:i/>
                <w:iCs/>
                <w:color w:val="0D0D0D"/>
                <w:sz w:val="22"/>
                <w:szCs w:val="22"/>
                <w:lang w:eastAsia="ro-RO"/>
              </w:rPr>
              <w:t>Tabelul II.1.1.1.1</w:t>
            </w:r>
          </w:p>
        </w:tc>
      </w:tr>
      <w:tr w:rsidR="00B63C48" w:rsidRPr="00575607" w:rsidTr="00E13AA6">
        <w:trPr>
          <w:trHeight w:val="903"/>
          <w:jc w:val="center"/>
        </w:trPr>
        <w:tc>
          <w:tcPr>
            <w:tcW w:w="1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Anii</w:t>
            </w:r>
          </w:p>
        </w:tc>
        <w:tc>
          <w:tcPr>
            <w:tcW w:w="1700" w:type="dxa"/>
            <w:tcBorders>
              <w:top w:val="single" w:sz="4" w:space="0" w:color="auto"/>
              <w:left w:val="nil"/>
              <w:bottom w:val="single" w:sz="8" w:space="0" w:color="auto"/>
              <w:right w:val="single" w:sz="4" w:space="0" w:color="auto"/>
            </w:tcBorders>
            <w:shd w:val="clear" w:color="auto" w:fill="auto"/>
            <w:vAlign w:val="center"/>
            <w:hideMark/>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Resursa teoretică</w:t>
            </w:r>
          </w:p>
          <w:p w:rsidR="00B63C48" w:rsidRPr="00575607" w:rsidRDefault="00B63C48" w:rsidP="00E13AA6">
            <w:pPr>
              <w:jc w:val="center"/>
              <w:rPr>
                <w:rFonts w:ascii="Trebuchet MS" w:hAnsi="Trebuchet MS" w:cs="Arial"/>
                <w:color w:val="000000"/>
                <w:lang w:eastAsia="ro-RO"/>
              </w:rPr>
            </w:pPr>
            <w:r w:rsidRPr="00575607">
              <w:rPr>
                <w:rFonts w:ascii="Trebuchet MS" w:eastAsia="Times New Roman" w:hAnsi="Trebuchet MS" w:cs="Arial"/>
                <w:color w:val="000000"/>
                <w:lang w:val="en-US" w:eastAsia="ro-RO"/>
              </w:rPr>
              <w:t xml:space="preserve">(mii </w:t>
            </w:r>
            <w:r w:rsidRPr="00575607">
              <w:rPr>
                <w:rFonts w:ascii="Trebuchet MS" w:eastAsia="Times New Roman" w:hAnsi="Trebuchet MS" w:cs="Arial"/>
                <w:color w:val="000000"/>
                <w:lang w:eastAsia="ro-RO"/>
              </w:rPr>
              <w:t>m</w:t>
            </w:r>
            <w:r w:rsidRPr="00575607">
              <w:rPr>
                <w:rFonts w:ascii="Trebuchet MS" w:eastAsia="Times New Roman" w:hAnsi="Trebuchet MS" w:cs="Arial"/>
                <w:color w:val="000000"/>
                <w:vertAlign w:val="superscript"/>
                <w:lang w:eastAsia="ro-RO"/>
              </w:rPr>
              <w:t>3</w:t>
            </w:r>
            <w:r w:rsidRPr="00575607">
              <w:rPr>
                <w:rFonts w:ascii="Trebuchet MS" w:eastAsia="Times New Roman" w:hAnsi="Trebuchet MS" w:cs="Arial"/>
                <w:color w:val="000000"/>
                <w:lang w:val="en-US" w:eastAsia="ro-RO"/>
              </w:rPr>
              <w:t>)</w:t>
            </w:r>
          </w:p>
        </w:tc>
        <w:tc>
          <w:tcPr>
            <w:tcW w:w="2270" w:type="dxa"/>
            <w:tcBorders>
              <w:top w:val="single" w:sz="4" w:space="0" w:color="auto"/>
              <w:left w:val="nil"/>
              <w:bottom w:val="single" w:sz="8" w:space="0" w:color="auto"/>
              <w:right w:val="single" w:sz="4" w:space="0" w:color="auto"/>
            </w:tcBorders>
            <w:shd w:val="clear" w:color="auto" w:fill="auto"/>
            <w:vAlign w:val="center"/>
            <w:hideMark/>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Resursa utilizabilă</w:t>
            </w:r>
          </w:p>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val="en-US" w:eastAsia="ro-RO"/>
              </w:rPr>
              <w:t xml:space="preserve">(mii </w:t>
            </w:r>
            <w:r w:rsidRPr="00575607">
              <w:rPr>
                <w:rFonts w:ascii="Trebuchet MS" w:eastAsia="Times New Roman" w:hAnsi="Trebuchet MS" w:cs="Arial"/>
                <w:color w:val="000000"/>
                <w:lang w:eastAsia="ro-RO"/>
              </w:rPr>
              <w:t>m</w:t>
            </w:r>
            <w:r w:rsidRPr="00575607">
              <w:rPr>
                <w:rFonts w:ascii="Trebuchet MS" w:eastAsia="Times New Roman" w:hAnsi="Trebuchet MS" w:cs="Arial"/>
                <w:color w:val="000000"/>
                <w:vertAlign w:val="superscript"/>
                <w:lang w:eastAsia="ro-RO"/>
              </w:rPr>
              <w:t>3</w:t>
            </w:r>
            <w:r w:rsidRPr="00575607">
              <w:rPr>
                <w:rFonts w:ascii="Trebuchet MS" w:eastAsia="Times New Roman" w:hAnsi="Trebuchet MS" w:cs="Arial"/>
                <w:color w:val="000000"/>
                <w:lang w:val="en-US" w:eastAsia="ro-RO"/>
              </w:rPr>
              <w:t>)</w:t>
            </w:r>
          </w:p>
        </w:tc>
      </w:tr>
      <w:tr w:rsidR="00B63C48" w:rsidRPr="00575607" w:rsidTr="00E13AA6">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2018</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38346760</w:t>
            </w:r>
          </w:p>
        </w:tc>
      </w:tr>
      <w:tr w:rsidR="00B63C48" w:rsidRPr="00575607" w:rsidTr="00E13AA6">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2019</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38346760</w:t>
            </w:r>
          </w:p>
        </w:tc>
      </w:tr>
      <w:tr w:rsidR="00B63C48" w:rsidRPr="00575607" w:rsidTr="00E13AA6">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2020</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38346760</w:t>
            </w:r>
          </w:p>
        </w:tc>
      </w:tr>
      <w:tr w:rsidR="00B63C48" w:rsidRPr="00575607" w:rsidTr="00E13AA6">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2021</w:t>
            </w:r>
          </w:p>
        </w:tc>
        <w:tc>
          <w:tcPr>
            <w:tcW w:w="170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38346760</w:t>
            </w:r>
          </w:p>
        </w:tc>
      </w:tr>
      <w:tr w:rsidR="00B63C48" w:rsidRPr="00575607" w:rsidTr="00E13AA6">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2022</w:t>
            </w:r>
          </w:p>
        </w:tc>
        <w:tc>
          <w:tcPr>
            <w:tcW w:w="170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38346760</w:t>
            </w:r>
          </w:p>
        </w:tc>
      </w:tr>
      <w:tr w:rsidR="00B63C48" w:rsidRPr="00575607" w:rsidTr="00E13AA6">
        <w:trPr>
          <w:trHeight w:val="312"/>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B63C48" w:rsidRPr="00575607" w:rsidRDefault="00B63C48" w:rsidP="00E13AA6">
            <w:pPr>
              <w:jc w:val="center"/>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2023</w:t>
            </w:r>
          </w:p>
        </w:tc>
        <w:tc>
          <w:tcPr>
            <w:tcW w:w="170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B63C48" w:rsidRPr="00575607" w:rsidRDefault="00B63C48" w:rsidP="00E13AA6">
            <w:pPr>
              <w:jc w:val="right"/>
              <w:rPr>
                <w:rFonts w:ascii="Trebuchet MS" w:eastAsia="Times New Roman" w:hAnsi="Trebuchet MS" w:cs="Arial"/>
                <w:color w:val="000000"/>
                <w:lang w:eastAsia="ro-RO"/>
              </w:rPr>
            </w:pPr>
            <w:r w:rsidRPr="00575607">
              <w:rPr>
                <w:rFonts w:ascii="Trebuchet MS" w:eastAsia="Times New Roman" w:hAnsi="Trebuchet MS" w:cs="Arial"/>
                <w:color w:val="000000"/>
                <w:lang w:eastAsia="ro-RO"/>
              </w:rPr>
              <w:t>38346760</w:t>
            </w:r>
          </w:p>
        </w:tc>
      </w:tr>
    </w:tbl>
    <w:p w:rsidR="00B63C48" w:rsidRPr="0013005D" w:rsidRDefault="00B63C48" w:rsidP="00B63C48">
      <w:pPr>
        <w:rPr>
          <w:rFonts w:ascii="Trebuchet MS" w:hAnsi="Trebuchet MS" w:cs="Arial"/>
          <w:b/>
          <w:u w:val="single"/>
        </w:rPr>
      </w:pPr>
      <w:r w:rsidRPr="0013005D">
        <w:rPr>
          <w:rFonts w:ascii="Trebuchet MS" w:hAnsi="Trebuchet MS"/>
          <w:noProof/>
          <w:lang w:val="en-US"/>
        </w:rPr>
        <w:drawing>
          <wp:anchor distT="0" distB="0" distL="114300" distR="114300" simplePos="0" relativeHeight="251686400" behindDoc="0" locked="0" layoutInCell="1" allowOverlap="1" wp14:anchorId="49B50F97" wp14:editId="4223ED78">
            <wp:simplePos x="0" y="0"/>
            <wp:positionH relativeFrom="column">
              <wp:posOffset>223520</wp:posOffset>
            </wp:positionH>
            <wp:positionV relativeFrom="paragraph">
              <wp:posOffset>276225</wp:posOffset>
            </wp:positionV>
            <wp:extent cx="5505450" cy="2924175"/>
            <wp:effectExtent l="0" t="0" r="19050" b="9525"/>
            <wp:wrapSquare wrapText="bothSides"/>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rsidR="00B63C48" w:rsidRPr="005F6A32" w:rsidRDefault="00B63C48" w:rsidP="00B63C48">
      <w:pPr>
        <w:rPr>
          <w:rFonts w:ascii="Trebuchet MS" w:hAnsi="Trebuchet MS" w:cs="Arial"/>
          <w:b/>
          <w:sz w:val="22"/>
          <w:szCs w:val="22"/>
          <w:u w:val="single"/>
        </w:rPr>
      </w:pPr>
      <w:r w:rsidRPr="005F6A32">
        <w:rPr>
          <w:rFonts w:ascii="Trebuchet MS" w:hAnsi="Trebuchet MS"/>
          <w:bCs/>
          <w:sz w:val="22"/>
          <w:szCs w:val="22"/>
        </w:rPr>
        <w:t>Figura II.1.1.1.1 Evoluția resursei de apă (teoretică și utilizabilă) în perioada 2018 – 2023 (mii m</w:t>
      </w:r>
      <w:r w:rsidRPr="005F6A32">
        <w:rPr>
          <w:rFonts w:ascii="Trebuchet MS" w:hAnsi="Trebuchet MS"/>
          <w:bCs/>
          <w:sz w:val="22"/>
          <w:szCs w:val="22"/>
          <w:vertAlign w:val="superscript"/>
        </w:rPr>
        <w:t>3</w:t>
      </w:r>
      <w:r w:rsidRPr="005F6A32">
        <w:rPr>
          <w:rFonts w:ascii="Trebuchet MS" w:hAnsi="Trebuchet MS"/>
          <w:bCs/>
          <w:sz w:val="22"/>
          <w:szCs w:val="22"/>
        </w:rPr>
        <w:t>)</w:t>
      </w:r>
      <w:r w:rsidRPr="005F6A32">
        <w:rPr>
          <w:rFonts w:ascii="Trebuchet MS" w:hAnsi="Trebuchet MS" w:cs="Arial"/>
          <w:b/>
          <w:sz w:val="22"/>
          <w:szCs w:val="22"/>
          <w:u w:val="single"/>
        </w:rPr>
        <w:br/>
      </w:r>
    </w:p>
    <w:p w:rsidR="00B63C48" w:rsidRPr="005F6A32" w:rsidRDefault="00B63C48" w:rsidP="00B63C48">
      <w:pPr>
        <w:ind w:firstLine="708"/>
        <w:rPr>
          <w:rFonts w:ascii="Trebuchet MS" w:hAnsi="Trebuchet MS" w:cs="Arial"/>
          <w:sz w:val="22"/>
          <w:szCs w:val="22"/>
        </w:rPr>
      </w:pPr>
      <w:r w:rsidRPr="005F6A32">
        <w:rPr>
          <w:rFonts w:ascii="Trebuchet MS" w:hAnsi="Trebuchet MS" w:cs="Arial"/>
          <w:sz w:val="22"/>
          <w:szCs w:val="22"/>
          <w:lang w:val="pt-BR"/>
        </w:rPr>
        <w:t>Resursa utilizabilă, potrivit gradului de amenajare a bazinelor hidrografice</w:t>
      </w:r>
      <w:r w:rsidRPr="005F6A32">
        <w:rPr>
          <w:rFonts w:ascii="Trebuchet MS" w:hAnsi="Trebuchet MS" w:cs="Arial"/>
          <w:sz w:val="22"/>
          <w:szCs w:val="22"/>
        </w:rPr>
        <w:t>,c</w:t>
      </w:r>
      <w:r w:rsidRPr="005F6A32">
        <w:rPr>
          <w:rFonts w:ascii="Trebuchet MS" w:hAnsi="Trebuchet MS" w:cs="Arial"/>
          <w:sz w:val="22"/>
          <w:szCs w:val="22"/>
          <w:lang w:val="pt-BR"/>
        </w:rPr>
        <w:t>uprinde şi resursa aferentă lacurilor litorale, precum şi resursa asigurată prin refolosire externă indirectă în lungul râului.</w:t>
      </w:r>
    </w:p>
    <w:p w:rsidR="00B63C48" w:rsidRPr="005F6A32" w:rsidRDefault="00B63C48" w:rsidP="00B63C48">
      <w:pPr>
        <w:ind w:firstLine="720"/>
        <w:jc w:val="both"/>
        <w:rPr>
          <w:rFonts w:ascii="Trebuchet MS" w:hAnsi="Trebuchet MS" w:cs="Arial"/>
          <w:sz w:val="22"/>
          <w:szCs w:val="22"/>
          <w:lang w:val="fr-FR"/>
        </w:rPr>
      </w:pPr>
      <w:r w:rsidRPr="005F6A32">
        <w:rPr>
          <w:rFonts w:ascii="Trebuchet MS" w:hAnsi="Trebuchet MS" w:cs="Arial"/>
          <w:sz w:val="22"/>
          <w:szCs w:val="22"/>
        </w:rPr>
        <w:t>Resursele de apă de suprafață ale României provin din 2 categorii de surse, respectiv</w:t>
      </w:r>
      <w:r w:rsidRPr="005F6A32">
        <w:rPr>
          <w:rFonts w:ascii="Trebuchet MS" w:hAnsi="Trebuchet MS" w:cs="Arial"/>
          <w:sz w:val="22"/>
          <w:szCs w:val="22"/>
          <w:lang w:val="fr-FR"/>
        </w:rPr>
        <w:t>:</w:t>
      </w:r>
    </w:p>
    <w:p w:rsidR="00B63C48" w:rsidRPr="005F6A32" w:rsidRDefault="00B63C48" w:rsidP="004F134E">
      <w:pPr>
        <w:pStyle w:val="ListParagraph"/>
        <w:numPr>
          <w:ilvl w:val="0"/>
          <w:numId w:val="64"/>
        </w:numPr>
        <w:ind w:left="1248" w:hanging="284"/>
        <w:jc w:val="both"/>
        <w:rPr>
          <w:rFonts w:ascii="Trebuchet MS" w:hAnsi="Trebuchet MS" w:cs="Arial"/>
          <w:sz w:val="22"/>
          <w:szCs w:val="22"/>
        </w:rPr>
      </w:pPr>
      <w:r w:rsidRPr="005F6A32">
        <w:rPr>
          <w:rFonts w:ascii="Trebuchet MS" w:hAnsi="Trebuchet MS" w:cs="Arial"/>
          <w:sz w:val="22"/>
          <w:szCs w:val="22"/>
        </w:rPr>
        <w:t>râurile interioare (inclusiv lacurile naturale)</w:t>
      </w:r>
    </w:p>
    <w:p w:rsidR="00B63C48" w:rsidRPr="005F6A32" w:rsidRDefault="00B63C48" w:rsidP="004F134E">
      <w:pPr>
        <w:pStyle w:val="ListParagraph"/>
        <w:numPr>
          <w:ilvl w:val="0"/>
          <w:numId w:val="64"/>
        </w:numPr>
        <w:ind w:left="1248" w:hanging="284"/>
        <w:jc w:val="both"/>
        <w:rPr>
          <w:rFonts w:ascii="Trebuchet MS" w:hAnsi="Trebuchet MS" w:cs="Arial"/>
          <w:sz w:val="22"/>
          <w:szCs w:val="22"/>
        </w:rPr>
      </w:pPr>
      <w:r w:rsidRPr="005F6A32">
        <w:rPr>
          <w:rFonts w:ascii="Trebuchet MS" w:hAnsi="Trebuchet MS" w:cs="Arial"/>
          <w:sz w:val="22"/>
          <w:szCs w:val="22"/>
        </w:rPr>
        <w:t>fluviul Dunărea</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Pentru utilizatorii din România ponderea principală în asigurarea resursei necesare o au râurile interioare. Lacurile naturale au volume reduse de apă, cu excepția lacurilor litorale din sistemul lagunar Razelm – Sinoe care, deși dispun de volume apreciabile, au apă salmastră datorită legăturilor cu apele Mării Negre.</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Fluviul Dunărea, deși deține întâietatea în ceea ce privește volumul total al resursei, fiind situat excentric față de teritoriul național, este mai puțin folosit ca sursă de apă utilizabilă. Până în prezent singura utilizare a resursei de apă oferită de Dunăre a fost în domeniul agricol (pentru irigații).</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i/>
          <w:sz w:val="22"/>
          <w:szCs w:val="22"/>
          <w:u w:val="single"/>
        </w:rPr>
        <w:t>Resursa naturală de apă a anului 2023</w:t>
      </w:r>
      <w:r w:rsidRPr="005F6A32">
        <w:rPr>
          <w:rFonts w:ascii="Trebuchet MS" w:hAnsi="Trebuchet MS" w:cs="Arial"/>
          <w:i/>
          <w:sz w:val="22"/>
          <w:szCs w:val="22"/>
        </w:rPr>
        <w:t xml:space="preserve"> </w:t>
      </w:r>
      <w:r w:rsidRPr="005F6A32">
        <w:rPr>
          <w:rFonts w:ascii="Trebuchet MS" w:hAnsi="Trebuchet MS" w:cs="Arial"/>
          <w:sz w:val="22"/>
          <w:szCs w:val="22"/>
        </w:rPr>
        <w:t>provenită din râurile interioare a reprezentat un volum scurs de 38227*10</w:t>
      </w:r>
      <w:r w:rsidRPr="005F6A32">
        <w:rPr>
          <w:rFonts w:ascii="Trebuchet MS" w:hAnsi="Trebuchet MS" w:cs="Arial"/>
          <w:sz w:val="22"/>
          <w:szCs w:val="22"/>
          <w:vertAlign w:val="superscript"/>
        </w:rPr>
        <w:t>6</w:t>
      </w:r>
      <w:r w:rsidRPr="005F6A32">
        <w:rPr>
          <w:rFonts w:ascii="Trebuchet MS" w:hAnsi="Trebuchet MS" w:cs="Arial"/>
          <w:sz w:val="22"/>
          <w:szCs w:val="22"/>
        </w:rPr>
        <w:t>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 care îl situează cu 4.24% sub nivelul volumului mediu multianual calculat pentru o perioadă îndelungată, respectiv 39920 *10</w:t>
      </w:r>
      <w:r w:rsidRPr="005F6A32">
        <w:rPr>
          <w:rFonts w:ascii="Trebuchet MS" w:hAnsi="Trebuchet MS" w:cs="Arial"/>
          <w:sz w:val="22"/>
          <w:szCs w:val="22"/>
          <w:vertAlign w:val="superscript"/>
        </w:rPr>
        <w:t>6</w:t>
      </w:r>
      <w:r w:rsidRPr="005F6A32">
        <w:rPr>
          <w:rFonts w:ascii="Trebuchet MS" w:hAnsi="Trebuchet MS" w:cs="Arial"/>
          <w:sz w:val="22"/>
          <w:szCs w:val="22"/>
        </w:rPr>
        <w:t>m</w:t>
      </w:r>
      <w:r w:rsidRPr="005F6A32">
        <w:rPr>
          <w:rFonts w:ascii="Trebuchet MS" w:hAnsi="Trebuchet MS" w:cs="Arial"/>
          <w:sz w:val="22"/>
          <w:szCs w:val="22"/>
          <w:vertAlign w:val="superscript"/>
        </w:rPr>
        <w:t>3</w:t>
      </w:r>
      <w:r w:rsidRPr="005F6A32">
        <w:rPr>
          <w:rFonts w:ascii="Trebuchet MS" w:hAnsi="Trebuchet MS" w:cs="Arial"/>
          <w:sz w:val="22"/>
          <w:szCs w:val="22"/>
        </w:rPr>
        <w:t>.</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În acest context anul 2023 poate fi considerat un an normal.</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Comparativ cu ultimii 5 ani (2018 – 2022), volumul scurs în anul 2023 este mai mare cu   9% față de media multianuală a stocului anual (35241 * 10</w:t>
      </w:r>
      <w:r w:rsidRPr="005F6A32">
        <w:rPr>
          <w:rFonts w:ascii="Trebuchet MS" w:hAnsi="Trebuchet MS" w:cs="Arial"/>
          <w:sz w:val="22"/>
          <w:szCs w:val="22"/>
          <w:vertAlign w:val="superscript"/>
        </w:rPr>
        <w:t>6</w:t>
      </w:r>
      <w:r w:rsidRPr="005F6A32">
        <w:rPr>
          <w:rFonts w:ascii="Trebuchet MS" w:hAnsi="Trebuchet MS" w:cs="Arial"/>
          <w:sz w:val="22"/>
          <w:szCs w:val="22"/>
        </w:rPr>
        <w:t>m</w:t>
      </w:r>
      <w:r w:rsidRPr="005F6A32">
        <w:rPr>
          <w:rFonts w:ascii="Trebuchet MS" w:hAnsi="Trebuchet MS" w:cs="Arial"/>
          <w:sz w:val="22"/>
          <w:szCs w:val="22"/>
          <w:vertAlign w:val="superscript"/>
        </w:rPr>
        <w:t>3</w:t>
      </w:r>
      <w:r w:rsidRPr="005F6A32">
        <w:rPr>
          <w:rFonts w:ascii="Trebuchet MS" w:hAnsi="Trebuchet MS" w:cs="Arial"/>
          <w:sz w:val="22"/>
          <w:szCs w:val="22"/>
        </w:rPr>
        <w:t>) scurs în intervalul amintit (vezi tabel nr. II.1.1.1.2 și figura II.1.1.1.2).</w:t>
      </w:r>
    </w:p>
    <w:p w:rsidR="00575607" w:rsidRPr="005F6A32" w:rsidRDefault="00575607" w:rsidP="00B63C48">
      <w:pPr>
        <w:ind w:firstLine="720"/>
        <w:jc w:val="both"/>
        <w:rPr>
          <w:rFonts w:ascii="Trebuchet MS" w:hAnsi="Trebuchet MS" w:cs="Arial"/>
          <w:sz w:val="22"/>
          <w:szCs w:val="22"/>
        </w:rPr>
      </w:pPr>
    </w:p>
    <w:p w:rsidR="00B63C48" w:rsidRPr="00575607" w:rsidRDefault="00B63C48" w:rsidP="00B63C48">
      <w:pPr>
        <w:jc w:val="both"/>
        <w:rPr>
          <w:rFonts w:ascii="Trebuchet MS" w:eastAsia="Times New Roman" w:hAnsi="Trebuchet MS" w:cs="Arial"/>
          <w:i/>
          <w:sz w:val="20"/>
          <w:szCs w:val="20"/>
          <w:lang w:eastAsia="ro-RO"/>
        </w:rPr>
      </w:pPr>
      <w:r w:rsidRPr="00575607">
        <w:rPr>
          <w:rFonts w:ascii="Trebuchet MS" w:eastAsia="Times New Roman" w:hAnsi="Trebuchet MS" w:cs="Arial"/>
          <w:i/>
          <w:sz w:val="20"/>
          <w:szCs w:val="20"/>
          <w:lang w:eastAsia="ro-RO"/>
        </w:rPr>
        <w:t xml:space="preserve">Tabel. nr. </w:t>
      </w:r>
      <w:r w:rsidRPr="00575607">
        <w:rPr>
          <w:rFonts w:ascii="Trebuchet MS" w:hAnsi="Trebuchet MS" w:cs="Arial"/>
        </w:rPr>
        <w:t>II.1.1.1.2</w:t>
      </w:r>
      <w:r w:rsidRPr="00575607">
        <w:rPr>
          <w:rFonts w:ascii="Trebuchet MS" w:eastAsia="Times New Roman" w:hAnsi="Trebuchet MS" w:cs="Arial"/>
          <w:i/>
          <w:sz w:val="20"/>
          <w:szCs w:val="20"/>
          <w:lang w:eastAsia="ro-RO"/>
        </w:rPr>
        <w:t>. Resursele de apă ale anului 2023, comparativ cu perioada anterioară (2018-2022)</w:t>
      </w:r>
    </w:p>
    <w:tbl>
      <w:tblPr>
        <w:tblW w:w="9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1261"/>
        <w:gridCol w:w="846"/>
        <w:gridCol w:w="814"/>
        <w:gridCol w:w="919"/>
        <w:gridCol w:w="919"/>
        <w:gridCol w:w="825"/>
        <w:gridCol w:w="825"/>
        <w:gridCol w:w="919"/>
        <w:gridCol w:w="880"/>
        <w:gridCol w:w="1145"/>
      </w:tblGrid>
      <w:tr w:rsidR="00B63C48" w:rsidRPr="00575607" w:rsidTr="00E13AA6">
        <w:trPr>
          <w:tblHeader/>
          <w:jc w:val="center"/>
        </w:trPr>
        <w:tc>
          <w:tcPr>
            <w:tcW w:w="1191" w:type="dxa"/>
            <w:vMerge w:val="restart"/>
            <w:tcBorders>
              <w:top w:val="single" w:sz="8" w:space="0" w:color="auto"/>
              <w:left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20"/>
                <w:szCs w:val="20"/>
                <w:lang w:val="en-US"/>
              </w:rPr>
            </w:pPr>
            <w:bookmarkStart w:id="121" w:name="OLE_LINK1"/>
            <w:r w:rsidRPr="00575607">
              <w:rPr>
                <w:rFonts w:ascii="Trebuchet MS" w:eastAsia="Times New Roman" w:hAnsi="Trebuchet MS" w:cs="Arial"/>
                <w:b/>
                <w:bCs/>
                <w:color w:val="000000"/>
                <w:sz w:val="20"/>
                <w:szCs w:val="20"/>
              </w:rPr>
              <w:t>Bazinul hidrografic</w:t>
            </w:r>
          </w:p>
        </w:tc>
        <w:tc>
          <w:tcPr>
            <w:tcW w:w="1127" w:type="dxa"/>
            <w:vMerge w:val="restart"/>
            <w:tcBorders>
              <w:top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lang w:val="en-US"/>
              </w:rPr>
              <w:t>Parametrul</w:t>
            </w:r>
          </w:p>
        </w:tc>
        <w:tc>
          <w:tcPr>
            <w:tcW w:w="750" w:type="dxa"/>
            <w:vMerge w:val="restart"/>
            <w:tcBorders>
              <w:top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rPr>
              <w:t>F (km</w:t>
            </w:r>
            <w:r w:rsidRPr="00575607">
              <w:rPr>
                <w:rFonts w:ascii="Trebuchet MS" w:eastAsia="Times New Roman" w:hAnsi="Trebuchet MS" w:cs="Arial"/>
                <w:b/>
                <w:bCs/>
                <w:color w:val="000000"/>
                <w:sz w:val="20"/>
                <w:szCs w:val="20"/>
                <w:vertAlign w:val="superscript"/>
              </w:rPr>
              <w:t>2</w:t>
            </w:r>
            <w:r w:rsidRPr="00575607">
              <w:rPr>
                <w:rFonts w:ascii="Trebuchet MS" w:eastAsia="Times New Roman" w:hAnsi="Trebuchet MS" w:cs="Arial"/>
                <w:b/>
                <w:bCs/>
                <w:color w:val="000000"/>
                <w:sz w:val="20"/>
                <w:szCs w:val="20"/>
              </w:rPr>
              <w:t>)</w:t>
            </w:r>
          </w:p>
        </w:tc>
        <w:tc>
          <w:tcPr>
            <w:tcW w:w="5834" w:type="dxa"/>
            <w:gridSpan w:val="7"/>
            <w:tcBorders>
              <w:top w:val="single" w:sz="8" w:space="0" w:color="auto"/>
              <w:bottom w:val="single" w:sz="4"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rPr>
              <w:t xml:space="preserve">Q </w:t>
            </w:r>
            <w:r w:rsidRPr="00575607">
              <w:rPr>
                <w:rFonts w:ascii="Trebuchet MS" w:eastAsia="Times New Roman" w:hAnsi="Trebuchet MS" w:cs="Arial"/>
                <w:b/>
                <w:bCs/>
                <w:color w:val="000000"/>
                <w:sz w:val="20"/>
                <w:szCs w:val="20"/>
                <w:vertAlign w:val="subscript"/>
              </w:rPr>
              <w:t xml:space="preserve">med anual </w:t>
            </w:r>
            <w:r w:rsidRPr="00575607">
              <w:rPr>
                <w:rFonts w:ascii="Trebuchet MS" w:eastAsia="Times New Roman" w:hAnsi="Trebuchet MS" w:cs="Arial"/>
                <w:b/>
                <w:bCs/>
                <w:color w:val="000000"/>
                <w:sz w:val="20"/>
                <w:szCs w:val="20"/>
              </w:rPr>
              <w:t>(m</w:t>
            </w:r>
            <w:r w:rsidRPr="00575607">
              <w:rPr>
                <w:rFonts w:ascii="Trebuchet MS" w:eastAsia="Times New Roman" w:hAnsi="Trebuchet MS" w:cs="Arial"/>
                <w:b/>
                <w:bCs/>
                <w:color w:val="000000"/>
                <w:sz w:val="20"/>
                <w:szCs w:val="20"/>
                <w:vertAlign w:val="superscript"/>
              </w:rPr>
              <w:t>3</w:t>
            </w:r>
            <w:r w:rsidRPr="00575607">
              <w:rPr>
                <w:rFonts w:ascii="Trebuchet MS" w:eastAsia="Times New Roman" w:hAnsi="Trebuchet MS" w:cs="Arial"/>
                <w:b/>
                <w:bCs/>
                <w:color w:val="000000"/>
                <w:sz w:val="20"/>
                <w:szCs w:val="20"/>
              </w:rPr>
              <w:t>/s)</w:t>
            </w:r>
          </w:p>
        </w:tc>
        <w:tc>
          <w:tcPr>
            <w:tcW w:w="1053" w:type="dxa"/>
            <w:vMerge w:val="restart"/>
            <w:tcBorders>
              <w:top w:val="single" w:sz="8" w:space="0" w:color="auto"/>
              <w:right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rPr>
              <w:t>Q</w:t>
            </w:r>
            <w:r w:rsidRPr="00575607">
              <w:rPr>
                <w:rFonts w:ascii="Trebuchet MS" w:eastAsia="Times New Roman" w:hAnsi="Trebuchet MS" w:cs="Arial"/>
                <w:b/>
                <w:bCs/>
                <w:color w:val="000000"/>
                <w:sz w:val="20"/>
                <w:szCs w:val="20"/>
                <w:vertAlign w:val="subscript"/>
              </w:rPr>
              <w:t>2023</w:t>
            </w:r>
            <w:r w:rsidRPr="00575607">
              <w:rPr>
                <w:rFonts w:ascii="Trebuchet MS" w:eastAsia="Times New Roman" w:hAnsi="Trebuchet MS" w:cs="Arial"/>
                <w:b/>
                <w:bCs/>
                <w:color w:val="000000"/>
                <w:sz w:val="20"/>
                <w:szCs w:val="20"/>
              </w:rPr>
              <w:t>/Q</w:t>
            </w:r>
            <w:r w:rsidRPr="00575607">
              <w:rPr>
                <w:rFonts w:ascii="Trebuchet MS" w:eastAsia="Times New Roman" w:hAnsi="Trebuchet MS" w:cs="Arial"/>
                <w:b/>
                <w:bCs/>
                <w:color w:val="000000"/>
                <w:sz w:val="20"/>
                <w:szCs w:val="20"/>
                <w:vertAlign w:val="subscript"/>
              </w:rPr>
              <w:t>med</w:t>
            </w:r>
            <w:r w:rsidRPr="00575607">
              <w:rPr>
                <w:rFonts w:ascii="Trebuchet MS" w:eastAsia="Times New Roman" w:hAnsi="Trebuchet MS" w:cs="Arial"/>
                <w:b/>
                <w:bCs/>
                <w:color w:val="000000"/>
                <w:sz w:val="20"/>
                <w:szCs w:val="20"/>
              </w:rPr>
              <w:t xml:space="preserve"> (%)</w:t>
            </w:r>
          </w:p>
        </w:tc>
      </w:tr>
      <w:tr w:rsidR="00B63C48" w:rsidRPr="00575607" w:rsidTr="00E13AA6">
        <w:trPr>
          <w:tblHeader/>
          <w:jc w:val="center"/>
        </w:trPr>
        <w:tc>
          <w:tcPr>
            <w:tcW w:w="1191" w:type="dxa"/>
            <w:vMerge/>
            <w:tcBorders>
              <w:left w:val="single" w:sz="8" w:space="0" w:color="auto"/>
              <w:bottom w:val="single" w:sz="8" w:space="0" w:color="auto"/>
            </w:tcBorders>
            <w:shd w:val="clear" w:color="000000" w:fill="FFFF00"/>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vMerge/>
            <w:tcBorders>
              <w:bottom w:val="single" w:sz="8" w:space="0" w:color="auto"/>
            </w:tcBorders>
            <w:shd w:val="clear" w:color="000000" w:fill="FFFF00"/>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50" w:type="dxa"/>
            <w:vMerge/>
            <w:tcBorders>
              <w:bottom w:val="single" w:sz="8" w:space="0" w:color="auto"/>
            </w:tcBorders>
            <w:shd w:val="clear" w:color="000000" w:fill="FFFF00"/>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lang w:val="en-US"/>
              </w:rPr>
              <w:t>2018</w:t>
            </w:r>
          </w:p>
        </w:tc>
        <w:tc>
          <w:tcPr>
            <w:tcW w:w="795"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lang w:val="en-US"/>
              </w:rPr>
              <w:t>2019</w:t>
            </w:r>
          </w:p>
        </w:tc>
        <w:tc>
          <w:tcPr>
            <w:tcW w:w="795"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rPr>
              <w:t>2020</w:t>
            </w:r>
            <w:r w:rsidRPr="00575607">
              <w:rPr>
                <w:rFonts w:ascii="Trebuchet MS" w:eastAsia="Times New Roman" w:hAnsi="Trebuchet MS" w:cs="Arial"/>
                <w:b/>
                <w:bCs/>
                <w:color w:val="000000"/>
                <w:sz w:val="20"/>
                <w:szCs w:val="20"/>
                <w:vertAlign w:val="superscript"/>
              </w:rPr>
              <w:t>*</w:t>
            </w:r>
          </w:p>
        </w:tc>
        <w:tc>
          <w:tcPr>
            <w:tcW w:w="825"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lang w:val="en-US"/>
              </w:rPr>
              <w:t>2021</w:t>
            </w:r>
          </w:p>
        </w:tc>
        <w:tc>
          <w:tcPr>
            <w:tcW w:w="825"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lang w:val="en-US"/>
              </w:rPr>
              <w:t>2022</w:t>
            </w:r>
          </w:p>
        </w:tc>
        <w:tc>
          <w:tcPr>
            <w:tcW w:w="919" w:type="dxa"/>
            <w:tcBorders>
              <w:bottom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20"/>
                <w:szCs w:val="20"/>
              </w:rPr>
            </w:pPr>
            <w:r w:rsidRPr="00575607">
              <w:rPr>
                <w:rFonts w:ascii="Trebuchet MS" w:eastAsia="Times New Roman" w:hAnsi="Trebuchet MS" w:cs="Arial"/>
                <w:b/>
                <w:bCs/>
                <w:color w:val="000000"/>
                <w:sz w:val="20"/>
                <w:szCs w:val="20"/>
              </w:rPr>
              <w:t>MED</w:t>
            </w:r>
          </w:p>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sz w:val="20"/>
                <w:szCs w:val="20"/>
                <w:vertAlign w:val="subscript"/>
              </w:rPr>
              <w:t>2018-2022</w:t>
            </w:r>
          </w:p>
        </w:tc>
        <w:tc>
          <w:tcPr>
            <w:tcW w:w="880"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20"/>
                <w:szCs w:val="20"/>
                <w:lang w:val="en-US"/>
              </w:rPr>
            </w:pPr>
            <w:r w:rsidRPr="00575607">
              <w:rPr>
                <w:rFonts w:ascii="Trebuchet MS" w:eastAsia="Times New Roman" w:hAnsi="Trebuchet MS" w:cs="Arial"/>
                <w:b/>
                <w:bCs/>
                <w:color w:val="000000"/>
                <w:sz w:val="20"/>
                <w:szCs w:val="20"/>
                <w:lang w:val="en-US"/>
              </w:rPr>
              <w:t>2023</w:t>
            </w:r>
          </w:p>
        </w:tc>
        <w:tc>
          <w:tcPr>
            <w:tcW w:w="1053" w:type="dxa"/>
            <w:vMerge/>
            <w:tcBorders>
              <w:bottom w:val="single" w:sz="8" w:space="0" w:color="auto"/>
              <w:right w:val="single" w:sz="8" w:space="0" w:color="auto"/>
            </w:tcBorders>
            <w:shd w:val="clear" w:color="000000" w:fill="FFFF00"/>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r>
      <w:tr w:rsidR="00B63C48" w:rsidRPr="00575607" w:rsidTr="00E13AA6">
        <w:trPr>
          <w:jc w:val="center"/>
        </w:trPr>
        <w:tc>
          <w:tcPr>
            <w:tcW w:w="1191" w:type="dxa"/>
            <w:vMerge w:val="restart"/>
            <w:tcBorders>
              <w:top w:val="single" w:sz="8" w:space="0" w:color="auto"/>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vertAlign w:val="superscript"/>
                <w:lang w:val="en-US"/>
              </w:rPr>
            </w:pPr>
            <w:r w:rsidRPr="00575607">
              <w:rPr>
                <w:rFonts w:ascii="Trebuchet MS" w:eastAsia="Times New Roman" w:hAnsi="Trebuchet MS" w:cs="Arial"/>
                <w:color w:val="000000"/>
                <w:sz w:val="20"/>
                <w:szCs w:val="20"/>
              </w:rPr>
              <w:t>TISA</w:t>
            </w:r>
            <w:r w:rsidRPr="00575607">
              <w:rPr>
                <w:rFonts w:ascii="Trebuchet MS" w:eastAsia="Times New Roman" w:hAnsi="Trebuchet MS" w:cs="Arial"/>
                <w:color w:val="000000"/>
                <w:sz w:val="20"/>
                <w:szCs w:val="20"/>
                <w:vertAlign w:val="superscript"/>
              </w:rPr>
              <w:t>*</w:t>
            </w:r>
          </w:p>
        </w:tc>
        <w:tc>
          <w:tcPr>
            <w:tcW w:w="1127" w:type="dxa"/>
            <w:tcBorders>
              <w:top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tcBorders>
              <w:top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4540</w:t>
            </w:r>
          </w:p>
        </w:tc>
        <w:tc>
          <w:tcPr>
            <w:tcW w:w="795"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74.57</w:t>
            </w:r>
          </w:p>
        </w:tc>
        <w:tc>
          <w:tcPr>
            <w:tcW w:w="795"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70.7</w:t>
            </w:r>
          </w:p>
        </w:tc>
        <w:tc>
          <w:tcPr>
            <w:tcW w:w="795"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65.87</w:t>
            </w:r>
          </w:p>
        </w:tc>
        <w:tc>
          <w:tcPr>
            <w:tcW w:w="825"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62.1</w:t>
            </w:r>
          </w:p>
        </w:tc>
        <w:tc>
          <w:tcPr>
            <w:tcW w:w="825"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73.8</w:t>
            </w:r>
          </w:p>
        </w:tc>
        <w:tc>
          <w:tcPr>
            <w:tcW w:w="919"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69.4</w:t>
            </w:r>
          </w:p>
        </w:tc>
        <w:tc>
          <w:tcPr>
            <w:tcW w:w="880"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80.72</w:t>
            </w:r>
          </w:p>
        </w:tc>
        <w:tc>
          <w:tcPr>
            <w:tcW w:w="1053" w:type="dxa"/>
            <w:vMerge w:val="restart"/>
            <w:tcBorders>
              <w:top w:val="single" w:sz="8" w:space="0" w:color="auto"/>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116</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2352</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2230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2077</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1964</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2327</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2190</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hAnsi="Trebuchet MS" w:cs="Arial"/>
                <w:color w:val="000000"/>
                <w:sz w:val="20"/>
                <w:szCs w:val="20"/>
              </w:rPr>
              <w:t>2546</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SOMEȘ</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17840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95.21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93.21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109.38</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80.3</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136.1</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103</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147.4</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143</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3003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2939</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3450</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2539</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4290</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3244</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4649</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CRIȘURI</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14860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64.92</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81.48</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79.88</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52.1</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87.6</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73.2</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104.2</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142</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2047</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2569</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2519</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1648</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2762</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2309</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3286</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MUREȘ</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29390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116.1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159.4</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139.2</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135.2</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161.4</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142</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193.7</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136</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3661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5027</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4391</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4275</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5090</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4489</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6109</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BEGA – TIMIȘ - CARAȘ</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13060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46.61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66.3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80.86</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65.9</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98.4</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71.6</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96.3</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134</w:t>
            </w:r>
          </w:p>
        </w:tc>
      </w:tr>
      <w:tr w:rsidR="00B63C48" w:rsidRPr="00575607" w:rsidTr="00E13AA6">
        <w:trPr>
          <w:trHeight w:val="159"/>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1470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2091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2550</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2084</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3103</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2260</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3038</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NERA - CERNA</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2740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19.38</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33.01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32.4</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31.1</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35.4</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30.3</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49.5</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164</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611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1041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1022</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983</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1115</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954</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1562</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JIU</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10080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70.8</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92.7</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79</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123.7</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95.4</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129</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135</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2233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3500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2923</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2498</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3901</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3011</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4068</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OLT</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24050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134</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205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156</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135</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189</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164</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163</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99.5</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4226</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6465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4920</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4269</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5960</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5168</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5140</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VEDEA</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5430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7.15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25.1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10.28</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4.81</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9.72</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11.4</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4.6</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40.3</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225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791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324</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152</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307</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360</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145</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ARGEȘ</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12550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57.68</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74.85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89.27</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48.8</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70.4</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68.2</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54.3</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79.6</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1819</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2361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2815</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1543</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2221</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2152</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1713</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IALOMITA</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10350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40.2</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33</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28.8</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45.4</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38.5</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24.9</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64.7</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1268</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1419</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1041</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911</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1432</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1214</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785</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DUNĂREA</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34141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23.55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35.17</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32.09</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21.1</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29.9</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28.4</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28.1</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99.4</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743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1109</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1012</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667</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943</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895</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889</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SIRET</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42890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160.3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272.57</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241.45</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187.2</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176.2</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208</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124.1</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59.7</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5055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8596</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7614</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5920</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5560</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6549</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3913</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vertAlign w:val="superscript"/>
                <w:lang w:val="en-US"/>
              </w:rPr>
            </w:pPr>
            <w:r w:rsidRPr="00575607">
              <w:rPr>
                <w:rFonts w:ascii="Trebuchet MS" w:eastAsia="Times New Roman" w:hAnsi="Trebuchet MS" w:cs="Arial"/>
                <w:color w:val="000000"/>
                <w:sz w:val="20"/>
                <w:szCs w:val="20"/>
              </w:rPr>
              <w:t>PRUT</w:t>
            </w:r>
            <w:r w:rsidRPr="00575607">
              <w:rPr>
                <w:rFonts w:ascii="Trebuchet MS" w:eastAsia="Times New Roman" w:hAnsi="Trebuchet MS" w:cs="Arial"/>
                <w:color w:val="000000"/>
                <w:sz w:val="20"/>
                <w:szCs w:val="20"/>
                <w:vertAlign w:val="superscript"/>
              </w:rPr>
              <w:t>**</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10990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13.72</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15.16</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15.363</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6.86</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9.55</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12.1</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hAnsi="Trebuchet MS" w:cs="Arial"/>
                <w:color w:val="000000"/>
                <w:sz w:val="20"/>
                <w:szCs w:val="20"/>
              </w:rPr>
              <w:t>10.9</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eastAsia="Times New Roman" w:hAnsi="Trebuchet MS" w:cs="Arial"/>
                <w:sz w:val="20"/>
                <w:szCs w:val="20"/>
              </w:rPr>
              <w:t>89.7</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433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478</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484</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217</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301</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383</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343</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p>
        </w:tc>
      </w:tr>
      <w:tr w:rsidR="00B63C48" w:rsidRPr="00575607" w:rsidTr="00E13AA6">
        <w:trPr>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DOBROGEA</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5480</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2.63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3.34</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1.67</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1.12</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1.33</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2.0</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1.31</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sz w:val="20"/>
                <w:szCs w:val="20"/>
              </w:rPr>
            </w:pPr>
            <w:r w:rsidRPr="00575607">
              <w:rPr>
                <w:rFonts w:ascii="Trebuchet MS" w:eastAsia="Times New Roman" w:hAnsi="Trebuchet MS" w:cs="Arial"/>
                <w:sz w:val="20"/>
                <w:szCs w:val="20"/>
              </w:rPr>
              <w:t>64.8</w:t>
            </w:r>
          </w:p>
        </w:tc>
      </w:tr>
      <w:tr w:rsidR="00B63C48" w:rsidRPr="00575607" w:rsidTr="00E13AA6">
        <w:trPr>
          <w:jc w:val="center"/>
        </w:trPr>
        <w:tc>
          <w:tcPr>
            <w:tcW w:w="1191"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82.8</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105</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53</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35</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42</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63.6</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41.2</w:t>
            </w:r>
          </w:p>
        </w:tc>
        <w:tc>
          <w:tcPr>
            <w:tcW w:w="1053"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p>
        </w:tc>
      </w:tr>
      <w:tr w:rsidR="00B63C48" w:rsidRPr="00575607" w:rsidTr="00E13AA6">
        <w:trPr>
          <w:trHeight w:val="513"/>
          <w:jc w:val="center"/>
        </w:trPr>
        <w:tc>
          <w:tcPr>
            <w:tcW w:w="1191"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Total România fără fluviul Dunărea</w:t>
            </w:r>
          </w:p>
        </w:tc>
        <w:tc>
          <w:tcPr>
            <w:tcW w:w="1127"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lang w:val="en-US"/>
              </w:rPr>
              <w:t>Q</w:t>
            </w:r>
          </w:p>
        </w:tc>
        <w:tc>
          <w:tcPr>
            <w:tcW w:w="750" w:type="dxa"/>
            <w:vMerge w:val="restart"/>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238391</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926.83</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1291.29</w:t>
            </w:r>
          </w:p>
        </w:tc>
        <w:tc>
          <w:tcPr>
            <w:tcW w:w="79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1179.45</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939.39</w:t>
            </w:r>
          </w:p>
        </w:tc>
        <w:tc>
          <w:tcPr>
            <w:tcW w:w="825"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1247.9</w:t>
            </w:r>
          </w:p>
        </w:tc>
        <w:tc>
          <w:tcPr>
            <w:tcW w:w="91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1117</w:t>
            </w:r>
          </w:p>
        </w:tc>
        <w:tc>
          <w:tcPr>
            <w:tcW w:w="880"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1212</w:t>
            </w:r>
          </w:p>
        </w:tc>
        <w:tc>
          <w:tcPr>
            <w:tcW w:w="1053"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108</w:t>
            </w:r>
          </w:p>
        </w:tc>
      </w:tr>
      <w:tr w:rsidR="00B63C48" w:rsidRPr="00575607" w:rsidTr="00E13AA6">
        <w:trPr>
          <w:jc w:val="center"/>
        </w:trPr>
        <w:tc>
          <w:tcPr>
            <w:tcW w:w="1191" w:type="dxa"/>
            <w:vMerge/>
            <w:tcBorders>
              <w:left w:val="single" w:sz="8" w:space="0" w:color="auto"/>
              <w:bottom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1127" w:type="dxa"/>
            <w:tcBorders>
              <w:bottom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r w:rsidRPr="00575607">
              <w:rPr>
                <w:rFonts w:ascii="Trebuchet MS" w:eastAsia="Times New Roman" w:hAnsi="Trebuchet MS" w:cs="Arial"/>
                <w:color w:val="000000"/>
                <w:sz w:val="20"/>
                <w:szCs w:val="20"/>
              </w:rPr>
              <w:t>V</w:t>
            </w:r>
          </w:p>
        </w:tc>
        <w:tc>
          <w:tcPr>
            <w:tcW w:w="750" w:type="dxa"/>
            <w:vMerge/>
            <w:tcBorders>
              <w:bottom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20"/>
                <w:szCs w:val="20"/>
                <w:lang w:val="en-US"/>
              </w:rPr>
            </w:pPr>
          </w:p>
        </w:tc>
        <w:tc>
          <w:tcPr>
            <w:tcW w:w="795" w:type="dxa"/>
            <w:tcBorders>
              <w:bottom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29228</w:t>
            </w:r>
          </w:p>
        </w:tc>
        <w:tc>
          <w:tcPr>
            <w:tcW w:w="795" w:type="dxa"/>
            <w:tcBorders>
              <w:bottom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40722</w:t>
            </w:r>
          </w:p>
        </w:tc>
        <w:tc>
          <w:tcPr>
            <w:tcW w:w="795" w:type="dxa"/>
            <w:tcBorders>
              <w:bottom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37195</w:t>
            </w:r>
          </w:p>
        </w:tc>
        <w:tc>
          <w:tcPr>
            <w:tcW w:w="825" w:type="dxa"/>
            <w:tcBorders>
              <w:bottom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29705</w:t>
            </w:r>
          </w:p>
        </w:tc>
        <w:tc>
          <w:tcPr>
            <w:tcW w:w="825" w:type="dxa"/>
            <w:tcBorders>
              <w:bottom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39354</w:t>
            </w:r>
          </w:p>
        </w:tc>
        <w:tc>
          <w:tcPr>
            <w:tcW w:w="919" w:type="dxa"/>
            <w:tcBorders>
              <w:bottom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35241</w:t>
            </w:r>
          </w:p>
        </w:tc>
        <w:tc>
          <w:tcPr>
            <w:tcW w:w="880" w:type="dxa"/>
            <w:tcBorders>
              <w:bottom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rPr>
            </w:pPr>
            <w:r w:rsidRPr="00575607">
              <w:rPr>
                <w:rFonts w:ascii="Trebuchet MS" w:hAnsi="Trebuchet MS" w:cs="Arial"/>
                <w:color w:val="000000"/>
                <w:sz w:val="20"/>
                <w:szCs w:val="20"/>
              </w:rPr>
              <w:t>38227</w:t>
            </w:r>
          </w:p>
        </w:tc>
        <w:tc>
          <w:tcPr>
            <w:tcW w:w="1053" w:type="dxa"/>
            <w:vMerge/>
            <w:tcBorders>
              <w:bottom w:val="single" w:sz="8" w:space="0" w:color="auto"/>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20"/>
                <w:szCs w:val="20"/>
                <w:lang w:val="en-US"/>
              </w:rPr>
            </w:pPr>
          </w:p>
        </w:tc>
      </w:tr>
    </w:tbl>
    <w:bookmarkEnd w:id="121"/>
    <w:p w:rsidR="00B63C48" w:rsidRPr="00575607" w:rsidRDefault="00B63C48" w:rsidP="00B63C48">
      <w:pPr>
        <w:ind w:left="1701" w:hanging="1701"/>
        <w:rPr>
          <w:rFonts w:ascii="Trebuchet MS" w:hAnsi="Trebuchet MS" w:cs="Arial"/>
          <w:i/>
          <w:iCs/>
          <w:sz w:val="18"/>
          <w:szCs w:val="18"/>
        </w:rPr>
      </w:pPr>
      <w:r w:rsidRPr="00575607">
        <w:rPr>
          <w:rFonts w:ascii="Trebuchet MS" w:hAnsi="Trebuchet MS" w:cs="Arial"/>
          <w:i/>
          <w:iCs/>
          <w:sz w:val="18"/>
          <w:szCs w:val="18"/>
        </w:rPr>
        <w:t>Notă:      Q - Debit Q (m</w:t>
      </w:r>
      <w:r w:rsidRPr="00575607">
        <w:rPr>
          <w:rFonts w:ascii="Trebuchet MS" w:hAnsi="Trebuchet MS" w:cs="Arial"/>
          <w:i/>
          <w:iCs/>
          <w:sz w:val="18"/>
          <w:szCs w:val="18"/>
          <w:vertAlign w:val="superscript"/>
        </w:rPr>
        <w:t>3</w:t>
      </w:r>
      <w:r w:rsidRPr="00575607">
        <w:rPr>
          <w:rFonts w:ascii="Trebuchet MS" w:hAnsi="Trebuchet MS" w:cs="Arial"/>
          <w:i/>
          <w:iCs/>
          <w:sz w:val="18"/>
          <w:szCs w:val="18"/>
        </w:rPr>
        <w:t>/s), V - volum total (10</w:t>
      </w:r>
      <w:r w:rsidRPr="00575607">
        <w:rPr>
          <w:rFonts w:ascii="Trebuchet MS" w:hAnsi="Trebuchet MS" w:cs="Arial"/>
          <w:i/>
          <w:iCs/>
          <w:sz w:val="18"/>
          <w:szCs w:val="18"/>
          <w:vertAlign w:val="superscript"/>
        </w:rPr>
        <w:t>6</w:t>
      </w:r>
      <w:r w:rsidRPr="00575607">
        <w:rPr>
          <w:rFonts w:ascii="Trebuchet MS" w:hAnsi="Trebuchet MS" w:cs="Arial"/>
          <w:i/>
          <w:iCs/>
          <w:sz w:val="18"/>
          <w:szCs w:val="18"/>
        </w:rPr>
        <w:t>m</w:t>
      </w:r>
      <w:r w:rsidRPr="00575607">
        <w:rPr>
          <w:rFonts w:ascii="Trebuchet MS" w:hAnsi="Trebuchet MS" w:cs="Arial"/>
          <w:i/>
          <w:iCs/>
          <w:sz w:val="18"/>
          <w:szCs w:val="18"/>
          <w:vertAlign w:val="superscript"/>
        </w:rPr>
        <w:t>3</w:t>
      </w:r>
      <w:r w:rsidRPr="00575607">
        <w:rPr>
          <w:rFonts w:ascii="Trebuchet MS" w:hAnsi="Trebuchet MS" w:cs="Arial"/>
          <w:i/>
          <w:iCs/>
          <w:sz w:val="18"/>
          <w:szCs w:val="18"/>
        </w:rPr>
        <w:t>)</w:t>
      </w:r>
    </w:p>
    <w:p w:rsidR="00B63C48" w:rsidRPr="00575607" w:rsidRDefault="00B63C48" w:rsidP="00B63C48">
      <w:pPr>
        <w:ind w:left="1701" w:hanging="992"/>
        <w:rPr>
          <w:rFonts w:ascii="Trebuchet MS" w:hAnsi="Trebuchet MS" w:cs="Arial"/>
          <w:i/>
          <w:iCs/>
          <w:sz w:val="18"/>
          <w:szCs w:val="18"/>
        </w:rPr>
      </w:pPr>
      <w:r w:rsidRPr="00575607">
        <w:rPr>
          <w:rFonts w:ascii="Trebuchet MS" w:hAnsi="Trebuchet MS" w:cs="Arial"/>
          <w:i/>
          <w:iCs/>
          <w:sz w:val="18"/>
          <w:szCs w:val="18"/>
        </w:rPr>
        <w:t>* - nu include debitul și volumul râului Tisa</w:t>
      </w:r>
    </w:p>
    <w:p w:rsidR="00B63C48" w:rsidRPr="00575607" w:rsidRDefault="00B63C48" w:rsidP="00B63C48">
      <w:pPr>
        <w:ind w:firstLine="720"/>
        <w:jc w:val="both"/>
        <w:rPr>
          <w:rFonts w:ascii="Trebuchet MS" w:hAnsi="Trebuchet MS" w:cs="Arial"/>
          <w:i/>
          <w:iCs/>
          <w:sz w:val="18"/>
          <w:szCs w:val="18"/>
        </w:rPr>
      </w:pPr>
      <w:r w:rsidRPr="00575607">
        <w:rPr>
          <w:rFonts w:ascii="Trebuchet MS" w:hAnsi="Trebuchet MS" w:cs="Arial"/>
          <w:i/>
          <w:iCs/>
          <w:sz w:val="18"/>
          <w:szCs w:val="18"/>
        </w:rPr>
        <w:t>** nu include debitul și volumul râului Prut, acesta fiind curs de apă de graniță</w:t>
      </w:r>
    </w:p>
    <w:p w:rsidR="00B63C48" w:rsidRPr="00575607" w:rsidRDefault="00B63C48" w:rsidP="00B63C48">
      <w:pPr>
        <w:jc w:val="both"/>
        <w:rPr>
          <w:rFonts w:ascii="Trebuchet MS" w:hAnsi="Trebuchet MS" w:cs="Arial"/>
          <w:i/>
          <w:iCs/>
          <w:sz w:val="18"/>
          <w:szCs w:val="18"/>
        </w:rPr>
      </w:pPr>
    </w:p>
    <w:p w:rsidR="00B63C48" w:rsidRPr="00575607" w:rsidRDefault="00B63C48" w:rsidP="00B63C48">
      <w:pPr>
        <w:ind w:firstLine="720"/>
        <w:jc w:val="both"/>
        <w:rPr>
          <w:rFonts w:ascii="Trebuchet MS" w:hAnsi="Trebuchet MS" w:cs="Arial"/>
          <w:i/>
          <w:iCs/>
        </w:rPr>
      </w:pPr>
    </w:p>
    <w:p w:rsidR="00B63C48" w:rsidRPr="00B26686" w:rsidRDefault="00B63C48" w:rsidP="00B63C48">
      <w:pPr>
        <w:jc w:val="center"/>
        <w:rPr>
          <w:rFonts w:ascii="Trebuchet MS" w:hAnsi="Trebuchet MS" w:cs="Arial"/>
          <w:i/>
          <w:iCs/>
        </w:rPr>
      </w:pPr>
      <w:r w:rsidRPr="00B26686">
        <w:rPr>
          <w:rFonts w:ascii="Trebuchet MS" w:hAnsi="Trebuchet MS"/>
          <w:noProof/>
          <w:lang w:val="en-US"/>
        </w:rPr>
        <w:drawing>
          <wp:inline distT="0" distB="0" distL="0" distR="0" wp14:anchorId="371EFDDB" wp14:editId="3AFD78AD">
            <wp:extent cx="5939790" cy="2821940"/>
            <wp:effectExtent l="0" t="0" r="3810" b="0"/>
            <wp:docPr id="13116558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2821940"/>
                    </a:xfrm>
                    <a:prstGeom prst="rect">
                      <a:avLst/>
                    </a:prstGeom>
                    <a:noFill/>
                    <a:ln>
                      <a:noFill/>
                    </a:ln>
                  </pic:spPr>
                </pic:pic>
              </a:graphicData>
            </a:graphic>
          </wp:inline>
        </w:drawing>
      </w:r>
    </w:p>
    <w:p w:rsidR="00B63C48" w:rsidRPr="00575607" w:rsidRDefault="00B63C48" w:rsidP="00B63C48">
      <w:pPr>
        <w:jc w:val="center"/>
        <w:rPr>
          <w:rFonts w:ascii="Trebuchet MS" w:hAnsi="Trebuchet MS" w:cs="Arial"/>
          <w:i/>
          <w:iCs/>
          <w:sz w:val="20"/>
          <w:szCs w:val="20"/>
        </w:rPr>
      </w:pPr>
      <w:r w:rsidRPr="00575607">
        <w:rPr>
          <w:rFonts w:ascii="Trebuchet MS" w:hAnsi="Trebuchet MS" w:cs="Arial"/>
          <w:i/>
          <w:iCs/>
          <w:sz w:val="20"/>
          <w:szCs w:val="20"/>
        </w:rPr>
        <w:t xml:space="preserve">Figura </w:t>
      </w:r>
      <w:r w:rsidRPr="00575607">
        <w:rPr>
          <w:rFonts w:ascii="Trebuchet MS" w:hAnsi="Trebuchet MS" w:cs="Arial"/>
          <w:sz w:val="20"/>
          <w:szCs w:val="20"/>
        </w:rPr>
        <w:t>II.1.1.1.2</w:t>
      </w:r>
      <w:r w:rsidRPr="00575607">
        <w:rPr>
          <w:rFonts w:ascii="Trebuchet MS" w:hAnsi="Trebuchet MS" w:cs="Arial"/>
          <w:i/>
          <w:iCs/>
          <w:sz w:val="20"/>
          <w:szCs w:val="20"/>
        </w:rPr>
        <w:t xml:space="preserve">  Resursele de apă (volum 10</w:t>
      </w:r>
      <w:r w:rsidRPr="00575607">
        <w:rPr>
          <w:rFonts w:ascii="Trebuchet MS" w:hAnsi="Trebuchet MS" w:cs="Arial"/>
          <w:i/>
          <w:iCs/>
          <w:sz w:val="20"/>
          <w:szCs w:val="20"/>
          <w:vertAlign w:val="superscript"/>
        </w:rPr>
        <w:t>6</w:t>
      </w:r>
      <w:r w:rsidRPr="00575607">
        <w:rPr>
          <w:rFonts w:ascii="Trebuchet MS" w:hAnsi="Trebuchet MS" w:cs="Arial"/>
          <w:i/>
          <w:iCs/>
          <w:sz w:val="20"/>
          <w:szCs w:val="20"/>
        </w:rPr>
        <w:t xml:space="preserve"> m</w:t>
      </w:r>
      <w:r w:rsidRPr="00575607">
        <w:rPr>
          <w:rFonts w:ascii="Trebuchet MS" w:hAnsi="Trebuchet MS" w:cs="Arial"/>
          <w:i/>
          <w:iCs/>
          <w:sz w:val="20"/>
          <w:szCs w:val="20"/>
          <w:vertAlign w:val="superscript"/>
        </w:rPr>
        <w:t>3</w:t>
      </w:r>
      <w:r w:rsidRPr="00575607">
        <w:rPr>
          <w:rFonts w:ascii="Trebuchet MS" w:hAnsi="Trebuchet MS" w:cs="Arial"/>
          <w:i/>
          <w:iCs/>
          <w:sz w:val="20"/>
          <w:szCs w:val="20"/>
        </w:rPr>
        <w:t>) ale anului 2023, comparativ cu perioada anterioară</w:t>
      </w:r>
    </w:p>
    <w:p w:rsidR="00B63C48" w:rsidRPr="00575607" w:rsidRDefault="00B63C48" w:rsidP="00B63C48">
      <w:pPr>
        <w:jc w:val="center"/>
        <w:rPr>
          <w:rFonts w:ascii="Trebuchet MS" w:hAnsi="Trebuchet MS" w:cs="Arial"/>
          <w:i/>
          <w:iCs/>
          <w:sz w:val="20"/>
          <w:szCs w:val="20"/>
        </w:rPr>
      </w:pPr>
      <w:r w:rsidRPr="00575607">
        <w:rPr>
          <w:rFonts w:ascii="Trebuchet MS" w:hAnsi="Trebuchet MS" w:cs="Arial"/>
          <w:i/>
          <w:iCs/>
          <w:sz w:val="20"/>
          <w:szCs w:val="20"/>
        </w:rPr>
        <w:t xml:space="preserve"> (2018-2022)</w:t>
      </w:r>
    </w:p>
    <w:p w:rsidR="00B63C48" w:rsidRPr="005F6A32" w:rsidRDefault="00B63C48" w:rsidP="00B63C48">
      <w:pPr>
        <w:jc w:val="center"/>
        <w:rPr>
          <w:rFonts w:ascii="Trebuchet MS" w:hAnsi="Trebuchet MS" w:cs="Arial"/>
          <w:b/>
          <w:i/>
          <w:sz w:val="22"/>
          <w:szCs w:val="22"/>
        </w:rPr>
      </w:pP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Extinzând analiza evoluției comparative a resursei aferente anului 2023 la nivelul bazinelor principale constatăm că la nivel național, volumul scurs în acest an a fost cu circa 9% mai mare față de media multianuală a ultimilor 5 ani, astfel că putem concluziona că,  în ceea ce privește cuantumul resursei de apă totale provenită din râurile interioare, anul 2023 a fost un an normal</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Fluviul Dunărea prezintă o situație asemănătoare cu cea înregistrată pe cursurile râurilor interioare, volumul scurs la intrarea în țară (st. h. Baziaș) și cel înregistrat la ieșirea din țară (st. h. Grindu+ sh Oancea/Prut) situându-se peste nivelul mediu calculat pe ultimii 5 ani (tabel nr. II.1.1.1.3).</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Resursa corespunzătoare fluviului Dunărea la intrarea în țară este de 93930 mid.m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 în anul 2023 (respectiv, 72029 mld. 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 în perioada 2018-2022), cu circa 10% mai mare față de media multianuală a fluviului care, pentru ultimii 60 ani, este de cca. 85 000 mld. 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 (valorile reprezintă 50% din volumele scurse pe Dunăre la intrarea în țară, aferente României, cealaltă jumătate revenind Republicii Serbia).</w:t>
      </w:r>
    </w:p>
    <w:p w:rsidR="00B63C48" w:rsidRPr="005F6A32" w:rsidRDefault="00B63C48" w:rsidP="00B63C48">
      <w:pPr>
        <w:ind w:firstLine="720"/>
        <w:jc w:val="both"/>
        <w:rPr>
          <w:rFonts w:ascii="Trebuchet MS" w:hAnsi="Trebuchet MS" w:cs="Arial"/>
          <w:sz w:val="22"/>
          <w:szCs w:val="22"/>
        </w:rPr>
      </w:pPr>
    </w:p>
    <w:p w:rsidR="00B63C48" w:rsidRPr="005F6A32" w:rsidRDefault="00B63C48" w:rsidP="00B63C48">
      <w:pPr>
        <w:jc w:val="center"/>
        <w:rPr>
          <w:rFonts w:ascii="Trebuchet MS" w:eastAsia="Times New Roman" w:hAnsi="Trebuchet MS" w:cs="Arial"/>
          <w:i/>
          <w:sz w:val="22"/>
          <w:szCs w:val="22"/>
          <w:lang w:eastAsia="ro-RO"/>
        </w:rPr>
      </w:pPr>
      <w:r w:rsidRPr="005F6A32">
        <w:rPr>
          <w:rFonts w:ascii="Trebuchet MS" w:eastAsia="Times New Roman" w:hAnsi="Trebuchet MS" w:cs="Arial"/>
          <w:i/>
          <w:sz w:val="22"/>
          <w:szCs w:val="22"/>
          <w:lang w:eastAsia="ro-RO"/>
        </w:rPr>
        <w:t>Tabel nr.II.1.1.1.3  Resursele de apă ale fluviului Dunărea în anul 2023, comparativ cu perioada anterioară (2018-2022)</w:t>
      </w:r>
    </w:p>
    <w:tbl>
      <w:tblPr>
        <w:tblW w:w="9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069"/>
        <w:gridCol w:w="809"/>
        <w:gridCol w:w="809"/>
        <w:gridCol w:w="809"/>
        <w:gridCol w:w="809"/>
        <w:gridCol w:w="809"/>
        <w:gridCol w:w="834"/>
        <w:gridCol w:w="928"/>
        <w:gridCol w:w="999"/>
      </w:tblGrid>
      <w:tr w:rsidR="00B63C48" w:rsidRPr="00575607" w:rsidTr="00E13AA6">
        <w:trPr>
          <w:trHeight w:val="312"/>
          <w:jc w:val="center"/>
        </w:trPr>
        <w:tc>
          <w:tcPr>
            <w:tcW w:w="1843" w:type="dxa"/>
            <w:vMerge w:val="restart"/>
            <w:tcBorders>
              <w:top w:val="single" w:sz="8" w:space="0" w:color="auto"/>
              <w:left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16"/>
                <w:szCs w:val="16"/>
                <w:lang w:val="fr-FR"/>
              </w:rPr>
            </w:pPr>
            <w:bookmarkStart w:id="122" w:name="OLE_LINK2"/>
            <w:r w:rsidRPr="00575607">
              <w:rPr>
                <w:rFonts w:ascii="Trebuchet MS" w:eastAsia="Times New Roman" w:hAnsi="Trebuchet MS" w:cs="Arial"/>
                <w:b/>
                <w:bCs/>
                <w:color w:val="000000"/>
                <w:sz w:val="16"/>
                <w:szCs w:val="16"/>
              </w:rPr>
              <w:t>Stații hidrometrice de control pe fluviul Dunărea</w:t>
            </w:r>
          </w:p>
        </w:tc>
        <w:tc>
          <w:tcPr>
            <w:tcW w:w="1069" w:type="dxa"/>
            <w:vMerge w:val="restart"/>
            <w:tcBorders>
              <w:top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lang w:val="en-US"/>
              </w:rPr>
              <w:t>Parametrul</w:t>
            </w:r>
          </w:p>
        </w:tc>
        <w:tc>
          <w:tcPr>
            <w:tcW w:w="5807" w:type="dxa"/>
            <w:gridSpan w:val="7"/>
            <w:tcBorders>
              <w:top w:val="single" w:sz="8" w:space="0" w:color="auto"/>
              <w:bottom w:val="single" w:sz="4"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sz w:val="16"/>
                <w:szCs w:val="16"/>
              </w:rPr>
              <w:t xml:space="preserve">Q </w:t>
            </w:r>
            <w:r w:rsidRPr="00575607">
              <w:rPr>
                <w:rFonts w:ascii="Trebuchet MS" w:eastAsia="Times New Roman" w:hAnsi="Trebuchet MS" w:cs="Arial"/>
                <w:b/>
                <w:bCs/>
                <w:color w:val="000000"/>
                <w:sz w:val="16"/>
                <w:szCs w:val="16"/>
                <w:vertAlign w:val="subscript"/>
              </w:rPr>
              <w:t xml:space="preserve">med anual </w:t>
            </w:r>
            <w:r w:rsidRPr="00575607">
              <w:rPr>
                <w:rFonts w:ascii="Trebuchet MS" w:eastAsia="Times New Roman" w:hAnsi="Trebuchet MS" w:cs="Arial"/>
                <w:b/>
                <w:bCs/>
                <w:color w:val="000000"/>
                <w:sz w:val="16"/>
                <w:szCs w:val="16"/>
              </w:rPr>
              <w:t>(m</w:t>
            </w:r>
            <w:r w:rsidRPr="00575607">
              <w:rPr>
                <w:rFonts w:ascii="Trebuchet MS" w:eastAsia="Times New Roman" w:hAnsi="Trebuchet MS" w:cs="Arial"/>
                <w:b/>
                <w:bCs/>
                <w:color w:val="000000"/>
                <w:sz w:val="16"/>
                <w:szCs w:val="16"/>
                <w:vertAlign w:val="superscript"/>
              </w:rPr>
              <w:t>3</w:t>
            </w:r>
            <w:r w:rsidRPr="00575607">
              <w:rPr>
                <w:rFonts w:ascii="Trebuchet MS" w:eastAsia="Times New Roman" w:hAnsi="Trebuchet MS" w:cs="Arial"/>
                <w:b/>
                <w:bCs/>
                <w:color w:val="000000"/>
                <w:sz w:val="16"/>
                <w:szCs w:val="16"/>
              </w:rPr>
              <w:t>/s)</w:t>
            </w:r>
          </w:p>
        </w:tc>
        <w:tc>
          <w:tcPr>
            <w:tcW w:w="999" w:type="dxa"/>
            <w:vMerge w:val="restart"/>
            <w:tcBorders>
              <w:top w:val="single" w:sz="8" w:space="0" w:color="auto"/>
              <w:right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rPr>
              <w:t>Q</w:t>
            </w:r>
            <w:r w:rsidRPr="00575607">
              <w:rPr>
                <w:rFonts w:ascii="Trebuchet MS" w:eastAsia="Times New Roman" w:hAnsi="Trebuchet MS" w:cs="Arial"/>
                <w:b/>
                <w:bCs/>
                <w:color w:val="000000"/>
                <w:sz w:val="16"/>
                <w:szCs w:val="16"/>
                <w:vertAlign w:val="subscript"/>
              </w:rPr>
              <w:t>2023</w:t>
            </w:r>
            <w:r w:rsidRPr="00575607">
              <w:rPr>
                <w:rFonts w:ascii="Trebuchet MS" w:eastAsia="Times New Roman" w:hAnsi="Trebuchet MS" w:cs="Arial"/>
                <w:b/>
                <w:bCs/>
                <w:color w:val="000000"/>
                <w:sz w:val="16"/>
                <w:szCs w:val="16"/>
              </w:rPr>
              <w:t>/Q</w:t>
            </w:r>
            <w:r w:rsidRPr="00575607">
              <w:rPr>
                <w:rFonts w:ascii="Trebuchet MS" w:eastAsia="Times New Roman" w:hAnsi="Trebuchet MS" w:cs="Arial"/>
                <w:b/>
                <w:bCs/>
                <w:color w:val="000000"/>
                <w:sz w:val="16"/>
                <w:szCs w:val="16"/>
                <w:vertAlign w:val="subscript"/>
              </w:rPr>
              <w:t>med</w:t>
            </w:r>
            <w:r w:rsidRPr="00575607">
              <w:rPr>
                <w:rFonts w:ascii="Trebuchet MS" w:eastAsia="Times New Roman" w:hAnsi="Trebuchet MS" w:cs="Arial"/>
                <w:b/>
                <w:bCs/>
                <w:color w:val="000000"/>
                <w:sz w:val="16"/>
                <w:szCs w:val="16"/>
              </w:rPr>
              <w:t xml:space="preserve"> (%)</w:t>
            </w:r>
          </w:p>
        </w:tc>
      </w:tr>
      <w:tr w:rsidR="00B63C48" w:rsidRPr="00575607" w:rsidTr="00E13AA6">
        <w:trPr>
          <w:trHeight w:val="300"/>
          <w:jc w:val="center"/>
        </w:trPr>
        <w:tc>
          <w:tcPr>
            <w:tcW w:w="1843" w:type="dxa"/>
            <w:vMerge/>
            <w:tcBorders>
              <w:left w:val="single" w:sz="8" w:space="0" w:color="auto"/>
              <w:bottom w:val="single" w:sz="8" w:space="0" w:color="auto"/>
            </w:tcBorders>
            <w:shd w:val="clear" w:color="000000" w:fill="FFFF00"/>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p>
        </w:tc>
        <w:tc>
          <w:tcPr>
            <w:tcW w:w="1069" w:type="dxa"/>
            <w:vMerge/>
            <w:tcBorders>
              <w:bottom w:val="single" w:sz="8" w:space="0" w:color="auto"/>
            </w:tcBorders>
            <w:shd w:val="clear" w:color="000000" w:fill="FFFF00"/>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p>
        </w:tc>
        <w:tc>
          <w:tcPr>
            <w:tcW w:w="809"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lang w:val="en-US"/>
              </w:rPr>
              <w:t>2018</w:t>
            </w:r>
          </w:p>
        </w:tc>
        <w:tc>
          <w:tcPr>
            <w:tcW w:w="809"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lang w:val="en-US"/>
              </w:rPr>
              <w:t>2019</w:t>
            </w:r>
          </w:p>
        </w:tc>
        <w:tc>
          <w:tcPr>
            <w:tcW w:w="809"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lang w:val="en-US"/>
              </w:rPr>
              <w:t>2020</w:t>
            </w:r>
            <w:r w:rsidRPr="00575607">
              <w:rPr>
                <w:rFonts w:ascii="Trebuchet MS" w:eastAsia="Times New Roman" w:hAnsi="Trebuchet MS" w:cs="Arial"/>
                <w:b/>
                <w:bCs/>
                <w:color w:val="000000"/>
                <w:sz w:val="16"/>
                <w:szCs w:val="16"/>
                <w:vertAlign w:val="superscript"/>
                <w:lang w:val="en-US"/>
              </w:rPr>
              <w:t>*</w:t>
            </w:r>
          </w:p>
        </w:tc>
        <w:tc>
          <w:tcPr>
            <w:tcW w:w="809"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lang w:val="en-US"/>
              </w:rPr>
              <w:t>2021</w:t>
            </w:r>
          </w:p>
        </w:tc>
        <w:tc>
          <w:tcPr>
            <w:tcW w:w="809"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lang w:val="en-US"/>
              </w:rPr>
              <w:t>2022</w:t>
            </w:r>
          </w:p>
        </w:tc>
        <w:tc>
          <w:tcPr>
            <w:tcW w:w="834" w:type="dxa"/>
            <w:tcBorders>
              <w:bottom w:val="single" w:sz="8" w:space="0" w:color="auto"/>
            </w:tcBorders>
            <w:shd w:val="clear" w:color="auto" w:fill="D9D9D9"/>
            <w:noWrap/>
            <w:vAlign w:val="center"/>
            <w:hideMark/>
          </w:tcPr>
          <w:p w:rsidR="00B63C48" w:rsidRPr="00575607" w:rsidRDefault="00B63C48" w:rsidP="00E13AA6">
            <w:pPr>
              <w:jc w:val="center"/>
              <w:rPr>
                <w:rFonts w:ascii="Trebuchet MS" w:eastAsia="Times New Roman" w:hAnsi="Trebuchet MS" w:cs="Arial"/>
                <w:b/>
                <w:bCs/>
                <w:color w:val="000000"/>
                <w:sz w:val="16"/>
                <w:szCs w:val="16"/>
              </w:rPr>
            </w:pPr>
            <w:r w:rsidRPr="00575607">
              <w:rPr>
                <w:rFonts w:ascii="Trebuchet MS" w:eastAsia="Times New Roman" w:hAnsi="Trebuchet MS" w:cs="Arial"/>
                <w:b/>
                <w:bCs/>
                <w:color w:val="000000"/>
                <w:sz w:val="16"/>
                <w:szCs w:val="16"/>
              </w:rPr>
              <w:t>MED</w:t>
            </w:r>
          </w:p>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sz w:val="16"/>
                <w:szCs w:val="16"/>
                <w:vertAlign w:val="subscript"/>
              </w:rPr>
              <w:t>2018-2022</w:t>
            </w:r>
          </w:p>
        </w:tc>
        <w:tc>
          <w:tcPr>
            <w:tcW w:w="928" w:type="dxa"/>
            <w:tcBorders>
              <w:bottom w:val="single" w:sz="8" w:space="0" w:color="auto"/>
            </w:tcBorders>
            <w:shd w:val="clear" w:color="auto" w:fill="D9D9D9"/>
            <w:noWrap/>
            <w:vAlign w:val="center"/>
          </w:tcPr>
          <w:p w:rsidR="00B63C48" w:rsidRPr="00575607" w:rsidRDefault="00B63C48" w:rsidP="00E13AA6">
            <w:pPr>
              <w:jc w:val="center"/>
              <w:rPr>
                <w:rFonts w:ascii="Trebuchet MS" w:eastAsia="Times New Roman" w:hAnsi="Trebuchet MS" w:cs="Arial"/>
                <w:b/>
                <w:bCs/>
                <w:color w:val="000000"/>
                <w:sz w:val="16"/>
                <w:szCs w:val="16"/>
                <w:lang w:val="en-US"/>
              </w:rPr>
            </w:pPr>
            <w:r w:rsidRPr="00575607">
              <w:rPr>
                <w:rFonts w:ascii="Trebuchet MS" w:eastAsia="Times New Roman" w:hAnsi="Trebuchet MS" w:cs="Arial"/>
                <w:b/>
                <w:bCs/>
                <w:color w:val="000000"/>
                <w:sz w:val="16"/>
                <w:szCs w:val="16"/>
                <w:lang w:val="en-US"/>
              </w:rPr>
              <w:t>2023</w:t>
            </w:r>
          </w:p>
        </w:tc>
        <w:tc>
          <w:tcPr>
            <w:tcW w:w="999" w:type="dxa"/>
            <w:vMerge/>
            <w:tcBorders>
              <w:bottom w:val="single" w:sz="8" w:space="0" w:color="auto"/>
              <w:right w:val="single" w:sz="8" w:space="0" w:color="auto"/>
            </w:tcBorders>
            <w:shd w:val="clear" w:color="000000" w:fill="FFFF00"/>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p>
        </w:tc>
      </w:tr>
      <w:tr w:rsidR="00B63C48" w:rsidRPr="00575607" w:rsidTr="00E13AA6">
        <w:trPr>
          <w:trHeight w:val="288"/>
          <w:jc w:val="center"/>
        </w:trPr>
        <w:tc>
          <w:tcPr>
            <w:tcW w:w="1843" w:type="dxa"/>
            <w:vMerge w:val="restart"/>
            <w:tcBorders>
              <w:top w:val="single" w:sz="8" w:space="0" w:color="auto"/>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r w:rsidRPr="00575607">
              <w:rPr>
                <w:rFonts w:ascii="Trebuchet MS" w:eastAsia="Times New Roman" w:hAnsi="Trebuchet MS" w:cs="Arial"/>
                <w:b/>
                <w:bCs/>
                <w:color w:val="000000"/>
                <w:sz w:val="16"/>
                <w:szCs w:val="16"/>
                <w:lang w:eastAsia="ro-RO"/>
              </w:rPr>
              <w:t>Baziaș</w:t>
            </w:r>
          </w:p>
        </w:tc>
        <w:tc>
          <w:tcPr>
            <w:tcW w:w="1069" w:type="dxa"/>
            <w:tcBorders>
              <w:top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r w:rsidRPr="00575607">
              <w:rPr>
                <w:rFonts w:ascii="Trebuchet MS" w:eastAsia="Times New Roman" w:hAnsi="Trebuchet MS" w:cs="Arial"/>
                <w:color w:val="000000"/>
                <w:sz w:val="16"/>
                <w:szCs w:val="16"/>
                <w:lang w:val="en-US"/>
              </w:rPr>
              <w:t>Q</w:t>
            </w:r>
          </w:p>
        </w:tc>
        <w:tc>
          <w:tcPr>
            <w:tcW w:w="809"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5072</w:t>
            </w:r>
          </w:p>
        </w:tc>
        <w:tc>
          <w:tcPr>
            <w:tcW w:w="809"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4813</w:t>
            </w:r>
          </w:p>
        </w:tc>
        <w:tc>
          <w:tcPr>
            <w:tcW w:w="809"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4419</w:t>
            </w:r>
          </w:p>
        </w:tc>
        <w:tc>
          <w:tcPr>
            <w:tcW w:w="809"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5074</w:t>
            </w:r>
          </w:p>
        </w:tc>
        <w:tc>
          <w:tcPr>
            <w:tcW w:w="809"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3954</w:t>
            </w:r>
          </w:p>
        </w:tc>
        <w:tc>
          <w:tcPr>
            <w:tcW w:w="834"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4666</w:t>
            </w:r>
          </w:p>
        </w:tc>
        <w:tc>
          <w:tcPr>
            <w:tcW w:w="928" w:type="dxa"/>
            <w:tcBorders>
              <w:top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5957</w:t>
            </w:r>
          </w:p>
        </w:tc>
        <w:tc>
          <w:tcPr>
            <w:tcW w:w="999" w:type="dxa"/>
            <w:vMerge w:val="restart"/>
            <w:tcBorders>
              <w:top w:val="single" w:sz="8" w:space="0" w:color="auto"/>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128</w:t>
            </w:r>
          </w:p>
        </w:tc>
      </w:tr>
      <w:tr w:rsidR="00B63C48" w:rsidRPr="00575607" w:rsidTr="00E13AA6">
        <w:trPr>
          <w:trHeight w:val="300"/>
          <w:jc w:val="center"/>
        </w:trPr>
        <w:tc>
          <w:tcPr>
            <w:tcW w:w="1843"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p>
        </w:tc>
        <w:tc>
          <w:tcPr>
            <w:tcW w:w="1069"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r w:rsidRPr="00575607">
              <w:rPr>
                <w:rFonts w:ascii="Trebuchet MS" w:eastAsia="Times New Roman" w:hAnsi="Trebuchet MS" w:cs="Arial"/>
                <w:color w:val="000000"/>
                <w:sz w:val="16"/>
                <w:szCs w:val="16"/>
              </w:rPr>
              <w:t>V</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159950</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151783</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139738</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160015</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124693</w:t>
            </w:r>
          </w:p>
        </w:tc>
        <w:tc>
          <w:tcPr>
            <w:tcW w:w="834"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147236</w:t>
            </w:r>
          </w:p>
        </w:tc>
        <w:tc>
          <w:tcPr>
            <w:tcW w:w="928"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187860</w:t>
            </w:r>
          </w:p>
        </w:tc>
        <w:tc>
          <w:tcPr>
            <w:tcW w:w="999" w:type="dxa"/>
            <w:vMerge/>
            <w:tcBorders>
              <w:right w:val="single" w:sz="8" w:space="0" w:color="auto"/>
            </w:tcBorders>
            <w:shd w:val="clear" w:color="auto" w:fill="auto"/>
            <w:noWrap/>
            <w:vAlign w:val="bottom"/>
          </w:tcPr>
          <w:p w:rsidR="00B63C48" w:rsidRPr="00575607" w:rsidRDefault="00B63C48" w:rsidP="00E13AA6">
            <w:pPr>
              <w:jc w:val="center"/>
              <w:rPr>
                <w:rFonts w:ascii="Trebuchet MS" w:eastAsia="Times New Roman" w:hAnsi="Trebuchet MS" w:cs="Arial"/>
                <w:color w:val="000000"/>
                <w:sz w:val="16"/>
                <w:szCs w:val="16"/>
              </w:rPr>
            </w:pPr>
          </w:p>
        </w:tc>
      </w:tr>
      <w:tr w:rsidR="00B63C48" w:rsidRPr="00575607" w:rsidTr="00E13AA6">
        <w:trPr>
          <w:trHeight w:val="300"/>
          <w:jc w:val="center"/>
        </w:trPr>
        <w:tc>
          <w:tcPr>
            <w:tcW w:w="1843"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p>
        </w:tc>
        <w:tc>
          <w:tcPr>
            <w:tcW w:w="1069"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V 1/2</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79975,3</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75891.5</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69869</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80007</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62347</w:t>
            </w:r>
          </w:p>
        </w:tc>
        <w:tc>
          <w:tcPr>
            <w:tcW w:w="834"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72029</w:t>
            </w:r>
          </w:p>
        </w:tc>
        <w:tc>
          <w:tcPr>
            <w:tcW w:w="928"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93930</w:t>
            </w:r>
          </w:p>
        </w:tc>
        <w:tc>
          <w:tcPr>
            <w:tcW w:w="999" w:type="dxa"/>
            <w:vMerge/>
            <w:tcBorders>
              <w:right w:val="single" w:sz="8" w:space="0" w:color="auto"/>
            </w:tcBorders>
            <w:shd w:val="clear" w:color="auto" w:fill="auto"/>
            <w:noWrap/>
            <w:vAlign w:val="bottom"/>
          </w:tcPr>
          <w:p w:rsidR="00B63C48" w:rsidRPr="00575607" w:rsidRDefault="00B63C48" w:rsidP="00E13AA6">
            <w:pPr>
              <w:jc w:val="center"/>
              <w:rPr>
                <w:rFonts w:ascii="Trebuchet MS" w:eastAsia="Times New Roman" w:hAnsi="Trebuchet MS" w:cs="Arial"/>
                <w:color w:val="000000"/>
                <w:sz w:val="16"/>
                <w:szCs w:val="16"/>
              </w:rPr>
            </w:pPr>
          </w:p>
        </w:tc>
      </w:tr>
      <w:tr w:rsidR="00B63C48" w:rsidRPr="00575607" w:rsidTr="00E13AA6">
        <w:trPr>
          <w:trHeight w:val="288"/>
          <w:jc w:val="center"/>
        </w:trPr>
        <w:tc>
          <w:tcPr>
            <w:tcW w:w="1843" w:type="dxa"/>
            <w:vMerge w:val="restart"/>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r w:rsidRPr="00575607">
              <w:rPr>
                <w:rFonts w:ascii="Trebuchet MS" w:eastAsia="Times New Roman" w:hAnsi="Trebuchet MS" w:cs="Arial"/>
                <w:b/>
                <w:bCs/>
                <w:color w:val="000000"/>
                <w:sz w:val="16"/>
                <w:szCs w:val="16"/>
                <w:lang w:eastAsia="ro-RO"/>
              </w:rPr>
              <w:t>Sh Grindu+sh Oancea</w:t>
            </w:r>
          </w:p>
        </w:tc>
        <w:tc>
          <w:tcPr>
            <w:tcW w:w="1069"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r w:rsidRPr="00575607">
              <w:rPr>
                <w:rFonts w:ascii="Trebuchet MS" w:eastAsia="Times New Roman" w:hAnsi="Trebuchet MS" w:cs="Arial"/>
                <w:color w:val="000000"/>
                <w:sz w:val="16"/>
                <w:szCs w:val="16"/>
                <w:lang w:val="en-US"/>
              </w:rPr>
              <w:t>Q</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6499</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5593</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4893,5</w:t>
            </w:r>
            <w:r w:rsidRPr="00575607">
              <w:rPr>
                <w:rFonts w:ascii="Trebuchet MS" w:eastAsia="Times New Roman" w:hAnsi="Trebuchet MS" w:cs="Arial"/>
                <w:color w:val="000000"/>
                <w:sz w:val="16"/>
                <w:szCs w:val="16"/>
                <w:vertAlign w:val="superscript"/>
              </w:rPr>
              <w:t>*</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2820</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4370</w:t>
            </w:r>
          </w:p>
        </w:tc>
        <w:tc>
          <w:tcPr>
            <w:tcW w:w="834"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4821</w:t>
            </w:r>
          </w:p>
        </w:tc>
        <w:tc>
          <w:tcPr>
            <w:tcW w:w="928"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6385</w:t>
            </w:r>
          </w:p>
        </w:tc>
        <w:tc>
          <w:tcPr>
            <w:tcW w:w="999" w:type="dxa"/>
            <w:vMerge w:val="restart"/>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132</w:t>
            </w:r>
          </w:p>
        </w:tc>
      </w:tr>
      <w:tr w:rsidR="00B63C48" w:rsidRPr="00575607" w:rsidTr="00E13AA6">
        <w:trPr>
          <w:trHeight w:val="300"/>
          <w:jc w:val="center"/>
        </w:trPr>
        <w:tc>
          <w:tcPr>
            <w:tcW w:w="1843" w:type="dxa"/>
            <w:vMerge/>
            <w:tcBorders>
              <w:left w:val="single" w:sz="8" w:space="0" w:color="auto"/>
            </w:tcBorders>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p>
        </w:tc>
        <w:tc>
          <w:tcPr>
            <w:tcW w:w="1069" w:type="dxa"/>
            <w:shd w:val="clear" w:color="auto" w:fill="auto"/>
            <w:noWrap/>
            <w:vAlign w:val="center"/>
            <w:hideMark/>
          </w:tcPr>
          <w:p w:rsidR="00B63C48" w:rsidRPr="00575607" w:rsidRDefault="00B63C48" w:rsidP="00E13AA6">
            <w:pPr>
              <w:jc w:val="center"/>
              <w:rPr>
                <w:rFonts w:ascii="Trebuchet MS" w:eastAsia="Times New Roman" w:hAnsi="Trebuchet MS" w:cs="Arial"/>
                <w:color w:val="000000"/>
                <w:sz w:val="16"/>
                <w:szCs w:val="16"/>
                <w:lang w:val="en-US"/>
              </w:rPr>
            </w:pPr>
            <w:r w:rsidRPr="00575607">
              <w:rPr>
                <w:rFonts w:ascii="Trebuchet MS" w:eastAsia="Times New Roman" w:hAnsi="Trebuchet MS" w:cs="Arial"/>
                <w:color w:val="000000"/>
                <w:sz w:val="16"/>
                <w:szCs w:val="16"/>
              </w:rPr>
              <w:t>V</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204952</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176381</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154742</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189910</w:t>
            </w:r>
          </w:p>
        </w:tc>
        <w:tc>
          <w:tcPr>
            <w:tcW w:w="809"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137812</w:t>
            </w:r>
          </w:p>
        </w:tc>
        <w:tc>
          <w:tcPr>
            <w:tcW w:w="834"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172759</w:t>
            </w:r>
          </w:p>
        </w:tc>
        <w:tc>
          <w:tcPr>
            <w:tcW w:w="928" w:type="dxa"/>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rPr>
            </w:pPr>
            <w:r w:rsidRPr="00575607">
              <w:rPr>
                <w:rFonts w:ascii="Trebuchet MS" w:eastAsia="Times New Roman" w:hAnsi="Trebuchet MS" w:cs="Arial"/>
                <w:color w:val="000000"/>
                <w:sz w:val="16"/>
                <w:szCs w:val="16"/>
              </w:rPr>
              <w:t>201367</w:t>
            </w:r>
          </w:p>
        </w:tc>
        <w:tc>
          <w:tcPr>
            <w:tcW w:w="999" w:type="dxa"/>
            <w:vMerge/>
            <w:tcBorders>
              <w:right w:val="single" w:sz="8" w:space="0" w:color="auto"/>
            </w:tcBorders>
            <w:shd w:val="clear" w:color="auto" w:fill="auto"/>
            <w:noWrap/>
            <w:vAlign w:val="center"/>
          </w:tcPr>
          <w:p w:rsidR="00B63C48" w:rsidRPr="00575607" w:rsidRDefault="00B63C48" w:rsidP="00E13AA6">
            <w:pPr>
              <w:jc w:val="center"/>
              <w:rPr>
                <w:rFonts w:ascii="Trebuchet MS" w:eastAsia="Times New Roman" w:hAnsi="Trebuchet MS" w:cs="Arial"/>
                <w:color w:val="000000"/>
                <w:sz w:val="16"/>
                <w:szCs w:val="16"/>
                <w:lang w:val="en-US"/>
              </w:rPr>
            </w:pPr>
          </w:p>
        </w:tc>
      </w:tr>
    </w:tbl>
    <w:bookmarkEnd w:id="122"/>
    <w:p w:rsidR="00B63C48" w:rsidRPr="00575607" w:rsidRDefault="00B63C48" w:rsidP="00B63C48">
      <w:pPr>
        <w:rPr>
          <w:rFonts w:ascii="Trebuchet MS" w:hAnsi="Trebuchet MS" w:cs="Arial"/>
          <w:i/>
          <w:iCs/>
          <w:sz w:val="16"/>
          <w:szCs w:val="16"/>
        </w:rPr>
      </w:pPr>
      <w:r w:rsidRPr="00575607">
        <w:rPr>
          <w:rFonts w:ascii="Trebuchet MS" w:hAnsi="Trebuchet MS" w:cs="Arial"/>
          <w:i/>
          <w:iCs/>
          <w:sz w:val="16"/>
          <w:szCs w:val="16"/>
        </w:rPr>
        <w:t>Notă:    Q - Debit Q (m</w:t>
      </w:r>
      <w:r w:rsidRPr="00575607">
        <w:rPr>
          <w:rFonts w:ascii="Trebuchet MS" w:hAnsi="Trebuchet MS" w:cs="Arial"/>
          <w:i/>
          <w:iCs/>
          <w:sz w:val="16"/>
          <w:szCs w:val="16"/>
          <w:vertAlign w:val="superscript"/>
        </w:rPr>
        <w:t>3</w:t>
      </w:r>
      <w:r w:rsidRPr="00575607">
        <w:rPr>
          <w:rFonts w:ascii="Trebuchet MS" w:hAnsi="Trebuchet MS" w:cs="Arial"/>
          <w:i/>
          <w:iCs/>
          <w:sz w:val="16"/>
          <w:szCs w:val="16"/>
        </w:rPr>
        <w:t>/s), V - volum total (10</w:t>
      </w:r>
      <w:r w:rsidRPr="00575607">
        <w:rPr>
          <w:rFonts w:ascii="Trebuchet MS" w:hAnsi="Trebuchet MS" w:cs="Arial"/>
          <w:i/>
          <w:iCs/>
          <w:sz w:val="16"/>
          <w:szCs w:val="16"/>
          <w:vertAlign w:val="superscript"/>
        </w:rPr>
        <w:t>6</w:t>
      </w:r>
      <w:r w:rsidRPr="00575607">
        <w:rPr>
          <w:rFonts w:ascii="Trebuchet MS" w:hAnsi="Trebuchet MS" w:cs="Arial"/>
          <w:i/>
          <w:iCs/>
          <w:sz w:val="16"/>
          <w:szCs w:val="16"/>
        </w:rPr>
        <w:t>m</w:t>
      </w:r>
      <w:r w:rsidRPr="00575607">
        <w:rPr>
          <w:rFonts w:ascii="Trebuchet MS" w:hAnsi="Trebuchet MS" w:cs="Arial"/>
          <w:i/>
          <w:iCs/>
          <w:sz w:val="16"/>
          <w:szCs w:val="16"/>
          <w:vertAlign w:val="superscript"/>
        </w:rPr>
        <w:t>3</w:t>
      </w:r>
      <w:r w:rsidRPr="00575607">
        <w:rPr>
          <w:rFonts w:ascii="Trebuchet MS" w:hAnsi="Trebuchet MS" w:cs="Arial"/>
          <w:i/>
          <w:iCs/>
          <w:sz w:val="16"/>
          <w:szCs w:val="16"/>
        </w:rPr>
        <w:t>), V 1/2 - valorile reprezintă 50% din volumele scurse pe Dunăre la intrarea în țară, aferente României, cealaltă jumătate revenind Republicii Serbia</w:t>
      </w:r>
    </w:p>
    <w:p w:rsidR="00B63C48" w:rsidRPr="00575607" w:rsidRDefault="00B63C48" w:rsidP="00B63C48">
      <w:pPr>
        <w:rPr>
          <w:rFonts w:ascii="Trebuchet MS" w:hAnsi="Trebuchet MS" w:cs="Arial"/>
          <w:i/>
          <w:iCs/>
          <w:sz w:val="16"/>
          <w:szCs w:val="16"/>
        </w:rPr>
      </w:pPr>
    </w:p>
    <w:p w:rsidR="00B63C48" w:rsidRPr="00575607" w:rsidRDefault="00B63C48" w:rsidP="00B63C48">
      <w:pPr>
        <w:ind w:firstLine="720"/>
        <w:jc w:val="both"/>
        <w:rPr>
          <w:rFonts w:ascii="Trebuchet MS" w:hAnsi="Trebuchet MS" w:cs="Arial"/>
          <w:highlight w:val="yellow"/>
        </w:rPr>
      </w:pP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Față de volumul total al resursei oferite de râurile interioare (38227*10</w:t>
      </w:r>
      <w:r w:rsidRPr="005F6A32">
        <w:rPr>
          <w:rFonts w:ascii="Trebuchet MS" w:hAnsi="Trebuchet MS" w:cs="Arial"/>
          <w:sz w:val="22"/>
          <w:szCs w:val="22"/>
          <w:vertAlign w:val="superscript"/>
        </w:rPr>
        <w:t>6</w:t>
      </w:r>
      <w:r w:rsidRPr="005F6A32">
        <w:rPr>
          <w:rFonts w:ascii="Trebuchet MS" w:hAnsi="Trebuchet MS" w:cs="Arial"/>
          <w:sz w:val="22"/>
          <w:szCs w:val="22"/>
        </w:rPr>
        <w:t>m</w:t>
      </w:r>
      <w:r w:rsidRPr="005F6A32">
        <w:rPr>
          <w:rFonts w:ascii="Trebuchet MS" w:hAnsi="Trebuchet MS" w:cs="Arial"/>
          <w:sz w:val="22"/>
          <w:szCs w:val="22"/>
          <w:vertAlign w:val="superscript"/>
        </w:rPr>
        <w:t>3</w:t>
      </w:r>
      <w:r w:rsidRPr="005F6A32">
        <w:rPr>
          <w:rFonts w:ascii="Trebuchet MS" w:hAnsi="Trebuchet MS" w:cs="Arial"/>
          <w:sz w:val="22"/>
          <w:szCs w:val="22"/>
        </w:rPr>
        <w:t>), la ieșirea din țară (h. Grindu+ sh Oancea/Prut), Dunărea a avut un volum scurs de circa 5 ori mai mare (201367*10</w:t>
      </w:r>
      <w:r w:rsidRPr="005F6A32">
        <w:rPr>
          <w:rFonts w:ascii="Trebuchet MS" w:hAnsi="Trebuchet MS" w:cs="Arial"/>
          <w:sz w:val="22"/>
          <w:szCs w:val="22"/>
          <w:vertAlign w:val="superscript"/>
        </w:rPr>
        <w:t xml:space="preserve">6 </w:t>
      </w:r>
      <w:r w:rsidRPr="005F6A32">
        <w:rPr>
          <w:rFonts w:ascii="Trebuchet MS" w:hAnsi="Trebuchet MS" w:cs="Arial"/>
          <w:sz w:val="22"/>
          <w:szCs w:val="22"/>
        </w:rPr>
        <w:t>m</w:t>
      </w:r>
      <w:r w:rsidRPr="005F6A32">
        <w:rPr>
          <w:rFonts w:ascii="Trebuchet MS" w:hAnsi="Trebuchet MS" w:cs="Arial"/>
          <w:sz w:val="22"/>
          <w:szCs w:val="22"/>
          <w:vertAlign w:val="superscript"/>
        </w:rPr>
        <w:t>3</w:t>
      </w:r>
      <w:r w:rsidRPr="005F6A32">
        <w:rPr>
          <w:rFonts w:ascii="Trebuchet MS" w:hAnsi="Trebuchet MS" w:cs="Arial"/>
          <w:sz w:val="22"/>
          <w:szCs w:val="22"/>
        </w:rPr>
        <w:t>).</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Resursa considerabilă pe care o reprezintă fluviul Dunărea este însă puțin accesibilă din cauza poluării apelor fluviului și a excentricității poziției sale față de utilizatorii potențiali din România.</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Resursa medie la nivelul României este de circa 0,160 mil. m</w:t>
      </w:r>
      <w:r w:rsidRPr="005F6A32">
        <w:rPr>
          <w:rFonts w:ascii="Trebuchet MS" w:hAnsi="Trebuchet MS" w:cs="Arial"/>
          <w:sz w:val="22"/>
          <w:szCs w:val="22"/>
          <w:vertAlign w:val="superscript"/>
        </w:rPr>
        <w:t>3</w:t>
      </w:r>
      <w:r w:rsidRPr="005F6A32">
        <w:rPr>
          <w:rFonts w:ascii="Trebuchet MS" w:hAnsi="Trebuchet MS" w:cs="Arial"/>
          <w:sz w:val="22"/>
          <w:szCs w:val="22"/>
        </w:rPr>
        <w:t>/km</w:t>
      </w:r>
      <w:r w:rsidRPr="005F6A32">
        <w:rPr>
          <w:rFonts w:ascii="Trebuchet MS" w:hAnsi="Trebuchet MS" w:cs="Arial"/>
          <w:sz w:val="22"/>
          <w:szCs w:val="22"/>
          <w:vertAlign w:val="superscript"/>
        </w:rPr>
        <w:t>2</w:t>
      </w:r>
      <w:r w:rsidRPr="005F6A32">
        <w:rPr>
          <w:rFonts w:ascii="Trebuchet MS" w:hAnsi="Trebuchet MS" w:cs="Arial"/>
          <w:sz w:val="22"/>
          <w:szCs w:val="22"/>
        </w:rPr>
        <w:t>. În anul 2023 cea mai bogată resursă de apă revine bazinelor hidrografice din vestul țării în timp ce restul țării este deficitar din acest punct de vedere.</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De asemenea, România a avut la nivelul anului 2023 o resursă specifică din râurile interioare de 1900 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/loc./an raportat la 19 892 812 mil loc (populația României în anul 2023 conform </w:t>
      </w:r>
      <w:hyperlink r:id="rId62" w:history="1">
        <w:r w:rsidRPr="005F6A32">
          <w:rPr>
            <w:rStyle w:val="Hyperlink"/>
            <w:rFonts w:ascii="Trebuchet MS" w:hAnsi="Trebuchet MS" w:cs="Arial"/>
            <w:sz w:val="22"/>
            <w:szCs w:val="22"/>
          </w:rPr>
          <w:t>https://www.worldometers.info/world-population/romania-population/</w:t>
        </w:r>
      </w:hyperlink>
      <w:r w:rsidRPr="005F6A32">
        <w:rPr>
          <w:rFonts w:ascii="Trebuchet MS" w:hAnsi="Trebuchet MS" w:cs="Arial"/>
          <w:sz w:val="22"/>
          <w:szCs w:val="22"/>
        </w:rPr>
        <w:t>).</w:t>
      </w:r>
    </w:p>
    <w:p w:rsidR="00B63C48" w:rsidRPr="005F6A32" w:rsidRDefault="00B63C48" w:rsidP="00B63C48">
      <w:pPr>
        <w:tabs>
          <w:tab w:val="left" w:pos="1701"/>
          <w:tab w:val="left" w:pos="2535"/>
        </w:tabs>
        <w:ind w:firstLine="709"/>
        <w:rPr>
          <w:rFonts w:ascii="Trebuchet MS" w:hAnsi="Trebuchet MS" w:cs="Arial"/>
          <w:sz w:val="22"/>
          <w:szCs w:val="22"/>
        </w:rPr>
      </w:pPr>
      <w:r w:rsidRPr="005F6A32">
        <w:rPr>
          <w:rFonts w:ascii="Trebuchet MS" w:hAnsi="Trebuchet MS" w:cs="Arial"/>
          <w:sz w:val="22"/>
          <w:szCs w:val="22"/>
          <w:lang w:val="en-US"/>
        </w:rPr>
        <w:t>Extinz</w:t>
      </w:r>
      <w:r w:rsidRPr="005F6A32">
        <w:rPr>
          <w:rFonts w:ascii="Trebuchet MS" w:hAnsi="Trebuchet MS" w:cs="Arial"/>
          <w:sz w:val="22"/>
          <w:szCs w:val="22"/>
        </w:rPr>
        <w:t>ând analiza, a fost calculată, resursa specifică pe fiecare bazin hidrografic analizat. Astfel, prin tehnici GIS, a fost determinată populația corespunzătoare fiecărui bazin hidrografic pe baza shp-ului ”Localitățile”, câmpul ”Populația” realizat pe baza datelor obținute în urma Recensământului Populației și al Locuinței din anul 2011 (</w:t>
      </w:r>
      <w:hyperlink r:id="rId63" w:history="1">
        <w:r w:rsidRPr="005F6A32">
          <w:rPr>
            <w:rStyle w:val="Hyperlink"/>
            <w:rFonts w:ascii="Trebuchet MS" w:hAnsi="Trebuchet MS" w:cs="Arial"/>
            <w:sz w:val="22"/>
            <w:szCs w:val="22"/>
          </w:rPr>
          <w:t>http://www.recensamantromania.ro/</w:t>
        </w:r>
      </w:hyperlink>
      <w:r w:rsidRPr="005F6A32">
        <w:rPr>
          <w:rFonts w:ascii="Trebuchet MS" w:hAnsi="Trebuchet MS" w:cs="Arial"/>
          <w:sz w:val="22"/>
          <w:szCs w:val="22"/>
        </w:rPr>
        <w:t xml:space="preserve">). </w:t>
      </w:r>
    </w:p>
    <w:p w:rsidR="00B63C48" w:rsidRPr="005F6A32" w:rsidRDefault="00B63C48" w:rsidP="00B63C48">
      <w:pPr>
        <w:tabs>
          <w:tab w:val="left" w:pos="1701"/>
          <w:tab w:val="left" w:pos="2535"/>
        </w:tabs>
        <w:ind w:firstLine="709"/>
        <w:rPr>
          <w:rFonts w:ascii="Trebuchet MS" w:hAnsi="Trebuchet MS" w:cs="Arial"/>
          <w:sz w:val="22"/>
          <w:szCs w:val="22"/>
        </w:rPr>
      </w:pPr>
      <w:r w:rsidRPr="005F6A32">
        <w:rPr>
          <w:rFonts w:ascii="Trebuchet MS" w:hAnsi="Trebuchet MS" w:cs="Arial"/>
          <w:sz w:val="22"/>
          <w:szCs w:val="22"/>
        </w:rPr>
        <w:t>Datele obținute sunt prezentate în tabelul nr. II.1.1.1.4.</w:t>
      </w:r>
    </w:p>
    <w:p w:rsidR="00B63C48" w:rsidRPr="005F6A32" w:rsidRDefault="00B63C48" w:rsidP="00B63C48">
      <w:pPr>
        <w:tabs>
          <w:tab w:val="left" w:pos="1701"/>
          <w:tab w:val="left" w:pos="2535"/>
        </w:tabs>
        <w:ind w:firstLine="709"/>
        <w:rPr>
          <w:rFonts w:ascii="Trebuchet MS" w:hAnsi="Trebuchet MS" w:cs="Arial"/>
          <w:sz w:val="22"/>
          <w:szCs w:val="22"/>
        </w:rPr>
      </w:pPr>
    </w:p>
    <w:p w:rsidR="00B63C48" w:rsidRPr="005F6A32" w:rsidRDefault="00B63C48" w:rsidP="00B63C48">
      <w:pPr>
        <w:tabs>
          <w:tab w:val="left" w:pos="1701"/>
          <w:tab w:val="left" w:pos="2535"/>
        </w:tabs>
        <w:jc w:val="center"/>
        <w:rPr>
          <w:rFonts w:ascii="Trebuchet MS" w:hAnsi="Trebuchet MS" w:cs="Arial"/>
          <w:i/>
          <w:iCs/>
          <w:sz w:val="22"/>
          <w:szCs w:val="22"/>
        </w:rPr>
      </w:pPr>
      <w:r w:rsidRPr="005F6A32">
        <w:rPr>
          <w:rFonts w:ascii="Trebuchet MS" w:hAnsi="Trebuchet MS" w:cs="Arial"/>
          <w:i/>
          <w:iCs/>
          <w:sz w:val="22"/>
          <w:szCs w:val="22"/>
        </w:rPr>
        <w:t xml:space="preserve">Tabelul nr. </w:t>
      </w:r>
      <w:r w:rsidRPr="005F6A32">
        <w:rPr>
          <w:rFonts w:ascii="Trebuchet MS" w:hAnsi="Trebuchet MS" w:cs="Arial"/>
          <w:sz w:val="22"/>
          <w:szCs w:val="22"/>
        </w:rPr>
        <w:t>II.1.1.1.4</w:t>
      </w:r>
      <w:r w:rsidRPr="005F6A32">
        <w:rPr>
          <w:rFonts w:ascii="Trebuchet MS" w:hAnsi="Trebuchet MS" w:cs="Arial"/>
          <w:i/>
          <w:iCs/>
          <w:sz w:val="22"/>
          <w:szCs w:val="22"/>
        </w:rPr>
        <w:t xml:space="preserve">  Resursa specifică calculată pe bazine hidrografice pe baza datelor din Recensământul Populației și Locuinței din anul 2011</w:t>
      </w:r>
    </w:p>
    <w:tbl>
      <w:tblPr>
        <w:tblW w:w="9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2"/>
        <w:gridCol w:w="951"/>
        <w:gridCol w:w="1706"/>
        <w:gridCol w:w="2336"/>
        <w:gridCol w:w="2298"/>
      </w:tblGrid>
      <w:tr w:rsidR="00B63C48" w:rsidRPr="00575607" w:rsidTr="00E13AA6">
        <w:tc>
          <w:tcPr>
            <w:tcW w:w="2572" w:type="dxa"/>
            <w:shd w:val="clear" w:color="auto" w:fill="D9D9D9"/>
            <w:vAlign w:val="center"/>
          </w:tcPr>
          <w:p w:rsidR="00B63C48" w:rsidRPr="00575607" w:rsidRDefault="00B63C48" w:rsidP="00E13AA6">
            <w:pPr>
              <w:tabs>
                <w:tab w:val="left" w:pos="1701"/>
                <w:tab w:val="left" w:pos="2535"/>
              </w:tabs>
              <w:jc w:val="center"/>
              <w:rPr>
                <w:rFonts w:ascii="Trebuchet MS" w:hAnsi="Trebuchet MS" w:cs="Arial"/>
                <w:b/>
                <w:bCs/>
                <w:sz w:val="20"/>
                <w:szCs w:val="20"/>
                <w:lang w:val="en-US"/>
              </w:rPr>
            </w:pPr>
            <w:r w:rsidRPr="00575607">
              <w:rPr>
                <w:rFonts w:ascii="Trebuchet MS" w:eastAsia="Times New Roman" w:hAnsi="Trebuchet MS" w:cs="Arial"/>
                <w:b/>
                <w:bCs/>
                <w:color w:val="000000"/>
                <w:sz w:val="20"/>
                <w:szCs w:val="20"/>
              </w:rPr>
              <w:t>Bazinul hidrografic</w:t>
            </w:r>
          </w:p>
        </w:tc>
        <w:tc>
          <w:tcPr>
            <w:tcW w:w="951" w:type="dxa"/>
            <w:shd w:val="clear" w:color="auto" w:fill="D9D9D9"/>
            <w:vAlign w:val="center"/>
          </w:tcPr>
          <w:p w:rsidR="00B63C48" w:rsidRPr="00575607" w:rsidRDefault="00B63C48" w:rsidP="00E13AA6">
            <w:pPr>
              <w:tabs>
                <w:tab w:val="left" w:pos="1701"/>
                <w:tab w:val="left" w:pos="2535"/>
              </w:tabs>
              <w:jc w:val="center"/>
              <w:rPr>
                <w:rFonts w:ascii="Trebuchet MS" w:hAnsi="Trebuchet MS" w:cs="Arial"/>
                <w:b/>
                <w:bCs/>
                <w:sz w:val="20"/>
                <w:szCs w:val="20"/>
                <w:lang w:val="en-US"/>
              </w:rPr>
            </w:pPr>
            <w:r w:rsidRPr="00575607">
              <w:rPr>
                <w:rFonts w:ascii="Trebuchet MS" w:eastAsia="Times New Roman" w:hAnsi="Trebuchet MS" w:cs="Arial"/>
                <w:b/>
                <w:bCs/>
                <w:color w:val="000000"/>
                <w:sz w:val="20"/>
                <w:szCs w:val="20"/>
              </w:rPr>
              <w:t>F (km</w:t>
            </w:r>
            <w:r w:rsidRPr="00575607">
              <w:rPr>
                <w:rFonts w:ascii="Trebuchet MS" w:eastAsia="Times New Roman" w:hAnsi="Trebuchet MS" w:cs="Arial"/>
                <w:b/>
                <w:bCs/>
                <w:color w:val="000000"/>
                <w:sz w:val="20"/>
                <w:szCs w:val="20"/>
                <w:vertAlign w:val="superscript"/>
              </w:rPr>
              <w:t>2</w:t>
            </w:r>
            <w:r w:rsidRPr="00575607">
              <w:rPr>
                <w:rFonts w:ascii="Trebuchet MS" w:eastAsia="Times New Roman" w:hAnsi="Trebuchet MS" w:cs="Arial"/>
                <w:b/>
                <w:bCs/>
                <w:color w:val="000000"/>
                <w:sz w:val="20"/>
                <w:szCs w:val="20"/>
              </w:rPr>
              <w:t>)</w:t>
            </w:r>
          </w:p>
        </w:tc>
        <w:tc>
          <w:tcPr>
            <w:tcW w:w="1706" w:type="dxa"/>
            <w:shd w:val="clear" w:color="auto" w:fill="D9D9D9"/>
            <w:vAlign w:val="center"/>
          </w:tcPr>
          <w:p w:rsidR="00B63C48" w:rsidRPr="00575607" w:rsidRDefault="00B63C48" w:rsidP="00E13AA6">
            <w:pPr>
              <w:tabs>
                <w:tab w:val="left" w:pos="1701"/>
                <w:tab w:val="left" w:pos="2535"/>
              </w:tabs>
              <w:jc w:val="center"/>
              <w:rPr>
                <w:rFonts w:ascii="Trebuchet MS" w:hAnsi="Trebuchet MS" w:cs="Arial"/>
                <w:b/>
                <w:bCs/>
                <w:sz w:val="20"/>
                <w:szCs w:val="20"/>
                <w:lang w:val="en-US"/>
              </w:rPr>
            </w:pPr>
            <w:r w:rsidRPr="00575607">
              <w:rPr>
                <w:rFonts w:ascii="Trebuchet MS" w:hAnsi="Trebuchet MS" w:cs="Arial"/>
                <w:b/>
                <w:bCs/>
                <w:sz w:val="20"/>
                <w:szCs w:val="20"/>
                <w:lang w:val="en-US"/>
              </w:rPr>
              <w:t>Volum med anual</w:t>
            </w:r>
          </w:p>
          <w:p w:rsidR="00B63C48" w:rsidRPr="00575607" w:rsidRDefault="00B63C48" w:rsidP="00E13AA6">
            <w:pPr>
              <w:tabs>
                <w:tab w:val="left" w:pos="1701"/>
                <w:tab w:val="left" w:pos="2535"/>
              </w:tabs>
              <w:jc w:val="center"/>
              <w:rPr>
                <w:rFonts w:ascii="Trebuchet MS" w:hAnsi="Trebuchet MS" w:cs="Arial"/>
                <w:b/>
                <w:bCs/>
                <w:sz w:val="20"/>
                <w:szCs w:val="20"/>
                <w:lang w:val="en-US"/>
              </w:rPr>
            </w:pPr>
            <w:r w:rsidRPr="00575607">
              <w:rPr>
                <w:rFonts w:ascii="Trebuchet MS" w:hAnsi="Trebuchet MS" w:cs="Arial"/>
                <w:b/>
                <w:bCs/>
                <w:sz w:val="20"/>
                <w:szCs w:val="20"/>
                <w:lang w:val="en-US"/>
              </w:rPr>
              <w:t>(mil.m</w:t>
            </w:r>
            <w:r w:rsidRPr="00575607">
              <w:rPr>
                <w:rFonts w:ascii="Trebuchet MS" w:hAnsi="Trebuchet MS" w:cs="Arial"/>
                <w:b/>
                <w:bCs/>
                <w:sz w:val="20"/>
                <w:szCs w:val="20"/>
                <w:vertAlign w:val="superscript"/>
                <w:lang w:val="en-US"/>
              </w:rPr>
              <w:t>3</w:t>
            </w:r>
            <w:r w:rsidRPr="00575607">
              <w:rPr>
                <w:rFonts w:ascii="Trebuchet MS" w:hAnsi="Trebuchet MS" w:cs="Arial"/>
                <w:b/>
                <w:bCs/>
                <w:sz w:val="20"/>
                <w:szCs w:val="20"/>
                <w:lang w:val="en-US"/>
              </w:rPr>
              <w:t>)</w:t>
            </w:r>
          </w:p>
        </w:tc>
        <w:tc>
          <w:tcPr>
            <w:tcW w:w="2336" w:type="dxa"/>
            <w:shd w:val="clear" w:color="auto" w:fill="D9D9D9"/>
            <w:vAlign w:val="center"/>
          </w:tcPr>
          <w:p w:rsidR="00B63C48" w:rsidRPr="00575607" w:rsidRDefault="00B63C48" w:rsidP="00E13AA6">
            <w:pPr>
              <w:tabs>
                <w:tab w:val="left" w:pos="1701"/>
                <w:tab w:val="left" w:pos="2535"/>
              </w:tabs>
              <w:jc w:val="center"/>
              <w:rPr>
                <w:rFonts w:ascii="Trebuchet MS" w:hAnsi="Trebuchet MS" w:cs="Arial"/>
                <w:b/>
                <w:bCs/>
                <w:sz w:val="20"/>
                <w:szCs w:val="20"/>
                <w:lang w:val="en-US"/>
              </w:rPr>
            </w:pPr>
            <w:r w:rsidRPr="00575607">
              <w:rPr>
                <w:rFonts w:ascii="Trebuchet MS" w:hAnsi="Trebuchet MS" w:cs="Arial"/>
                <w:b/>
                <w:bCs/>
                <w:sz w:val="20"/>
                <w:szCs w:val="20"/>
                <w:lang w:val="en-US"/>
              </w:rPr>
              <w:t>Nr. locuitori (2011)</w:t>
            </w:r>
          </w:p>
        </w:tc>
        <w:tc>
          <w:tcPr>
            <w:tcW w:w="2298" w:type="dxa"/>
            <w:shd w:val="clear" w:color="auto" w:fill="D9D9D9"/>
            <w:vAlign w:val="center"/>
          </w:tcPr>
          <w:p w:rsidR="00B63C48" w:rsidRPr="00575607" w:rsidRDefault="00B63C48" w:rsidP="00E13AA6">
            <w:pPr>
              <w:tabs>
                <w:tab w:val="left" w:pos="1701"/>
                <w:tab w:val="left" w:pos="2535"/>
              </w:tabs>
              <w:jc w:val="center"/>
              <w:rPr>
                <w:rFonts w:ascii="Trebuchet MS" w:hAnsi="Trebuchet MS" w:cs="Arial"/>
                <w:b/>
                <w:bCs/>
                <w:sz w:val="20"/>
                <w:szCs w:val="20"/>
                <w:lang w:val="en-US"/>
              </w:rPr>
            </w:pPr>
            <w:r w:rsidRPr="00575607">
              <w:rPr>
                <w:rFonts w:ascii="Trebuchet MS" w:hAnsi="Trebuchet MS" w:cs="Arial"/>
                <w:b/>
                <w:bCs/>
                <w:sz w:val="20"/>
                <w:szCs w:val="20"/>
                <w:lang w:val="en-US"/>
              </w:rPr>
              <w:t>Resursa specifică teoretică (</w:t>
            </w:r>
            <w:r w:rsidRPr="00575607">
              <w:rPr>
                <w:rFonts w:ascii="Trebuchet MS" w:hAnsi="Trebuchet MS" w:cs="Arial"/>
                <w:b/>
                <w:bCs/>
                <w:sz w:val="20"/>
                <w:szCs w:val="20"/>
              </w:rPr>
              <w:t>m</w:t>
            </w:r>
            <w:r w:rsidRPr="00575607">
              <w:rPr>
                <w:rFonts w:ascii="Trebuchet MS" w:hAnsi="Trebuchet MS" w:cs="Arial"/>
                <w:b/>
                <w:bCs/>
                <w:sz w:val="20"/>
                <w:szCs w:val="20"/>
                <w:vertAlign w:val="superscript"/>
              </w:rPr>
              <w:t>3</w:t>
            </w:r>
            <w:r w:rsidRPr="00575607">
              <w:rPr>
                <w:rFonts w:ascii="Trebuchet MS" w:hAnsi="Trebuchet MS" w:cs="Arial"/>
                <w:b/>
                <w:bCs/>
                <w:sz w:val="20"/>
                <w:szCs w:val="20"/>
              </w:rPr>
              <w:t>/loc./an)</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eastAsia="Times New Roman" w:hAnsi="Trebuchet MS" w:cs="Arial"/>
                <w:color w:val="000000"/>
                <w:sz w:val="20"/>
                <w:szCs w:val="20"/>
              </w:rPr>
              <w:t>TISA</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4540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2083</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300747</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8466</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eastAsia="Times New Roman" w:hAnsi="Trebuchet MS" w:cs="Arial"/>
                <w:color w:val="000000"/>
                <w:sz w:val="20"/>
                <w:szCs w:val="20"/>
              </w:rPr>
              <w:t>SOMEȘ</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17840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3803</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1505499</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3088</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eastAsia="Times New Roman" w:hAnsi="Trebuchet MS" w:cs="Arial"/>
                <w:color w:val="000000"/>
                <w:sz w:val="20"/>
                <w:szCs w:val="20"/>
              </w:rPr>
              <w:t>CRIȘURI</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14860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2302</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853134</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3852</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eastAsia="Times New Roman" w:hAnsi="Trebuchet MS" w:cs="Arial"/>
                <w:color w:val="000000"/>
                <w:sz w:val="20"/>
                <w:szCs w:val="20"/>
              </w:rPr>
              <w:t>MUREȘ</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29390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4232</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1902949</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3210</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eastAsia="Times New Roman" w:hAnsi="Trebuchet MS" w:cs="Arial"/>
                <w:color w:val="000000"/>
                <w:sz w:val="20"/>
                <w:szCs w:val="20"/>
              </w:rPr>
              <w:t>BEGA – TIMIȘ - CARAȘ</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13060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1668</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874429</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3474</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eastAsia="Times New Roman" w:hAnsi="Trebuchet MS" w:cs="Arial"/>
                <w:color w:val="000000"/>
                <w:sz w:val="20"/>
                <w:szCs w:val="20"/>
              </w:rPr>
              <w:t>NERA - CERNA</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2740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880</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52651</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29667</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eastAsia="Times New Roman" w:hAnsi="Trebuchet MS" w:cs="Arial"/>
                <w:color w:val="000000"/>
                <w:sz w:val="20"/>
                <w:szCs w:val="20"/>
              </w:rPr>
              <w:t>JIU</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10080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2845</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929184</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4378</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OLT</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24050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3658</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1892452</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2716</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VEDEA</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5430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164</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360155</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403</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ARGEȘ</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12550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1750</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3379628</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507</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IALOMIȚA</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10350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826</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1279917</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613</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DUNĂREA</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34141</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594</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1537039</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578</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SIRET</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42890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3847</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3563802</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1098</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PRUT</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10990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265</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1072436</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329</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DOBROGEA</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5480</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48.6</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617565</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66.7</w:t>
            </w:r>
          </w:p>
        </w:tc>
      </w:tr>
      <w:tr w:rsidR="00B63C48" w:rsidRPr="00575607" w:rsidTr="00E13AA6">
        <w:tc>
          <w:tcPr>
            <w:tcW w:w="2572" w:type="dxa"/>
            <w:shd w:val="clear" w:color="auto" w:fill="auto"/>
            <w:vAlign w:val="center"/>
          </w:tcPr>
          <w:p w:rsidR="00B63C48" w:rsidRPr="00575607" w:rsidRDefault="00B63C48" w:rsidP="00E13AA6">
            <w:pPr>
              <w:tabs>
                <w:tab w:val="left" w:pos="1701"/>
                <w:tab w:val="left" w:pos="2535"/>
              </w:tabs>
              <w:jc w:val="center"/>
              <w:rPr>
                <w:rFonts w:ascii="Trebuchet MS" w:eastAsia="Times New Roman" w:hAnsi="Trebuchet MS" w:cs="Arial"/>
                <w:color w:val="000000"/>
                <w:sz w:val="20"/>
                <w:szCs w:val="20"/>
              </w:rPr>
            </w:pPr>
            <w:r w:rsidRPr="00575607">
              <w:rPr>
                <w:rFonts w:ascii="Trebuchet MS" w:eastAsia="Times New Roman" w:hAnsi="Trebuchet MS" w:cs="Arial"/>
                <w:color w:val="000000"/>
                <w:sz w:val="20"/>
                <w:szCs w:val="20"/>
              </w:rPr>
              <w:t>Total România fără fluviul Dunărea</w:t>
            </w:r>
          </w:p>
        </w:tc>
        <w:tc>
          <w:tcPr>
            <w:tcW w:w="951"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238391</w:t>
            </w:r>
          </w:p>
        </w:tc>
        <w:tc>
          <w:tcPr>
            <w:tcW w:w="170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28967</w:t>
            </w:r>
          </w:p>
        </w:tc>
        <w:tc>
          <w:tcPr>
            <w:tcW w:w="2336"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sz w:val="20"/>
                <w:szCs w:val="20"/>
                <w:lang w:val="en-US"/>
              </w:rPr>
              <w:t>20121587</w:t>
            </w:r>
          </w:p>
        </w:tc>
        <w:tc>
          <w:tcPr>
            <w:tcW w:w="2298" w:type="dxa"/>
            <w:shd w:val="clear" w:color="auto" w:fill="auto"/>
            <w:vAlign w:val="center"/>
          </w:tcPr>
          <w:p w:rsidR="00B63C48" w:rsidRPr="00575607" w:rsidRDefault="00B63C48" w:rsidP="00E13AA6">
            <w:pPr>
              <w:tabs>
                <w:tab w:val="left" w:pos="1701"/>
                <w:tab w:val="left" w:pos="2535"/>
              </w:tabs>
              <w:jc w:val="center"/>
              <w:rPr>
                <w:rFonts w:ascii="Trebuchet MS" w:hAnsi="Trebuchet MS" w:cs="Arial"/>
                <w:sz w:val="20"/>
                <w:szCs w:val="20"/>
                <w:lang w:val="en-US"/>
              </w:rPr>
            </w:pPr>
            <w:r w:rsidRPr="00575607">
              <w:rPr>
                <w:rFonts w:ascii="Trebuchet MS" w:hAnsi="Trebuchet MS" w:cs="Arial"/>
                <w:color w:val="000000"/>
                <w:sz w:val="20"/>
                <w:szCs w:val="20"/>
              </w:rPr>
              <w:t>1900</w:t>
            </w:r>
          </w:p>
        </w:tc>
      </w:tr>
    </w:tbl>
    <w:p w:rsidR="00B63C48" w:rsidRPr="00575607" w:rsidRDefault="00B63C48" w:rsidP="00B63C48">
      <w:pPr>
        <w:tabs>
          <w:tab w:val="left" w:pos="1701"/>
          <w:tab w:val="left" w:pos="2535"/>
        </w:tabs>
        <w:rPr>
          <w:rFonts w:ascii="Trebuchet MS" w:hAnsi="Trebuchet MS" w:cs="Arial"/>
          <w:i/>
          <w:iCs/>
          <w:sz w:val="16"/>
          <w:szCs w:val="16"/>
          <w:lang w:val="fr-FR"/>
        </w:rPr>
      </w:pPr>
      <w:r w:rsidRPr="00575607">
        <w:rPr>
          <w:rFonts w:ascii="Trebuchet MS" w:hAnsi="Trebuchet MS" w:cs="Arial"/>
          <w:i/>
          <w:iCs/>
          <w:sz w:val="16"/>
          <w:szCs w:val="16"/>
          <w:lang w:val="fr-FR"/>
        </w:rPr>
        <w:t>Notă: Valorile volumelor din anul 2023 au fost raportate la datele rezultate din Recensamântul Populației și al Locuinței din anul 2011</w:t>
      </w:r>
    </w:p>
    <w:p w:rsidR="00B63C48" w:rsidRPr="00575607" w:rsidRDefault="00B63C48" w:rsidP="00B63C48">
      <w:pPr>
        <w:jc w:val="both"/>
        <w:rPr>
          <w:rFonts w:ascii="Trebuchet MS" w:hAnsi="Trebuchet MS" w:cs="Arial"/>
          <w:b/>
        </w:rPr>
      </w:pPr>
    </w:p>
    <w:p w:rsidR="00B63C48" w:rsidRPr="005F6A32" w:rsidRDefault="00B63C48" w:rsidP="00B63C48">
      <w:pPr>
        <w:ind w:firstLine="720"/>
        <w:jc w:val="both"/>
        <w:rPr>
          <w:rFonts w:ascii="Trebuchet MS" w:hAnsi="Trebuchet MS" w:cs="Arial"/>
          <w:b/>
          <w:i/>
          <w:sz w:val="22"/>
          <w:szCs w:val="22"/>
        </w:rPr>
      </w:pPr>
      <w:r w:rsidRPr="005F6A32">
        <w:rPr>
          <w:rFonts w:ascii="Trebuchet MS" w:hAnsi="Trebuchet MS" w:cs="Arial"/>
          <w:b/>
          <w:i/>
          <w:sz w:val="22"/>
          <w:szCs w:val="22"/>
        </w:rPr>
        <w:t>Resurse de apă subterană</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b/>
          <w:sz w:val="22"/>
          <w:szCs w:val="22"/>
        </w:rPr>
        <w:t>Resursele de apă subterană</w:t>
      </w:r>
      <w:r w:rsidRPr="005F6A32">
        <w:rPr>
          <w:rFonts w:ascii="Trebuchet MS" w:hAnsi="Trebuchet MS" w:cs="Arial"/>
          <w:sz w:val="22"/>
          <w:szCs w:val="22"/>
        </w:rPr>
        <w:t xml:space="preserve"> reprezintă volumul de apă care poate fi extras dintr-un strat acvifer, deci volumul de apă exploatabilă. Această noţiune este complexă, deoarece cantitatea de apă ce poate fi furnizată de un strat acvifer depinde de volumul rezervelor şi este limitată de posibilităţile tehnice şi economice, de conservare şi protecţie a resurselor. </w:t>
      </w:r>
      <w:r w:rsidRPr="005F6A32">
        <w:rPr>
          <w:rFonts w:ascii="Trebuchet MS" w:hAnsi="Trebuchet MS" w:cs="Arial"/>
          <w:b/>
          <w:sz w:val="22"/>
          <w:szCs w:val="22"/>
        </w:rPr>
        <w:t>Rezervele de apă subterană</w:t>
      </w:r>
      <w:r w:rsidRPr="005F6A32">
        <w:rPr>
          <w:rFonts w:ascii="Trebuchet MS" w:hAnsi="Trebuchet MS" w:cs="Arial"/>
          <w:sz w:val="22"/>
          <w:szCs w:val="22"/>
        </w:rPr>
        <w:t xml:space="preserve"> reprezintă volumul de apă gravitaţională </w:t>
      </w:r>
      <w:r w:rsidRPr="005F6A32">
        <w:rPr>
          <w:rFonts w:ascii="Arial" w:hAnsi="Arial" w:cs="Arial"/>
          <w:sz w:val="22"/>
          <w:szCs w:val="22"/>
        </w:rPr>
        <w:t>ȋ</w:t>
      </w:r>
      <w:r w:rsidRPr="005F6A32">
        <w:rPr>
          <w:rFonts w:ascii="Trebuchet MS" w:hAnsi="Trebuchet MS" w:cs="Arial"/>
          <w:sz w:val="22"/>
          <w:szCs w:val="22"/>
        </w:rPr>
        <w:t>nmagazinat</w:t>
      </w:r>
      <w:r w:rsidRPr="005F6A32">
        <w:rPr>
          <w:rFonts w:ascii="Trebuchet MS" w:hAnsi="Trebuchet MS" w:cs="Trebuchet MS"/>
          <w:sz w:val="22"/>
          <w:szCs w:val="22"/>
        </w:rPr>
        <w:t>ă</w:t>
      </w:r>
      <w:r w:rsidRPr="005F6A32">
        <w:rPr>
          <w:rFonts w:ascii="Trebuchet MS" w:hAnsi="Trebuchet MS" w:cs="Arial"/>
          <w:sz w:val="22"/>
          <w:szCs w:val="22"/>
        </w:rPr>
        <w:t xml:space="preserve"> </w:t>
      </w:r>
      <w:r w:rsidRPr="005F6A32">
        <w:rPr>
          <w:rFonts w:ascii="Arial" w:hAnsi="Arial" w:cs="Arial"/>
          <w:sz w:val="22"/>
          <w:szCs w:val="22"/>
        </w:rPr>
        <w:t>ȋ</w:t>
      </w:r>
      <w:r w:rsidRPr="005F6A32">
        <w:rPr>
          <w:rFonts w:ascii="Trebuchet MS" w:hAnsi="Trebuchet MS" w:cs="Arial"/>
          <w:sz w:val="22"/>
          <w:szCs w:val="22"/>
        </w:rPr>
        <w:t>ntr-o anumit</w:t>
      </w:r>
      <w:r w:rsidRPr="005F6A32">
        <w:rPr>
          <w:rFonts w:ascii="Trebuchet MS" w:hAnsi="Trebuchet MS" w:cs="Trebuchet MS"/>
          <w:sz w:val="22"/>
          <w:szCs w:val="22"/>
        </w:rPr>
        <w:t>ă</w:t>
      </w:r>
      <w:r w:rsidRPr="005F6A32">
        <w:rPr>
          <w:rFonts w:ascii="Trebuchet MS" w:hAnsi="Trebuchet MS" w:cs="Arial"/>
          <w:sz w:val="22"/>
          <w:szCs w:val="22"/>
        </w:rPr>
        <w:t xml:space="preserve"> perioad</w:t>
      </w:r>
      <w:r w:rsidRPr="005F6A32">
        <w:rPr>
          <w:rFonts w:ascii="Trebuchet MS" w:hAnsi="Trebuchet MS" w:cs="Trebuchet MS"/>
          <w:sz w:val="22"/>
          <w:szCs w:val="22"/>
        </w:rPr>
        <w:t>ă</w:t>
      </w:r>
      <w:r w:rsidRPr="005F6A32">
        <w:rPr>
          <w:rFonts w:ascii="Trebuchet MS" w:hAnsi="Trebuchet MS" w:cs="Arial"/>
          <w:sz w:val="22"/>
          <w:szCs w:val="22"/>
        </w:rPr>
        <w:t xml:space="preserve"> sau </w:t>
      </w:r>
      <w:r w:rsidRPr="005F6A32">
        <w:rPr>
          <w:rFonts w:ascii="Trebuchet MS" w:hAnsi="Trebuchet MS" w:cs="Calibri"/>
          <w:sz w:val="22"/>
          <w:szCs w:val="22"/>
        </w:rPr>
        <w:t>î</w:t>
      </w:r>
      <w:r w:rsidRPr="005F6A32">
        <w:rPr>
          <w:rFonts w:ascii="Trebuchet MS" w:hAnsi="Trebuchet MS" w:cs="Arial"/>
          <w:sz w:val="22"/>
          <w:szCs w:val="22"/>
        </w:rPr>
        <w:t xml:space="preserve">ntr-un anumit moment dat </w:t>
      </w:r>
      <w:r w:rsidRPr="005F6A32">
        <w:rPr>
          <w:rFonts w:ascii="Trebuchet MS" w:hAnsi="Trebuchet MS" w:cs="Calibri"/>
          <w:sz w:val="22"/>
          <w:szCs w:val="22"/>
        </w:rPr>
        <w:t>î</w:t>
      </w:r>
      <w:r w:rsidRPr="005F6A32">
        <w:rPr>
          <w:rFonts w:ascii="Trebuchet MS" w:hAnsi="Trebuchet MS" w:cs="Arial"/>
          <w:sz w:val="22"/>
          <w:szCs w:val="22"/>
        </w:rPr>
        <w:t>ntr-un acvifer sau roc</w:t>
      </w:r>
      <w:r w:rsidRPr="005F6A32">
        <w:rPr>
          <w:rFonts w:ascii="Trebuchet MS" w:hAnsi="Trebuchet MS" w:cs="Trebuchet MS"/>
          <w:sz w:val="22"/>
          <w:szCs w:val="22"/>
        </w:rPr>
        <w:t>ă</w:t>
      </w:r>
      <w:r w:rsidRPr="005F6A32">
        <w:rPr>
          <w:rFonts w:ascii="Trebuchet MS" w:hAnsi="Trebuchet MS" w:cs="Arial"/>
          <w:sz w:val="22"/>
          <w:szCs w:val="22"/>
        </w:rPr>
        <w:t xml:space="preserve"> magazin. Rezervele sunt condi</w:t>
      </w:r>
      <w:r w:rsidRPr="005F6A32">
        <w:rPr>
          <w:rFonts w:ascii="Trebuchet MS" w:hAnsi="Trebuchet MS" w:cs="Trebuchet MS"/>
          <w:sz w:val="22"/>
          <w:szCs w:val="22"/>
        </w:rPr>
        <w:t>ţ</w:t>
      </w:r>
      <w:r w:rsidRPr="005F6A32">
        <w:rPr>
          <w:rFonts w:ascii="Trebuchet MS" w:hAnsi="Trebuchet MS" w:cs="Arial"/>
          <w:sz w:val="22"/>
          <w:szCs w:val="22"/>
        </w:rPr>
        <w:t>ionate astfel, de structura geologic</w:t>
      </w:r>
      <w:r w:rsidRPr="005F6A32">
        <w:rPr>
          <w:rFonts w:ascii="Trebuchet MS" w:hAnsi="Trebuchet MS" w:cs="Trebuchet MS"/>
          <w:sz w:val="22"/>
          <w:szCs w:val="22"/>
        </w:rPr>
        <w:t>ă</w:t>
      </w:r>
      <w:r w:rsidRPr="005F6A32">
        <w:rPr>
          <w:rFonts w:ascii="Trebuchet MS" w:hAnsi="Trebuchet MS" w:cs="Arial"/>
          <w:sz w:val="22"/>
          <w:szCs w:val="22"/>
        </w:rPr>
        <w:t>, adic</w:t>
      </w:r>
      <w:r w:rsidRPr="005F6A32">
        <w:rPr>
          <w:rFonts w:ascii="Trebuchet MS" w:hAnsi="Trebuchet MS" w:cs="Trebuchet MS"/>
          <w:sz w:val="22"/>
          <w:szCs w:val="22"/>
        </w:rPr>
        <w:t>ă</w:t>
      </w:r>
      <w:r w:rsidRPr="005F6A32">
        <w:rPr>
          <w:rFonts w:ascii="Trebuchet MS" w:hAnsi="Trebuchet MS" w:cs="Arial"/>
          <w:sz w:val="22"/>
          <w:szCs w:val="22"/>
        </w:rPr>
        <w:t xml:space="preserve"> de geometria acviferului </w:t>
      </w:r>
      <w:r w:rsidRPr="005F6A32">
        <w:rPr>
          <w:rFonts w:ascii="Trebuchet MS" w:hAnsi="Trebuchet MS" w:cs="Trebuchet MS"/>
          <w:sz w:val="22"/>
          <w:szCs w:val="22"/>
        </w:rPr>
        <w:t>ş</w:t>
      </w:r>
      <w:r w:rsidRPr="005F6A32">
        <w:rPr>
          <w:rFonts w:ascii="Trebuchet MS" w:hAnsi="Trebuchet MS" w:cs="Arial"/>
          <w:sz w:val="22"/>
          <w:szCs w:val="22"/>
        </w:rPr>
        <w:t xml:space="preserve">i de porozitatea eficace sau coeficientul de </w:t>
      </w:r>
      <w:r w:rsidRPr="005F6A32">
        <w:rPr>
          <w:rFonts w:ascii="Trebuchet MS" w:hAnsi="Trebuchet MS" w:cs="Calibri"/>
          <w:sz w:val="22"/>
          <w:szCs w:val="22"/>
        </w:rPr>
        <w:t>î</w:t>
      </w:r>
      <w:r w:rsidRPr="005F6A32">
        <w:rPr>
          <w:rFonts w:ascii="Trebuchet MS" w:hAnsi="Trebuchet MS" w:cs="Arial"/>
          <w:sz w:val="22"/>
          <w:szCs w:val="22"/>
        </w:rPr>
        <w:t>nmagazinare, factor care exprim</w:t>
      </w:r>
      <w:r w:rsidRPr="005F6A32">
        <w:rPr>
          <w:rFonts w:ascii="Trebuchet MS" w:hAnsi="Trebuchet MS" w:cs="Trebuchet MS"/>
          <w:sz w:val="22"/>
          <w:szCs w:val="22"/>
        </w:rPr>
        <w:t>ă</w:t>
      </w:r>
      <w:r w:rsidRPr="005F6A32">
        <w:rPr>
          <w:rFonts w:ascii="Trebuchet MS" w:hAnsi="Trebuchet MS" w:cs="Arial"/>
          <w:sz w:val="22"/>
          <w:szCs w:val="22"/>
        </w:rPr>
        <w:t xml:space="preserve"> volumul de ap</w:t>
      </w:r>
      <w:r w:rsidRPr="005F6A32">
        <w:rPr>
          <w:rFonts w:ascii="Trebuchet MS" w:hAnsi="Trebuchet MS" w:cs="Trebuchet MS"/>
          <w:sz w:val="22"/>
          <w:szCs w:val="22"/>
        </w:rPr>
        <w:t>ă</w:t>
      </w:r>
      <w:r w:rsidRPr="005F6A32">
        <w:rPr>
          <w:rFonts w:ascii="Trebuchet MS" w:hAnsi="Trebuchet MS" w:cs="Arial"/>
          <w:sz w:val="22"/>
          <w:szCs w:val="22"/>
        </w:rPr>
        <w:t xml:space="preserve"> liber</w:t>
      </w:r>
      <w:r w:rsidRPr="005F6A32">
        <w:rPr>
          <w:rFonts w:ascii="Trebuchet MS" w:hAnsi="Trebuchet MS" w:cs="Trebuchet MS"/>
          <w:sz w:val="22"/>
          <w:szCs w:val="22"/>
        </w:rPr>
        <w:t>ă</w:t>
      </w:r>
      <w:r w:rsidRPr="005F6A32">
        <w:rPr>
          <w:rFonts w:ascii="Trebuchet MS" w:hAnsi="Trebuchet MS" w:cs="Arial"/>
          <w:sz w:val="22"/>
          <w:szCs w:val="22"/>
        </w:rPr>
        <w:t xml:space="preserve"> </w:t>
      </w:r>
      <w:r w:rsidRPr="005F6A32">
        <w:rPr>
          <w:rFonts w:ascii="Arial" w:hAnsi="Arial" w:cs="Arial"/>
          <w:sz w:val="22"/>
          <w:szCs w:val="22"/>
        </w:rPr>
        <w:t>ȋ</w:t>
      </w:r>
      <w:r w:rsidRPr="005F6A32">
        <w:rPr>
          <w:rFonts w:ascii="Trebuchet MS" w:hAnsi="Trebuchet MS" w:cs="Arial"/>
          <w:sz w:val="22"/>
          <w:szCs w:val="22"/>
        </w:rPr>
        <w:t xml:space="preserve">n roca magazin. Rezervele depind exclusiv de datele volumetrice </w:t>
      </w:r>
      <w:r w:rsidRPr="005F6A32">
        <w:rPr>
          <w:rFonts w:ascii="Trebuchet MS" w:hAnsi="Trebuchet MS" w:cs="Trebuchet MS"/>
          <w:sz w:val="22"/>
          <w:szCs w:val="22"/>
        </w:rPr>
        <w:t>ş</w:t>
      </w:r>
      <w:r w:rsidRPr="005F6A32">
        <w:rPr>
          <w:rFonts w:ascii="Trebuchet MS" w:hAnsi="Trebuchet MS" w:cs="Arial"/>
          <w:sz w:val="22"/>
          <w:szCs w:val="22"/>
        </w:rPr>
        <w:t>i se exprim</w:t>
      </w:r>
      <w:r w:rsidRPr="005F6A32">
        <w:rPr>
          <w:rFonts w:ascii="Trebuchet MS" w:hAnsi="Trebuchet MS" w:cs="Trebuchet MS"/>
          <w:sz w:val="22"/>
          <w:szCs w:val="22"/>
        </w:rPr>
        <w:t>ă</w:t>
      </w:r>
      <w:r w:rsidRPr="005F6A32">
        <w:rPr>
          <w:rFonts w:ascii="Trebuchet MS" w:hAnsi="Trebuchet MS" w:cs="Arial"/>
          <w:sz w:val="22"/>
          <w:szCs w:val="22"/>
        </w:rPr>
        <w:t xml:space="preserve"> </w:t>
      </w:r>
      <w:r w:rsidRPr="005F6A32">
        <w:rPr>
          <w:rFonts w:ascii="Arial" w:hAnsi="Arial" w:cs="Arial"/>
          <w:sz w:val="22"/>
          <w:szCs w:val="22"/>
        </w:rPr>
        <w:t>ȋ</w:t>
      </w:r>
      <w:r w:rsidRPr="005F6A32">
        <w:rPr>
          <w:rFonts w:ascii="Trebuchet MS" w:hAnsi="Trebuchet MS" w:cs="Arial"/>
          <w:sz w:val="22"/>
          <w:szCs w:val="22"/>
        </w:rPr>
        <w:t>n unit</w:t>
      </w:r>
      <w:r w:rsidRPr="005F6A32">
        <w:rPr>
          <w:rFonts w:ascii="Trebuchet MS" w:hAnsi="Trebuchet MS" w:cs="Trebuchet MS"/>
          <w:sz w:val="22"/>
          <w:szCs w:val="22"/>
        </w:rPr>
        <w:t>ăţ</w:t>
      </w:r>
      <w:r w:rsidRPr="005F6A32">
        <w:rPr>
          <w:rFonts w:ascii="Trebuchet MS" w:hAnsi="Trebuchet MS" w:cs="Arial"/>
          <w:sz w:val="22"/>
          <w:szCs w:val="22"/>
        </w:rPr>
        <w:t>i de volum (de regul</w:t>
      </w:r>
      <w:r w:rsidRPr="005F6A32">
        <w:rPr>
          <w:rFonts w:ascii="Trebuchet MS" w:hAnsi="Trebuchet MS" w:cs="Trebuchet MS"/>
          <w:sz w:val="22"/>
          <w:szCs w:val="22"/>
        </w:rPr>
        <w:t>ă</w:t>
      </w:r>
      <w:r w:rsidRPr="005F6A32">
        <w:rPr>
          <w:rFonts w:ascii="Trebuchet MS" w:hAnsi="Trebuchet MS" w:cs="Arial"/>
          <w:sz w:val="22"/>
          <w:szCs w:val="22"/>
        </w:rPr>
        <w:t xml:space="preserve">, </w:t>
      </w:r>
      <w:r w:rsidRPr="005F6A32">
        <w:rPr>
          <w:rFonts w:ascii="Trebuchet MS" w:hAnsi="Trebuchet MS" w:cs="Calibri"/>
          <w:sz w:val="22"/>
          <w:szCs w:val="22"/>
        </w:rPr>
        <w:t>î</w:t>
      </w:r>
      <w:r w:rsidRPr="005F6A32">
        <w:rPr>
          <w:rFonts w:ascii="Trebuchet MS" w:hAnsi="Trebuchet MS" w:cs="Arial"/>
          <w:sz w:val="22"/>
          <w:szCs w:val="22"/>
        </w:rPr>
        <w:t>n 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 </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Resursele totale de apă subterană din România au fost estimate la 9,68 mld. m</w:t>
      </w:r>
      <w:r w:rsidRPr="005F6A32">
        <w:rPr>
          <w:rFonts w:ascii="Trebuchet MS" w:hAnsi="Trebuchet MS" w:cs="Arial"/>
          <w:sz w:val="22"/>
          <w:szCs w:val="22"/>
          <w:vertAlign w:val="superscript"/>
        </w:rPr>
        <w:t>3</w:t>
      </w:r>
      <w:r w:rsidRPr="005F6A32">
        <w:rPr>
          <w:rFonts w:ascii="Trebuchet MS" w:hAnsi="Trebuchet MS" w:cs="Arial"/>
          <w:sz w:val="22"/>
          <w:szCs w:val="22"/>
        </w:rPr>
        <w:t>/an, din care 4,74 mld. m</w:t>
      </w:r>
      <w:r w:rsidRPr="005F6A32">
        <w:rPr>
          <w:rFonts w:ascii="Trebuchet MS" w:hAnsi="Trebuchet MS" w:cs="Arial"/>
          <w:sz w:val="22"/>
          <w:szCs w:val="22"/>
          <w:vertAlign w:val="superscript"/>
        </w:rPr>
        <w:t>3</w:t>
      </w:r>
      <w:r w:rsidRPr="005F6A32">
        <w:rPr>
          <w:rFonts w:ascii="Trebuchet MS" w:hAnsi="Trebuchet MS" w:cs="Arial"/>
          <w:sz w:val="22"/>
          <w:szCs w:val="22"/>
        </w:rPr>
        <w:t>/an apele freatice și 4,94 mld. 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/an de apă subterană de adâncime, reprezentând circa 25% din apa de suprafață. </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În România, identificarea şi delimitarea corpurilor de apă subterană s-a făcut în concordanţă cu metodologia specifică de caracterizare a apelor subterane elaborată în cadrul I.N.H.G.A., care a ţinut cont de prevederile Directivei Cadru a Apei 2000/60/EC şi de Ghidurile elaborate în cadrul Strategiei Comune de Implementare a DCA. Delimitarea corpurilor de ape subterane s-a făcut pentru zonele în care există acvifere semnificative ca importanţă pentru alimentări cu apă şi anume debite exploatabile mai mari de 10 m</w:t>
      </w:r>
      <w:r w:rsidRPr="005F6A32">
        <w:rPr>
          <w:rFonts w:ascii="Trebuchet MS" w:hAnsi="Trebuchet MS" w:cs="Arial"/>
          <w:sz w:val="22"/>
          <w:szCs w:val="22"/>
          <w:vertAlign w:val="superscript"/>
        </w:rPr>
        <w:t>3</w:t>
      </w:r>
      <w:r w:rsidRPr="005F6A32">
        <w:rPr>
          <w:rFonts w:ascii="Trebuchet MS" w:hAnsi="Trebuchet MS" w:cs="Arial"/>
          <w:sz w:val="22"/>
          <w:szCs w:val="22"/>
        </w:rPr>
        <w:t xml:space="preserve">/zi. În restul teritoriului, chiar dacă există condiţii locale de acumulare a apelor în subteran, acestea nu se constituie în corpuri de apă, conform prevederilor Directivei Cadru Apă. În România au fost identificate, delimitate şi caracterizate un număr de 143 de corpuri de apă subterană. Dintre acestea, un număr de 115 reprezintă corpuri de apă subterană freatică, iar 28 sunt corpuri de apă subterană de adâncime. </w:t>
      </w:r>
    </w:p>
    <w:p w:rsidR="00B63C48" w:rsidRPr="005F6A32" w:rsidRDefault="00B63C48" w:rsidP="00B63C48">
      <w:pPr>
        <w:ind w:firstLine="720"/>
        <w:jc w:val="both"/>
        <w:rPr>
          <w:rFonts w:ascii="Trebuchet MS" w:hAnsi="Trebuchet MS" w:cs="Arial"/>
          <w:sz w:val="22"/>
          <w:szCs w:val="22"/>
        </w:rPr>
      </w:pPr>
      <w:r w:rsidRPr="005F6A32">
        <w:rPr>
          <w:rFonts w:ascii="Trebuchet MS" w:hAnsi="Trebuchet MS" w:cs="Arial"/>
          <w:sz w:val="22"/>
          <w:szCs w:val="22"/>
        </w:rPr>
        <w:t xml:space="preserve">În general, apa subterană din primul orizont acvifer întâlnit în adâncime este utilizată pentru irigaţii şi industrie, pentru alimentarea populaţiei fiind utilizată apa captată din izvoare şi foraje de adâncime. Calitatea apei este determinată de alcătuirea mineralogică şi chimică a rocii în care este localizată apa subterană, dar şi de evoluţia tectonică regională şi/sau locală. Astfel, există ape subterane de adâncime cu un grad ridicat de mineralizare, cum sunt cele din partea nordică a Moldovei (unde depozitele sunt alcătuite preponderent din argile nisipoase şi nisipuri fine, acviferele având capacitate redusă de debitare şi grosime mică), partea central-nordică a Depresiunii Transilvaniei sau </w:t>
      </w:r>
      <w:r w:rsidRPr="005F6A32">
        <w:rPr>
          <w:rFonts w:ascii="Arial" w:hAnsi="Arial" w:cs="Arial"/>
          <w:sz w:val="22"/>
          <w:szCs w:val="22"/>
        </w:rPr>
        <w:t>ȋ</w:t>
      </w:r>
      <w:r w:rsidRPr="005F6A32">
        <w:rPr>
          <w:rFonts w:ascii="Trebuchet MS" w:hAnsi="Trebuchet MS" w:cs="Arial"/>
          <w:sz w:val="22"/>
          <w:szCs w:val="22"/>
        </w:rPr>
        <w:t>n zona de curbur</w:t>
      </w:r>
      <w:r w:rsidRPr="005F6A32">
        <w:rPr>
          <w:rFonts w:ascii="Trebuchet MS" w:hAnsi="Trebuchet MS" w:cs="Trebuchet MS"/>
          <w:sz w:val="22"/>
          <w:szCs w:val="22"/>
        </w:rPr>
        <w:t>ă</w:t>
      </w:r>
      <w:r w:rsidRPr="005F6A32">
        <w:rPr>
          <w:rFonts w:ascii="Trebuchet MS" w:hAnsi="Trebuchet MS" w:cs="Arial"/>
          <w:sz w:val="22"/>
          <w:szCs w:val="22"/>
        </w:rPr>
        <w:t xml:space="preserve"> a Carpa</w:t>
      </w:r>
      <w:r w:rsidRPr="005F6A32">
        <w:rPr>
          <w:rFonts w:ascii="Trebuchet MS" w:hAnsi="Trebuchet MS" w:cs="Trebuchet MS"/>
          <w:sz w:val="22"/>
          <w:szCs w:val="22"/>
        </w:rPr>
        <w:t>ţ</w:t>
      </w:r>
      <w:r w:rsidRPr="005F6A32">
        <w:rPr>
          <w:rFonts w:ascii="Trebuchet MS" w:hAnsi="Trebuchet MS" w:cs="Arial"/>
          <w:sz w:val="22"/>
          <w:szCs w:val="22"/>
        </w:rPr>
        <w:t>ilor (datorit</w:t>
      </w:r>
      <w:r w:rsidRPr="005F6A32">
        <w:rPr>
          <w:rFonts w:ascii="Trebuchet MS" w:hAnsi="Trebuchet MS" w:cs="Trebuchet MS"/>
          <w:sz w:val="22"/>
          <w:szCs w:val="22"/>
        </w:rPr>
        <w:t>ă</w:t>
      </w:r>
      <w:r w:rsidRPr="005F6A32">
        <w:rPr>
          <w:rFonts w:ascii="Trebuchet MS" w:hAnsi="Trebuchet MS" w:cs="Arial"/>
          <w:sz w:val="22"/>
          <w:szCs w:val="22"/>
        </w:rPr>
        <w:t xml:space="preserve"> diapirelor la zi sau la mic</w:t>
      </w:r>
      <w:r w:rsidRPr="005F6A32">
        <w:rPr>
          <w:rFonts w:ascii="Trebuchet MS" w:hAnsi="Trebuchet MS" w:cs="Trebuchet MS"/>
          <w:sz w:val="22"/>
          <w:szCs w:val="22"/>
        </w:rPr>
        <w:t>ă</w:t>
      </w:r>
      <w:r w:rsidRPr="005F6A32">
        <w:rPr>
          <w:rFonts w:ascii="Trebuchet MS" w:hAnsi="Trebuchet MS" w:cs="Arial"/>
          <w:sz w:val="22"/>
          <w:szCs w:val="22"/>
        </w:rPr>
        <w:t xml:space="preserve"> ad</w:t>
      </w:r>
      <w:r w:rsidRPr="005F6A32">
        <w:rPr>
          <w:rFonts w:ascii="Trebuchet MS" w:hAnsi="Trebuchet MS" w:cs="Trebuchet MS"/>
          <w:sz w:val="22"/>
          <w:szCs w:val="22"/>
        </w:rPr>
        <w:t>â</w:t>
      </w:r>
      <w:r w:rsidRPr="005F6A32">
        <w:rPr>
          <w:rFonts w:ascii="Trebuchet MS" w:hAnsi="Trebuchet MS" w:cs="Arial"/>
          <w:sz w:val="22"/>
          <w:szCs w:val="22"/>
        </w:rPr>
        <w:t>ncime). Aceste aspecte calitative fac ca apa subteran</w:t>
      </w:r>
      <w:r w:rsidRPr="005F6A32">
        <w:rPr>
          <w:rFonts w:ascii="Trebuchet MS" w:hAnsi="Trebuchet MS" w:cs="Trebuchet MS"/>
          <w:sz w:val="22"/>
          <w:szCs w:val="22"/>
        </w:rPr>
        <w:t>ă</w:t>
      </w:r>
      <w:r w:rsidRPr="005F6A32">
        <w:rPr>
          <w:rFonts w:ascii="Trebuchet MS" w:hAnsi="Trebuchet MS" w:cs="Arial"/>
          <w:sz w:val="22"/>
          <w:szCs w:val="22"/>
        </w:rPr>
        <w:t xml:space="preserve"> s</w:t>
      </w:r>
      <w:r w:rsidRPr="005F6A32">
        <w:rPr>
          <w:rFonts w:ascii="Trebuchet MS" w:hAnsi="Trebuchet MS" w:cs="Trebuchet MS"/>
          <w:sz w:val="22"/>
          <w:szCs w:val="22"/>
        </w:rPr>
        <w:t>ă</w:t>
      </w:r>
      <w:r w:rsidRPr="005F6A32">
        <w:rPr>
          <w:rFonts w:ascii="Trebuchet MS" w:hAnsi="Trebuchet MS" w:cs="Arial"/>
          <w:sz w:val="22"/>
          <w:szCs w:val="22"/>
        </w:rPr>
        <w:t xml:space="preserve"> nu poat</w:t>
      </w:r>
      <w:r w:rsidRPr="005F6A32">
        <w:rPr>
          <w:rFonts w:ascii="Trebuchet MS" w:hAnsi="Trebuchet MS" w:cs="Trebuchet MS"/>
          <w:sz w:val="22"/>
          <w:szCs w:val="22"/>
        </w:rPr>
        <w:t>ă</w:t>
      </w:r>
      <w:r w:rsidRPr="005F6A32">
        <w:rPr>
          <w:rFonts w:ascii="Trebuchet MS" w:hAnsi="Trebuchet MS" w:cs="Arial"/>
          <w:sz w:val="22"/>
          <w:szCs w:val="22"/>
        </w:rPr>
        <w:t xml:space="preserve"> fi utilizat</w:t>
      </w:r>
      <w:r w:rsidRPr="005F6A32">
        <w:rPr>
          <w:rFonts w:ascii="Trebuchet MS" w:hAnsi="Trebuchet MS" w:cs="Trebuchet MS"/>
          <w:sz w:val="22"/>
          <w:szCs w:val="22"/>
        </w:rPr>
        <w:t>ă</w:t>
      </w:r>
      <w:r w:rsidRPr="005F6A32">
        <w:rPr>
          <w:rFonts w:ascii="Trebuchet MS" w:hAnsi="Trebuchet MS" w:cs="Arial"/>
          <w:sz w:val="22"/>
          <w:szCs w:val="22"/>
        </w:rPr>
        <w:t xml:space="preserve"> pentru alimentarea popula</w:t>
      </w:r>
      <w:r w:rsidRPr="005F6A32">
        <w:rPr>
          <w:rFonts w:ascii="Trebuchet MS" w:hAnsi="Trebuchet MS" w:cs="Trebuchet MS"/>
          <w:sz w:val="22"/>
          <w:szCs w:val="22"/>
        </w:rPr>
        <w:t>ţ</w:t>
      </w:r>
      <w:r w:rsidRPr="005F6A32">
        <w:rPr>
          <w:rFonts w:ascii="Trebuchet MS" w:hAnsi="Trebuchet MS" w:cs="Arial"/>
          <w:sz w:val="22"/>
          <w:szCs w:val="22"/>
        </w:rPr>
        <w:t xml:space="preserve">iei. </w:t>
      </w:r>
      <w:r w:rsidRPr="005F6A32">
        <w:rPr>
          <w:rFonts w:ascii="Trebuchet MS" w:hAnsi="Trebuchet MS" w:cs="Trebuchet MS"/>
          <w:sz w:val="22"/>
          <w:szCs w:val="22"/>
        </w:rPr>
        <w:t>Î</w:t>
      </w:r>
      <w:r w:rsidRPr="005F6A32">
        <w:rPr>
          <w:rFonts w:ascii="Trebuchet MS" w:hAnsi="Trebuchet MS" w:cs="Arial"/>
          <w:sz w:val="22"/>
          <w:szCs w:val="22"/>
        </w:rPr>
        <w:t>n Depresiunea Transilvaniei, C</w:t>
      </w:r>
      <w:r w:rsidRPr="005F6A32">
        <w:rPr>
          <w:rFonts w:ascii="Trebuchet MS" w:hAnsi="Trebuchet MS" w:cs="Trebuchet MS"/>
          <w:sz w:val="22"/>
          <w:szCs w:val="22"/>
        </w:rPr>
        <w:t>â</w:t>
      </w:r>
      <w:r w:rsidRPr="005F6A32">
        <w:rPr>
          <w:rFonts w:ascii="Trebuchet MS" w:hAnsi="Trebuchet MS" w:cs="Arial"/>
          <w:sz w:val="22"/>
          <w:szCs w:val="22"/>
        </w:rPr>
        <w:t>mpia de Vest, vestul Olteniei, apele de adâncime au local, în mod natural, conţinuturi ridicate de amoniu, ceea determină caracterul nepotabil al acestora şi aplicarea unor măsuri de tratare.</w:t>
      </w:r>
    </w:p>
    <w:p w:rsidR="00B63C48" w:rsidRPr="005F6A32" w:rsidRDefault="00B63C48" w:rsidP="00B63C48">
      <w:pPr>
        <w:ind w:firstLine="323"/>
        <w:jc w:val="center"/>
        <w:rPr>
          <w:rFonts w:ascii="Trebuchet MS" w:hAnsi="Trebuchet MS" w:cs="Arial"/>
          <w:b/>
          <w:sz w:val="22"/>
          <w:szCs w:val="22"/>
        </w:rPr>
      </w:pPr>
    </w:p>
    <w:p w:rsidR="00B63C48" w:rsidRPr="005F6A32" w:rsidRDefault="00B63C48" w:rsidP="00B63C48">
      <w:pPr>
        <w:ind w:firstLine="323"/>
        <w:jc w:val="center"/>
        <w:rPr>
          <w:rFonts w:ascii="Trebuchet MS" w:hAnsi="Trebuchet MS" w:cs="Arial"/>
          <w:b/>
          <w:sz w:val="22"/>
          <w:szCs w:val="22"/>
        </w:rPr>
      </w:pPr>
      <w:r w:rsidRPr="005F6A32">
        <w:rPr>
          <w:rFonts w:ascii="Trebuchet MS" w:hAnsi="Trebuchet MS" w:cs="Arial"/>
          <w:b/>
          <w:sz w:val="22"/>
          <w:szCs w:val="22"/>
        </w:rPr>
        <w:t xml:space="preserve">Analiza evoluţiei nivelurilor apelor subterane de mică adâncime </w:t>
      </w:r>
      <w:r w:rsidRPr="005F6A32">
        <w:rPr>
          <w:rFonts w:ascii="Trebuchet MS" w:hAnsi="Trebuchet MS" w:cs="Calibri"/>
          <w:b/>
          <w:sz w:val="22"/>
          <w:szCs w:val="22"/>
        </w:rPr>
        <w:t>î</w:t>
      </w:r>
      <w:r w:rsidRPr="005F6A32">
        <w:rPr>
          <w:rFonts w:ascii="Trebuchet MS" w:hAnsi="Trebuchet MS" w:cs="Arial"/>
          <w:b/>
          <w:sz w:val="22"/>
          <w:szCs w:val="22"/>
        </w:rPr>
        <w:t>n perioada 2015-2023</w:t>
      </w:r>
    </w:p>
    <w:p w:rsidR="00B63C48" w:rsidRPr="005F6A32" w:rsidRDefault="00B63C48" w:rsidP="00B63C48">
      <w:pPr>
        <w:ind w:firstLine="567"/>
        <w:jc w:val="both"/>
        <w:rPr>
          <w:rFonts w:ascii="Trebuchet MS" w:hAnsi="Trebuchet MS" w:cs="Arial"/>
          <w:bCs/>
          <w:color w:val="000000"/>
          <w:sz w:val="22"/>
          <w:szCs w:val="22"/>
        </w:rPr>
      </w:pPr>
      <w:r w:rsidRPr="005F6A32">
        <w:rPr>
          <w:rFonts w:ascii="Trebuchet MS" w:hAnsi="Trebuchet MS" w:cs="Arial"/>
          <w:bCs/>
          <w:color w:val="000000"/>
          <w:sz w:val="22"/>
          <w:szCs w:val="22"/>
        </w:rPr>
        <w:t xml:space="preserve">Datele zilnice provenite de la un număr de 269 de foraje de monitorizare selectate ca reprezentative pentru Programul de transmisie lunară a Buletinului Hidrogeologic au fost prelucrate statistic şi reprezentate grafic pentru a evidenţia regimul de curgere subterană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acviferele de mic</w:t>
      </w:r>
      <w:r w:rsidRPr="005F6A32">
        <w:rPr>
          <w:rFonts w:ascii="Trebuchet MS" w:hAnsi="Trebuchet MS" w:cs="Trebuchet MS"/>
          <w:bCs/>
          <w:color w:val="000000"/>
          <w:sz w:val="22"/>
          <w:szCs w:val="22"/>
        </w:rPr>
        <w:t>ă</w:t>
      </w:r>
      <w:r w:rsidRPr="005F6A32">
        <w:rPr>
          <w:rFonts w:ascii="Trebuchet MS" w:hAnsi="Trebuchet MS" w:cs="Arial"/>
          <w:bCs/>
          <w:color w:val="000000"/>
          <w:sz w:val="22"/>
          <w:szCs w:val="22"/>
        </w:rPr>
        <w:t xml:space="preserve"> ad</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 xml:space="preserve">ncime în perioada 2015-2023. </w:t>
      </w:r>
    </w:p>
    <w:p w:rsidR="00B63C48" w:rsidRPr="005F6A32" w:rsidRDefault="00B63C48" w:rsidP="00B63C48">
      <w:pPr>
        <w:ind w:firstLine="567"/>
        <w:jc w:val="both"/>
        <w:rPr>
          <w:rFonts w:ascii="Trebuchet MS" w:hAnsi="Trebuchet MS" w:cs="Arial"/>
          <w:bCs/>
          <w:color w:val="000000"/>
          <w:sz w:val="22"/>
          <w:szCs w:val="22"/>
        </w:rPr>
      </w:pPr>
      <w:r w:rsidRPr="005F6A32">
        <w:rPr>
          <w:rFonts w:ascii="Trebuchet MS" w:hAnsi="Trebuchet MS" w:cs="Arial"/>
          <w:bCs/>
          <w:color w:val="000000"/>
          <w:sz w:val="22"/>
          <w:szCs w:val="22"/>
        </w:rPr>
        <w:t xml:space="preserve">Astfel, pentru cele 11 Administraţii Bazinale de Apă care gestionează activitatea de hidrogeologie, au fost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ntocmite grafice de varia</w:t>
      </w:r>
      <w:r w:rsidRPr="005F6A32">
        <w:rPr>
          <w:rFonts w:ascii="Trebuchet MS" w:hAnsi="Trebuchet MS" w:cs="Trebuchet MS"/>
          <w:bCs/>
          <w:color w:val="000000"/>
          <w:sz w:val="22"/>
          <w:szCs w:val="22"/>
        </w:rPr>
        <w:t>ţ</w:t>
      </w:r>
      <w:r w:rsidRPr="005F6A32">
        <w:rPr>
          <w:rFonts w:ascii="Trebuchet MS" w:hAnsi="Trebuchet MS" w:cs="Arial"/>
          <w:bCs/>
          <w:color w:val="000000"/>
          <w:sz w:val="22"/>
          <w:szCs w:val="22"/>
        </w:rPr>
        <w:t>ie a ad</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ncimilor medii lunare ale nivelurilor piezometrice comparativ cu media lunară multianuală şi cu precipitaţiile cumulate lunare estimate pe baza înregistrărilor la staţiile meteorologice şi pluviometrice.</w:t>
      </w:r>
    </w:p>
    <w:p w:rsidR="00B63C48" w:rsidRPr="005F6A32" w:rsidRDefault="00B63C48" w:rsidP="00B63C48">
      <w:pPr>
        <w:ind w:firstLine="567"/>
        <w:jc w:val="both"/>
        <w:rPr>
          <w:rFonts w:ascii="Trebuchet MS" w:hAnsi="Trebuchet MS" w:cs="Arial"/>
          <w:bCs/>
          <w:color w:val="000000"/>
          <w:sz w:val="22"/>
          <w:szCs w:val="22"/>
        </w:rPr>
      </w:pP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tabelul nr. II.1.1.1.5</w:t>
      </w:r>
      <w:r w:rsidRPr="005F6A32">
        <w:rPr>
          <w:rFonts w:ascii="Trebuchet MS" w:hAnsi="Trebuchet MS" w:cs="Arial"/>
          <w:bCs/>
          <w:i/>
          <w:color w:val="000000"/>
          <w:sz w:val="22"/>
          <w:szCs w:val="22"/>
        </w:rPr>
        <w:t xml:space="preserve"> </w:t>
      </w:r>
      <w:r w:rsidRPr="005F6A32">
        <w:rPr>
          <w:rFonts w:ascii="Trebuchet MS" w:hAnsi="Trebuchet MS" w:cs="Arial"/>
          <w:bCs/>
          <w:color w:val="000000"/>
          <w:sz w:val="22"/>
          <w:szCs w:val="22"/>
        </w:rPr>
        <w:t xml:space="preserve"> şi figura </w:t>
      </w:r>
      <w:r w:rsidRPr="005F6A32">
        <w:rPr>
          <w:rFonts w:ascii="Trebuchet MS" w:hAnsi="Trebuchet MS" w:cs="Arial"/>
          <w:bCs/>
          <w:iCs/>
          <w:color w:val="000000"/>
          <w:sz w:val="22"/>
          <w:szCs w:val="22"/>
        </w:rPr>
        <w:t>II.1.1.1.3 este</w:t>
      </w:r>
      <w:r w:rsidRPr="005F6A32">
        <w:rPr>
          <w:rFonts w:ascii="Trebuchet MS" w:hAnsi="Trebuchet MS" w:cs="Arial"/>
          <w:bCs/>
          <w:color w:val="000000"/>
          <w:sz w:val="22"/>
          <w:szCs w:val="22"/>
        </w:rPr>
        <w:t xml:space="preserve"> redată sintetic tendinţa de evoluţie a nivelurilor piezometrice medii anuale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perioada  analizat</w:t>
      </w:r>
      <w:r w:rsidRPr="005F6A32">
        <w:rPr>
          <w:rFonts w:ascii="Trebuchet MS" w:hAnsi="Trebuchet MS" w:cs="Trebuchet MS"/>
          <w:bCs/>
          <w:color w:val="000000"/>
          <w:sz w:val="22"/>
          <w:szCs w:val="22"/>
        </w:rPr>
        <w:t>ă</w:t>
      </w:r>
      <w:r w:rsidRPr="005F6A32">
        <w:rPr>
          <w:rFonts w:ascii="Trebuchet MS" w:hAnsi="Trebuchet MS" w:cs="Arial"/>
          <w:bCs/>
          <w:color w:val="000000"/>
          <w:sz w:val="22"/>
          <w:szCs w:val="22"/>
        </w:rPr>
        <w:t>. Astfel, cre</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 xml:space="preserve">terile s-au produs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aproximativ 16% din num</w:t>
      </w:r>
      <w:r w:rsidRPr="005F6A32">
        <w:rPr>
          <w:rFonts w:ascii="Trebuchet MS" w:hAnsi="Trebuchet MS" w:cs="Trebuchet MS"/>
          <w:bCs/>
          <w:color w:val="000000"/>
          <w:sz w:val="22"/>
          <w:szCs w:val="22"/>
        </w:rPr>
        <w:t>ă</w:t>
      </w:r>
      <w:r w:rsidRPr="005F6A32">
        <w:rPr>
          <w:rFonts w:ascii="Trebuchet MS" w:hAnsi="Trebuchet MS" w:cs="Arial"/>
          <w:bCs/>
          <w:color w:val="000000"/>
          <w:sz w:val="22"/>
          <w:szCs w:val="22"/>
        </w:rPr>
        <w:t xml:space="preserve">rul forajelor amplasate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C</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mpia Rom</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n</w:t>
      </w:r>
      <w:r w:rsidRPr="005F6A32">
        <w:rPr>
          <w:rFonts w:ascii="Trebuchet MS" w:hAnsi="Trebuchet MS" w:cs="Trebuchet MS"/>
          <w:bCs/>
          <w:color w:val="000000"/>
          <w:sz w:val="22"/>
          <w:szCs w:val="22"/>
        </w:rPr>
        <w:t>ă</w:t>
      </w:r>
      <w:r w:rsidRPr="005F6A32">
        <w:rPr>
          <w:rFonts w:ascii="Trebuchet MS" w:hAnsi="Trebuchet MS" w:cs="Arial"/>
          <w:bCs/>
          <w:color w:val="000000"/>
          <w:sz w:val="22"/>
          <w:szCs w:val="22"/>
        </w:rPr>
        <w:t xml:space="preserve">, Piemontul Getic </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i Subcarpa</w:t>
      </w:r>
      <w:r w:rsidRPr="005F6A32">
        <w:rPr>
          <w:rFonts w:ascii="Trebuchet MS" w:hAnsi="Trebuchet MS" w:cs="Trebuchet MS"/>
          <w:bCs/>
          <w:color w:val="000000"/>
          <w:sz w:val="22"/>
          <w:szCs w:val="22"/>
        </w:rPr>
        <w:t>ţ</w:t>
      </w:r>
      <w:r w:rsidRPr="005F6A32">
        <w:rPr>
          <w:rFonts w:ascii="Trebuchet MS" w:hAnsi="Trebuchet MS" w:cs="Arial"/>
          <w:bCs/>
          <w:color w:val="000000"/>
          <w:sz w:val="22"/>
          <w:szCs w:val="22"/>
        </w:rPr>
        <w:t xml:space="preserve">ii Getici,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 xml:space="preserve">n 15%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C</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mpia de Vest, Dealurile Cri</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 xml:space="preserve">anei </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 xml:space="preserve">i Banatului,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 xml:space="preserve">n 17% din totalul punctelor de măsurare din Depresiunea Transilvaniei şi depresiunile din Carpaţii Orientali şi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 xml:space="preserve">n 23%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Podi</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ul Moldovei, Subcarpa</w:t>
      </w:r>
      <w:r w:rsidRPr="005F6A32">
        <w:rPr>
          <w:rFonts w:ascii="Trebuchet MS" w:hAnsi="Trebuchet MS" w:cs="Trebuchet MS"/>
          <w:bCs/>
          <w:color w:val="000000"/>
          <w:sz w:val="22"/>
          <w:szCs w:val="22"/>
        </w:rPr>
        <w:t>ţ</w:t>
      </w:r>
      <w:r w:rsidRPr="005F6A32">
        <w:rPr>
          <w:rFonts w:ascii="Trebuchet MS" w:hAnsi="Trebuchet MS" w:cs="Arial"/>
          <w:bCs/>
          <w:color w:val="000000"/>
          <w:sz w:val="22"/>
          <w:szCs w:val="22"/>
        </w:rPr>
        <w:t>ii Orientali şi de Curbură.</w:t>
      </w:r>
    </w:p>
    <w:p w:rsidR="00B63C48" w:rsidRPr="005F6A32" w:rsidRDefault="00B63C48" w:rsidP="00B63C48">
      <w:pPr>
        <w:ind w:firstLine="567"/>
        <w:jc w:val="both"/>
        <w:rPr>
          <w:rFonts w:ascii="Trebuchet MS" w:hAnsi="Trebuchet MS" w:cs="Arial"/>
          <w:bCs/>
          <w:color w:val="000000"/>
          <w:sz w:val="22"/>
          <w:szCs w:val="22"/>
        </w:rPr>
      </w:pPr>
      <w:r w:rsidRPr="005F6A32">
        <w:rPr>
          <w:rFonts w:ascii="Trebuchet MS" w:hAnsi="Trebuchet MS" w:cs="Arial"/>
          <w:bCs/>
          <w:color w:val="000000"/>
          <w:sz w:val="22"/>
          <w:szCs w:val="22"/>
        </w:rPr>
        <w:t xml:space="preserve">Frecvenţa situaţiilor de descreştere a nivelurilor este mai mare de 75%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C</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mpia Rom</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n</w:t>
      </w:r>
      <w:r w:rsidRPr="005F6A32">
        <w:rPr>
          <w:rFonts w:ascii="Trebuchet MS" w:hAnsi="Trebuchet MS" w:cs="Trebuchet MS"/>
          <w:bCs/>
          <w:color w:val="000000"/>
          <w:sz w:val="22"/>
          <w:szCs w:val="22"/>
        </w:rPr>
        <w:t>ă</w:t>
      </w:r>
      <w:r w:rsidRPr="005F6A32">
        <w:rPr>
          <w:rFonts w:ascii="Trebuchet MS" w:hAnsi="Trebuchet MS" w:cs="Arial"/>
          <w:bCs/>
          <w:color w:val="000000"/>
          <w:sz w:val="22"/>
          <w:szCs w:val="22"/>
        </w:rPr>
        <w:t xml:space="preserve">, Piemontul Getic şi Subcarpaţii Getici,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C</w:t>
      </w:r>
      <w:r w:rsidRPr="005F6A32">
        <w:rPr>
          <w:rFonts w:ascii="Trebuchet MS" w:hAnsi="Trebuchet MS" w:cs="Trebuchet MS"/>
          <w:bCs/>
          <w:color w:val="000000"/>
          <w:sz w:val="22"/>
          <w:szCs w:val="22"/>
        </w:rPr>
        <w:t>â</w:t>
      </w:r>
      <w:r w:rsidRPr="005F6A32">
        <w:rPr>
          <w:rFonts w:ascii="Trebuchet MS" w:hAnsi="Trebuchet MS" w:cs="Arial"/>
          <w:bCs/>
          <w:color w:val="000000"/>
          <w:sz w:val="22"/>
          <w:szCs w:val="22"/>
        </w:rPr>
        <w:t>mpia de Vest, Dealurile Cri</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 xml:space="preserve">anei </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 xml:space="preserve">i Banatului,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 xml:space="preserve">n </w:t>
      </w:r>
      <w:r w:rsidRPr="005F6A32">
        <w:rPr>
          <w:rFonts w:ascii="Trebuchet MS" w:hAnsi="Trebuchet MS" w:cs="Arial"/>
          <w:bCs/>
          <w:sz w:val="22"/>
          <w:szCs w:val="22"/>
        </w:rPr>
        <w:t>Podişul Dobrogei</w:t>
      </w:r>
      <w:r w:rsidRPr="005F6A32">
        <w:rPr>
          <w:rFonts w:ascii="Trebuchet MS" w:hAnsi="Trebuchet MS" w:cs="Arial"/>
          <w:bCs/>
          <w:color w:val="000000"/>
          <w:sz w:val="22"/>
          <w:szCs w:val="22"/>
        </w:rPr>
        <w:t xml:space="preserve"> şi </w:t>
      </w:r>
      <w:r w:rsidRPr="005F6A32">
        <w:rPr>
          <w:rFonts w:ascii="Trebuchet MS" w:hAnsi="Trebuchet MS" w:cs="Calibri"/>
          <w:bCs/>
          <w:color w:val="000000"/>
          <w:sz w:val="22"/>
          <w:szCs w:val="22"/>
        </w:rPr>
        <w:t>î</w:t>
      </w:r>
      <w:r w:rsidRPr="005F6A32">
        <w:rPr>
          <w:rFonts w:ascii="Trebuchet MS" w:hAnsi="Trebuchet MS" w:cs="Arial"/>
          <w:bCs/>
          <w:color w:val="000000"/>
          <w:sz w:val="22"/>
          <w:szCs w:val="22"/>
        </w:rPr>
        <w:t>n Podi</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ul Moldovei, Subcarpa</w:t>
      </w:r>
      <w:r w:rsidRPr="005F6A32">
        <w:rPr>
          <w:rFonts w:ascii="Trebuchet MS" w:hAnsi="Trebuchet MS" w:cs="Trebuchet MS"/>
          <w:bCs/>
          <w:color w:val="000000"/>
          <w:sz w:val="22"/>
          <w:szCs w:val="22"/>
        </w:rPr>
        <w:t>ţ</w:t>
      </w:r>
      <w:r w:rsidRPr="005F6A32">
        <w:rPr>
          <w:rFonts w:ascii="Trebuchet MS" w:hAnsi="Trebuchet MS" w:cs="Arial"/>
          <w:bCs/>
          <w:color w:val="000000"/>
          <w:sz w:val="22"/>
          <w:szCs w:val="22"/>
        </w:rPr>
        <w:t xml:space="preserve">ii Orientali </w:t>
      </w:r>
      <w:r w:rsidRPr="005F6A32">
        <w:rPr>
          <w:rFonts w:ascii="Trebuchet MS" w:hAnsi="Trebuchet MS" w:cs="Trebuchet MS"/>
          <w:bCs/>
          <w:color w:val="000000"/>
          <w:sz w:val="22"/>
          <w:szCs w:val="22"/>
        </w:rPr>
        <w:t>ş</w:t>
      </w:r>
      <w:r w:rsidRPr="005F6A32">
        <w:rPr>
          <w:rFonts w:ascii="Trebuchet MS" w:hAnsi="Trebuchet MS" w:cs="Arial"/>
          <w:bCs/>
          <w:color w:val="000000"/>
          <w:sz w:val="22"/>
          <w:szCs w:val="22"/>
        </w:rPr>
        <w:t>i de Curbur</w:t>
      </w:r>
      <w:r w:rsidRPr="005F6A32">
        <w:rPr>
          <w:rFonts w:ascii="Trebuchet MS" w:hAnsi="Trebuchet MS" w:cs="Trebuchet MS"/>
          <w:bCs/>
          <w:color w:val="000000"/>
          <w:sz w:val="22"/>
          <w:szCs w:val="22"/>
        </w:rPr>
        <w:t>ă</w:t>
      </w:r>
      <w:r w:rsidRPr="005F6A32">
        <w:rPr>
          <w:rFonts w:ascii="Trebuchet MS" w:hAnsi="Trebuchet MS" w:cs="Arial"/>
          <w:bCs/>
          <w:color w:val="000000"/>
          <w:sz w:val="22"/>
          <w:szCs w:val="22"/>
        </w:rPr>
        <w:t>.</w:t>
      </w:r>
    </w:p>
    <w:p w:rsidR="00B63C48" w:rsidRPr="005F6A32" w:rsidRDefault="00B63C48" w:rsidP="00B63C48">
      <w:pPr>
        <w:ind w:firstLine="567"/>
        <w:jc w:val="both"/>
        <w:rPr>
          <w:rFonts w:ascii="Trebuchet MS" w:hAnsi="Trebuchet MS" w:cs="Arial"/>
          <w:bCs/>
          <w:color w:val="000000"/>
          <w:sz w:val="22"/>
          <w:szCs w:val="22"/>
        </w:rPr>
      </w:pPr>
    </w:p>
    <w:p w:rsidR="00B63C48" w:rsidRPr="00575607" w:rsidRDefault="00B63C48" w:rsidP="00B63C48">
      <w:pPr>
        <w:jc w:val="center"/>
        <w:rPr>
          <w:rFonts w:ascii="Trebuchet MS" w:hAnsi="Trebuchet MS" w:cs="Arial"/>
          <w:bCs/>
          <w:i/>
          <w:color w:val="000000"/>
          <w:sz w:val="20"/>
          <w:szCs w:val="20"/>
        </w:rPr>
      </w:pPr>
      <w:r w:rsidRPr="00575607">
        <w:rPr>
          <w:rFonts w:ascii="Trebuchet MS" w:hAnsi="Trebuchet MS" w:cs="Arial"/>
          <w:bCs/>
          <w:i/>
          <w:color w:val="000000"/>
          <w:sz w:val="20"/>
          <w:szCs w:val="20"/>
        </w:rPr>
        <w:t xml:space="preserve">Tabelul nr. II.1.1.1.5 – Evoluţia nivelurilor piezometrice </w:t>
      </w:r>
      <w:r w:rsidRPr="00575607">
        <w:rPr>
          <w:rFonts w:ascii="Trebuchet MS" w:hAnsi="Trebuchet MS" w:cs="Calibri"/>
          <w:bCs/>
          <w:i/>
          <w:color w:val="000000"/>
          <w:sz w:val="20"/>
          <w:szCs w:val="20"/>
        </w:rPr>
        <w:t>î</w:t>
      </w:r>
      <w:r w:rsidRPr="00575607">
        <w:rPr>
          <w:rFonts w:ascii="Trebuchet MS" w:hAnsi="Trebuchet MS" w:cs="Arial"/>
          <w:bCs/>
          <w:i/>
          <w:color w:val="000000"/>
          <w:sz w:val="20"/>
          <w:szCs w:val="20"/>
        </w:rPr>
        <w:t>n perioada 2015-2023</w:t>
      </w: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1548"/>
        <w:gridCol w:w="1873"/>
        <w:gridCol w:w="1266"/>
        <w:gridCol w:w="1116"/>
      </w:tblGrid>
      <w:tr w:rsidR="00B63C48" w:rsidRPr="00575607" w:rsidTr="00E13AA6">
        <w:trPr>
          <w:trHeight w:val="487"/>
          <w:tblHeader/>
          <w:jc w:val="center"/>
        </w:trPr>
        <w:tc>
          <w:tcPr>
            <w:tcW w:w="4146" w:type="dxa"/>
            <w:vMerge w:val="restart"/>
            <w:shd w:val="clear" w:color="auto" w:fill="D9D9D9"/>
            <w:vAlign w:val="center"/>
          </w:tcPr>
          <w:p w:rsidR="00B63C48" w:rsidRPr="00575607" w:rsidRDefault="00B63C48" w:rsidP="005F6A32">
            <w:pPr>
              <w:jc w:val="center"/>
              <w:rPr>
                <w:rFonts w:ascii="Trebuchet MS" w:hAnsi="Trebuchet MS" w:cs="Arial"/>
                <w:b/>
              </w:rPr>
            </w:pPr>
            <w:r w:rsidRPr="00575607">
              <w:rPr>
                <w:rFonts w:ascii="Trebuchet MS" w:hAnsi="Trebuchet MS" w:cs="Arial"/>
                <w:b/>
              </w:rPr>
              <w:t>Unitate geomorfologică</w:t>
            </w:r>
          </w:p>
        </w:tc>
        <w:tc>
          <w:tcPr>
            <w:tcW w:w="5803" w:type="dxa"/>
            <w:gridSpan w:val="4"/>
            <w:shd w:val="clear" w:color="auto" w:fill="D9D9D9"/>
            <w:vAlign w:val="center"/>
          </w:tcPr>
          <w:p w:rsidR="00B63C48" w:rsidRPr="00575607" w:rsidRDefault="00B63C48" w:rsidP="005F6A32">
            <w:pPr>
              <w:jc w:val="center"/>
              <w:rPr>
                <w:rFonts w:ascii="Trebuchet MS" w:hAnsi="Trebuchet MS" w:cs="Arial"/>
                <w:b/>
              </w:rPr>
            </w:pPr>
            <w:r w:rsidRPr="00575607">
              <w:rPr>
                <w:rFonts w:ascii="Trebuchet MS" w:hAnsi="Trebuchet MS" w:cs="Arial"/>
                <w:b/>
              </w:rPr>
              <w:t>Tendinţa</w:t>
            </w:r>
          </w:p>
        </w:tc>
      </w:tr>
      <w:tr w:rsidR="00B63C48" w:rsidRPr="00575607" w:rsidTr="00E13AA6">
        <w:trPr>
          <w:trHeight w:val="523"/>
          <w:tblHeader/>
          <w:jc w:val="center"/>
        </w:trPr>
        <w:tc>
          <w:tcPr>
            <w:tcW w:w="4146" w:type="dxa"/>
            <w:vMerge/>
            <w:shd w:val="clear" w:color="auto" w:fill="D9D9D9"/>
            <w:vAlign w:val="center"/>
          </w:tcPr>
          <w:p w:rsidR="00B63C48" w:rsidRPr="00575607" w:rsidRDefault="00B63C48" w:rsidP="005F6A32">
            <w:pPr>
              <w:jc w:val="center"/>
              <w:rPr>
                <w:rFonts w:ascii="Trebuchet MS" w:hAnsi="Trebuchet MS" w:cs="Arial"/>
                <w:b/>
              </w:rPr>
            </w:pPr>
          </w:p>
        </w:tc>
        <w:tc>
          <w:tcPr>
            <w:tcW w:w="1548" w:type="dxa"/>
            <w:shd w:val="clear" w:color="auto" w:fill="D9D9D9"/>
            <w:vAlign w:val="center"/>
          </w:tcPr>
          <w:p w:rsidR="00B63C48" w:rsidRPr="00575607" w:rsidRDefault="00B63C48" w:rsidP="005F6A32">
            <w:pPr>
              <w:jc w:val="center"/>
              <w:rPr>
                <w:rFonts w:ascii="Trebuchet MS" w:hAnsi="Trebuchet MS" w:cs="Arial"/>
                <w:b/>
              </w:rPr>
            </w:pPr>
            <w:r w:rsidRPr="00575607">
              <w:rPr>
                <w:rFonts w:ascii="Trebuchet MS" w:hAnsi="Trebuchet MS" w:cs="Arial"/>
                <w:b/>
              </w:rPr>
              <w:t>scădere</w:t>
            </w:r>
          </w:p>
        </w:tc>
        <w:tc>
          <w:tcPr>
            <w:tcW w:w="1873" w:type="dxa"/>
            <w:shd w:val="clear" w:color="auto" w:fill="D9D9D9"/>
            <w:vAlign w:val="center"/>
          </w:tcPr>
          <w:p w:rsidR="00B63C48" w:rsidRPr="00575607" w:rsidRDefault="00B63C48" w:rsidP="005F6A32">
            <w:pPr>
              <w:jc w:val="center"/>
              <w:rPr>
                <w:rFonts w:ascii="Trebuchet MS" w:hAnsi="Trebuchet MS" w:cs="Arial"/>
                <w:b/>
              </w:rPr>
            </w:pPr>
            <w:r w:rsidRPr="00575607">
              <w:rPr>
                <w:rFonts w:ascii="Trebuchet MS" w:hAnsi="Trebuchet MS" w:cs="Arial"/>
                <w:b/>
              </w:rPr>
              <w:t>staţionaritate</w:t>
            </w:r>
          </w:p>
        </w:tc>
        <w:tc>
          <w:tcPr>
            <w:tcW w:w="1266" w:type="dxa"/>
            <w:shd w:val="clear" w:color="auto" w:fill="D9D9D9"/>
            <w:vAlign w:val="center"/>
          </w:tcPr>
          <w:p w:rsidR="00B63C48" w:rsidRPr="00575607" w:rsidRDefault="00B63C48" w:rsidP="005F6A32">
            <w:pPr>
              <w:jc w:val="center"/>
              <w:rPr>
                <w:rFonts w:ascii="Trebuchet MS" w:hAnsi="Trebuchet MS" w:cs="Arial"/>
                <w:b/>
              </w:rPr>
            </w:pPr>
            <w:r w:rsidRPr="00575607">
              <w:rPr>
                <w:rFonts w:ascii="Trebuchet MS" w:hAnsi="Trebuchet MS" w:cs="Arial"/>
                <w:b/>
              </w:rPr>
              <w:t>creştere</w:t>
            </w:r>
          </w:p>
        </w:tc>
        <w:tc>
          <w:tcPr>
            <w:tcW w:w="1114" w:type="dxa"/>
            <w:shd w:val="clear" w:color="auto" w:fill="D9D9D9"/>
            <w:vAlign w:val="center"/>
          </w:tcPr>
          <w:p w:rsidR="00B63C48" w:rsidRPr="00575607" w:rsidRDefault="00B63C48" w:rsidP="005F6A32">
            <w:pPr>
              <w:jc w:val="center"/>
              <w:rPr>
                <w:rFonts w:ascii="Trebuchet MS" w:hAnsi="Trebuchet MS" w:cs="Arial"/>
                <w:b/>
              </w:rPr>
            </w:pPr>
            <w:r w:rsidRPr="00575607">
              <w:rPr>
                <w:rFonts w:ascii="Trebuchet MS" w:hAnsi="Trebuchet MS" w:cs="Arial"/>
                <w:b/>
              </w:rPr>
              <w:t>total</w:t>
            </w:r>
          </w:p>
        </w:tc>
      </w:tr>
      <w:tr w:rsidR="00B63C48" w:rsidRPr="00575607" w:rsidTr="00E13AA6">
        <w:trPr>
          <w:trHeight w:val="616"/>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bCs/>
                <w:color w:val="000000"/>
                <w:sz w:val="20"/>
                <w:szCs w:val="20"/>
              </w:rPr>
              <w:t>Câmpia Română, Piemontul Getic şi Subcarpaţii Getici</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90</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4</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18</w:t>
            </w:r>
          </w:p>
        </w:tc>
        <w:tc>
          <w:tcPr>
            <w:tcW w:w="1114"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122</w:t>
            </w:r>
          </w:p>
        </w:tc>
      </w:tr>
      <w:tr w:rsidR="00B63C48" w:rsidRPr="00575607" w:rsidTr="00254B55">
        <w:trPr>
          <w:trHeight w:val="413"/>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w:t>
            </w:r>
          </w:p>
        </w:tc>
        <w:tc>
          <w:tcPr>
            <w:tcW w:w="1548"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80</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4</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16</w:t>
            </w:r>
          </w:p>
        </w:tc>
        <w:tc>
          <w:tcPr>
            <w:tcW w:w="1114"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100</w:t>
            </w:r>
          </w:p>
        </w:tc>
      </w:tr>
      <w:tr w:rsidR="00B63C48" w:rsidRPr="00575607" w:rsidTr="00E13AA6">
        <w:trPr>
          <w:trHeight w:val="503"/>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bCs/>
                <w:color w:val="000000"/>
                <w:sz w:val="20"/>
                <w:szCs w:val="20"/>
              </w:rPr>
              <w:t>Câmpia de Vest, Dealurile Crişanei şi Banatului</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51</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5</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10</w:t>
            </w:r>
          </w:p>
        </w:tc>
        <w:tc>
          <w:tcPr>
            <w:tcW w:w="1114"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66</w:t>
            </w:r>
          </w:p>
        </w:tc>
      </w:tr>
      <w:tr w:rsidR="00B63C48" w:rsidRPr="00575607" w:rsidTr="00254B55">
        <w:trPr>
          <w:trHeight w:val="327"/>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77</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8</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15</w:t>
            </w:r>
          </w:p>
        </w:tc>
        <w:tc>
          <w:tcPr>
            <w:tcW w:w="1114"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100</w:t>
            </w:r>
          </w:p>
        </w:tc>
      </w:tr>
      <w:tr w:rsidR="00B63C48" w:rsidRPr="00575607" w:rsidTr="00254B55">
        <w:trPr>
          <w:trHeight w:val="275"/>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bCs/>
                <w:sz w:val="20"/>
                <w:szCs w:val="20"/>
              </w:rPr>
              <w:t>Depresiunea Transilvaniei</w:t>
            </w:r>
            <w:r w:rsidRPr="00575607">
              <w:rPr>
                <w:rFonts w:ascii="Trebuchet MS" w:hAnsi="Trebuchet MS" w:cs="Arial"/>
                <w:sz w:val="20"/>
                <w:szCs w:val="20"/>
              </w:rPr>
              <w:t xml:space="preserve"> şi depresiunile din Carpații Orientali</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24</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9</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7</w:t>
            </w:r>
          </w:p>
        </w:tc>
        <w:tc>
          <w:tcPr>
            <w:tcW w:w="1114"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40</w:t>
            </w:r>
          </w:p>
        </w:tc>
      </w:tr>
      <w:tr w:rsidR="00B63C48" w:rsidRPr="00575607" w:rsidTr="00254B55">
        <w:trPr>
          <w:trHeight w:val="367"/>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60</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23</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17</w:t>
            </w:r>
          </w:p>
        </w:tc>
        <w:tc>
          <w:tcPr>
            <w:tcW w:w="1114"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100</w:t>
            </w:r>
          </w:p>
        </w:tc>
      </w:tr>
      <w:tr w:rsidR="00B63C48" w:rsidRPr="00575607" w:rsidTr="00254B55">
        <w:trPr>
          <w:trHeight w:val="389"/>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bCs/>
                <w:sz w:val="20"/>
                <w:szCs w:val="20"/>
              </w:rPr>
              <w:t>Podişul Moldovei,</w:t>
            </w:r>
            <w:r w:rsidRPr="00575607">
              <w:rPr>
                <w:rFonts w:ascii="Trebuchet MS" w:hAnsi="Trebuchet MS" w:cs="Arial"/>
                <w:sz w:val="20"/>
                <w:szCs w:val="20"/>
              </w:rPr>
              <w:t xml:space="preserve"> Subcarpații Orientali şi de Curbură</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28</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2</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9</w:t>
            </w:r>
          </w:p>
        </w:tc>
        <w:tc>
          <w:tcPr>
            <w:tcW w:w="1114"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39</w:t>
            </w:r>
          </w:p>
        </w:tc>
      </w:tr>
      <w:tr w:rsidR="00B63C48" w:rsidRPr="00575607" w:rsidTr="00254B55">
        <w:trPr>
          <w:trHeight w:val="184"/>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72</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5</w:t>
            </w:r>
          </w:p>
        </w:tc>
        <w:tc>
          <w:tcPr>
            <w:tcW w:w="1266"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23</w:t>
            </w:r>
          </w:p>
        </w:tc>
        <w:tc>
          <w:tcPr>
            <w:tcW w:w="1114"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100</w:t>
            </w:r>
          </w:p>
        </w:tc>
      </w:tr>
      <w:tr w:rsidR="00B63C48" w:rsidRPr="00575607" w:rsidTr="00254B55">
        <w:trPr>
          <w:trHeight w:val="262"/>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bCs/>
                <w:sz w:val="20"/>
                <w:szCs w:val="20"/>
              </w:rPr>
              <w:t>Podişul Dobrogei</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7</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w:t>
            </w:r>
          </w:p>
        </w:tc>
        <w:tc>
          <w:tcPr>
            <w:tcW w:w="1114"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9</w:t>
            </w:r>
          </w:p>
        </w:tc>
      </w:tr>
      <w:tr w:rsidR="00B63C48" w:rsidRPr="00575607" w:rsidTr="00254B55">
        <w:trPr>
          <w:trHeight w:val="137"/>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78</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11</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11</w:t>
            </w:r>
          </w:p>
        </w:tc>
        <w:tc>
          <w:tcPr>
            <w:tcW w:w="1114"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100</w:t>
            </w:r>
          </w:p>
        </w:tc>
      </w:tr>
      <w:tr w:rsidR="00B63C48" w:rsidRPr="00575607" w:rsidTr="00254B55">
        <w:trPr>
          <w:trHeight w:val="271"/>
          <w:jc w:val="center"/>
        </w:trPr>
        <w:tc>
          <w:tcPr>
            <w:tcW w:w="4146"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ROMÂNIA</w:t>
            </w:r>
          </w:p>
        </w:tc>
        <w:tc>
          <w:tcPr>
            <w:tcW w:w="1548"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200</w:t>
            </w:r>
          </w:p>
        </w:tc>
        <w:tc>
          <w:tcPr>
            <w:tcW w:w="1873"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21</w:t>
            </w:r>
          </w:p>
        </w:tc>
        <w:tc>
          <w:tcPr>
            <w:tcW w:w="1266"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45</w:t>
            </w:r>
          </w:p>
        </w:tc>
        <w:tc>
          <w:tcPr>
            <w:tcW w:w="1114" w:type="dxa"/>
            <w:shd w:val="clear" w:color="auto" w:fill="auto"/>
            <w:vAlign w:val="center"/>
          </w:tcPr>
          <w:p w:rsidR="00B63C48" w:rsidRPr="00575607" w:rsidRDefault="00B63C48" w:rsidP="005F6A32">
            <w:pPr>
              <w:jc w:val="center"/>
              <w:rPr>
                <w:rFonts w:ascii="Trebuchet MS" w:hAnsi="Trebuchet MS" w:cs="Arial"/>
                <w:b/>
                <w:sz w:val="20"/>
                <w:szCs w:val="20"/>
              </w:rPr>
            </w:pPr>
            <w:r w:rsidRPr="00575607">
              <w:rPr>
                <w:rFonts w:ascii="Trebuchet MS" w:hAnsi="Trebuchet MS" w:cs="Arial"/>
                <w:b/>
                <w:sz w:val="20"/>
                <w:szCs w:val="20"/>
              </w:rPr>
              <w:t>266</w:t>
            </w:r>
          </w:p>
        </w:tc>
      </w:tr>
      <w:tr w:rsidR="00B63C48" w:rsidRPr="00575607" w:rsidTr="00254B55">
        <w:trPr>
          <w:trHeight w:val="133"/>
          <w:jc w:val="center"/>
        </w:trPr>
        <w:tc>
          <w:tcPr>
            <w:tcW w:w="414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w:t>
            </w:r>
          </w:p>
        </w:tc>
        <w:tc>
          <w:tcPr>
            <w:tcW w:w="1548"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75</w:t>
            </w:r>
          </w:p>
        </w:tc>
        <w:tc>
          <w:tcPr>
            <w:tcW w:w="1873"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8</w:t>
            </w:r>
          </w:p>
        </w:tc>
        <w:tc>
          <w:tcPr>
            <w:tcW w:w="1266"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17</w:t>
            </w:r>
          </w:p>
        </w:tc>
        <w:tc>
          <w:tcPr>
            <w:tcW w:w="1114" w:type="dxa"/>
            <w:shd w:val="clear" w:color="auto" w:fill="auto"/>
            <w:vAlign w:val="center"/>
          </w:tcPr>
          <w:p w:rsidR="00B63C48" w:rsidRPr="00575607" w:rsidRDefault="00B63C48" w:rsidP="005F6A32">
            <w:pPr>
              <w:jc w:val="center"/>
              <w:rPr>
                <w:rFonts w:ascii="Trebuchet MS" w:hAnsi="Trebuchet MS" w:cs="Arial"/>
                <w:sz w:val="20"/>
                <w:szCs w:val="20"/>
              </w:rPr>
            </w:pPr>
            <w:r w:rsidRPr="00575607">
              <w:rPr>
                <w:rFonts w:ascii="Trebuchet MS" w:hAnsi="Trebuchet MS" w:cs="Arial"/>
                <w:sz w:val="20"/>
                <w:szCs w:val="20"/>
              </w:rPr>
              <w:t>100</w:t>
            </w:r>
          </w:p>
        </w:tc>
      </w:tr>
    </w:tbl>
    <w:p w:rsidR="00B63C48" w:rsidRPr="005F6A32" w:rsidRDefault="00B63C48" w:rsidP="00B63C48">
      <w:pPr>
        <w:ind w:firstLine="567"/>
        <w:rPr>
          <w:rFonts w:ascii="Trebuchet MS" w:hAnsi="Trebuchet MS" w:cs="Arial"/>
          <w:sz w:val="22"/>
          <w:szCs w:val="22"/>
        </w:rPr>
      </w:pPr>
      <w:r w:rsidRPr="005F6A32">
        <w:rPr>
          <w:rFonts w:ascii="Trebuchet MS" w:hAnsi="Trebuchet MS" w:cs="Arial"/>
          <w:sz w:val="22"/>
          <w:szCs w:val="22"/>
        </w:rPr>
        <w:t xml:space="preserve">Creşterile de nivel piezometric s-au </w:t>
      </w:r>
      <w:r w:rsidRPr="005F6A32">
        <w:rPr>
          <w:rFonts w:ascii="Arial" w:hAnsi="Arial" w:cs="Arial"/>
          <w:sz w:val="22"/>
          <w:szCs w:val="22"/>
        </w:rPr>
        <w:t>ȋ</w:t>
      </w:r>
      <w:r w:rsidRPr="005F6A32">
        <w:rPr>
          <w:rFonts w:ascii="Trebuchet MS" w:hAnsi="Trebuchet MS" w:cs="Arial"/>
          <w:sz w:val="22"/>
          <w:szCs w:val="22"/>
        </w:rPr>
        <w:t>nregistrat local, după cum urmează:</w:t>
      </w:r>
    </w:p>
    <w:p w:rsidR="00B63C48" w:rsidRPr="005F6A32" w:rsidRDefault="00B63C48" w:rsidP="004F134E">
      <w:pPr>
        <w:numPr>
          <w:ilvl w:val="0"/>
          <w:numId w:val="77"/>
        </w:numPr>
        <w:ind w:left="986" w:hanging="357"/>
        <w:jc w:val="both"/>
        <w:rPr>
          <w:rFonts w:ascii="Trebuchet MS" w:hAnsi="Trebuchet MS" w:cs="Arial"/>
          <w:b/>
          <w:sz w:val="22"/>
          <w:szCs w:val="22"/>
        </w:rPr>
      </w:pPr>
      <w:r w:rsidRPr="005F6A32">
        <w:rPr>
          <w:rFonts w:ascii="Trebuchet MS" w:hAnsi="Trebuchet MS" w:cs="Arial"/>
          <w:b/>
          <w:bCs/>
          <w:sz w:val="22"/>
          <w:szCs w:val="22"/>
        </w:rPr>
        <w:t>Câmpia Română</w:t>
      </w:r>
      <w:r w:rsidRPr="005F6A32">
        <w:rPr>
          <w:rFonts w:ascii="Trebuchet MS" w:hAnsi="Trebuchet MS" w:cs="Arial"/>
          <w:b/>
          <w:sz w:val="22"/>
          <w:szCs w:val="22"/>
        </w:rPr>
        <w:t>, Piemontul Getic şi Subcarpații Getici</w:t>
      </w:r>
    </w:p>
    <w:p w:rsidR="00B63C48" w:rsidRPr="005F6A32" w:rsidRDefault="00B63C48" w:rsidP="004F134E">
      <w:pPr>
        <w:numPr>
          <w:ilvl w:val="0"/>
          <w:numId w:val="80"/>
        </w:numPr>
        <w:jc w:val="both"/>
        <w:rPr>
          <w:rFonts w:ascii="Trebuchet MS" w:hAnsi="Trebuchet MS" w:cs="Arial"/>
          <w:sz w:val="22"/>
          <w:szCs w:val="22"/>
        </w:rPr>
      </w:pPr>
      <w:r w:rsidRPr="005F6A32">
        <w:rPr>
          <w:rFonts w:ascii="Trebuchet MS" w:hAnsi="Trebuchet MS" w:cs="Arial"/>
          <w:sz w:val="22"/>
          <w:szCs w:val="22"/>
        </w:rPr>
        <w:t>Câmpiile Nedeii, Băileştiului, Caracalului  şi Depresiunea Cărbuneşti (A.B.A. Jiu);</w:t>
      </w:r>
    </w:p>
    <w:p w:rsidR="00B63C48" w:rsidRPr="005F6A32" w:rsidRDefault="00B63C48" w:rsidP="004F134E">
      <w:pPr>
        <w:numPr>
          <w:ilvl w:val="0"/>
          <w:numId w:val="80"/>
        </w:numPr>
        <w:jc w:val="both"/>
        <w:rPr>
          <w:rFonts w:ascii="Trebuchet MS" w:hAnsi="Trebuchet MS" w:cs="Arial"/>
          <w:sz w:val="22"/>
          <w:szCs w:val="22"/>
        </w:rPr>
      </w:pPr>
      <w:r w:rsidRPr="005F6A32">
        <w:rPr>
          <w:rFonts w:ascii="Trebuchet MS" w:hAnsi="Trebuchet MS" w:cs="Arial"/>
          <w:sz w:val="22"/>
          <w:szCs w:val="22"/>
        </w:rPr>
        <w:t>Depresiunile Săliştei şi Tuşnad (A.B.A. Olt)</w:t>
      </w:r>
    </w:p>
    <w:p w:rsidR="00B63C48" w:rsidRPr="005F6A32" w:rsidRDefault="00B63C48" w:rsidP="004F134E">
      <w:pPr>
        <w:numPr>
          <w:ilvl w:val="0"/>
          <w:numId w:val="80"/>
        </w:numPr>
        <w:jc w:val="both"/>
        <w:rPr>
          <w:rFonts w:ascii="Trebuchet MS" w:hAnsi="Trebuchet MS" w:cs="Arial"/>
          <w:sz w:val="22"/>
          <w:szCs w:val="22"/>
        </w:rPr>
      </w:pPr>
      <w:r w:rsidRPr="005F6A32">
        <w:rPr>
          <w:rFonts w:ascii="Trebuchet MS" w:hAnsi="Trebuchet MS" w:cs="Arial"/>
          <w:sz w:val="22"/>
          <w:szCs w:val="22"/>
        </w:rPr>
        <w:t>Câmpiile: Iminog, Câlniştei, Otopeni şi Piteşti (A.B.A. Argeş-Vedea);</w:t>
      </w:r>
    </w:p>
    <w:p w:rsidR="00B63C48" w:rsidRPr="005F6A32" w:rsidRDefault="00B63C48" w:rsidP="004F134E">
      <w:pPr>
        <w:numPr>
          <w:ilvl w:val="0"/>
          <w:numId w:val="80"/>
        </w:numPr>
        <w:jc w:val="both"/>
        <w:rPr>
          <w:rFonts w:ascii="Trebuchet MS" w:hAnsi="Trebuchet MS" w:cs="Arial"/>
          <w:sz w:val="22"/>
          <w:szCs w:val="22"/>
        </w:rPr>
      </w:pPr>
      <w:r w:rsidRPr="005F6A32">
        <w:rPr>
          <w:rFonts w:ascii="Trebuchet MS" w:hAnsi="Trebuchet MS" w:cs="Arial"/>
          <w:sz w:val="22"/>
          <w:szCs w:val="22"/>
        </w:rPr>
        <w:t xml:space="preserve">Câmpurile </w:t>
      </w:r>
      <w:r w:rsidRPr="005F6A32">
        <w:rPr>
          <w:rFonts w:ascii="Trebuchet MS" w:hAnsi="Trebuchet MS" w:cs="Arial"/>
          <w:color w:val="000000"/>
          <w:sz w:val="22"/>
          <w:szCs w:val="22"/>
          <w:lang w:eastAsia="ro-RO"/>
        </w:rPr>
        <w:t xml:space="preserve">Ştefan Vodă şi Viziru </w:t>
      </w:r>
      <w:r w:rsidRPr="005F6A32">
        <w:rPr>
          <w:rFonts w:ascii="Trebuchet MS" w:hAnsi="Trebuchet MS" w:cs="Arial"/>
          <w:sz w:val="22"/>
          <w:szCs w:val="22"/>
        </w:rPr>
        <w:t>(A.B.A. Ialomiţa-Buzău);</w:t>
      </w:r>
    </w:p>
    <w:p w:rsidR="00B63C48" w:rsidRPr="005F6A32" w:rsidRDefault="00B63C48" w:rsidP="004F134E">
      <w:pPr>
        <w:numPr>
          <w:ilvl w:val="0"/>
          <w:numId w:val="83"/>
        </w:numPr>
        <w:jc w:val="both"/>
        <w:rPr>
          <w:rFonts w:ascii="Trebuchet MS" w:hAnsi="Trebuchet MS" w:cs="Arial"/>
          <w:color w:val="000000"/>
          <w:sz w:val="22"/>
          <w:szCs w:val="22"/>
          <w:lang w:eastAsia="ro-RO"/>
        </w:rPr>
      </w:pPr>
      <w:r w:rsidRPr="005F6A32">
        <w:rPr>
          <w:rFonts w:ascii="Trebuchet MS" w:hAnsi="Trebuchet MS" w:cs="Arial"/>
          <w:sz w:val="22"/>
          <w:szCs w:val="22"/>
        </w:rPr>
        <w:t>Câmpia Siretului (A.B.A. Siret)</w:t>
      </w:r>
    </w:p>
    <w:p w:rsidR="00B63C48" w:rsidRPr="005F6A32" w:rsidRDefault="00B63C48" w:rsidP="004F134E">
      <w:pPr>
        <w:numPr>
          <w:ilvl w:val="0"/>
          <w:numId w:val="77"/>
        </w:numPr>
        <w:ind w:left="986" w:hanging="357"/>
        <w:jc w:val="both"/>
        <w:rPr>
          <w:rFonts w:ascii="Trebuchet MS" w:hAnsi="Trebuchet MS" w:cs="Arial"/>
          <w:b/>
          <w:iCs/>
          <w:sz w:val="22"/>
          <w:szCs w:val="22"/>
        </w:rPr>
      </w:pPr>
      <w:r w:rsidRPr="005F6A32">
        <w:rPr>
          <w:rFonts w:ascii="Trebuchet MS" w:hAnsi="Trebuchet MS" w:cs="Arial"/>
          <w:b/>
          <w:iCs/>
          <w:sz w:val="22"/>
          <w:szCs w:val="22"/>
        </w:rPr>
        <w:t>Câmpia de Vest, Dealurile Crişanei şi Banatului</w:t>
      </w:r>
    </w:p>
    <w:p w:rsidR="00B63C48" w:rsidRPr="005F6A32" w:rsidRDefault="00B63C48" w:rsidP="004F134E">
      <w:pPr>
        <w:numPr>
          <w:ilvl w:val="0"/>
          <w:numId w:val="81"/>
        </w:numPr>
        <w:jc w:val="both"/>
        <w:rPr>
          <w:rFonts w:ascii="Trebuchet MS" w:hAnsi="Trebuchet MS" w:cs="Arial"/>
          <w:sz w:val="22"/>
          <w:szCs w:val="22"/>
        </w:rPr>
      </w:pPr>
      <w:r w:rsidRPr="005F6A32">
        <w:rPr>
          <w:rFonts w:ascii="Trebuchet MS" w:hAnsi="Trebuchet MS" w:cs="Arial"/>
          <w:sz w:val="22"/>
          <w:szCs w:val="22"/>
        </w:rPr>
        <w:t>Depresiunile Baia Mare şi Copalnic (A.B.A. Someş-Tisa);</w:t>
      </w:r>
    </w:p>
    <w:p w:rsidR="00B63C48" w:rsidRPr="005F6A32" w:rsidRDefault="00B63C48" w:rsidP="004F134E">
      <w:pPr>
        <w:numPr>
          <w:ilvl w:val="0"/>
          <w:numId w:val="81"/>
        </w:numPr>
        <w:jc w:val="both"/>
        <w:rPr>
          <w:rFonts w:ascii="Trebuchet MS" w:hAnsi="Trebuchet MS" w:cs="Arial"/>
          <w:color w:val="000000"/>
          <w:sz w:val="22"/>
          <w:szCs w:val="22"/>
          <w:lang w:eastAsia="ro-RO"/>
        </w:rPr>
      </w:pPr>
      <w:r w:rsidRPr="005F6A32">
        <w:rPr>
          <w:rFonts w:ascii="Trebuchet MS" w:hAnsi="Trebuchet MS" w:cs="Arial"/>
          <w:sz w:val="22"/>
          <w:szCs w:val="22"/>
        </w:rPr>
        <w:t>Câmpiile Ier şi Aradului</w:t>
      </w:r>
      <w:r w:rsidRPr="005F6A32">
        <w:rPr>
          <w:rFonts w:ascii="Trebuchet MS" w:hAnsi="Trebuchet MS" w:cs="Arial"/>
          <w:color w:val="000000"/>
          <w:sz w:val="22"/>
          <w:szCs w:val="22"/>
          <w:lang w:eastAsia="ro-RO"/>
        </w:rPr>
        <w:t xml:space="preserve"> (</w:t>
      </w:r>
      <w:r w:rsidRPr="005F6A32">
        <w:rPr>
          <w:rFonts w:ascii="Trebuchet MS" w:hAnsi="Trebuchet MS" w:cs="Arial"/>
          <w:sz w:val="22"/>
          <w:szCs w:val="22"/>
        </w:rPr>
        <w:t>A.B.A. Crişuri);</w:t>
      </w:r>
    </w:p>
    <w:p w:rsidR="00B63C48" w:rsidRPr="005F6A32" w:rsidRDefault="00B63C48" w:rsidP="004F134E">
      <w:pPr>
        <w:numPr>
          <w:ilvl w:val="0"/>
          <w:numId w:val="81"/>
        </w:numPr>
        <w:jc w:val="both"/>
        <w:rPr>
          <w:rFonts w:ascii="Trebuchet MS" w:hAnsi="Trebuchet MS" w:cs="Arial"/>
          <w:sz w:val="22"/>
          <w:szCs w:val="22"/>
        </w:rPr>
      </w:pPr>
      <w:r w:rsidRPr="005F6A32">
        <w:rPr>
          <w:rFonts w:ascii="Trebuchet MS" w:hAnsi="Trebuchet MS" w:cs="Arial"/>
          <w:color w:val="000000"/>
          <w:sz w:val="22"/>
          <w:szCs w:val="22"/>
          <w:lang w:eastAsia="ro-RO"/>
        </w:rPr>
        <w:t>Depresiunile Caransebeş</w:t>
      </w:r>
      <w:r w:rsidRPr="005F6A32">
        <w:rPr>
          <w:rFonts w:ascii="Trebuchet MS" w:hAnsi="Trebuchet MS" w:cs="Arial"/>
          <w:sz w:val="22"/>
          <w:szCs w:val="22"/>
        </w:rPr>
        <w:t xml:space="preserve"> şi Făget (A.B.A. Banat)</w:t>
      </w:r>
    </w:p>
    <w:p w:rsidR="00B63C48" w:rsidRPr="005F6A32" w:rsidRDefault="00B63C48" w:rsidP="004F134E">
      <w:pPr>
        <w:numPr>
          <w:ilvl w:val="0"/>
          <w:numId w:val="77"/>
        </w:numPr>
        <w:ind w:left="986" w:hanging="357"/>
        <w:jc w:val="both"/>
        <w:rPr>
          <w:rFonts w:ascii="Trebuchet MS" w:hAnsi="Trebuchet MS" w:cs="Arial"/>
          <w:b/>
          <w:sz w:val="22"/>
          <w:szCs w:val="22"/>
        </w:rPr>
      </w:pPr>
      <w:r w:rsidRPr="005F6A32">
        <w:rPr>
          <w:rFonts w:ascii="Trebuchet MS" w:hAnsi="Trebuchet MS" w:cs="Arial"/>
          <w:b/>
          <w:bCs/>
          <w:sz w:val="22"/>
          <w:szCs w:val="22"/>
        </w:rPr>
        <w:t>Depresiunea Transilvaniei</w:t>
      </w:r>
      <w:r w:rsidRPr="005F6A32">
        <w:rPr>
          <w:rFonts w:ascii="Trebuchet MS" w:hAnsi="Trebuchet MS" w:cs="Arial"/>
          <w:b/>
          <w:sz w:val="22"/>
          <w:szCs w:val="22"/>
        </w:rPr>
        <w:t xml:space="preserve"> şi depresiunile din Carpații Orientali</w:t>
      </w:r>
    </w:p>
    <w:p w:rsidR="00B63C48" w:rsidRPr="005F6A32" w:rsidRDefault="00B63C48" w:rsidP="004F134E">
      <w:pPr>
        <w:numPr>
          <w:ilvl w:val="0"/>
          <w:numId w:val="82"/>
        </w:numPr>
        <w:jc w:val="both"/>
        <w:rPr>
          <w:rFonts w:ascii="Trebuchet MS" w:hAnsi="Trebuchet MS" w:cs="Arial"/>
          <w:color w:val="000000"/>
          <w:sz w:val="22"/>
          <w:szCs w:val="22"/>
          <w:lang w:eastAsia="ro-RO"/>
        </w:rPr>
      </w:pPr>
      <w:r w:rsidRPr="005F6A32">
        <w:rPr>
          <w:rFonts w:ascii="Trebuchet MS" w:hAnsi="Trebuchet MS" w:cs="Arial"/>
          <w:sz w:val="22"/>
          <w:szCs w:val="22"/>
        </w:rPr>
        <w:t>Depresiunea Vărădia şi culoarele râurilor Deva şi Aiud (A.B.A. Mureş);</w:t>
      </w:r>
    </w:p>
    <w:p w:rsidR="00B63C48" w:rsidRPr="005F6A32" w:rsidRDefault="00B63C48" w:rsidP="004F134E">
      <w:pPr>
        <w:numPr>
          <w:ilvl w:val="0"/>
          <w:numId w:val="82"/>
        </w:numPr>
        <w:jc w:val="both"/>
        <w:rPr>
          <w:rFonts w:ascii="Trebuchet MS" w:hAnsi="Trebuchet MS" w:cs="Arial"/>
          <w:color w:val="000000"/>
          <w:sz w:val="22"/>
          <w:szCs w:val="22"/>
          <w:lang w:eastAsia="ro-RO"/>
        </w:rPr>
      </w:pPr>
      <w:r w:rsidRPr="005F6A32">
        <w:rPr>
          <w:rFonts w:ascii="Trebuchet MS" w:hAnsi="Trebuchet MS" w:cs="Arial"/>
          <w:sz w:val="22"/>
          <w:szCs w:val="22"/>
        </w:rPr>
        <w:t>Podişul Rotbav (A.B.A. Olt)</w:t>
      </w:r>
    </w:p>
    <w:p w:rsidR="00B63C48" w:rsidRPr="005F6A32" w:rsidRDefault="00B63C48" w:rsidP="004F134E">
      <w:pPr>
        <w:numPr>
          <w:ilvl w:val="0"/>
          <w:numId w:val="77"/>
        </w:numPr>
        <w:ind w:left="986" w:hanging="357"/>
        <w:jc w:val="both"/>
        <w:rPr>
          <w:rFonts w:ascii="Trebuchet MS" w:hAnsi="Trebuchet MS" w:cs="Arial"/>
          <w:b/>
          <w:sz w:val="22"/>
          <w:szCs w:val="22"/>
        </w:rPr>
      </w:pPr>
      <w:r w:rsidRPr="005F6A32">
        <w:rPr>
          <w:rFonts w:ascii="Trebuchet MS" w:hAnsi="Trebuchet MS" w:cs="Arial"/>
          <w:b/>
          <w:bCs/>
          <w:sz w:val="22"/>
          <w:szCs w:val="22"/>
        </w:rPr>
        <w:t>Podişul Moldovei,</w:t>
      </w:r>
      <w:r w:rsidRPr="005F6A32">
        <w:rPr>
          <w:rFonts w:ascii="Trebuchet MS" w:hAnsi="Trebuchet MS" w:cs="Arial"/>
          <w:b/>
          <w:sz w:val="22"/>
          <w:szCs w:val="22"/>
        </w:rPr>
        <w:t xml:space="preserve"> Subcarpații Orientali şi de Curbură</w:t>
      </w:r>
    </w:p>
    <w:p w:rsidR="00B63C48" w:rsidRPr="005F6A32" w:rsidRDefault="00B63C48" w:rsidP="004F134E">
      <w:pPr>
        <w:numPr>
          <w:ilvl w:val="0"/>
          <w:numId w:val="83"/>
        </w:numPr>
        <w:jc w:val="both"/>
        <w:rPr>
          <w:rFonts w:ascii="Trebuchet MS" w:hAnsi="Trebuchet MS" w:cs="Arial"/>
          <w:color w:val="000000"/>
          <w:sz w:val="22"/>
          <w:szCs w:val="22"/>
          <w:lang w:eastAsia="ro-RO"/>
        </w:rPr>
      </w:pPr>
      <w:r w:rsidRPr="005F6A32">
        <w:rPr>
          <w:rFonts w:ascii="Trebuchet MS" w:hAnsi="Trebuchet MS" w:cs="Arial"/>
          <w:color w:val="000000"/>
          <w:sz w:val="22"/>
          <w:szCs w:val="22"/>
          <w:lang w:eastAsia="ro-RO"/>
        </w:rPr>
        <w:t>Depresiunea Bistriţa - Cracău,</w:t>
      </w:r>
      <w:r w:rsidRPr="005F6A32">
        <w:rPr>
          <w:rFonts w:ascii="Trebuchet MS" w:hAnsi="Trebuchet MS" w:cs="Arial"/>
          <w:sz w:val="22"/>
          <w:szCs w:val="22"/>
        </w:rPr>
        <w:t xml:space="preserve"> Culoarul Bistriţei, Podişul Vultureşti (A.B.A. Siret);</w:t>
      </w:r>
    </w:p>
    <w:p w:rsidR="00B63C48" w:rsidRPr="005F6A32" w:rsidRDefault="00B63C48" w:rsidP="004F134E">
      <w:pPr>
        <w:numPr>
          <w:ilvl w:val="0"/>
          <w:numId w:val="83"/>
        </w:numPr>
        <w:jc w:val="both"/>
        <w:rPr>
          <w:rFonts w:ascii="Trebuchet MS" w:hAnsi="Trebuchet MS" w:cs="Arial"/>
          <w:color w:val="000000"/>
          <w:sz w:val="22"/>
          <w:szCs w:val="22"/>
          <w:lang w:eastAsia="ro-RO"/>
        </w:rPr>
      </w:pPr>
      <w:r w:rsidRPr="005F6A32">
        <w:rPr>
          <w:rFonts w:ascii="Trebuchet MS" w:hAnsi="Trebuchet MS" w:cs="Arial"/>
          <w:color w:val="000000"/>
          <w:sz w:val="22"/>
          <w:szCs w:val="22"/>
          <w:lang w:eastAsia="ro-RO"/>
        </w:rPr>
        <w:t xml:space="preserve">Podişul Sacovăţ </w:t>
      </w:r>
      <w:r w:rsidRPr="005F6A32">
        <w:rPr>
          <w:rFonts w:ascii="Trebuchet MS" w:hAnsi="Trebuchet MS" w:cs="Arial"/>
          <w:sz w:val="22"/>
          <w:szCs w:val="22"/>
        </w:rPr>
        <w:t>(A.B.A. Prut-Bârlad)</w:t>
      </w:r>
      <w:r w:rsidRPr="005F6A32">
        <w:rPr>
          <w:rFonts w:ascii="Trebuchet MS" w:hAnsi="Trebuchet MS" w:cs="Arial"/>
          <w:b/>
          <w:bCs/>
          <w:sz w:val="22"/>
          <w:szCs w:val="22"/>
        </w:rPr>
        <w:t xml:space="preserve">  </w:t>
      </w:r>
    </w:p>
    <w:p w:rsidR="00B63C48" w:rsidRPr="005F6A32" w:rsidRDefault="00B63C48" w:rsidP="004F134E">
      <w:pPr>
        <w:pStyle w:val="ListParagraph"/>
        <w:numPr>
          <w:ilvl w:val="0"/>
          <w:numId w:val="77"/>
        </w:numPr>
        <w:rPr>
          <w:rFonts w:ascii="Trebuchet MS" w:hAnsi="Trebuchet MS" w:cs="Arial"/>
          <w:color w:val="000000"/>
          <w:sz w:val="22"/>
          <w:szCs w:val="22"/>
          <w:lang w:eastAsia="ro-RO"/>
        </w:rPr>
      </w:pPr>
      <w:r w:rsidRPr="005F6A32">
        <w:rPr>
          <w:rFonts w:ascii="Trebuchet MS" w:hAnsi="Trebuchet MS" w:cs="Arial"/>
          <w:b/>
          <w:bCs/>
          <w:sz w:val="22"/>
          <w:szCs w:val="22"/>
        </w:rPr>
        <w:t>Podişul Dobrogei:</w:t>
      </w:r>
      <w:r w:rsidRPr="005F6A32">
        <w:rPr>
          <w:rFonts w:ascii="Trebuchet MS" w:hAnsi="Trebuchet MS" w:cs="Arial"/>
          <w:color w:val="000000"/>
          <w:sz w:val="22"/>
          <w:szCs w:val="22"/>
          <w:lang w:eastAsia="ro-RO"/>
        </w:rPr>
        <w:t xml:space="preserve"> Colinele Murighiol</w:t>
      </w:r>
      <w:r w:rsidRPr="005F6A32">
        <w:rPr>
          <w:rFonts w:ascii="Trebuchet MS" w:hAnsi="Trebuchet MS" w:cs="Arial"/>
          <w:sz w:val="22"/>
          <w:szCs w:val="22"/>
        </w:rPr>
        <w:t xml:space="preserve"> (A.B.A. Dobrogea-Litoral).</w:t>
      </w:r>
    </w:p>
    <w:p w:rsidR="00B63C48" w:rsidRPr="005F6A32" w:rsidRDefault="00B63C48" w:rsidP="00B63C48">
      <w:pPr>
        <w:ind w:firstLine="567"/>
        <w:jc w:val="both"/>
        <w:rPr>
          <w:rFonts w:ascii="Trebuchet MS" w:hAnsi="Trebuchet MS" w:cs="Arial"/>
          <w:b/>
          <w:sz w:val="22"/>
          <w:szCs w:val="22"/>
        </w:rPr>
      </w:pPr>
    </w:p>
    <w:p w:rsidR="00B63C48" w:rsidRPr="00B26686" w:rsidRDefault="00B63C48" w:rsidP="00B63C48">
      <w:pPr>
        <w:jc w:val="center"/>
        <w:rPr>
          <w:rFonts w:ascii="Trebuchet MS" w:hAnsi="Trebuchet MS" w:cs="Arial"/>
          <w:b/>
          <w:noProof/>
          <w:lang w:eastAsia="ro-RO"/>
        </w:rPr>
      </w:pPr>
      <w:r w:rsidRPr="00B26686">
        <w:rPr>
          <w:rFonts w:ascii="Trebuchet MS" w:hAnsi="Trebuchet MS" w:cs="Arial"/>
          <w:b/>
          <w:noProof/>
          <w:lang w:val="en-US"/>
        </w:rPr>
        <w:drawing>
          <wp:inline distT="0" distB="0" distL="0" distR="0" wp14:anchorId="6AC3D0C6" wp14:editId="752D33AA">
            <wp:extent cx="5765800" cy="4071620"/>
            <wp:effectExtent l="19050" t="19050" r="25400" b="24130"/>
            <wp:docPr id="190009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5800" cy="4071620"/>
                    </a:xfrm>
                    <a:prstGeom prst="rect">
                      <a:avLst/>
                    </a:prstGeom>
                    <a:noFill/>
                    <a:ln w="9525" cmpd="sng">
                      <a:solidFill>
                        <a:srgbClr val="000000"/>
                      </a:solidFill>
                      <a:miter lim="800000"/>
                      <a:headEnd/>
                      <a:tailEnd/>
                    </a:ln>
                    <a:effectLst/>
                  </pic:spPr>
                </pic:pic>
              </a:graphicData>
            </a:graphic>
          </wp:inline>
        </w:drawing>
      </w:r>
    </w:p>
    <w:p w:rsidR="00B63C48" w:rsidRPr="00575607" w:rsidRDefault="00B63C48" w:rsidP="00B63C48">
      <w:pPr>
        <w:ind w:firstLine="323"/>
        <w:jc w:val="center"/>
        <w:rPr>
          <w:rFonts w:ascii="Trebuchet MS" w:hAnsi="Trebuchet MS" w:cs="Arial"/>
          <w:i/>
          <w:sz w:val="20"/>
          <w:szCs w:val="20"/>
        </w:rPr>
      </w:pPr>
      <w:r w:rsidRPr="00575607">
        <w:rPr>
          <w:rFonts w:ascii="Trebuchet MS" w:hAnsi="Trebuchet MS" w:cs="Arial"/>
          <w:i/>
          <w:sz w:val="20"/>
          <w:szCs w:val="20"/>
        </w:rPr>
        <w:t xml:space="preserve">Figura II.1.1.1.3 – Tendinţa evoluţiei nivelurilor piezometrice lunare (NP) </w:t>
      </w:r>
      <w:r w:rsidRPr="00575607">
        <w:rPr>
          <w:rFonts w:ascii="Arial" w:hAnsi="Arial" w:cs="Arial"/>
          <w:i/>
          <w:sz w:val="20"/>
          <w:szCs w:val="20"/>
        </w:rPr>
        <w:t>ȋ</w:t>
      </w:r>
      <w:r w:rsidRPr="00575607">
        <w:rPr>
          <w:rFonts w:ascii="Trebuchet MS" w:hAnsi="Trebuchet MS" w:cs="Arial"/>
          <w:i/>
          <w:sz w:val="20"/>
          <w:szCs w:val="20"/>
        </w:rPr>
        <w:t>n perioada 2015-2023 – foraje de monitorizare pentru transmisie lunară</w:t>
      </w:r>
    </w:p>
    <w:p w:rsidR="00B63C48" w:rsidRPr="00575607" w:rsidRDefault="00B63C48" w:rsidP="00B63C48">
      <w:pPr>
        <w:ind w:firstLine="567"/>
        <w:rPr>
          <w:rFonts w:ascii="Trebuchet MS" w:hAnsi="Trebuchet MS" w:cs="Arial"/>
          <w:b/>
        </w:rPr>
      </w:pPr>
    </w:p>
    <w:p w:rsidR="00B63C48" w:rsidRPr="00575607" w:rsidRDefault="00B63C48" w:rsidP="00B63C48">
      <w:pPr>
        <w:ind w:firstLine="567"/>
        <w:rPr>
          <w:rFonts w:ascii="Trebuchet MS" w:hAnsi="Trebuchet MS" w:cs="Arial"/>
          <w:b/>
        </w:rPr>
      </w:pPr>
    </w:p>
    <w:p w:rsidR="00B63C48" w:rsidRPr="00254B55" w:rsidRDefault="00B63C48" w:rsidP="00B63C48">
      <w:pPr>
        <w:ind w:firstLine="567"/>
        <w:rPr>
          <w:rFonts w:ascii="Trebuchet MS" w:hAnsi="Trebuchet MS" w:cs="Arial"/>
          <w:b/>
          <w:sz w:val="22"/>
          <w:szCs w:val="22"/>
        </w:rPr>
      </w:pPr>
      <w:r w:rsidRPr="00254B55">
        <w:rPr>
          <w:rFonts w:ascii="Trebuchet MS" w:hAnsi="Trebuchet MS" w:cs="Arial"/>
          <w:b/>
          <w:sz w:val="22"/>
          <w:szCs w:val="22"/>
        </w:rPr>
        <w:t>Concluziile analizei:</w:t>
      </w:r>
    </w:p>
    <w:p w:rsidR="00B63C48" w:rsidRPr="00254B55" w:rsidRDefault="00B63C48" w:rsidP="00B63C48">
      <w:pPr>
        <w:ind w:firstLine="567"/>
        <w:jc w:val="both"/>
        <w:rPr>
          <w:rFonts w:ascii="Trebuchet MS" w:hAnsi="Trebuchet MS" w:cs="Arial"/>
          <w:sz w:val="22"/>
          <w:szCs w:val="22"/>
        </w:rPr>
      </w:pPr>
      <w:r w:rsidRPr="00254B55">
        <w:rPr>
          <w:rFonts w:ascii="Trebuchet MS" w:hAnsi="Trebuchet MS" w:cs="Arial"/>
          <w:sz w:val="22"/>
          <w:szCs w:val="22"/>
        </w:rPr>
        <w:t xml:space="preserve">Analiza evoluţiei nivelurilor piezometrice </w:t>
      </w:r>
      <w:r w:rsidRPr="00254B55">
        <w:rPr>
          <w:rFonts w:ascii="Arial" w:hAnsi="Arial" w:cs="Arial"/>
          <w:sz w:val="22"/>
          <w:szCs w:val="22"/>
        </w:rPr>
        <w:t>ȋ</w:t>
      </w:r>
      <w:r w:rsidRPr="00254B55">
        <w:rPr>
          <w:rFonts w:ascii="Trebuchet MS" w:hAnsi="Trebuchet MS" w:cs="Arial"/>
          <w:sz w:val="22"/>
          <w:szCs w:val="22"/>
        </w:rPr>
        <w:t xml:space="preserve">n </w:t>
      </w:r>
      <w:r w:rsidRPr="00254B55">
        <w:rPr>
          <w:rFonts w:ascii="Trebuchet MS" w:hAnsi="Trebuchet MS" w:cs="Arial"/>
          <w:b/>
          <w:sz w:val="22"/>
          <w:szCs w:val="22"/>
        </w:rPr>
        <w:t>perioada 2015-2023</w:t>
      </w:r>
      <w:r w:rsidRPr="00254B55">
        <w:rPr>
          <w:rFonts w:ascii="Trebuchet MS" w:hAnsi="Trebuchet MS" w:cs="Arial"/>
          <w:sz w:val="22"/>
          <w:szCs w:val="22"/>
        </w:rPr>
        <w:t xml:space="preserve"> a fost efectuată pe baza datelor provenite de la forajele reprezentative de monitorizare cantitativă din Programul de Transmisie lunară, care reprezintă aproximativ </w:t>
      </w:r>
      <w:r w:rsidRPr="00254B55">
        <w:rPr>
          <w:rFonts w:ascii="Trebuchet MS" w:hAnsi="Trebuchet MS" w:cs="Arial"/>
          <w:b/>
          <w:sz w:val="22"/>
          <w:szCs w:val="22"/>
        </w:rPr>
        <w:t>10% din numărul total al forajelor</w:t>
      </w:r>
      <w:r w:rsidRPr="00254B55">
        <w:rPr>
          <w:rFonts w:ascii="Trebuchet MS" w:hAnsi="Trebuchet MS" w:cs="Arial"/>
          <w:sz w:val="22"/>
          <w:szCs w:val="22"/>
        </w:rPr>
        <w:t xml:space="preserve"> gestionate de Administraţiile Bazinele de Apă, astfel </w:t>
      </w:r>
      <w:r w:rsidRPr="00254B55">
        <w:rPr>
          <w:rFonts w:ascii="Arial" w:hAnsi="Arial" w:cs="Arial"/>
          <w:sz w:val="22"/>
          <w:szCs w:val="22"/>
        </w:rPr>
        <w:t>ȋ</w:t>
      </w:r>
      <w:r w:rsidRPr="00254B55">
        <w:rPr>
          <w:rFonts w:ascii="Trebuchet MS" w:hAnsi="Trebuchet MS" w:cs="Arial"/>
          <w:sz w:val="22"/>
          <w:szCs w:val="22"/>
        </w:rPr>
        <w:t>nc</w:t>
      </w:r>
      <w:r w:rsidRPr="00254B55">
        <w:rPr>
          <w:rFonts w:ascii="Trebuchet MS" w:hAnsi="Trebuchet MS" w:cs="Trebuchet MS"/>
          <w:sz w:val="22"/>
          <w:szCs w:val="22"/>
        </w:rPr>
        <w:t>â</w:t>
      </w:r>
      <w:r w:rsidRPr="00254B55">
        <w:rPr>
          <w:rFonts w:ascii="Trebuchet MS" w:hAnsi="Trebuchet MS" w:cs="Arial"/>
          <w:sz w:val="22"/>
          <w:szCs w:val="22"/>
        </w:rPr>
        <w:t xml:space="preserve">t aceasta are un caracter exclusiv </w:t>
      </w:r>
      <w:r w:rsidRPr="00254B55">
        <w:rPr>
          <w:rFonts w:ascii="Trebuchet MS" w:hAnsi="Trebuchet MS" w:cs="Arial"/>
          <w:b/>
          <w:sz w:val="22"/>
          <w:szCs w:val="22"/>
        </w:rPr>
        <w:t>informativ</w:t>
      </w:r>
      <w:r w:rsidRPr="00254B55">
        <w:rPr>
          <w:rFonts w:ascii="Trebuchet MS" w:hAnsi="Trebuchet MS" w:cs="Arial"/>
          <w:sz w:val="22"/>
          <w:szCs w:val="22"/>
        </w:rPr>
        <w:t>.</w:t>
      </w:r>
    </w:p>
    <w:p w:rsidR="00B63C48" w:rsidRPr="00254B55" w:rsidRDefault="00B63C48" w:rsidP="00B63C48">
      <w:pPr>
        <w:ind w:firstLine="567"/>
        <w:jc w:val="both"/>
        <w:rPr>
          <w:rFonts w:ascii="Trebuchet MS" w:hAnsi="Trebuchet MS" w:cs="Arial"/>
          <w:sz w:val="22"/>
          <w:szCs w:val="22"/>
        </w:rPr>
      </w:pPr>
      <w:r w:rsidRPr="00254B55">
        <w:rPr>
          <w:rFonts w:ascii="Arial" w:hAnsi="Arial" w:cs="Arial"/>
          <w:sz w:val="22"/>
          <w:szCs w:val="22"/>
        </w:rPr>
        <w:t>Ȋ</w:t>
      </w:r>
      <w:r w:rsidRPr="00254B55">
        <w:rPr>
          <w:rFonts w:ascii="Trebuchet MS" w:hAnsi="Trebuchet MS" w:cs="Arial"/>
          <w:sz w:val="22"/>
          <w:szCs w:val="22"/>
        </w:rPr>
        <w:t xml:space="preserve">n această perioadă, nivelurile medii anuale au </w:t>
      </w:r>
      <w:r w:rsidRPr="00254B55">
        <w:rPr>
          <w:rFonts w:ascii="Arial" w:hAnsi="Arial" w:cs="Arial"/>
          <w:sz w:val="22"/>
          <w:szCs w:val="22"/>
        </w:rPr>
        <w:t>ȋ</w:t>
      </w:r>
      <w:r w:rsidRPr="00254B55">
        <w:rPr>
          <w:rFonts w:ascii="Trebuchet MS" w:hAnsi="Trebuchet MS" w:cs="Arial"/>
          <w:sz w:val="22"/>
          <w:szCs w:val="22"/>
        </w:rPr>
        <w:t>nregistrat sc</w:t>
      </w:r>
      <w:r w:rsidRPr="00254B55">
        <w:rPr>
          <w:rFonts w:ascii="Trebuchet MS" w:hAnsi="Trebuchet MS" w:cs="Trebuchet MS"/>
          <w:sz w:val="22"/>
          <w:szCs w:val="22"/>
        </w:rPr>
        <w:t>ă</w:t>
      </w:r>
      <w:r w:rsidRPr="00254B55">
        <w:rPr>
          <w:rFonts w:ascii="Trebuchet MS" w:hAnsi="Trebuchet MS" w:cs="Arial"/>
          <w:sz w:val="22"/>
          <w:szCs w:val="22"/>
        </w:rPr>
        <w:t xml:space="preserve">deri </w:t>
      </w:r>
      <w:r w:rsidRPr="00254B55">
        <w:rPr>
          <w:rFonts w:ascii="Arial" w:hAnsi="Arial" w:cs="Arial"/>
          <w:sz w:val="22"/>
          <w:szCs w:val="22"/>
        </w:rPr>
        <w:t>ȋ</w:t>
      </w:r>
      <w:r w:rsidRPr="00254B55">
        <w:rPr>
          <w:rFonts w:ascii="Trebuchet MS" w:hAnsi="Trebuchet MS" w:cs="Arial"/>
          <w:sz w:val="22"/>
          <w:szCs w:val="22"/>
        </w:rPr>
        <w:t xml:space="preserve">n toate regiunile ţării,  cu o frecvenţă cuprinsă </w:t>
      </w:r>
      <w:r w:rsidRPr="00254B55">
        <w:rPr>
          <w:rFonts w:ascii="Arial" w:hAnsi="Arial" w:cs="Arial"/>
          <w:sz w:val="22"/>
          <w:szCs w:val="22"/>
        </w:rPr>
        <w:t>ȋ</w:t>
      </w:r>
      <w:r w:rsidRPr="00254B55">
        <w:rPr>
          <w:rFonts w:ascii="Trebuchet MS" w:hAnsi="Trebuchet MS" w:cs="Calibri"/>
          <w:sz w:val="22"/>
          <w:szCs w:val="22"/>
        </w:rPr>
        <w:t>ntre</w:t>
      </w:r>
      <w:r w:rsidRPr="00254B55">
        <w:rPr>
          <w:rFonts w:ascii="Trebuchet MS" w:hAnsi="Trebuchet MS" w:cs="Arial"/>
          <w:sz w:val="22"/>
          <w:szCs w:val="22"/>
        </w:rPr>
        <w:t xml:space="preserve"> </w:t>
      </w:r>
      <w:r w:rsidRPr="00254B55">
        <w:rPr>
          <w:rFonts w:ascii="Trebuchet MS" w:hAnsi="Trebuchet MS" w:cs="Arial"/>
          <w:b/>
          <w:sz w:val="22"/>
          <w:szCs w:val="22"/>
        </w:rPr>
        <w:t>80%</w:t>
      </w:r>
      <w:r w:rsidRPr="00254B55">
        <w:rPr>
          <w:rFonts w:ascii="Trebuchet MS" w:hAnsi="Trebuchet MS" w:cs="Arial"/>
          <w:sz w:val="22"/>
          <w:szCs w:val="22"/>
        </w:rPr>
        <w:t xml:space="preserve"> din numărul forajelor situate </w:t>
      </w:r>
      <w:r w:rsidRPr="00254B55">
        <w:rPr>
          <w:rFonts w:ascii="Arial" w:hAnsi="Arial" w:cs="Arial"/>
          <w:sz w:val="22"/>
          <w:szCs w:val="22"/>
        </w:rPr>
        <w:t>ȋ</w:t>
      </w:r>
      <w:r w:rsidRPr="00254B55">
        <w:rPr>
          <w:rFonts w:ascii="Trebuchet MS" w:hAnsi="Trebuchet MS" w:cs="Arial"/>
          <w:sz w:val="22"/>
          <w:szCs w:val="22"/>
        </w:rPr>
        <w:t xml:space="preserve">n </w:t>
      </w:r>
      <w:r w:rsidRPr="00254B55">
        <w:rPr>
          <w:rFonts w:ascii="Trebuchet MS" w:hAnsi="Trebuchet MS" w:cs="Arial"/>
          <w:bCs/>
          <w:sz w:val="22"/>
          <w:szCs w:val="22"/>
        </w:rPr>
        <w:t xml:space="preserve">Câmpia Română, Piemontul Getic şi Subcarpaţii Getici </w:t>
      </w:r>
      <w:r w:rsidRPr="00254B55">
        <w:rPr>
          <w:rFonts w:ascii="Trebuchet MS" w:hAnsi="Trebuchet MS" w:cs="Trebuchet MS"/>
          <w:bCs/>
          <w:sz w:val="22"/>
          <w:szCs w:val="22"/>
        </w:rPr>
        <w:t>ş</w:t>
      </w:r>
      <w:r w:rsidRPr="00254B55">
        <w:rPr>
          <w:rFonts w:ascii="Trebuchet MS" w:hAnsi="Trebuchet MS" w:cs="Arial"/>
          <w:bCs/>
          <w:sz w:val="22"/>
          <w:szCs w:val="22"/>
        </w:rPr>
        <w:t xml:space="preserve">i </w:t>
      </w:r>
      <w:r w:rsidRPr="00254B55">
        <w:rPr>
          <w:rFonts w:ascii="Trebuchet MS" w:hAnsi="Trebuchet MS" w:cs="Arial"/>
          <w:b/>
          <w:bCs/>
          <w:sz w:val="22"/>
          <w:szCs w:val="22"/>
        </w:rPr>
        <w:t>60%</w:t>
      </w:r>
      <w:r w:rsidRPr="00254B55">
        <w:rPr>
          <w:rFonts w:ascii="Trebuchet MS" w:hAnsi="Trebuchet MS" w:cs="Arial"/>
          <w:bCs/>
          <w:sz w:val="22"/>
          <w:szCs w:val="22"/>
        </w:rPr>
        <w:t xml:space="preserve"> pentru Depresiunea Transilvaniei</w:t>
      </w:r>
      <w:r w:rsidRPr="00254B55">
        <w:rPr>
          <w:rFonts w:ascii="Trebuchet MS" w:hAnsi="Trebuchet MS" w:cs="Arial"/>
          <w:sz w:val="22"/>
          <w:szCs w:val="22"/>
        </w:rPr>
        <w:t xml:space="preserve"> şi depresiunile din Carpații Orientali. </w:t>
      </w:r>
    </w:p>
    <w:p w:rsidR="00B63C48" w:rsidRPr="00254B55" w:rsidRDefault="00B63C48" w:rsidP="00B63C48">
      <w:pPr>
        <w:ind w:firstLine="567"/>
        <w:jc w:val="both"/>
        <w:rPr>
          <w:rFonts w:ascii="Trebuchet MS" w:hAnsi="Trebuchet MS" w:cs="Calibri"/>
          <w:bCs/>
          <w:color w:val="000000"/>
          <w:sz w:val="22"/>
          <w:szCs w:val="22"/>
        </w:rPr>
      </w:pPr>
      <w:r w:rsidRPr="00254B55">
        <w:rPr>
          <w:rFonts w:ascii="Trebuchet MS" w:hAnsi="Trebuchet MS" w:cs="Arial"/>
          <w:bCs/>
          <w:color w:val="000000"/>
          <w:sz w:val="22"/>
          <w:szCs w:val="22"/>
        </w:rPr>
        <w:t xml:space="preserve">Creşterile de nivel piezometric s-au </w:t>
      </w:r>
      <w:r w:rsidRPr="00254B55">
        <w:rPr>
          <w:rFonts w:ascii="Arial" w:hAnsi="Arial" w:cs="Arial"/>
          <w:bCs/>
          <w:color w:val="000000"/>
          <w:sz w:val="22"/>
          <w:szCs w:val="22"/>
        </w:rPr>
        <w:t>ȋ</w:t>
      </w:r>
      <w:r w:rsidRPr="00254B55">
        <w:rPr>
          <w:rFonts w:ascii="Trebuchet MS" w:hAnsi="Trebuchet MS" w:cs="Arial"/>
          <w:bCs/>
          <w:color w:val="000000"/>
          <w:sz w:val="22"/>
          <w:szCs w:val="22"/>
        </w:rPr>
        <w:t xml:space="preserve">nregistrat </w:t>
      </w:r>
      <w:r w:rsidRPr="00254B55">
        <w:rPr>
          <w:rFonts w:ascii="Arial" w:hAnsi="Arial" w:cs="Arial"/>
          <w:bCs/>
          <w:color w:val="000000"/>
          <w:sz w:val="22"/>
          <w:szCs w:val="22"/>
        </w:rPr>
        <w:t>ȋ</w:t>
      </w:r>
      <w:r w:rsidRPr="00254B55">
        <w:rPr>
          <w:rFonts w:ascii="Trebuchet MS" w:hAnsi="Trebuchet MS" w:cs="Arial"/>
          <w:bCs/>
          <w:color w:val="000000"/>
          <w:sz w:val="22"/>
          <w:szCs w:val="22"/>
        </w:rPr>
        <w:t>ntr-un num</w:t>
      </w:r>
      <w:r w:rsidRPr="00254B55">
        <w:rPr>
          <w:rFonts w:ascii="Trebuchet MS" w:hAnsi="Trebuchet MS" w:cs="Trebuchet MS"/>
          <w:bCs/>
          <w:color w:val="000000"/>
          <w:sz w:val="22"/>
          <w:szCs w:val="22"/>
        </w:rPr>
        <w:t>ă</w:t>
      </w:r>
      <w:r w:rsidRPr="00254B55">
        <w:rPr>
          <w:rFonts w:ascii="Trebuchet MS" w:hAnsi="Trebuchet MS" w:cs="Arial"/>
          <w:bCs/>
          <w:color w:val="000000"/>
          <w:sz w:val="22"/>
          <w:szCs w:val="22"/>
        </w:rPr>
        <w:t xml:space="preserve">r de 45 de puncte de monitorizare, ceea ce reprezintă aproximativ 17% din numărul total, iar scăderile, </w:t>
      </w:r>
      <w:r w:rsidRPr="00254B55">
        <w:rPr>
          <w:rFonts w:ascii="Arial" w:hAnsi="Arial" w:cs="Arial"/>
          <w:bCs/>
          <w:color w:val="000000"/>
          <w:sz w:val="22"/>
          <w:szCs w:val="22"/>
        </w:rPr>
        <w:t>ȋ</w:t>
      </w:r>
      <w:r w:rsidRPr="00254B55">
        <w:rPr>
          <w:rFonts w:ascii="Trebuchet MS" w:hAnsi="Trebuchet MS" w:cs="Calibri"/>
          <w:bCs/>
          <w:color w:val="000000"/>
          <w:sz w:val="22"/>
          <w:szCs w:val="22"/>
        </w:rPr>
        <w:t xml:space="preserve">n 201 de puncte (75%), situaţie asemănătoare analizei efectuate </w:t>
      </w:r>
      <w:r w:rsidRPr="00254B55">
        <w:rPr>
          <w:rFonts w:ascii="Arial" w:hAnsi="Arial" w:cs="Arial"/>
          <w:bCs/>
          <w:color w:val="000000"/>
          <w:sz w:val="22"/>
          <w:szCs w:val="22"/>
        </w:rPr>
        <w:t>ȋ</w:t>
      </w:r>
      <w:r w:rsidRPr="00254B55">
        <w:rPr>
          <w:rFonts w:ascii="Trebuchet MS" w:hAnsi="Trebuchet MS" w:cs="Calibri"/>
          <w:bCs/>
          <w:color w:val="000000"/>
          <w:sz w:val="22"/>
          <w:szCs w:val="22"/>
        </w:rPr>
        <w:t xml:space="preserve">n perioada 2015 – 2022. </w:t>
      </w:r>
      <w:r w:rsidRPr="00254B55">
        <w:rPr>
          <w:rFonts w:ascii="Trebuchet MS" w:hAnsi="Trebuchet MS" w:cs="Arial"/>
          <w:bCs/>
          <w:color w:val="000000"/>
          <w:sz w:val="22"/>
          <w:szCs w:val="22"/>
        </w:rPr>
        <w:t xml:space="preserve">Cu excepţia Podişului Moldovei, </w:t>
      </w:r>
      <w:r w:rsidRPr="00254B55">
        <w:rPr>
          <w:rFonts w:ascii="Trebuchet MS" w:hAnsi="Trebuchet MS" w:cs="Arial"/>
          <w:sz w:val="22"/>
          <w:szCs w:val="22"/>
        </w:rPr>
        <w:t xml:space="preserve">Subcarpaților Orientali şi de Curbură, unde creşterile au ponderi de 23% şi a </w:t>
      </w:r>
      <w:r w:rsidRPr="00254B55">
        <w:rPr>
          <w:rFonts w:ascii="Trebuchet MS" w:hAnsi="Trebuchet MS" w:cs="Arial"/>
          <w:bCs/>
          <w:sz w:val="22"/>
          <w:szCs w:val="22"/>
        </w:rPr>
        <w:t>Depresiunii Transilvaniei şi depresiunilor din Carpaţii Orientali</w:t>
      </w:r>
      <w:r w:rsidRPr="00254B55">
        <w:rPr>
          <w:rFonts w:ascii="Trebuchet MS" w:hAnsi="Trebuchet MS" w:cs="Arial"/>
          <w:sz w:val="22"/>
          <w:szCs w:val="22"/>
        </w:rPr>
        <w:t xml:space="preserve">, (18%), </w:t>
      </w:r>
      <w:r w:rsidRPr="00254B55">
        <w:rPr>
          <w:rFonts w:ascii="Arial" w:hAnsi="Arial" w:cs="Arial"/>
          <w:sz w:val="22"/>
          <w:szCs w:val="22"/>
        </w:rPr>
        <w:t>ȋ</w:t>
      </w:r>
      <w:r w:rsidRPr="00254B55">
        <w:rPr>
          <w:rFonts w:ascii="Trebuchet MS" w:hAnsi="Trebuchet MS" w:cs="Arial"/>
          <w:sz w:val="22"/>
          <w:szCs w:val="22"/>
        </w:rPr>
        <w:t xml:space="preserve">n celelalte zone ale ţării frecvenţa este cuprimsă </w:t>
      </w:r>
      <w:r w:rsidRPr="00254B55">
        <w:rPr>
          <w:rFonts w:ascii="Arial" w:hAnsi="Arial" w:cs="Arial"/>
          <w:sz w:val="22"/>
          <w:szCs w:val="22"/>
        </w:rPr>
        <w:t>ȋ</w:t>
      </w:r>
      <w:r w:rsidRPr="00254B55">
        <w:rPr>
          <w:rFonts w:ascii="Trebuchet MS" w:hAnsi="Trebuchet MS" w:cs="Calibri"/>
          <w:sz w:val="22"/>
          <w:szCs w:val="22"/>
        </w:rPr>
        <w:t>ntre 11 şi 16%</w:t>
      </w:r>
      <w:r w:rsidRPr="00254B55">
        <w:rPr>
          <w:rFonts w:ascii="Trebuchet MS" w:hAnsi="Trebuchet MS" w:cs="Arial"/>
          <w:sz w:val="22"/>
          <w:szCs w:val="22"/>
        </w:rPr>
        <w:t xml:space="preserve">. </w:t>
      </w:r>
    </w:p>
    <w:p w:rsidR="00B63C48" w:rsidRPr="00254B55" w:rsidRDefault="00B63C48" w:rsidP="00B63C48">
      <w:pPr>
        <w:ind w:firstLine="397"/>
        <w:jc w:val="both"/>
        <w:rPr>
          <w:rFonts w:ascii="Trebuchet MS" w:hAnsi="Trebuchet MS" w:cs="Arial"/>
          <w:bCs/>
          <w:color w:val="000000"/>
          <w:sz w:val="22"/>
          <w:szCs w:val="22"/>
        </w:rPr>
      </w:pPr>
      <w:r w:rsidRPr="00254B55">
        <w:rPr>
          <w:rFonts w:ascii="Arial" w:hAnsi="Arial" w:cs="Arial"/>
          <w:bCs/>
          <w:color w:val="000000"/>
          <w:sz w:val="22"/>
          <w:szCs w:val="22"/>
        </w:rPr>
        <w:t>Ȋ</w:t>
      </w:r>
      <w:r w:rsidRPr="00254B55">
        <w:rPr>
          <w:rFonts w:ascii="Trebuchet MS" w:hAnsi="Trebuchet MS" w:cs="Arial"/>
          <w:bCs/>
          <w:color w:val="000000"/>
          <w:sz w:val="22"/>
          <w:szCs w:val="22"/>
        </w:rPr>
        <w:t>n ceea ce prive</w:t>
      </w:r>
      <w:r w:rsidRPr="00254B55">
        <w:rPr>
          <w:rFonts w:ascii="Trebuchet MS" w:hAnsi="Trebuchet MS" w:cs="Trebuchet MS"/>
          <w:bCs/>
          <w:color w:val="000000"/>
          <w:sz w:val="22"/>
          <w:szCs w:val="22"/>
        </w:rPr>
        <w:t>ş</w:t>
      </w:r>
      <w:r w:rsidRPr="00254B55">
        <w:rPr>
          <w:rFonts w:ascii="Trebuchet MS" w:hAnsi="Trebuchet MS" w:cs="Arial"/>
          <w:bCs/>
          <w:color w:val="000000"/>
          <w:sz w:val="22"/>
          <w:szCs w:val="22"/>
        </w:rPr>
        <w:t>te compara</w:t>
      </w:r>
      <w:r w:rsidRPr="00254B55">
        <w:rPr>
          <w:rFonts w:ascii="Trebuchet MS" w:hAnsi="Trebuchet MS" w:cs="Trebuchet MS"/>
          <w:bCs/>
          <w:color w:val="000000"/>
          <w:sz w:val="22"/>
          <w:szCs w:val="22"/>
        </w:rPr>
        <w:t>ţ</w:t>
      </w:r>
      <w:r w:rsidRPr="00254B55">
        <w:rPr>
          <w:rFonts w:ascii="Trebuchet MS" w:hAnsi="Trebuchet MS" w:cs="Arial"/>
          <w:bCs/>
          <w:color w:val="000000"/>
          <w:sz w:val="22"/>
          <w:szCs w:val="22"/>
        </w:rPr>
        <w:t xml:space="preserve">ia cu mediile multianuale, acviferele freatice din </w:t>
      </w:r>
      <w:r w:rsidRPr="00254B55">
        <w:rPr>
          <w:rFonts w:ascii="Trebuchet MS" w:hAnsi="Trebuchet MS" w:cs="Arial"/>
          <w:bCs/>
          <w:sz w:val="22"/>
          <w:szCs w:val="22"/>
        </w:rPr>
        <w:t>Depresiunea Transilvaniei</w:t>
      </w:r>
      <w:r w:rsidRPr="00254B55">
        <w:rPr>
          <w:rFonts w:ascii="Trebuchet MS" w:hAnsi="Trebuchet MS" w:cs="Arial"/>
          <w:sz w:val="22"/>
          <w:szCs w:val="22"/>
        </w:rPr>
        <w:t xml:space="preserve"> şi depresiunile din Carpații Orientali</w:t>
      </w:r>
      <w:r w:rsidRPr="00254B55">
        <w:rPr>
          <w:rFonts w:ascii="Trebuchet MS" w:hAnsi="Trebuchet MS" w:cs="Arial"/>
          <w:bCs/>
          <w:color w:val="000000"/>
          <w:sz w:val="22"/>
          <w:szCs w:val="22"/>
        </w:rPr>
        <w:t xml:space="preserve"> sunt afectate de o pondere ridicată, respectiv, 73% dintre forajele de monitorizare au valori anuale mai mici decât valorile multianuale, faţă de 80%, frecvenţă calculată </w:t>
      </w:r>
      <w:r w:rsidRPr="00254B55">
        <w:rPr>
          <w:rFonts w:ascii="Arial" w:hAnsi="Arial" w:cs="Arial"/>
          <w:bCs/>
          <w:color w:val="000000"/>
          <w:sz w:val="22"/>
          <w:szCs w:val="22"/>
        </w:rPr>
        <w:t>ȋ</w:t>
      </w:r>
      <w:r w:rsidRPr="00254B55">
        <w:rPr>
          <w:rFonts w:ascii="Trebuchet MS" w:hAnsi="Trebuchet MS" w:cs="Arial"/>
          <w:bCs/>
          <w:color w:val="000000"/>
          <w:sz w:val="22"/>
          <w:szCs w:val="22"/>
        </w:rPr>
        <w:t xml:space="preserve">n analiza din anul 2023. </w:t>
      </w:r>
    </w:p>
    <w:p w:rsidR="00B63C48" w:rsidRPr="00254B55" w:rsidRDefault="00B63C48" w:rsidP="00B63C48">
      <w:pPr>
        <w:ind w:firstLine="567"/>
        <w:jc w:val="both"/>
        <w:rPr>
          <w:rFonts w:ascii="Trebuchet MS" w:hAnsi="Trebuchet MS" w:cs="Calibri"/>
          <w:bCs/>
          <w:color w:val="000000"/>
          <w:sz w:val="22"/>
          <w:szCs w:val="22"/>
        </w:rPr>
      </w:pPr>
      <w:r w:rsidRPr="00254B55">
        <w:rPr>
          <w:rFonts w:ascii="Arial" w:hAnsi="Arial" w:cs="Arial"/>
          <w:b/>
          <w:sz w:val="22"/>
          <w:szCs w:val="22"/>
        </w:rPr>
        <w:t>Ȋ</w:t>
      </w:r>
      <w:r w:rsidRPr="00254B55">
        <w:rPr>
          <w:rFonts w:ascii="Trebuchet MS" w:hAnsi="Trebuchet MS" w:cs="Arial"/>
          <w:b/>
          <w:sz w:val="22"/>
          <w:szCs w:val="22"/>
        </w:rPr>
        <w:t>n anul 2023</w:t>
      </w:r>
      <w:r w:rsidRPr="00254B55">
        <w:rPr>
          <w:rFonts w:ascii="Trebuchet MS" w:hAnsi="Trebuchet MS" w:cs="Arial"/>
          <w:sz w:val="22"/>
          <w:szCs w:val="22"/>
        </w:rPr>
        <w:t xml:space="preserve"> nivelurile medii anuale au </w:t>
      </w:r>
      <w:r w:rsidRPr="00254B55">
        <w:rPr>
          <w:rFonts w:ascii="Arial" w:hAnsi="Arial" w:cs="Arial"/>
          <w:sz w:val="22"/>
          <w:szCs w:val="22"/>
        </w:rPr>
        <w:t>ȋ</w:t>
      </w:r>
      <w:r w:rsidRPr="00254B55">
        <w:rPr>
          <w:rFonts w:ascii="Trebuchet MS" w:hAnsi="Trebuchet MS" w:cs="Arial"/>
          <w:sz w:val="22"/>
          <w:szCs w:val="22"/>
        </w:rPr>
        <w:t xml:space="preserve">nregistrat </w:t>
      </w:r>
      <w:r w:rsidRPr="00254B55">
        <w:rPr>
          <w:rFonts w:ascii="Trebuchet MS" w:hAnsi="Trebuchet MS" w:cs="Arial"/>
          <w:b/>
          <w:sz w:val="22"/>
          <w:szCs w:val="22"/>
        </w:rPr>
        <w:t>sc</w:t>
      </w:r>
      <w:r w:rsidRPr="00254B55">
        <w:rPr>
          <w:rFonts w:ascii="Trebuchet MS" w:hAnsi="Trebuchet MS" w:cs="Trebuchet MS"/>
          <w:b/>
          <w:sz w:val="22"/>
          <w:szCs w:val="22"/>
        </w:rPr>
        <w:t>ă</w:t>
      </w:r>
      <w:r w:rsidRPr="00254B55">
        <w:rPr>
          <w:rFonts w:ascii="Trebuchet MS" w:hAnsi="Trebuchet MS" w:cs="Arial"/>
          <w:b/>
          <w:sz w:val="22"/>
          <w:szCs w:val="22"/>
        </w:rPr>
        <w:t>deri</w:t>
      </w:r>
      <w:r w:rsidRPr="00254B55">
        <w:rPr>
          <w:rFonts w:ascii="Trebuchet MS" w:hAnsi="Trebuchet MS" w:cs="Arial"/>
          <w:sz w:val="22"/>
          <w:szCs w:val="22"/>
        </w:rPr>
        <w:t xml:space="preserve"> faţă de </w:t>
      </w:r>
      <w:r w:rsidRPr="00254B55">
        <w:rPr>
          <w:rFonts w:ascii="Trebuchet MS" w:hAnsi="Trebuchet MS" w:cs="Arial"/>
          <w:bCs/>
          <w:color w:val="000000"/>
          <w:sz w:val="22"/>
          <w:szCs w:val="22"/>
        </w:rPr>
        <w:t xml:space="preserve">mediile multianuale </w:t>
      </w:r>
      <w:r w:rsidRPr="00254B55">
        <w:rPr>
          <w:rFonts w:ascii="Arial" w:hAnsi="Arial" w:cs="Arial"/>
          <w:bCs/>
          <w:color w:val="000000"/>
          <w:sz w:val="22"/>
          <w:szCs w:val="22"/>
        </w:rPr>
        <w:t>ȋ</w:t>
      </w:r>
      <w:r w:rsidRPr="00254B55">
        <w:rPr>
          <w:rFonts w:ascii="Trebuchet MS" w:hAnsi="Trebuchet MS" w:cs="Calibri"/>
          <w:bCs/>
          <w:color w:val="000000"/>
          <w:sz w:val="22"/>
          <w:szCs w:val="22"/>
        </w:rPr>
        <w:t xml:space="preserve">n aproximativ 80% din numărul total de foraje analizate la nivelu </w:t>
      </w:r>
      <w:r w:rsidRPr="00254B55">
        <w:rPr>
          <w:rFonts w:ascii="Arial" w:hAnsi="Arial" w:cs="Arial"/>
          <w:bCs/>
          <w:color w:val="000000"/>
          <w:sz w:val="22"/>
          <w:szCs w:val="22"/>
        </w:rPr>
        <w:t>ȋ</w:t>
      </w:r>
      <w:r w:rsidRPr="00254B55">
        <w:rPr>
          <w:rFonts w:ascii="Trebuchet MS" w:hAnsi="Trebuchet MS" w:cs="Calibri"/>
          <w:bCs/>
          <w:color w:val="000000"/>
          <w:sz w:val="22"/>
          <w:szCs w:val="22"/>
        </w:rPr>
        <w:t>ntregii ţări.</w:t>
      </w:r>
    </w:p>
    <w:p w:rsidR="00B63C48" w:rsidRPr="00254B55" w:rsidRDefault="00B63C48" w:rsidP="00B63C48">
      <w:pPr>
        <w:ind w:firstLine="567"/>
        <w:jc w:val="both"/>
        <w:rPr>
          <w:rFonts w:ascii="Trebuchet MS" w:hAnsi="Trebuchet MS" w:cs="Calibri"/>
          <w:bCs/>
          <w:color w:val="000000"/>
          <w:sz w:val="22"/>
          <w:szCs w:val="22"/>
        </w:rPr>
      </w:pPr>
      <w:r w:rsidRPr="00254B55">
        <w:rPr>
          <w:rFonts w:ascii="Trebuchet MS" w:hAnsi="Trebuchet MS" w:cs="Arial"/>
          <w:b/>
          <w:bCs/>
          <w:color w:val="000000"/>
          <w:sz w:val="22"/>
          <w:szCs w:val="22"/>
        </w:rPr>
        <w:t>Creşterile</w:t>
      </w:r>
      <w:r w:rsidRPr="00254B55">
        <w:rPr>
          <w:rFonts w:ascii="Trebuchet MS" w:hAnsi="Trebuchet MS" w:cs="Arial"/>
          <w:bCs/>
          <w:color w:val="000000"/>
          <w:sz w:val="22"/>
          <w:szCs w:val="22"/>
        </w:rPr>
        <w:t xml:space="preserve"> de nivel piezometric s-au </w:t>
      </w:r>
      <w:r w:rsidRPr="00254B55">
        <w:rPr>
          <w:rFonts w:ascii="Arial" w:hAnsi="Arial" w:cs="Arial"/>
          <w:bCs/>
          <w:color w:val="000000"/>
          <w:sz w:val="22"/>
          <w:szCs w:val="22"/>
        </w:rPr>
        <w:t>ȋ</w:t>
      </w:r>
      <w:r w:rsidRPr="00254B55">
        <w:rPr>
          <w:rFonts w:ascii="Trebuchet MS" w:hAnsi="Trebuchet MS" w:cs="Arial"/>
          <w:bCs/>
          <w:color w:val="000000"/>
          <w:sz w:val="22"/>
          <w:szCs w:val="22"/>
        </w:rPr>
        <w:t xml:space="preserve">nregistrat </w:t>
      </w:r>
      <w:r w:rsidRPr="00254B55">
        <w:rPr>
          <w:rFonts w:ascii="Arial" w:hAnsi="Arial" w:cs="Arial"/>
          <w:bCs/>
          <w:color w:val="000000"/>
          <w:sz w:val="22"/>
          <w:szCs w:val="22"/>
        </w:rPr>
        <w:t>ȋ</w:t>
      </w:r>
      <w:r w:rsidRPr="00254B55">
        <w:rPr>
          <w:rFonts w:ascii="Trebuchet MS" w:hAnsi="Trebuchet MS" w:cs="Calibri"/>
          <w:bCs/>
          <w:color w:val="000000"/>
          <w:sz w:val="22"/>
          <w:szCs w:val="22"/>
        </w:rPr>
        <w:t xml:space="preserve">n anul 2023 faţă de anul precedent </w:t>
      </w:r>
      <w:r w:rsidRPr="00254B55">
        <w:rPr>
          <w:rFonts w:ascii="Arial" w:hAnsi="Arial" w:cs="Arial"/>
          <w:bCs/>
          <w:color w:val="000000"/>
          <w:sz w:val="22"/>
          <w:szCs w:val="22"/>
        </w:rPr>
        <w:t>ȋ</w:t>
      </w:r>
      <w:r w:rsidRPr="00254B55">
        <w:rPr>
          <w:rFonts w:ascii="Trebuchet MS" w:hAnsi="Trebuchet MS" w:cs="Arial"/>
          <w:bCs/>
          <w:color w:val="000000"/>
          <w:sz w:val="22"/>
          <w:szCs w:val="22"/>
        </w:rPr>
        <w:t>ntr-un num</w:t>
      </w:r>
      <w:r w:rsidRPr="00254B55">
        <w:rPr>
          <w:rFonts w:ascii="Trebuchet MS" w:hAnsi="Trebuchet MS" w:cs="Trebuchet MS"/>
          <w:bCs/>
          <w:color w:val="000000"/>
          <w:sz w:val="22"/>
          <w:szCs w:val="22"/>
        </w:rPr>
        <w:t>ă</w:t>
      </w:r>
      <w:r w:rsidRPr="00254B55">
        <w:rPr>
          <w:rFonts w:ascii="Trebuchet MS" w:hAnsi="Trebuchet MS" w:cs="Arial"/>
          <w:bCs/>
          <w:color w:val="000000"/>
          <w:sz w:val="22"/>
          <w:szCs w:val="22"/>
        </w:rPr>
        <w:t xml:space="preserve">r de 126 de foraje, la nivelul </w:t>
      </w:r>
      <w:r w:rsidRPr="00254B55">
        <w:rPr>
          <w:rFonts w:ascii="Arial" w:hAnsi="Arial" w:cs="Arial"/>
          <w:bCs/>
          <w:color w:val="000000"/>
          <w:sz w:val="22"/>
          <w:szCs w:val="22"/>
        </w:rPr>
        <w:t>ȋ</w:t>
      </w:r>
      <w:r w:rsidRPr="00254B55">
        <w:rPr>
          <w:rFonts w:ascii="Trebuchet MS" w:hAnsi="Trebuchet MS" w:cs="Calibri"/>
          <w:bCs/>
          <w:color w:val="000000"/>
          <w:sz w:val="22"/>
          <w:szCs w:val="22"/>
        </w:rPr>
        <w:t xml:space="preserve">ntregii ţări, reprezentând o pondere de </w:t>
      </w:r>
      <w:r w:rsidRPr="00254B55">
        <w:rPr>
          <w:rFonts w:ascii="Trebuchet MS" w:hAnsi="Trebuchet MS" w:cs="Calibri"/>
          <w:b/>
          <w:bCs/>
          <w:color w:val="000000"/>
          <w:sz w:val="22"/>
          <w:szCs w:val="22"/>
        </w:rPr>
        <w:t>48%</w:t>
      </w:r>
      <w:r w:rsidRPr="00254B55">
        <w:rPr>
          <w:rFonts w:ascii="Trebuchet MS" w:hAnsi="Trebuchet MS" w:cs="Arial"/>
          <w:bCs/>
          <w:color w:val="000000"/>
          <w:sz w:val="22"/>
          <w:szCs w:val="22"/>
        </w:rPr>
        <w:t xml:space="preserve">. </w:t>
      </w:r>
      <w:r w:rsidRPr="00254B55">
        <w:rPr>
          <w:rFonts w:ascii="Trebuchet MS" w:hAnsi="Trebuchet MS" w:cs="Arial"/>
          <w:bCs/>
          <w:i/>
          <w:color w:val="000000"/>
          <w:sz w:val="22"/>
          <w:szCs w:val="22"/>
        </w:rPr>
        <w:tab/>
      </w:r>
      <w:r w:rsidRPr="00254B55">
        <w:rPr>
          <w:rFonts w:ascii="Trebuchet MS" w:hAnsi="Trebuchet MS" w:cs="Calibri"/>
          <w:bCs/>
          <w:color w:val="000000"/>
          <w:sz w:val="22"/>
          <w:szCs w:val="22"/>
        </w:rPr>
        <w:t>Din punct de vedere al regimului precipitaţiilor cumulate se remarcă un excedent la nivelul anului 2023 faţă de anul 2022, de până la 278 l/m</w:t>
      </w:r>
      <w:r w:rsidRPr="00254B55">
        <w:rPr>
          <w:rFonts w:ascii="Trebuchet MS" w:hAnsi="Trebuchet MS" w:cs="Calibri"/>
          <w:bCs/>
          <w:color w:val="000000"/>
          <w:sz w:val="22"/>
          <w:szCs w:val="22"/>
          <w:vertAlign w:val="superscript"/>
        </w:rPr>
        <w:t>2</w:t>
      </w:r>
      <w:r w:rsidRPr="00254B55">
        <w:rPr>
          <w:rFonts w:ascii="Trebuchet MS" w:hAnsi="Trebuchet MS" w:cs="Calibri"/>
          <w:bCs/>
          <w:color w:val="000000"/>
          <w:sz w:val="22"/>
          <w:szCs w:val="22"/>
        </w:rPr>
        <w:t xml:space="preserve"> (Dealurile Nerei), </w:t>
      </w:r>
      <w:r w:rsidRPr="00254B55">
        <w:rPr>
          <w:rFonts w:ascii="Arial" w:hAnsi="Arial" w:cs="Arial"/>
          <w:bCs/>
          <w:color w:val="000000"/>
          <w:sz w:val="22"/>
          <w:szCs w:val="22"/>
        </w:rPr>
        <w:t>ȋ</w:t>
      </w:r>
      <w:r w:rsidRPr="00254B55">
        <w:rPr>
          <w:rFonts w:ascii="Trebuchet MS" w:hAnsi="Trebuchet MS" w:cs="Calibri"/>
          <w:bCs/>
          <w:color w:val="000000"/>
          <w:sz w:val="22"/>
          <w:szCs w:val="22"/>
        </w:rPr>
        <w:t>n aproape 81% din numărul total al punctelor de monitorizare.</w:t>
      </w:r>
    </w:p>
    <w:p w:rsidR="00B63C48" w:rsidRPr="00254B55" w:rsidRDefault="00B63C48" w:rsidP="00B63C48">
      <w:pPr>
        <w:rPr>
          <w:rFonts w:ascii="Trebuchet MS" w:hAnsi="Trebuchet MS" w:cs="Arial"/>
          <w:b/>
          <w:sz w:val="22"/>
          <w:szCs w:val="22"/>
          <w:u w:val="single"/>
        </w:rPr>
      </w:pPr>
    </w:p>
    <w:p w:rsidR="00B63C48" w:rsidRPr="00254B55" w:rsidRDefault="00B63C48" w:rsidP="00B63C48">
      <w:pPr>
        <w:rPr>
          <w:rFonts w:ascii="Trebuchet MS" w:hAnsi="Trebuchet MS" w:cs="Arial"/>
          <w:b/>
          <w:sz w:val="22"/>
          <w:szCs w:val="22"/>
          <w:u w:val="single"/>
        </w:rPr>
      </w:pPr>
    </w:p>
    <w:p w:rsidR="00B63C48" w:rsidRPr="00254B55" w:rsidRDefault="00B63C48" w:rsidP="00B63C48">
      <w:pPr>
        <w:rPr>
          <w:rFonts w:ascii="Trebuchet MS" w:hAnsi="Trebuchet MS" w:cs="Arial"/>
          <w:b/>
          <w:sz w:val="22"/>
          <w:szCs w:val="22"/>
          <w:u w:val="single"/>
        </w:rPr>
      </w:pPr>
    </w:p>
    <w:p w:rsidR="00B63C48" w:rsidRPr="00254B55" w:rsidRDefault="00B63C48" w:rsidP="00B63C48">
      <w:pPr>
        <w:rPr>
          <w:rFonts w:ascii="Trebuchet MS" w:hAnsi="Trebuchet MS" w:cs="Arial"/>
          <w:b/>
          <w:sz w:val="22"/>
          <w:szCs w:val="22"/>
          <w:u w:val="single"/>
        </w:rPr>
      </w:pPr>
      <w:r w:rsidRPr="00254B55">
        <w:rPr>
          <w:rFonts w:ascii="Trebuchet MS" w:hAnsi="Trebuchet MS" w:cs="Arial"/>
          <w:b/>
          <w:sz w:val="22"/>
          <w:szCs w:val="22"/>
          <w:u w:val="single"/>
        </w:rPr>
        <w:t>II.1.1.2 Utilizarea resurselor de apă</w:t>
      </w:r>
    </w:p>
    <w:p w:rsidR="00B63C48" w:rsidRPr="00254B55" w:rsidRDefault="00B63C48" w:rsidP="00B63C48">
      <w:pPr>
        <w:rPr>
          <w:rFonts w:ascii="Trebuchet MS" w:eastAsia="Times New Roman" w:hAnsi="Trebuchet MS" w:cs="Arial"/>
          <w:sz w:val="22"/>
          <w:szCs w:val="22"/>
          <w:lang w:eastAsia="ro-RO"/>
        </w:rPr>
      </w:pPr>
      <w:r w:rsidRPr="00254B55">
        <w:rPr>
          <w:rFonts w:ascii="Trebuchet MS" w:eastAsia="Times New Roman" w:hAnsi="Trebuchet MS" w:cs="Arial"/>
          <w:b/>
          <w:bCs/>
          <w:i/>
          <w:iCs/>
          <w:sz w:val="22"/>
          <w:szCs w:val="22"/>
          <w:lang w:eastAsia="ro-RO"/>
        </w:rPr>
        <w:t xml:space="preserve">Tabelul II.1.1.2.1 </w:t>
      </w:r>
      <w:r w:rsidRPr="00254B55">
        <w:rPr>
          <w:rFonts w:ascii="Trebuchet MS" w:eastAsia="Times New Roman" w:hAnsi="Trebuchet MS" w:cs="Arial"/>
          <w:sz w:val="22"/>
          <w:szCs w:val="22"/>
          <w:lang w:eastAsia="ro-RO"/>
        </w:rPr>
        <w:t>Evoluția cerinței de apă comparativ cu prelevarea volumelor de apă (mii m</w:t>
      </w:r>
      <w:r w:rsidRPr="00254B55">
        <w:rPr>
          <w:rFonts w:ascii="Trebuchet MS" w:eastAsia="Times New Roman" w:hAnsi="Trebuchet MS" w:cs="Arial"/>
          <w:sz w:val="22"/>
          <w:szCs w:val="22"/>
          <w:vertAlign w:val="superscript"/>
          <w:lang w:eastAsia="ro-RO"/>
        </w:rPr>
        <w:t>3</w:t>
      </w:r>
      <w:r w:rsidRPr="00254B55">
        <w:rPr>
          <w:rFonts w:ascii="Trebuchet MS" w:eastAsia="Times New Roman" w:hAnsi="Trebuchet MS" w:cs="Arial"/>
          <w:sz w:val="22"/>
          <w:szCs w:val="22"/>
          <w:lang w:eastAsia="ro-RO"/>
        </w:rPr>
        <w:t>)</w:t>
      </w:r>
    </w:p>
    <w:tbl>
      <w:tblPr>
        <w:tblStyle w:val="TableGrid"/>
        <w:tblW w:w="10307" w:type="dxa"/>
        <w:tblInd w:w="-725" w:type="dxa"/>
        <w:tblLook w:val="04A0" w:firstRow="1" w:lastRow="0" w:firstColumn="1" w:lastColumn="0" w:noHBand="0" w:noVBand="1"/>
      </w:tblPr>
      <w:tblGrid>
        <w:gridCol w:w="1620"/>
        <w:gridCol w:w="1080"/>
        <w:gridCol w:w="1097"/>
        <w:gridCol w:w="1073"/>
        <w:gridCol w:w="1097"/>
        <w:gridCol w:w="1073"/>
        <w:gridCol w:w="1097"/>
        <w:gridCol w:w="1073"/>
        <w:gridCol w:w="1097"/>
      </w:tblGrid>
      <w:tr w:rsidR="00B63C48" w:rsidRPr="00254B55" w:rsidTr="00E13AA6">
        <w:trPr>
          <w:trHeight w:val="302"/>
        </w:trPr>
        <w:tc>
          <w:tcPr>
            <w:tcW w:w="1620" w:type="dxa"/>
            <w:vMerge w:val="restart"/>
            <w:noWrap/>
            <w:vAlign w:val="center"/>
            <w:hideMark/>
          </w:tcPr>
          <w:p w:rsidR="00B63C48" w:rsidRPr="00254B55" w:rsidRDefault="00B63C48" w:rsidP="00E13AA6">
            <w:pPr>
              <w:jc w:val="cente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Sursa</w:t>
            </w:r>
          </w:p>
        </w:tc>
        <w:tc>
          <w:tcPr>
            <w:tcW w:w="2177" w:type="dxa"/>
            <w:gridSpan w:val="2"/>
            <w:noWrap/>
            <w:vAlign w:val="center"/>
            <w:hideMark/>
          </w:tcPr>
          <w:p w:rsidR="00B63C48" w:rsidRPr="00254B55" w:rsidRDefault="00B63C48" w:rsidP="00E13AA6">
            <w:pPr>
              <w:jc w:val="cente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Populație</w:t>
            </w:r>
          </w:p>
        </w:tc>
        <w:tc>
          <w:tcPr>
            <w:tcW w:w="2170" w:type="dxa"/>
            <w:gridSpan w:val="2"/>
            <w:noWrap/>
            <w:vAlign w:val="center"/>
            <w:hideMark/>
          </w:tcPr>
          <w:p w:rsidR="00B63C48" w:rsidRPr="00254B55" w:rsidRDefault="00B63C48" w:rsidP="00E13AA6">
            <w:pPr>
              <w:jc w:val="cente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Industrie</w:t>
            </w:r>
          </w:p>
        </w:tc>
        <w:tc>
          <w:tcPr>
            <w:tcW w:w="2170" w:type="dxa"/>
            <w:gridSpan w:val="2"/>
            <w:noWrap/>
            <w:vAlign w:val="center"/>
            <w:hideMark/>
          </w:tcPr>
          <w:p w:rsidR="00B63C48" w:rsidRPr="00254B55" w:rsidRDefault="00B63C48" w:rsidP="00E13AA6">
            <w:pPr>
              <w:jc w:val="cente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Agricultură</w:t>
            </w:r>
          </w:p>
        </w:tc>
        <w:tc>
          <w:tcPr>
            <w:tcW w:w="2170" w:type="dxa"/>
            <w:gridSpan w:val="2"/>
            <w:noWrap/>
            <w:vAlign w:val="center"/>
            <w:hideMark/>
          </w:tcPr>
          <w:p w:rsidR="00B63C48" w:rsidRPr="00254B55" w:rsidRDefault="00B63C48" w:rsidP="00E13AA6">
            <w:pPr>
              <w:jc w:val="cente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TOTAL</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i/>
                <w:iCs/>
                <w:sz w:val="22"/>
                <w:szCs w:val="22"/>
                <w:lang w:eastAsia="ro-RO"/>
              </w:rPr>
            </w:pPr>
          </w:p>
        </w:tc>
        <w:tc>
          <w:tcPr>
            <w:tcW w:w="1080"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Cerință</w:t>
            </w:r>
          </w:p>
        </w:tc>
        <w:tc>
          <w:tcPr>
            <w:tcW w:w="1097"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Prelevat</w:t>
            </w:r>
          </w:p>
        </w:tc>
        <w:tc>
          <w:tcPr>
            <w:tcW w:w="1073"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Cerință</w:t>
            </w:r>
          </w:p>
        </w:tc>
        <w:tc>
          <w:tcPr>
            <w:tcW w:w="1097"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Prelevat</w:t>
            </w:r>
          </w:p>
        </w:tc>
        <w:tc>
          <w:tcPr>
            <w:tcW w:w="1073"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Cerință</w:t>
            </w:r>
          </w:p>
        </w:tc>
        <w:tc>
          <w:tcPr>
            <w:tcW w:w="1097"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Prelevat</w:t>
            </w:r>
          </w:p>
        </w:tc>
        <w:tc>
          <w:tcPr>
            <w:tcW w:w="1073"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Cerință</w:t>
            </w:r>
          </w:p>
        </w:tc>
        <w:tc>
          <w:tcPr>
            <w:tcW w:w="1097" w:type="dxa"/>
            <w:noWrap/>
            <w:vAlign w:val="center"/>
            <w:hideMark/>
          </w:tcPr>
          <w:p w:rsidR="00B63C48" w:rsidRPr="00254B55" w:rsidRDefault="00B63C48" w:rsidP="00E13AA6">
            <w:pPr>
              <w:rPr>
                <w:rFonts w:ascii="Trebuchet MS" w:eastAsia="Times New Roman" w:hAnsi="Trebuchet MS" w:cs="Arial"/>
                <w:i/>
                <w:iCs/>
                <w:sz w:val="22"/>
                <w:szCs w:val="22"/>
                <w:lang w:eastAsia="ro-RO"/>
              </w:rPr>
            </w:pPr>
            <w:r w:rsidRPr="00254B55">
              <w:rPr>
                <w:rFonts w:ascii="Trebuchet MS" w:eastAsia="Times New Roman" w:hAnsi="Trebuchet MS" w:cs="Arial"/>
                <w:i/>
                <w:iCs/>
                <w:sz w:val="22"/>
                <w:szCs w:val="22"/>
                <w:lang w:eastAsia="ro-RO"/>
              </w:rPr>
              <w:t>Prelevat</w:t>
            </w:r>
          </w:p>
        </w:tc>
      </w:tr>
      <w:tr w:rsidR="00B63C48" w:rsidRPr="00254B55" w:rsidTr="00E13AA6">
        <w:trPr>
          <w:trHeight w:val="302"/>
        </w:trPr>
        <w:tc>
          <w:tcPr>
            <w:tcW w:w="1620" w:type="dxa"/>
            <w:vMerge w:val="restart"/>
            <w:vAlign w:val="center"/>
            <w:hideMark/>
          </w:tcPr>
          <w:p w:rsidR="00B63C48" w:rsidRPr="00254B55" w:rsidRDefault="00B63C48"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Suprafață</w:t>
            </w:r>
          </w:p>
        </w:tc>
        <w:tc>
          <w:tcPr>
            <w:tcW w:w="1080"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593806</w:t>
            </w:r>
          </w:p>
        </w:tc>
        <w:tc>
          <w:tcPr>
            <w:tcW w:w="1097"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557945</w:t>
            </w:r>
          </w:p>
        </w:tc>
        <w:tc>
          <w:tcPr>
            <w:tcW w:w="1073" w:type="dxa"/>
            <w:tcBorders>
              <w:top w:val="single" w:sz="8" w:space="0" w:color="auto"/>
              <w:left w:val="single" w:sz="4" w:space="0" w:color="auto"/>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1307286</w:t>
            </w:r>
          </w:p>
        </w:tc>
        <w:tc>
          <w:tcPr>
            <w:tcW w:w="1097" w:type="dxa"/>
            <w:tcBorders>
              <w:top w:val="single" w:sz="8" w:space="0" w:color="auto"/>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1255395</w:t>
            </w:r>
          </w:p>
        </w:tc>
        <w:tc>
          <w:tcPr>
            <w:tcW w:w="1073" w:type="dxa"/>
            <w:tcBorders>
              <w:top w:val="single" w:sz="8" w:space="0" w:color="auto"/>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1099659</w:t>
            </w:r>
          </w:p>
        </w:tc>
        <w:tc>
          <w:tcPr>
            <w:tcW w:w="1097" w:type="dxa"/>
            <w:tcBorders>
              <w:top w:val="single" w:sz="8" w:space="0" w:color="auto"/>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951952</w:t>
            </w:r>
          </w:p>
        </w:tc>
        <w:tc>
          <w:tcPr>
            <w:tcW w:w="1073"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3000751</w:t>
            </w:r>
          </w:p>
        </w:tc>
        <w:tc>
          <w:tcPr>
            <w:tcW w:w="1097" w:type="dxa"/>
            <w:tcBorders>
              <w:top w:val="single" w:sz="8" w:space="0" w:color="auto"/>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2765292</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615797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612211</w:t>
            </w:r>
          </w:p>
        </w:tc>
        <w:tc>
          <w:tcPr>
            <w:tcW w:w="10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1730382</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1322859</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1120766</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1028841</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3466945</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2963911</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627178</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593018</w:t>
            </w:r>
          </w:p>
        </w:tc>
        <w:tc>
          <w:tcPr>
            <w:tcW w:w="1073"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1909807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1155263</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1171368</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1135911</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3708353</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2884192</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606789</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663620</w:t>
            </w:r>
          </w:p>
        </w:tc>
        <w:tc>
          <w:tcPr>
            <w:tcW w:w="1073"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1735509</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1219753</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1271531</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1396849</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3613829</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3280222</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689464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632006</w:t>
            </w:r>
          </w:p>
        </w:tc>
        <w:tc>
          <w:tcPr>
            <w:tcW w:w="1073"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1523969</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1131514</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1443972</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1513865</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3657405</w:t>
            </w:r>
          </w:p>
        </w:tc>
        <w:tc>
          <w:tcPr>
            <w:tcW w:w="1097" w:type="dxa"/>
            <w:tcBorders>
              <w:top w:val="nil"/>
              <w:left w:val="nil"/>
              <w:bottom w:val="nil"/>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3277385</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single" w:sz="4" w:space="0" w:color="auto"/>
              <w:left w:val="nil"/>
              <w:bottom w:val="single" w:sz="8" w:space="0" w:color="auto"/>
              <w:right w:val="nil"/>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697299</w:t>
            </w:r>
          </w:p>
        </w:tc>
        <w:tc>
          <w:tcPr>
            <w:tcW w:w="1097" w:type="dxa"/>
            <w:tcBorders>
              <w:top w:val="nil"/>
              <w:left w:val="single" w:sz="4" w:space="0" w:color="auto"/>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670400</w:t>
            </w:r>
          </w:p>
        </w:tc>
        <w:tc>
          <w:tcPr>
            <w:tcW w:w="1073" w:type="dxa"/>
            <w:tcBorders>
              <w:top w:val="nil"/>
              <w:left w:val="single" w:sz="4" w:space="0" w:color="auto"/>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1527102</w:t>
            </w:r>
          </w:p>
        </w:tc>
        <w:tc>
          <w:tcPr>
            <w:tcW w:w="1097" w:type="dxa"/>
            <w:tcBorders>
              <w:top w:val="single" w:sz="4" w:space="0" w:color="auto"/>
              <w:left w:val="nil"/>
              <w:bottom w:val="single" w:sz="8" w:space="0" w:color="auto"/>
              <w:right w:val="nil"/>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1053258</w:t>
            </w:r>
          </w:p>
        </w:tc>
        <w:tc>
          <w:tcPr>
            <w:tcW w:w="1073" w:type="dxa"/>
            <w:tcBorders>
              <w:top w:val="single" w:sz="4" w:space="0" w:color="auto"/>
              <w:left w:val="single" w:sz="4" w:space="0" w:color="auto"/>
              <w:bottom w:val="single" w:sz="8" w:space="0" w:color="auto"/>
              <w:right w:val="nil"/>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1798572</w:t>
            </w:r>
          </w:p>
        </w:tc>
        <w:tc>
          <w:tcPr>
            <w:tcW w:w="1097" w:type="dxa"/>
            <w:tcBorders>
              <w:top w:val="single" w:sz="4" w:space="0" w:color="auto"/>
              <w:left w:val="single" w:sz="4" w:space="0" w:color="auto"/>
              <w:bottom w:val="single" w:sz="8" w:space="0" w:color="auto"/>
              <w:right w:val="nil"/>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1408690</w:t>
            </w:r>
          </w:p>
        </w:tc>
        <w:tc>
          <w:tcPr>
            <w:tcW w:w="1073" w:type="dxa"/>
            <w:tcBorders>
              <w:top w:val="single" w:sz="4" w:space="0" w:color="auto"/>
              <w:left w:val="single" w:sz="4" w:space="0" w:color="auto"/>
              <w:bottom w:val="single" w:sz="8" w:space="0" w:color="auto"/>
              <w:right w:val="nil"/>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4022973</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3132348</w:t>
            </w:r>
          </w:p>
        </w:tc>
      </w:tr>
      <w:tr w:rsidR="00B63C48" w:rsidRPr="00254B55" w:rsidTr="00E13AA6">
        <w:trPr>
          <w:trHeight w:val="302"/>
        </w:trPr>
        <w:tc>
          <w:tcPr>
            <w:tcW w:w="1620" w:type="dxa"/>
            <w:vMerge w:val="restart"/>
            <w:noWrap/>
            <w:vAlign w:val="center"/>
            <w:hideMark/>
          </w:tcPr>
          <w:p w:rsidR="00B63C48" w:rsidRPr="00254B55" w:rsidRDefault="00B63C48"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Subteran</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498167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467129</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167239</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159826</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55458</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51737</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720864</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678692</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521195</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492378</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184000</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159092</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60841</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53341</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766036</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704811</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539058</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411372</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195651</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198892</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67492</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185296</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802201</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795560</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598991</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535101</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201856</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194748</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87979</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75896</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888826</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805745</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582726</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548605</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229193</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151561</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87643</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83210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899562</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783376</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631839</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549114</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223433</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145082</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118692</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88884</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973964</w:t>
            </w:r>
          </w:p>
        </w:tc>
        <w:tc>
          <w:tcPr>
            <w:tcW w:w="1097" w:type="dxa"/>
            <w:tcBorders>
              <w:top w:val="nil"/>
              <w:left w:val="nil"/>
              <w:bottom w:val="single" w:sz="8"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783080</w:t>
            </w:r>
          </w:p>
        </w:tc>
      </w:tr>
      <w:tr w:rsidR="00B63C48" w:rsidRPr="00254B55" w:rsidTr="00E13AA6">
        <w:trPr>
          <w:trHeight w:val="302"/>
        </w:trPr>
        <w:tc>
          <w:tcPr>
            <w:tcW w:w="1620" w:type="dxa"/>
            <w:vMerge w:val="restart"/>
            <w:noWrap/>
            <w:vAlign w:val="center"/>
            <w:hideMark/>
          </w:tcPr>
          <w:p w:rsidR="00B63C48" w:rsidRPr="00254B55" w:rsidRDefault="00B63C48"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Dunăre</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68575</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59876</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2593468</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2479875</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502860</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423146</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3164903</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2962897</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67222</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71904</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2592137</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2719039</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467507</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508740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3126866</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3299683</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68523</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73362</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2720136</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2676840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599604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958882</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3388263</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3709084</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80274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70729</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2742255</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2691300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801420</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1007633</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3623949</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3769662</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81125</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75286</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2674606</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2648208</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1269054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1357726</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4024785</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4081220</w:t>
            </w:r>
          </w:p>
        </w:tc>
      </w:tr>
      <w:tr w:rsidR="00B63C48" w:rsidRPr="00254B55" w:rsidTr="00E13AA6">
        <w:trPr>
          <w:trHeight w:val="302"/>
        </w:trPr>
        <w:tc>
          <w:tcPr>
            <w:tcW w:w="1620" w:type="dxa"/>
            <w:vMerge/>
            <w:vAlign w:val="center"/>
            <w:hideMark/>
          </w:tcPr>
          <w:p w:rsidR="00B63C48" w:rsidRPr="00254B55" w:rsidRDefault="00B63C48" w:rsidP="00E13AA6">
            <w:pPr>
              <w:jc w:val="center"/>
              <w:rPr>
                <w:rFonts w:ascii="Trebuchet MS" w:eastAsia="Times New Roman" w:hAnsi="Trebuchet MS" w:cs="Arial"/>
                <w:sz w:val="22"/>
                <w:szCs w:val="22"/>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80884</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75645</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2733185</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2708594</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1464358</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1291099</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4278427</w:t>
            </w:r>
          </w:p>
        </w:tc>
        <w:tc>
          <w:tcPr>
            <w:tcW w:w="1097" w:type="dxa"/>
            <w:tcBorders>
              <w:top w:val="nil"/>
              <w:left w:val="nil"/>
              <w:bottom w:val="single" w:sz="8"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4075338</w:t>
            </w:r>
          </w:p>
        </w:tc>
      </w:tr>
      <w:tr w:rsidR="00B63C48" w:rsidRPr="00254B55" w:rsidTr="00E13AA6">
        <w:trPr>
          <w:trHeight w:val="302"/>
        </w:trPr>
        <w:tc>
          <w:tcPr>
            <w:tcW w:w="1620" w:type="dxa"/>
            <w:vMerge w:val="restart"/>
            <w:noWrap/>
            <w:vAlign w:val="center"/>
            <w:hideMark/>
          </w:tcPr>
          <w:p w:rsidR="00B63C48" w:rsidRPr="00254B55" w:rsidRDefault="00B63C48"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Marea Neagră</w:t>
            </w:r>
          </w:p>
        </w:tc>
        <w:tc>
          <w:tcPr>
            <w:tcW w:w="1080"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65</w:t>
            </w:r>
          </w:p>
        </w:tc>
        <w:tc>
          <w:tcPr>
            <w:tcW w:w="1097"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46</w:t>
            </w:r>
          </w:p>
        </w:tc>
        <w:tc>
          <w:tcPr>
            <w:tcW w:w="1073"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10179</w:t>
            </w:r>
          </w:p>
        </w:tc>
        <w:tc>
          <w:tcPr>
            <w:tcW w:w="1097"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9238</w:t>
            </w:r>
          </w:p>
        </w:tc>
        <w:tc>
          <w:tcPr>
            <w:tcW w:w="1073"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97"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73"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10244</w:t>
            </w:r>
          </w:p>
        </w:tc>
        <w:tc>
          <w:tcPr>
            <w:tcW w:w="1097" w:type="dxa"/>
            <w:tcBorders>
              <w:top w:val="single" w:sz="8" w:space="0" w:color="auto"/>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9284</w:t>
            </w:r>
          </w:p>
        </w:tc>
      </w:tr>
      <w:tr w:rsidR="00B63C48" w:rsidRPr="00254B55" w:rsidTr="00E13AA6">
        <w:trPr>
          <w:trHeight w:val="302"/>
        </w:trPr>
        <w:tc>
          <w:tcPr>
            <w:tcW w:w="1620" w:type="dxa"/>
            <w:vMerge/>
            <w:vAlign w:val="center"/>
            <w:hideMark/>
          </w:tcPr>
          <w:p w:rsidR="00B63C48" w:rsidRPr="00254B55" w:rsidRDefault="00B63C48" w:rsidP="00E13AA6">
            <w:pPr>
              <w:rPr>
                <w:rFonts w:ascii="Trebuchet MS" w:eastAsia="Times New Roman" w:hAnsi="Trebuchet MS" w:cs="Arial"/>
                <w:sz w:val="22"/>
                <w:szCs w:val="22"/>
                <w:lang w:eastAsia="ro-RO"/>
              </w:rPr>
            </w:pPr>
          </w:p>
        </w:tc>
        <w:tc>
          <w:tcPr>
            <w:tcW w:w="1080"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47</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10339</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6405</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10413</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6452</w:t>
            </w:r>
          </w:p>
        </w:tc>
      </w:tr>
      <w:tr w:rsidR="00B63C48" w:rsidRPr="00254B55" w:rsidTr="00E13AA6">
        <w:trPr>
          <w:trHeight w:val="302"/>
        </w:trPr>
        <w:tc>
          <w:tcPr>
            <w:tcW w:w="1620" w:type="dxa"/>
            <w:vMerge/>
            <w:vAlign w:val="center"/>
            <w:hideMark/>
          </w:tcPr>
          <w:p w:rsidR="00B63C48" w:rsidRPr="00254B55" w:rsidRDefault="00B63C48" w:rsidP="00E13AA6">
            <w:pPr>
              <w:rPr>
                <w:rFonts w:ascii="Trebuchet MS" w:eastAsia="Times New Roman" w:hAnsi="Trebuchet MS" w:cs="Arial"/>
                <w:sz w:val="22"/>
                <w:szCs w:val="22"/>
                <w:lang w:eastAsia="ro-RO"/>
              </w:rPr>
            </w:pPr>
          </w:p>
        </w:tc>
        <w:tc>
          <w:tcPr>
            <w:tcW w:w="1080"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27</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9602</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7320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9676</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7347</w:t>
            </w:r>
          </w:p>
        </w:tc>
      </w:tr>
      <w:tr w:rsidR="00B63C48" w:rsidRPr="00254B55" w:rsidTr="00E13AA6">
        <w:trPr>
          <w:trHeight w:val="302"/>
        </w:trPr>
        <w:tc>
          <w:tcPr>
            <w:tcW w:w="1620" w:type="dxa"/>
            <w:vMerge/>
            <w:vAlign w:val="center"/>
            <w:hideMark/>
          </w:tcPr>
          <w:p w:rsidR="00B63C48" w:rsidRPr="00254B55" w:rsidRDefault="00B63C48" w:rsidP="00E13AA6">
            <w:pPr>
              <w:rPr>
                <w:rFonts w:ascii="Trebuchet MS" w:eastAsia="Times New Roman" w:hAnsi="Trebuchet MS" w:cs="Arial"/>
                <w:sz w:val="22"/>
                <w:szCs w:val="22"/>
                <w:lang w:eastAsia="ro-RO"/>
              </w:rPr>
            </w:pPr>
          </w:p>
        </w:tc>
        <w:tc>
          <w:tcPr>
            <w:tcW w:w="1080"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117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17297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7928</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17414</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7968</w:t>
            </w:r>
          </w:p>
        </w:tc>
      </w:tr>
      <w:tr w:rsidR="00B63C48" w:rsidRPr="00254B55" w:rsidTr="00E13AA6">
        <w:trPr>
          <w:trHeight w:val="302"/>
        </w:trPr>
        <w:tc>
          <w:tcPr>
            <w:tcW w:w="1620" w:type="dxa"/>
            <w:vMerge/>
            <w:vAlign w:val="center"/>
            <w:hideMark/>
          </w:tcPr>
          <w:p w:rsidR="00B63C48" w:rsidRPr="00254B55" w:rsidRDefault="00B63C48" w:rsidP="00E13AA6">
            <w:pPr>
              <w:rPr>
                <w:rFonts w:ascii="Trebuchet MS" w:eastAsia="Times New Roman" w:hAnsi="Trebuchet MS" w:cs="Arial"/>
                <w:sz w:val="22"/>
                <w:szCs w:val="22"/>
                <w:lang w:eastAsia="ro-RO"/>
              </w:rPr>
            </w:pPr>
          </w:p>
        </w:tc>
        <w:tc>
          <w:tcPr>
            <w:tcW w:w="1080"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212</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48</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21069</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8701</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97" w:type="dxa"/>
            <w:tcBorders>
              <w:top w:val="nil"/>
              <w:left w:val="nil"/>
              <w:bottom w:val="nil"/>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21281</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8749</w:t>
            </w:r>
          </w:p>
        </w:tc>
      </w:tr>
      <w:tr w:rsidR="00B63C48" w:rsidRPr="00254B55" w:rsidTr="00E13AA6">
        <w:trPr>
          <w:trHeight w:val="302"/>
        </w:trPr>
        <w:tc>
          <w:tcPr>
            <w:tcW w:w="1620" w:type="dxa"/>
            <w:vMerge/>
            <w:vAlign w:val="center"/>
            <w:hideMark/>
          </w:tcPr>
          <w:p w:rsidR="00B63C48" w:rsidRPr="00254B55" w:rsidRDefault="00B63C48" w:rsidP="00E13AA6">
            <w:pPr>
              <w:rPr>
                <w:rFonts w:ascii="Trebuchet MS" w:eastAsia="Times New Roman" w:hAnsi="Trebuchet MS" w:cs="Arial"/>
                <w:sz w:val="22"/>
                <w:szCs w:val="22"/>
                <w:lang w:eastAsia="ro-RO"/>
              </w:rPr>
            </w:pPr>
          </w:p>
        </w:tc>
        <w:tc>
          <w:tcPr>
            <w:tcW w:w="1080" w:type="dxa"/>
            <w:tcBorders>
              <w:top w:val="single" w:sz="4" w:space="0" w:color="auto"/>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108</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32</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18070</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10790</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B63C48" w:rsidRPr="00254B55" w:rsidRDefault="00B63C48" w:rsidP="00E13AA6">
            <w:pPr>
              <w:rPr>
                <w:rFonts w:ascii="Trebuchet MS" w:hAnsi="Trebuchet MS" w:cs="Arial"/>
                <w:color w:val="000000"/>
                <w:sz w:val="22"/>
                <w:szCs w:val="22"/>
              </w:rPr>
            </w:pPr>
            <w:r w:rsidRPr="00254B55">
              <w:rPr>
                <w:rFonts w:ascii="Trebuchet MS" w:hAnsi="Trebuchet MS" w:cs="Arial"/>
                <w:color w:val="000000"/>
                <w:sz w:val="22"/>
                <w:szCs w:val="22"/>
              </w:rPr>
              <w:t> </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18178</w:t>
            </w:r>
          </w:p>
        </w:tc>
        <w:tc>
          <w:tcPr>
            <w:tcW w:w="1097" w:type="dxa"/>
            <w:tcBorders>
              <w:top w:val="nil"/>
              <w:left w:val="nil"/>
              <w:bottom w:val="single" w:sz="8"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color w:val="000000"/>
                <w:sz w:val="22"/>
                <w:szCs w:val="22"/>
              </w:rPr>
            </w:pPr>
            <w:r w:rsidRPr="00254B55">
              <w:rPr>
                <w:rFonts w:ascii="Trebuchet MS" w:hAnsi="Trebuchet MS" w:cs="Arial"/>
                <w:color w:val="000000"/>
                <w:sz w:val="22"/>
                <w:szCs w:val="22"/>
              </w:rPr>
              <w:t>10822</w:t>
            </w:r>
          </w:p>
        </w:tc>
      </w:tr>
      <w:tr w:rsidR="00B63C48" w:rsidRPr="00254B55" w:rsidTr="00E13AA6">
        <w:trPr>
          <w:trHeight w:val="302"/>
        </w:trPr>
        <w:tc>
          <w:tcPr>
            <w:tcW w:w="1620" w:type="dxa"/>
            <w:noWrap/>
            <w:vAlign w:val="center"/>
            <w:hideMark/>
          </w:tcPr>
          <w:p w:rsidR="00B63C48" w:rsidRPr="00254B55" w:rsidRDefault="00B63C48" w:rsidP="00E13AA6">
            <w:pP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TOTAL 2018</w:t>
            </w:r>
          </w:p>
        </w:tc>
        <w:tc>
          <w:tcPr>
            <w:tcW w:w="1080" w:type="dxa"/>
            <w:tcBorders>
              <w:top w:val="single" w:sz="8" w:space="0" w:color="auto"/>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1160613</w:t>
            </w:r>
          </w:p>
        </w:tc>
        <w:tc>
          <w:tcPr>
            <w:tcW w:w="1097"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1084996</w:t>
            </w:r>
          </w:p>
        </w:tc>
        <w:tc>
          <w:tcPr>
            <w:tcW w:w="1073"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4078172</w:t>
            </w:r>
          </w:p>
        </w:tc>
        <w:tc>
          <w:tcPr>
            <w:tcW w:w="1097"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3904334</w:t>
            </w:r>
          </w:p>
        </w:tc>
        <w:tc>
          <w:tcPr>
            <w:tcW w:w="1073"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1657977</w:t>
            </w:r>
          </w:p>
        </w:tc>
        <w:tc>
          <w:tcPr>
            <w:tcW w:w="1097"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1426835</w:t>
            </w:r>
          </w:p>
        </w:tc>
        <w:tc>
          <w:tcPr>
            <w:tcW w:w="1073" w:type="dxa"/>
            <w:tcBorders>
              <w:top w:val="single" w:sz="8" w:space="0" w:color="auto"/>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6896762</w:t>
            </w:r>
          </w:p>
        </w:tc>
        <w:tc>
          <w:tcPr>
            <w:tcW w:w="1097" w:type="dxa"/>
            <w:tcBorders>
              <w:top w:val="single" w:sz="8" w:space="0" w:color="auto"/>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6416165</w:t>
            </w:r>
          </w:p>
        </w:tc>
      </w:tr>
      <w:tr w:rsidR="00B63C48" w:rsidRPr="00254B55" w:rsidTr="00E13AA6">
        <w:trPr>
          <w:trHeight w:val="302"/>
        </w:trPr>
        <w:tc>
          <w:tcPr>
            <w:tcW w:w="1620" w:type="dxa"/>
            <w:noWrap/>
            <w:vAlign w:val="center"/>
            <w:hideMark/>
          </w:tcPr>
          <w:p w:rsidR="00B63C48" w:rsidRPr="00254B55" w:rsidRDefault="00B63C48" w:rsidP="00E13AA6">
            <w:pP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TOTAL 2019</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1204288</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1176540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4516858</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4207395</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1649114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1590922</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7370260</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6974857</w:t>
            </w:r>
          </w:p>
        </w:tc>
      </w:tr>
      <w:tr w:rsidR="00B63C48" w:rsidRPr="00254B55" w:rsidTr="00E13AA6">
        <w:trPr>
          <w:trHeight w:val="302"/>
        </w:trPr>
        <w:tc>
          <w:tcPr>
            <w:tcW w:w="1620" w:type="dxa"/>
            <w:noWrap/>
            <w:vAlign w:val="center"/>
            <w:hideMark/>
          </w:tcPr>
          <w:p w:rsidR="00B63C48" w:rsidRPr="00254B55" w:rsidRDefault="00B63C48" w:rsidP="00E13AA6">
            <w:pP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TOTAL 2020</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1234833</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1077779</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4835196</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4038315</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1838464</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2280089</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7908493</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7396183</w:t>
            </w:r>
          </w:p>
        </w:tc>
      </w:tr>
      <w:tr w:rsidR="00B63C48" w:rsidRPr="00254B55" w:rsidTr="00E13AA6">
        <w:trPr>
          <w:trHeight w:val="302"/>
        </w:trPr>
        <w:tc>
          <w:tcPr>
            <w:tcW w:w="1620" w:type="dxa"/>
            <w:noWrap/>
            <w:vAlign w:val="center"/>
            <w:hideMark/>
          </w:tcPr>
          <w:p w:rsidR="00B63C48" w:rsidRPr="00254B55" w:rsidRDefault="00B63C48" w:rsidP="00E13AA6">
            <w:pP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TOTAL 2021</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1286171</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1269490</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4696917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4113729</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2160930</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2480378</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8144018</w:t>
            </w:r>
          </w:p>
        </w:tc>
        <w:tc>
          <w:tcPr>
            <w:tcW w:w="1097" w:type="dxa"/>
            <w:tcBorders>
              <w:top w:val="nil"/>
              <w:left w:val="nil"/>
              <w:bottom w:val="single" w:sz="4"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7863597</w:t>
            </w:r>
          </w:p>
        </w:tc>
      </w:tr>
      <w:tr w:rsidR="00B63C48" w:rsidRPr="00254B55" w:rsidTr="00E13AA6">
        <w:trPr>
          <w:trHeight w:val="302"/>
        </w:trPr>
        <w:tc>
          <w:tcPr>
            <w:tcW w:w="1620" w:type="dxa"/>
            <w:noWrap/>
            <w:vAlign w:val="center"/>
            <w:hideMark/>
          </w:tcPr>
          <w:p w:rsidR="00B63C48" w:rsidRPr="00254B55" w:rsidRDefault="00B63C48" w:rsidP="00E13AA6">
            <w:pP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TOTAL 2022</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1353527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1255945</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4448837</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3939984</w:t>
            </w:r>
          </w:p>
        </w:tc>
        <w:tc>
          <w:tcPr>
            <w:tcW w:w="1073"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2800669</w:t>
            </w:r>
          </w:p>
        </w:tc>
        <w:tc>
          <w:tcPr>
            <w:tcW w:w="1097" w:type="dxa"/>
            <w:tcBorders>
              <w:top w:val="nil"/>
              <w:left w:val="nil"/>
              <w:bottom w:val="single" w:sz="4"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2954801</w:t>
            </w:r>
          </w:p>
        </w:tc>
        <w:tc>
          <w:tcPr>
            <w:tcW w:w="1073" w:type="dxa"/>
            <w:tcBorders>
              <w:top w:val="nil"/>
              <w:left w:val="nil"/>
              <w:bottom w:val="nil"/>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8603033</w:t>
            </w:r>
          </w:p>
        </w:tc>
        <w:tc>
          <w:tcPr>
            <w:tcW w:w="1097" w:type="dxa"/>
            <w:tcBorders>
              <w:top w:val="nil"/>
              <w:left w:val="nil"/>
              <w:bottom w:val="nil"/>
              <w:right w:val="single" w:sz="8"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8150730</w:t>
            </w:r>
          </w:p>
        </w:tc>
      </w:tr>
      <w:tr w:rsidR="00B63C48" w:rsidRPr="00254B55" w:rsidTr="00E13AA6">
        <w:trPr>
          <w:trHeight w:val="302"/>
        </w:trPr>
        <w:tc>
          <w:tcPr>
            <w:tcW w:w="1620" w:type="dxa"/>
            <w:noWrap/>
            <w:vAlign w:val="center"/>
            <w:hideMark/>
          </w:tcPr>
          <w:p w:rsidR="00B63C48" w:rsidRPr="00254B55" w:rsidRDefault="00B63C48" w:rsidP="00E13AA6">
            <w:pP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TOTAL 2023</w:t>
            </w:r>
          </w:p>
        </w:tc>
        <w:tc>
          <w:tcPr>
            <w:tcW w:w="1080" w:type="dxa"/>
            <w:tcBorders>
              <w:top w:val="nil"/>
              <w:left w:val="single" w:sz="4" w:space="0" w:color="auto"/>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1410130</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1295191</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4501790</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3917724</w:t>
            </w:r>
          </w:p>
        </w:tc>
        <w:tc>
          <w:tcPr>
            <w:tcW w:w="1073"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3381622</w:t>
            </w:r>
          </w:p>
        </w:tc>
        <w:tc>
          <w:tcPr>
            <w:tcW w:w="1097" w:type="dxa"/>
            <w:tcBorders>
              <w:top w:val="nil"/>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2788673</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9293542</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B63C48" w:rsidRPr="00254B55" w:rsidRDefault="00B63C48" w:rsidP="00E13AA6">
            <w:pPr>
              <w:jc w:val="right"/>
              <w:rPr>
                <w:rFonts w:ascii="Trebuchet MS" w:hAnsi="Trebuchet MS" w:cs="Arial"/>
                <w:i/>
                <w:iCs/>
                <w:color w:val="000000"/>
                <w:sz w:val="22"/>
                <w:szCs w:val="22"/>
              </w:rPr>
            </w:pPr>
            <w:r w:rsidRPr="00254B55">
              <w:rPr>
                <w:rFonts w:ascii="Trebuchet MS" w:hAnsi="Trebuchet MS" w:cs="Arial"/>
                <w:i/>
                <w:iCs/>
                <w:color w:val="000000"/>
                <w:sz w:val="22"/>
                <w:szCs w:val="22"/>
              </w:rPr>
              <w:t>8001588</w:t>
            </w:r>
          </w:p>
        </w:tc>
      </w:tr>
    </w:tbl>
    <w:p w:rsidR="00B63C48" w:rsidRPr="0013005D" w:rsidRDefault="00B63C48" w:rsidP="00B63C48">
      <w:pPr>
        <w:rPr>
          <w:rFonts w:ascii="Trebuchet MS" w:eastAsia="Times New Roman" w:hAnsi="Trebuchet MS" w:cs="Arial"/>
          <w:lang w:eastAsia="ro-RO"/>
        </w:rPr>
      </w:pPr>
    </w:p>
    <w:p w:rsidR="00B63C48" w:rsidRPr="0013005D" w:rsidRDefault="00B63C48" w:rsidP="00B63C48">
      <w:pPr>
        <w:rPr>
          <w:rFonts w:ascii="Trebuchet MS" w:eastAsia="Times New Roman" w:hAnsi="Trebuchet MS" w:cs="Arial"/>
          <w:lang w:eastAsia="ro-RO"/>
        </w:rPr>
      </w:pPr>
      <w:r w:rsidRPr="0013005D">
        <w:rPr>
          <w:rFonts w:ascii="Trebuchet MS" w:eastAsia="Times New Roman" w:hAnsi="Trebuchet MS" w:cs="Arial"/>
          <w:noProof/>
          <w:lang w:val="en-US"/>
        </w:rPr>
        <w:drawing>
          <wp:inline distT="0" distB="0" distL="0" distR="0" wp14:anchorId="041C12BF" wp14:editId="4407D2BF">
            <wp:extent cx="6135624" cy="3611880"/>
            <wp:effectExtent l="0" t="0" r="0" b="762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35624" cy="3611880"/>
                    </a:xfrm>
                    <a:prstGeom prst="rect">
                      <a:avLst/>
                    </a:prstGeom>
                    <a:noFill/>
                  </pic:spPr>
                </pic:pic>
              </a:graphicData>
            </a:graphic>
          </wp:inline>
        </w:drawing>
      </w:r>
    </w:p>
    <w:p w:rsidR="00254B55" w:rsidRDefault="00254B55" w:rsidP="00B63C48">
      <w:pPr>
        <w:rPr>
          <w:rFonts w:ascii="Trebuchet MS" w:eastAsia="Times New Roman" w:hAnsi="Trebuchet MS" w:cs="Arial"/>
          <w:b/>
          <w:bCs/>
          <w:i/>
          <w:iCs/>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Pr="00254B55" w:rsidRDefault="00254B55" w:rsidP="00B63C48">
      <w:pPr>
        <w:rPr>
          <w:rFonts w:ascii="Trebuchet MS" w:eastAsia="Times New Roman" w:hAnsi="Trebuchet MS" w:cs="Arial"/>
          <w:b/>
          <w:bCs/>
          <w:i/>
          <w:iCs/>
          <w:sz w:val="22"/>
          <w:szCs w:val="22"/>
          <w:lang w:eastAsia="ro-RO"/>
        </w:rPr>
      </w:pPr>
    </w:p>
    <w:p w:rsidR="00254B55" w:rsidRDefault="00254B55" w:rsidP="00B63C48">
      <w:pPr>
        <w:rPr>
          <w:rFonts w:ascii="Trebuchet MS" w:eastAsia="Times New Roman" w:hAnsi="Trebuchet MS" w:cs="Arial"/>
          <w:b/>
          <w:bCs/>
          <w:i/>
          <w:iCs/>
          <w:sz w:val="22"/>
          <w:szCs w:val="22"/>
          <w:lang w:eastAsia="ro-RO"/>
        </w:rPr>
      </w:pPr>
    </w:p>
    <w:p w:rsidR="00254B55" w:rsidRDefault="00254B55" w:rsidP="00B63C48">
      <w:pPr>
        <w:rPr>
          <w:rFonts w:ascii="Trebuchet MS" w:eastAsia="Times New Roman" w:hAnsi="Trebuchet MS" w:cs="Arial"/>
          <w:b/>
          <w:bCs/>
          <w:i/>
          <w:iCs/>
          <w:sz w:val="22"/>
          <w:szCs w:val="22"/>
          <w:lang w:eastAsia="ro-RO"/>
        </w:rPr>
      </w:pPr>
    </w:p>
    <w:p w:rsidR="00254B55" w:rsidRDefault="00254B55" w:rsidP="00B63C48">
      <w:pPr>
        <w:rPr>
          <w:rFonts w:ascii="Trebuchet MS" w:eastAsia="Times New Roman" w:hAnsi="Trebuchet MS" w:cs="Arial"/>
          <w:b/>
          <w:bCs/>
          <w:i/>
          <w:iCs/>
          <w:sz w:val="22"/>
          <w:szCs w:val="22"/>
          <w:lang w:eastAsia="ro-RO"/>
        </w:rPr>
      </w:pPr>
    </w:p>
    <w:p w:rsidR="00254B55" w:rsidRDefault="00254B55" w:rsidP="00B63C48">
      <w:pPr>
        <w:rPr>
          <w:rFonts w:ascii="Trebuchet MS" w:eastAsia="Times New Roman" w:hAnsi="Trebuchet MS" w:cs="Arial"/>
          <w:b/>
          <w:bCs/>
          <w:i/>
          <w:iCs/>
          <w:sz w:val="22"/>
          <w:szCs w:val="22"/>
          <w:lang w:eastAsia="ro-RO"/>
        </w:rPr>
      </w:pPr>
    </w:p>
    <w:p w:rsidR="00B63C48" w:rsidRPr="00254B55" w:rsidRDefault="00B63C48" w:rsidP="00B63C48">
      <w:pPr>
        <w:rPr>
          <w:rFonts w:ascii="Trebuchet MS" w:eastAsia="Times New Roman" w:hAnsi="Trebuchet MS" w:cs="Arial"/>
          <w:sz w:val="22"/>
          <w:szCs w:val="22"/>
          <w:lang w:eastAsia="ro-RO"/>
        </w:rPr>
      </w:pPr>
      <w:r w:rsidRPr="00254B55">
        <w:rPr>
          <w:rFonts w:ascii="Trebuchet MS" w:eastAsia="Times New Roman" w:hAnsi="Trebuchet MS" w:cs="Arial"/>
          <w:b/>
          <w:bCs/>
          <w:i/>
          <w:iCs/>
          <w:sz w:val="22"/>
          <w:szCs w:val="22"/>
          <w:lang w:eastAsia="ro-RO"/>
        </w:rPr>
        <w:t xml:space="preserve">Tabelul II.1.1.2.2 </w:t>
      </w:r>
      <w:r w:rsidRPr="00254B55">
        <w:rPr>
          <w:rFonts w:ascii="Trebuchet MS" w:eastAsia="Times New Roman" w:hAnsi="Trebuchet MS" w:cs="Arial"/>
          <w:sz w:val="22"/>
          <w:szCs w:val="22"/>
          <w:lang w:eastAsia="ro-RO"/>
        </w:rPr>
        <w:t>Evoluția cerinței de apă comparativ cu prelevarea volumelor de apă (%)</w:t>
      </w:r>
    </w:p>
    <w:p w:rsidR="00B63C48" w:rsidRPr="00575607" w:rsidRDefault="00B63C48" w:rsidP="00B63C48">
      <w:pPr>
        <w:rPr>
          <w:rFonts w:ascii="Trebuchet MS" w:hAnsi="Trebuchet MS" w:cs="Arial"/>
          <w:b/>
          <w:u w:val="single"/>
        </w:rPr>
      </w:pPr>
      <w:r w:rsidRPr="00575607">
        <w:rPr>
          <w:rFonts w:ascii="Trebuchet MS" w:hAnsi="Trebuchet MS"/>
          <w:noProof/>
          <w:lang w:val="en-US"/>
        </w:rPr>
        <w:drawing>
          <wp:inline distT="0" distB="0" distL="0" distR="0" wp14:anchorId="7B2CCD6A" wp14:editId="00D14828">
            <wp:extent cx="6144768" cy="4928616"/>
            <wp:effectExtent l="0" t="0" r="8890" b="5715"/>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44768" cy="4928616"/>
                    </a:xfrm>
                    <a:prstGeom prst="rect">
                      <a:avLst/>
                    </a:prstGeom>
                    <a:noFill/>
                    <a:ln>
                      <a:noFill/>
                    </a:ln>
                  </pic:spPr>
                </pic:pic>
              </a:graphicData>
            </a:graphic>
          </wp:inline>
        </w:drawing>
      </w:r>
    </w:p>
    <w:p w:rsidR="00B63C48" w:rsidRDefault="00B63C48" w:rsidP="00B63C48">
      <w:pPr>
        <w:rPr>
          <w:rFonts w:ascii="Trebuchet MS" w:hAnsi="Trebuchet MS" w:cs="Arial"/>
          <w:b/>
          <w:u w:val="single"/>
        </w:rPr>
      </w:pPr>
    </w:p>
    <w:p w:rsidR="00575607" w:rsidRPr="00575607" w:rsidRDefault="00575607" w:rsidP="00B63C48">
      <w:pPr>
        <w:rPr>
          <w:rFonts w:ascii="Trebuchet MS" w:hAnsi="Trebuchet MS" w:cs="Arial"/>
          <w:b/>
          <w:u w:val="single"/>
        </w:rPr>
      </w:pPr>
    </w:p>
    <w:p w:rsidR="00B63C48" w:rsidRPr="00575607" w:rsidRDefault="00B63C48" w:rsidP="00B63C48">
      <w:pPr>
        <w:jc w:val="center"/>
        <w:rPr>
          <w:rFonts w:ascii="Trebuchet MS" w:hAnsi="Trebuchet MS" w:cs="Arial"/>
          <w:b/>
          <w:u w:val="single"/>
        </w:rPr>
      </w:pPr>
    </w:p>
    <w:p w:rsidR="00AE762B" w:rsidRPr="00575607" w:rsidRDefault="00AE762B" w:rsidP="00575607">
      <w:pPr>
        <w:pStyle w:val="Default"/>
        <w:ind w:firstLine="567"/>
        <w:jc w:val="both"/>
        <w:rPr>
          <w:rFonts w:ascii="Trebuchet MS" w:hAnsi="Trebuchet MS"/>
          <w:b/>
          <w:lang w:val="ro-RO"/>
        </w:rPr>
      </w:pPr>
      <w:r w:rsidRPr="00575607">
        <w:rPr>
          <w:rFonts w:ascii="Trebuchet MS" w:hAnsi="Trebuchet MS"/>
          <w:b/>
          <w:lang w:val="ro-RO"/>
        </w:rPr>
        <w:t>II.1.1.3 Evenimente extreme produse de debitele cursurilor de apă</w:t>
      </w:r>
    </w:p>
    <w:p w:rsidR="00575607" w:rsidRDefault="00575607" w:rsidP="002E5B22">
      <w:pPr>
        <w:pStyle w:val="Default"/>
        <w:jc w:val="both"/>
        <w:rPr>
          <w:rFonts w:ascii="Trebuchet MS" w:hAnsi="Trebuchet MS"/>
          <w:b/>
          <w:lang w:val="ro-RO"/>
        </w:rPr>
      </w:pPr>
    </w:p>
    <w:p w:rsidR="00AE762B" w:rsidRPr="00254B55" w:rsidRDefault="004D15C6" w:rsidP="002E5B22">
      <w:pPr>
        <w:pStyle w:val="Default"/>
        <w:jc w:val="both"/>
        <w:rPr>
          <w:rFonts w:ascii="Trebuchet MS" w:hAnsi="Trebuchet MS"/>
          <w:b/>
          <w:sz w:val="22"/>
          <w:szCs w:val="22"/>
          <w:lang w:val="ro-RO"/>
        </w:rPr>
      </w:pPr>
      <w:r w:rsidRPr="00254B55">
        <w:rPr>
          <w:rFonts w:ascii="Trebuchet MS" w:hAnsi="Trebuchet MS"/>
          <w:b/>
          <w:sz w:val="22"/>
          <w:szCs w:val="22"/>
          <w:lang w:val="ro-RO"/>
        </w:rPr>
        <w:t xml:space="preserve">Nu detinem date </w:t>
      </w:r>
      <w:r w:rsidR="00D10CCE" w:rsidRPr="00254B55">
        <w:rPr>
          <w:rFonts w:ascii="Trebuchet MS" w:hAnsi="Trebuchet MS"/>
          <w:b/>
          <w:sz w:val="22"/>
          <w:szCs w:val="22"/>
          <w:lang w:val="ro-RO"/>
        </w:rPr>
        <w:t>pentru Bucuresti</w:t>
      </w:r>
    </w:p>
    <w:p w:rsidR="00D10CCE" w:rsidRPr="00254B55" w:rsidRDefault="00E72361" w:rsidP="002E5B22">
      <w:pPr>
        <w:pStyle w:val="Default"/>
        <w:jc w:val="both"/>
        <w:rPr>
          <w:rFonts w:ascii="Trebuchet MS" w:hAnsi="Trebuchet MS"/>
          <w:b/>
          <w:sz w:val="22"/>
          <w:szCs w:val="22"/>
          <w:lang w:val="ro-RO"/>
        </w:rPr>
      </w:pPr>
      <w:r w:rsidRPr="00254B55">
        <w:rPr>
          <w:rFonts w:ascii="Trebuchet MS" w:hAnsi="Trebuchet MS"/>
          <w:b/>
          <w:sz w:val="22"/>
          <w:szCs w:val="22"/>
          <w:lang w:val="ro-RO"/>
        </w:rPr>
        <w:t>Din raportul ANAR nu am identificat fenomene hidrologice extreme pe zona bazinului hidrografic Arges</w:t>
      </w:r>
    </w:p>
    <w:p w:rsidR="00D10CCE" w:rsidRPr="00575607" w:rsidRDefault="00D10CCE" w:rsidP="002E5B22">
      <w:pPr>
        <w:pStyle w:val="Default"/>
        <w:jc w:val="both"/>
        <w:rPr>
          <w:rFonts w:ascii="Trebuchet MS" w:hAnsi="Trebuchet MS"/>
          <w:b/>
          <w:lang w:val="ro-RO"/>
        </w:rPr>
      </w:pPr>
    </w:p>
    <w:p w:rsidR="00E12732" w:rsidRPr="00575607" w:rsidRDefault="00E12732" w:rsidP="00575607">
      <w:pPr>
        <w:pStyle w:val="Default"/>
        <w:ind w:firstLine="567"/>
        <w:jc w:val="both"/>
        <w:rPr>
          <w:rFonts w:ascii="Trebuchet MS" w:hAnsi="Trebuchet MS"/>
          <w:b/>
          <w:sz w:val="22"/>
          <w:szCs w:val="22"/>
        </w:rPr>
      </w:pPr>
      <w:r w:rsidRPr="00575607">
        <w:rPr>
          <w:rFonts w:ascii="Trebuchet MS" w:hAnsi="Trebuchet MS"/>
          <w:b/>
          <w:sz w:val="22"/>
          <w:szCs w:val="22"/>
        </w:rPr>
        <w:t>II.1.1.4 Schimbări hidromorfologice ale cursurilor de apă</w:t>
      </w:r>
    </w:p>
    <w:p w:rsidR="00E12732" w:rsidRPr="00254B55" w:rsidRDefault="00E12732" w:rsidP="00575607">
      <w:pPr>
        <w:pStyle w:val="Default"/>
        <w:ind w:firstLine="567"/>
        <w:jc w:val="both"/>
        <w:rPr>
          <w:rFonts w:ascii="Trebuchet MS" w:hAnsi="Trebuchet MS"/>
          <w:sz w:val="22"/>
          <w:szCs w:val="22"/>
        </w:rPr>
      </w:pPr>
      <w:r w:rsidRPr="00254B55">
        <w:rPr>
          <w:rFonts w:ascii="Trebuchet MS" w:hAnsi="Trebuchet MS"/>
          <w:sz w:val="22"/>
          <w:szCs w:val="22"/>
        </w:rPr>
        <w:t xml:space="preserve">Modificările caracteristicilor hidromorfologice ale cursurilor de apă (schimbări ale cursurilor naturale, schimbări ale regimului hidrologic, deteriorarea biodiversităţii acvatice, etc.) sunt rezultatul prezenței presiunilor hidromorfologice care produc un impact asupra stării ecosistemelor acvatice şi pot contribui la neatingerea obiectivelor de mediu ale corpurilor de apă. </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 xml:space="preserve">Conform Directivei Cadru Apă 2000/60/CE, corpurile de apă puternic modificate sunt acele corpuri de apă de suprafaţă care datorită „alterărilor fizice” şi-au schimbat substanţial caracterul lor natural. </w:t>
      </w:r>
      <w:r w:rsidRPr="00254B55">
        <w:rPr>
          <w:rFonts w:ascii="Trebuchet MS" w:hAnsi="Trebuchet MS" w:cs="Arial"/>
          <w:noProof/>
          <w:sz w:val="22"/>
          <w:szCs w:val="22"/>
        </w:rPr>
        <w:t>Alterarea trebuie să fie la o scară largă a corpului de apă, profundă, permanentă</w:t>
      </w:r>
      <w:r w:rsidRPr="00254B55">
        <w:rPr>
          <w:rFonts w:ascii="Trebuchet MS" w:hAnsi="Trebuchet MS" w:cs="Arial"/>
          <w:sz w:val="22"/>
          <w:szCs w:val="22"/>
        </w:rPr>
        <w:t xml:space="preserve"> Conform Art. 2.8 din Directiva Cadru a Apei, corpurile de apă artificiale sunt corpurile de apă de suprafaţă create prin activitatea umană. </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Corpurile de apă puternic modificate si corpurile de apă artificiale au ca obiectiv atingerea unui „potenţial ecologic bun”, precum şi atingerea „stării chimice bune”.</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Pentru un corp de apă care nu este în stare ecologică bună, consecinţă a alterărilor hidromorfologice semnificative, au fost parcurse etapele testului de desemnare, conform cerințelor art. 4.3 al Directivei Cadru a Apei.</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 xml:space="preserve">Construcţiile hidrotehnice cu barare transversală (baraje, stăvilare, praguri de fund) întrerup conectivitatea longitudinală a râurilor cu efecte asupra regimului hidrologic, transportului de sedimente, dar mai ales asupra migrării biotei. Lucrările în lungul râului (îndiguirile, lucrări de regularizare şi consolidare maluri) întrerup conectivitatea laterală a corpurilor de apă cu luncile inundabile şi zonele de reproducere ce au ca rezultat deteriorarea stării </w:t>
      </w:r>
      <w:r w:rsidRPr="00254B55">
        <w:rPr>
          <w:rFonts w:ascii="Trebuchet MS" w:hAnsi="Trebuchet MS" w:cs="Arial"/>
          <w:noProof/>
          <w:sz w:val="22"/>
          <w:szCs w:val="22"/>
          <w:lang w:eastAsia="en-GB"/>
        </w:rPr>
        <w:t>ecologice</w:t>
      </w:r>
      <w:r w:rsidRPr="00254B55">
        <w:rPr>
          <w:rFonts w:ascii="Trebuchet MS" w:hAnsi="Trebuchet MS" w:cs="Arial"/>
          <w:sz w:val="22"/>
          <w:szCs w:val="22"/>
        </w:rPr>
        <w:t>. Prelevările şi restituţiile semnificative au efecte asupra regimului hidrologic, dar şi asupra biotei.</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În tabelul următor se prezintă evoluţia procentuală a clasificării corpurilor de apă, la nivel naţional, pentru perioada 2004-2023, observându-se că predomină corpurile de apă naturale.</w:t>
      </w:r>
    </w:p>
    <w:p w:rsidR="00E12732" w:rsidRPr="00254B55" w:rsidRDefault="00E12732" w:rsidP="00575607">
      <w:pPr>
        <w:pStyle w:val="Default"/>
        <w:ind w:firstLine="567"/>
        <w:jc w:val="both"/>
        <w:rPr>
          <w:rFonts w:ascii="Trebuchet MS" w:hAnsi="Trebuchet MS"/>
          <w:color w:val="auto"/>
          <w:sz w:val="22"/>
          <w:szCs w:val="22"/>
        </w:rPr>
      </w:pPr>
      <w:r w:rsidRPr="00254B55">
        <w:rPr>
          <w:rFonts w:ascii="Trebuchet MS" w:hAnsi="Trebuchet MS"/>
          <w:color w:val="auto"/>
          <w:sz w:val="22"/>
          <w:szCs w:val="22"/>
        </w:rPr>
        <w:t xml:space="preserve">Numărul total al corpurilor de apă s-a modificat (Tabel II.1.1.4.1) având în vedere aplicarea criteriilor din Planul naţional de management </w:t>
      </w:r>
      <w:bookmarkStart w:id="123" w:name="_Hlk138244407"/>
      <w:r w:rsidRPr="00254B55">
        <w:rPr>
          <w:rFonts w:ascii="Trebuchet MS" w:hAnsi="Trebuchet MS"/>
          <w:color w:val="auto"/>
          <w:sz w:val="22"/>
          <w:szCs w:val="22"/>
        </w:rPr>
        <w:t xml:space="preserve">actualizat aferent porţiunii din bazinul hidrografic internaţional al fluviului Dunărea care este cuprinsă în teritoriul României (denumit în continuare Plan Național de management actualizat) – Sinteza Planurilor de management actualizate la nivel de bazine/spații hidrografice, aprobate prin HG nr. 392/2023. </w:t>
      </w:r>
    </w:p>
    <w:p w:rsidR="00E12732" w:rsidRPr="00254B55" w:rsidRDefault="00E12732" w:rsidP="00575607">
      <w:pPr>
        <w:pStyle w:val="Default"/>
        <w:ind w:firstLine="567"/>
        <w:jc w:val="both"/>
        <w:rPr>
          <w:rFonts w:ascii="Trebuchet MS" w:hAnsi="Trebuchet MS"/>
          <w:color w:val="auto"/>
          <w:sz w:val="22"/>
          <w:szCs w:val="22"/>
        </w:rPr>
      </w:pPr>
    </w:p>
    <w:p w:rsidR="00E12732" w:rsidRPr="00254B55" w:rsidRDefault="00E12732" w:rsidP="00575607">
      <w:pPr>
        <w:jc w:val="both"/>
        <w:rPr>
          <w:rFonts w:ascii="Trebuchet MS" w:hAnsi="Trebuchet MS" w:cs="Arial"/>
          <w:b/>
          <w:sz w:val="22"/>
          <w:szCs w:val="22"/>
        </w:rPr>
      </w:pPr>
      <w:bookmarkStart w:id="124" w:name="_Hlk105575998"/>
      <w:bookmarkEnd w:id="123"/>
      <w:r w:rsidRPr="00254B55">
        <w:rPr>
          <w:rFonts w:ascii="Trebuchet MS" w:hAnsi="Trebuchet MS" w:cs="Arial"/>
          <w:b/>
          <w:sz w:val="22"/>
          <w:szCs w:val="22"/>
        </w:rPr>
        <w:t>Tabel II.1.1.4.1</w:t>
      </w:r>
      <w:bookmarkEnd w:id="124"/>
      <w:r w:rsidRPr="00254B55">
        <w:rPr>
          <w:rFonts w:ascii="Trebuchet MS" w:hAnsi="Trebuchet MS" w:cs="Arial"/>
          <w:b/>
          <w:sz w:val="22"/>
          <w:szCs w:val="22"/>
        </w:rPr>
        <w:t xml:space="preserve"> Clasificarea corpurilor de apă la nivel național în perioada 2004-2023</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76"/>
        <w:gridCol w:w="2046"/>
        <w:gridCol w:w="1858"/>
        <w:gridCol w:w="2006"/>
        <w:gridCol w:w="1710"/>
      </w:tblGrid>
      <w:tr w:rsidR="00E12732" w:rsidRPr="00575607" w:rsidTr="00E13AA6">
        <w:trPr>
          <w:trHeight w:val="433"/>
        </w:trPr>
        <w:tc>
          <w:tcPr>
            <w:tcW w:w="1276" w:type="dxa"/>
            <w:vMerge w:val="restart"/>
            <w:shd w:val="clear" w:color="auto" w:fill="B6DDE8"/>
            <w:vAlign w:val="center"/>
          </w:tcPr>
          <w:p w:rsidR="00E12732" w:rsidRPr="00575607" w:rsidRDefault="00E12732" w:rsidP="00575607">
            <w:pPr>
              <w:pStyle w:val="Default"/>
              <w:jc w:val="center"/>
              <w:rPr>
                <w:rFonts w:ascii="Trebuchet MS" w:hAnsi="Trebuchet MS"/>
                <w:b/>
                <w:color w:val="auto"/>
                <w:sz w:val="22"/>
                <w:szCs w:val="22"/>
              </w:rPr>
            </w:pPr>
            <w:r w:rsidRPr="00575607">
              <w:rPr>
                <w:rFonts w:ascii="Trebuchet MS" w:hAnsi="Trebuchet MS"/>
                <w:b/>
                <w:color w:val="auto"/>
                <w:sz w:val="22"/>
                <w:szCs w:val="22"/>
              </w:rPr>
              <w:t>Anul</w:t>
            </w:r>
          </w:p>
        </w:tc>
        <w:tc>
          <w:tcPr>
            <w:tcW w:w="7620" w:type="dxa"/>
            <w:gridSpan w:val="4"/>
            <w:shd w:val="clear" w:color="auto" w:fill="B6DDE8"/>
            <w:vAlign w:val="center"/>
          </w:tcPr>
          <w:p w:rsidR="00E12732" w:rsidRPr="00575607" w:rsidRDefault="00E12732" w:rsidP="00575607">
            <w:pPr>
              <w:pStyle w:val="Default"/>
              <w:jc w:val="center"/>
              <w:rPr>
                <w:rFonts w:ascii="Trebuchet MS" w:hAnsi="Trebuchet MS"/>
                <w:b/>
                <w:color w:val="auto"/>
                <w:sz w:val="22"/>
                <w:szCs w:val="22"/>
              </w:rPr>
            </w:pPr>
            <w:r w:rsidRPr="00575607">
              <w:rPr>
                <w:rFonts w:ascii="Trebuchet MS" w:hAnsi="Trebuchet MS"/>
                <w:b/>
                <w:color w:val="auto"/>
                <w:sz w:val="22"/>
                <w:szCs w:val="22"/>
              </w:rPr>
              <w:t>Categoria corpului de apă</w:t>
            </w:r>
          </w:p>
        </w:tc>
      </w:tr>
      <w:tr w:rsidR="00E12732" w:rsidRPr="00575607" w:rsidTr="00E13AA6">
        <w:tc>
          <w:tcPr>
            <w:tcW w:w="1276" w:type="dxa"/>
            <w:vMerge/>
            <w:shd w:val="clear" w:color="auto" w:fill="B6DDE8"/>
            <w:vAlign w:val="center"/>
          </w:tcPr>
          <w:p w:rsidR="00E12732" w:rsidRPr="00575607" w:rsidRDefault="00E12732" w:rsidP="00575607">
            <w:pPr>
              <w:pStyle w:val="Default"/>
              <w:jc w:val="center"/>
              <w:rPr>
                <w:rFonts w:ascii="Trebuchet MS" w:hAnsi="Trebuchet MS"/>
                <w:color w:val="auto"/>
                <w:sz w:val="22"/>
                <w:szCs w:val="22"/>
              </w:rPr>
            </w:pPr>
          </w:p>
        </w:tc>
        <w:tc>
          <w:tcPr>
            <w:tcW w:w="2046" w:type="dxa"/>
            <w:shd w:val="clear" w:color="auto" w:fill="B6DDE8"/>
            <w:vAlign w:val="center"/>
          </w:tcPr>
          <w:p w:rsidR="00E12732" w:rsidRPr="00575607" w:rsidRDefault="00E12732" w:rsidP="00575607">
            <w:pPr>
              <w:pStyle w:val="Default"/>
              <w:jc w:val="center"/>
              <w:rPr>
                <w:rFonts w:ascii="Trebuchet MS" w:hAnsi="Trebuchet MS"/>
                <w:b/>
                <w:color w:val="auto"/>
                <w:sz w:val="22"/>
                <w:szCs w:val="22"/>
              </w:rPr>
            </w:pPr>
            <w:r w:rsidRPr="00575607">
              <w:rPr>
                <w:rFonts w:ascii="Trebuchet MS" w:hAnsi="Trebuchet MS"/>
                <w:b/>
                <w:color w:val="auto"/>
                <w:sz w:val="22"/>
                <w:szCs w:val="22"/>
              </w:rPr>
              <w:t>% nr. corpuri de apă naturale</w:t>
            </w:r>
          </w:p>
        </w:tc>
        <w:tc>
          <w:tcPr>
            <w:tcW w:w="1858" w:type="dxa"/>
            <w:shd w:val="clear" w:color="auto" w:fill="B6DDE8"/>
            <w:vAlign w:val="center"/>
          </w:tcPr>
          <w:p w:rsidR="00E12732" w:rsidRPr="00575607" w:rsidRDefault="00E12732" w:rsidP="00575607">
            <w:pPr>
              <w:pStyle w:val="Default"/>
              <w:jc w:val="center"/>
              <w:rPr>
                <w:rFonts w:ascii="Trebuchet MS" w:hAnsi="Trebuchet MS"/>
                <w:b/>
                <w:color w:val="auto"/>
                <w:sz w:val="22"/>
                <w:szCs w:val="22"/>
              </w:rPr>
            </w:pPr>
            <w:r w:rsidRPr="00575607">
              <w:rPr>
                <w:rFonts w:ascii="Trebuchet MS" w:hAnsi="Trebuchet MS"/>
                <w:b/>
                <w:color w:val="auto"/>
                <w:sz w:val="22"/>
                <w:szCs w:val="22"/>
              </w:rPr>
              <w:t>% nr. corpuri de apă artificiale</w:t>
            </w:r>
          </w:p>
        </w:tc>
        <w:tc>
          <w:tcPr>
            <w:tcW w:w="2006" w:type="dxa"/>
            <w:shd w:val="clear" w:color="auto" w:fill="B6DDE8"/>
            <w:vAlign w:val="center"/>
          </w:tcPr>
          <w:p w:rsidR="00E12732" w:rsidRPr="00575607" w:rsidRDefault="00E12732" w:rsidP="00575607">
            <w:pPr>
              <w:pStyle w:val="Default"/>
              <w:jc w:val="center"/>
              <w:rPr>
                <w:rFonts w:ascii="Trebuchet MS" w:hAnsi="Trebuchet MS"/>
                <w:b/>
                <w:color w:val="auto"/>
                <w:sz w:val="22"/>
                <w:szCs w:val="22"/>
              </w:rPr>
            </w:pPr>
            <w:r w:rsidRPr="00575607">
              <w:rPr>
                <w:rFonts w:ascii="Trebuchet MS" w:hAnsi="Trebuchet MS"/>
                <w:b/>
                <w:color w:val="auto"/>
                <w:sz w:val="22"/>
                <w:szCs w:val="22"/>
              </w:rPr>
              <w:t>% nr. corpuri de apă puternic modificate</w:t>
            </w:r>
          </w:p>
        </w:tc>
        <w:tc>
          <w:tcPr>
            <w:tcW w:w="1710" w:type="dxa"/>
            <w:shd w:val="clear" w:color="auto" w:fill="B6DDE8"/>
            <w:vAlign w:val="center"/>
          </w:tcPr>
          <w:p w:rsidR="00E12732" w:rsidRPr="00575607" w:rsidRDefault="00E12732" w:rsidP="00575607">
            <w:pPr>
              <w:pStyle w:val="Default"/>
              <w:jc w:val="center"/>
              <w:rPr>
                <w:rFonts w:ascii="Trebuchet MS" w:hAnsi="Trebuchet MS"/>
                <w:b/>
                <w:color w:val="auto"/>
                <w:sz w:val="22"/>
                <w:szCs w:val="22"/>
              </w:rPr>
            </w:pPr>
            <w:r w:rsidRPr="00575607">
              <w:rPr>
                <w:rFonts w:ascii="Trebuchet MS" w:hAnsi="Trebuchet MS"/>
                <w:b/>
                <w:color w:val="auto"/>
                <w:sz w:val="22"/>
                <w:szCs w:val="22"/>
              </w:rPr>
              <w:t>Total</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2004</w:t>
            </w:r>
          </w:p>
        </w:tc>
        <w:tc>
          <w:tcPr>
            <w:tcW w:w="204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76,91</w:t>
            </w:r>
          </w:p>
        </w:tc>
        <w:tc>
          <w:tcPr>
            <w:tcW w:w="1858"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2,07</w:t>
            </w:r>
          </w:p>
        </w:tc>
        <w:tc>
          <w:tcPr>
            <w:tcW w:w="200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21,03*</w:t>
            </w:r>
          </w:p>
        </w:tc>
        <w:tc>
          <w:tcPr>
            <w:tcW w:w="1710"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2007</w:t>
            </w:r>
          </w:p>
        </w:tc>
        <w:tc>
          <w:tcPr>
            <w:tcW w:w="204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82,11</w:t>
            </w:r>
          </w:p>
        </w:tc>
        <w:tc>
          <w:tcPr>
            <w:tcW w:w="1858"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2,79</w:t>
            </w:r>
          </w:p>
        </w:tc>
        <w:tc>
          <w:tcPr>
            <w:tcW w:w="200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15,09</w:t>
            </w:r>
          </w:p>
        </w:tc>
        <w:tc>
          <w:tcPr>
            <w:tcW w:w="1710"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2012</w:t>
            </w:r>
          </w:p>
        </w:tc>
        <w:tc>
          <w:tcPr>
            <w:tcW w:w="204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80,86</w:t>
            </w:r>
          </w:p>
        </w:tc>
        <w:tc>
          <w:tcPr>
            <w:tcW w:w="1858"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3,01</w:t>
            </w:r>
          </w:p>
        </w:tc>
        <w:tc>
          <w:tcPr>
            <w:tcW w:w="200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16,13</w:t>
            </w:r>
          </w:p>
        </w:tc>
        <w:tc>
          <w:tcPr>
            <w:tcW w:w="1710"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2013</w:t>
            </w:r>
          </w:p>
        </w:tc>
        <w:tc>
          <w:tcPr>
            <w:tcW w:w="204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81,64</w:t>
            </w:r>
          </w:p>
        </w:tc>
        <w:tc>
          <w:tcPr>
            <w:tcW w:w="1858"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2,43</w:t>
            </w:r>
          </w:p>
        </w:tc>
        <w:tc>
          <w:tcPr>
            <w:tcW w:w="200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15,93</w:t>
            </w:r>
          </w:p>
        </w:tc>
        <w:tc>
          <w:tcPr>
            <w:tcW w:w="1710"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2015</w:t>
            </w:r>
          </w:p>
        </w:tc>
        <w:tc>
          <w:tcPr>
            <w:tcW w:w="204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81,60</w:t>
            </w:r>
          </w:p>
        </w:tc>
        <w:tc>
          <w:tcPr>
            <w:tcW w:w="1858"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16,12</w:t>
            </w:r>
          </w:p>
        </w:tc>
        <w:tc>
          <w:tcPr>
            <w:tcW w:w="1710"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color w:val="auto"/>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2016</w:t>
            </w:r>
          </w:p>
        </w:tc>
        <w:tc>
          <w:tcPr>
            <w:tcW w:w="204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sz w:val="22"/>
                <w:szCs w:val="22"/>
              </w:rPr>
              <w:t>81,60</w:t>
            </w:r>
          </w:p>
        </w:tc>
        <w:tc>
          <w:tcPr>
            <w:tcW w:w="1858"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sz w:val="22"/>
                <w:szCs w:val="22"/>
              </w:rPr>
              <w:t>16,12</w:t>
            </w:r>
          </w:p>
        </w:tc>
        <w:tc>
          <w:tcPr>
            <w:tcW w:w="1710" w:type="dxa"/>
            <w:shd w:val="clear" w:color="auto" w:fill="auto"/>
          </w:tcPr>
          <w:p w:rsidR="00E12732" w:rsidRPr="00575607" w:rsidRDefault="00E12732" w:rsidP="00575607">
            <w:pPr>
              <w:pStyle w:val="Default"/>
              <w:jc w:val="both"/>
              <w:rPr>
                <w:rFonts w:ascii="Trebuchet MS" w:hAnsi="Trebuchet MS"/>
                <w:color w:val="auto"/>
                <w:sz w:val="22"/>
                <w:szCs w:val="22"/>
              </w:rPr>
            </w:pPr>
            <w:r w:rsidRPr="00575607">
              <w:rPr>
                <w:rFonts w:ascii="Trebuchet MS" w:hAnsi="Trebuchet MS"/>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2017</w:t>
            </w:r>
          </w:p>
        </w:tc>
        <w:tc>
          <w:tcPr>
            <w:tcW w:w="204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81,60</w:t>
            </w:r>
          </w:p>
        </w:tc>
        <w:tc>
          <w:tcPr>
            <w:tcW w:w="1858"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16,12</w:t>
            </w:r>
          </w:p>
        </w:tc>
        <w:tc>
          <w:tcPr>
            <w:tcW w:w="1710"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2018</w:t>
            </w:r>
          </w:p>
        </w:tc>
        <w:tc>
          <w:tcPr>
            <w:tcW w:w="204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81,60</w:t>
            </w:r>
          </w:p>
        </w:tc>
        <w:tc>
          <w:tcPr>
            <w:tcW w:w="1858"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16,12</w:t>
            </w:r>
          </w:p>
        </w:tc>
        <w:tc>
          <w:tcPr>
            <w:tcW w:w="1710"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2019</w:t>
            </w:r>
          </w:p>
        </w:tc>
        <w:tc>
          <w:tcPr>
            <w:tcW w:w="204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81,60</w:t>
            </w:r>
          </w:p>
        </w:tc>
        <w:tc>
          <w:tcPr>
            <w:tcW w:w="1858"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16,12</w:t>
            </w:r>
          </w:p>
        </w:tc>
        <w:tc>
          <w:tcPr>
            <w:tcW w:w="1710"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2020**</w:t>
            </w:r>
          </w:p>
        </w:tc>
        <w:tc>
          <w:tcPr>
            <w:tcW w:w="204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81,32</w:t>
            </w:r>
          </w:p>
        </w:tc>
        <w:tc>
          <w:tcPr>
            <w:tcW w:w="1858"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16,40</w:t>
            </w:r>
          </w:p>
        </w:tc>
        <w:tc>
          <w:tcPr>
            <w:tcW w:w="1710"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2021**</w:t>
            </w:r>
          </w:p>
        </w:tc>
        <w:tc>
          <w:tcPr>
            <w:tcW w:w="204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81,19</w:t>
            </w:r>
          </w:p>
        </w:tc>
        <w:tc>
          <w:tcPr>
            <w:tcW w:w="1858"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16,53</w:t>
            </w:r>
          </w:p>
        </w:tc>
        <w:tc>
          <w:tcPr>
            <w:tcW w:w="1710"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100</w:t>
            </w:r>
          </w:p>
        </w:tc>
      </w:tr>
      <w:tr w:rsidR="00E12732" w:rsidRPr="00575607" w:rsidTr="00E13AA6">
        <w:tc>
          <w:tcPr>
            <w:tcW w:w="1276" w:type="dxa"/>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2022**</w:t>
            </w:r>
          </w:p>
        </w:tc>
        <w:tc>
          <w:tcPr>
            <w:tcW w:w="204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81,19</w:t>
            </w:r>
          </w:p>
        </w:tc>
        <w:tc>
          <w:tcPr>
            <w:tcW w:w="1858"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2,28</w:t>
            </w:r>
          </w:p>
        </w:tc>
        <w:tc>
          <w:tcPr>
            <w:tcW w:w="2006"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16,53</w:t>
            </w:r>
          </w:p>
        </w:tc>
        <w:tc>
          <w:tcPr>
            <w:tcW w:w="1710" w:type="dxa"/>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100</w:t>
            </w:r>
          </w:p>
        </w:tc>
      </w:tr>
      <w:tr w:rsidR="00E12732" w:rsidRPr="00575607" w:rsidTr="00E13AA6">
        <w:tc>
          <w:tcPr>
            <w:tcW w:w="1276" w:type="dxa"/>
            <w:tcBorders>
              <w:top w:val="single" w:sz="8" w:space="0" w:color="auto"/>
              <w:left w:val="single" w:sz="8" w:space="0" w:color="auto"/>
              <w:bottom w:val="single" w:sz="8" w:space="0" w:color="auto"/>
              <w:right w:val="single" w:sz="8" w:space="0" w:color="auto"/>
            </w:tcBorders>
            <w:shd w:val="clear" w:color="auto" w:fill="auto"/>
          </w:tcPr>
          <w:p w:rsidR="00E12732" w:rsidRPr="00575607" w:rsidRDefault="00E12732" w:rsidP="00575607">
            <w:pPr>
              <w:pStyle w:val="Default"/>
              <w:jc w:val="center"/>
              <w:rPr>
                <w:rFonts w:ascii="Trebuchet MS" w:hAnsi="Trebuchet MS"/>
                <w:color w:val="auto"/>
                <w:sz w:val="22"/>
                <w:szCs w:val="22"/>
              </w:rPr>
            </w:pPr>
            <w:r w:rsidRPr="00575607">
              <w:rPr>
                <w:rFonts w:ascii="Trebuchet MS" w:hAnsi="Trebuchet MS"/>
                <w:color w:val="auto"/>
                <w:sz w:val="22"/>
                <w:szCs w:val="22"/>
              </w:rPr>
              <w:t>2023**</w:t>
            </w:r>
          </w:p>
        </w:tc>
        <w:tc>
          <w:tcPr>
            <w:tcW w:w="2046" w:type="dxa"/>
            <w:tcBorders>
              <w:top w:val="single" w:sz="8" w:space="0" w:color="auto"/>
              <w:left w:val="single" w:sz="8" w:space="0" w:color="auto"/>
              <w:bottom w:val="single" w:sz="8" w:space="0" w:color="auto"/>
              <w:right w:val="single" w:sz="8" w:space="0" w:color="auto"/>
            </w:tcBorders>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81,19</w:t>
            </w:r>
          </w:p>
        </w:tc>
        <w:tc>
          <w:tcPr>
            <w:tcW w:w="1858" w:type="dxa"/>
            <w:tcBorders>
              <w:top w:val="single" w:sz="8" w:space="0" w:color="auto"/>
              <w:left w:val="single" w:sz="8" w:space="0" w:color="auto"/>
              <w:bottom w:val="single" w:sz="8" w:space="0" w:color="auto"/>
              <w:right w:val="single" w:sz="8" w:space="0" w:color="auto"/>
            </w:tcBorders>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2,28</w:t>
            </w:r>
          </w:p>
        </w:tc>
        <w:tc>
          <w:tcPr>
            <w:tcW w:w="2006" w:type="dxa"/>
            <w:tcBorders>
              <w:top w:val="single" w:sz="8" w:space="0" w:color="auto"/>
              <w:left w:val="single" w:sz="8" w:space="0" w:color="auto"/>
              <w:bottom w:val="single" w:sz="8" w:space="0" w:color="auto"/>
              <w:right w:val="single" w:sz="8" w:space="0" w:color="auto"/>
            </w:tcBorders>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16,53</w:t>
            </w:r>
          </w:p>
        </w:tc>
        <w:tc>
          <w:tcPr>
            <w:tcW w:w="1710" w:type="dxa"/>
            <w:tcBorders>
              <w:top w:val="single" w:sz="8" w:space="0" w:color="auto"/>
              <w:left w:val="single" w:sz="8" w:space="0" w:color="auto"/>
              <w:bottom w:val="single" w:sz="8" w:space="0" w:color="auto"/>
              <w:right w:val="single" w:sz="8" w:space="0" w:color="auto"/>
            </w:tcBorders>
            <w:shd w:val="clear" w:color="auto" w:fill="auto"/>
          </w:tcPr>
          <w:p w:rsidR="00E12732" w:rsidRPr="00575607" w:rsidRDefault="00E12732" w:rsidP="00575607">
            <w:pPr>
              <w:pStyle w:val="Default"/>
              <w:jc w:val="both"/>
              <w:rPr>
                <w:rFonts w:ascii="Trebuchet MS" w:hAnsi="Trebuchet MS"/>
                <w:sz w:val="22"/>
                <w:szCs w:val="22"/>
              </w:rPr>
            </w:pPr>
            <w:r w:rsidRPr="00575607">
              <w:rPr>
                <w:rFonts w:ascii="Trebuchet MS" w:hAnsi="Trebuchet MS"/>
                <w:sz w:val="22"/>
                <w:szCs w:val="22"/>
              </w:rPr>
              <w:t>100</w:t>
            </w:r>
          </w:p>
        </w:tc>
      </w:tr>
    </w:tbl>
    <w:p w:rsidR="00E12732" w:rsidRPr="00575607" w:rsidRDefault="00E12732" w:rsidP="00575607">
      <w:pPr>
        <w:ind w:left="426" w:hanging="142"/>
        <w:jc w:val="both"/>
        <w:rPr>
          <w:rFonts w:ascii="Trebuchet MS" w:hAnsi="Trebuchet MS" w:cs="Arial"/>
          <w:i/>
          <w:sz w:val="20"/>
          <w:szCs w:val="20"/>
        </w:rPr>
      </w:pPr>
      <w:r w:rsidRPr="00575607">
        <w:rPr>
          <w:rFonts w:ascii="Trebuchet MS" w:hAnsi="Trebuchet MS" w:cs="Arial"/>
          <w:i/>
          <w:sz w:val="20"/>
          <w:szCs w:val="20"/>
        </w:rPr>
        <w:t>* inclusiv corpurile de apă considerate posibil a fi puternic modificate, conform nivelului de informații disponibile la acel moment (2004)</w:t>
      </w:r>
    </w:p>
    <w:p w:rsidR="00E12732" w:rsidRPr="00575607" w:rsidRDefault="00E12732" w:rsidP="00575607">
      <w:pPr>
        <w:ind w:left="426" w:hanging="142"/>
        <w:jc w:val="both"/>
        <w:rPr>
          <w:rFonts w:ascii="Trebuchet MS" w:hAnsi="Trebuchet MS" w:cs="Arial"/>
          <w:i/>
          <w:sz w:val="20"/>
          <w:szCs w:val="20"/>
        </w:rPr>
      </w:pPr>
      <w:r w:rsidRPr="00575607">
        <w:rPr>
          <w:rFonts w:ascii="Trebuchet MS" w:hAnsi="Trebuchet MS" w:cs="Arial"/>
          <w:i/>
          <w:sz w:val="20"/>
          <w:szCs w:val="20"/>
        </w:rPr>
        <w:t xml:space="preserve">** potrivit Planului Național de management actualizat </w:t>
      </w:r>
      <w:bookmarkStart w:id="125" w:name="_Hlk76479484"/>
      <w:r w:rsidRPr="00575607">
        <w:rPr>
          <w:rFonts w:ascii="Trebuchet MS" w:hAnsi="Trebuchet MS" w:cs="Arial"/>
          <w:i/>
          <w:sz w:val="20"/>
          <w:szCs w:val="20"/>
        </w:rPr>
        <w:t>(</w:t>
      </w:r>
      <w:hyperlink r:id="rId67" w:history="1">
        <w:r w:rsidRPr="00575607">
          <w:rPr>
            <w:rStyle w:val="Hyperlink"/>
            <w:rFonts w:ascii="Trebuchet MS" w:hAnsi="Trebuchet MS" w:cs="Arial"/>
            <w:i/>
            <w:sz w:val="20"/>
            <w:szCs w:val="20"/>
          </w:rPr>
          <w:t>https://rowater.ro/despre-noi/descrierea-activitatii/managementul-european-integrat-resurse-de-apa/planurile-de-management-ale-bazinelor-hidrografice/planuri-de-management-nationale/</w:t>
        </w:r>
      </w:hyperlink>
      <w:r w:rsidRPr="00575607">
        <w:rPr>
          <w:rFonts w:ascii="Trebuchet MS" w:hAnsi="Trebuchet MS" w:cs="Arial"/>
          <w:i/>
          <w:sz w:val="20"/>
          <w:szCs w:val="20"/>
        </w:rPr>
        <w:t>)</w:t>
      </w:r>
    </w:p>
    <w:bookmarkEnd w:id="125"/>
    <w:p w:rsidR="00E12732" w:rsidRPr="00575607" w:rsidRDefault="00E12732" w:rsidP="00575607">
      <w:pPr>
        <w:jc w:val="both"/>
        <w:rPr>
          <w:rFonts w:ascii="Trebuchet MS" w:hAnsi="Trebuchet MS" w:cs="Arial"/>
          <w:i/>
          <w:sz w:val="20"/>
          <w:szCs w:val="20"/>
        </w:rPr>
      </w:pPr>
      <w:r w:rsidRPr="00575607">
        <w:rPr>
          <w:rFonts w:ascii="Trebuchet MS" w:hAnsi="Trebuchet MS" w:cs="Arial"/>
          <w:i/>
          <w:sz w:val="20"/>
          <w:szCs w:val="20"/>
        </w:rPr>
        <w:t>(Sursa datelor: Administrația Națională „Apele Române”, rapoarte conform cerințelor art. 5 și 13 ale Directivei Cadru Apă 2000/60/CE)</w:t>
      </w:r>
    </w:p>
    <w:p w:rsidR="00E12732" w:rsidRPr="00254B55" w:rsidRDefault="00E12732" w:rsidP="00575607">
      <w:pPr>
        <w:ind w:firstLine="567"/>
        <w:jc w:val="both"/>
        <w:rPr>
          <w:rFonts w:ascii="Trebuchet MS" w:hAnsi="Trebuchet MS" w:cs="Arial"/>
          <w:sz w:val="22"/>
          <w:szCs w:val="22"/>
        </w:rPr>
      </w:pP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Criteriile pentru identificarea presiunilor hidromorfologice utilizate în cadrul Planului de Management actualizat (definite în cadrul Proiectului Regional UNDP-GEF al Dunării), au fost utilizate și în  proiectul Planului de Management actualizat 2021, ținând cont de tipul de presiune, intensitatea presiunii, stabilită pe baza unor parametrii abiotici, precum și efectul acestora asupra biotei.</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 xml:space="preserve">Astfel, în cadrul celui de-al treilea Plan Național de Management actualizat, au fost inventariate tipurile de presiuni hidromorfologice potențial semnificative identificate la nivel naţional </w:t>
      </w:r>
      <w:r w:rsidRPr="00254B55">
        <w:rPr>
          <w:rFonts w:ascii="Trebuchet MS" w:hAnsi="Trebuchet MS" w:cs="Arial"/>
          <w:i/>
          <w:sz w:val="22"/>
          <w:szCs w:val="22"/>
        </w:rPr>
        <w:t>(Tabel II.1.1.4.2)</w:t>
      </w:r>
      <w:r w:rsidRPr="00254B55">
        <w:rPr>
          <w:rFonts w:ascii="Trebuchet MS" w:hAnsi="Trebuchet MS" w:cs="Arial"/>
          <w:sz w:val="22"/>
          <w:szCs w:val="22"/>
        </w:rPr>
        <w:t xml:space="preserve">, datorate următoarelor categorii de lucrări: </w:t>
      </w:r>
    </w:p>
    <w:p w:rsidR="00E12732" w:rsidRPr="00254B55" w:rsidRDefault="00E12732" w:rsidP="00575607">
      <w:pPr>
        <w:ind w:left="284" w:hanging="284"/>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r>
      <w:r w:rsidRPr="00254B55">
        <w:rPr>
          <w:rFonts w:ascii="Trebuchet MS" w:hAnsi="Trebuchet MS" w:cs="Arial"/>
          <w:b/>
          <w:bCs/>
          <w:sz w:val="22"/>
          <w:szCs w:val="22"/>
        </w:rPr>
        <w:t>Lucrări de barare transversală situate pe corpul de apă</w:t>
      </w:r>
      <w:r w:rsidRPr="00254B55">
        <w:rPr>
          <w:rFonts w:ascii="Trebuchet MS" w:hAnsi="Trebuchet MS" w:cs="Arial"/>
          <w:sz w:val="22"/>
          <w:szCs w:val="22"/>
        </w:rPr>
        <w:t xml:space="preserve"> – de tip baraje, praguri de priză de alimentare cu apă, irigații, praguri de cădere sau rupere de pantă, praguri pentru corecție sau stabilizare talveg, praguri de fund, care întrerup conectivitatea longitudinală a corpului de apă, cu efecte asupra regimului hidrologic, stabilității albiei, transportului sedimentelor și a migrării biotei;</w:t>
      </w:r>
    </w:p>
    <w:p w:rsidR="00E12732" w:rsidRPr="00254B55" w:rsidRDefault="00E12732" w:rsidP="00575607">
      <w:pPr>
        <w:ind w:left="284" w:hanging="284"/>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r>
      <w:r w:rsidRPr="00254B55">
        <w:rPr>
          <w:rFonts w:ascii="Trebuchet MS" w:hAnsi="Trebuchet MS" w:cs="Arial"/>
          <w:b/>
          <w:bCs/>
          <w:sz w:val="22"/>
          <w:szCs w:val="22"/>
        </w:rPr>
        <w:t>Lucrări în lungul râului</w:t>
      </w:r>
      <w:r w:rsidRPr="00254B55">
        <w:rPr>
          <w:rFonts w:ascii="Trebuchet MS" w:hAnsi="Trebuchet MS" w:cs="Arial"/>
          <w:sz w:val="22"/>
          <w:szCs w:val="22"/>
        </w:rPr>
        <w:t xml:space="preserve"> - de tip diguri, amenajări agricole și piscicole, lucrări de regularizare și consolidare maluri, tăieri de meandre - care conduc la pierderea conectivității laterale, cu efecte asupra morfologiei albiei și a zonei ripariene, a luncii inundabile, a vegetației din lunca inundabilă și a zonelor de reproducere și asupra profilului longitudinal al râului, structurii substratului și biotei; luncile inundabile, în starea lor naturală, reprezintă o componentă ecologică importantă a ecosistemului: filtrează și stochează apă, funcționează ca protecție împotriva inundațiilor, asigură o bună funcționare a râurilor și ajută la conservarea biodiversității;</w:t>
      </w:r>
    </w:p>
    <w:p w:rsidR="00E12732" w:rsidRPr="00254B55" w:rsidRDefault="00E12732" w:rsidP="00575607">
      <w:pPr>
        <w:ind w:left="284" w:hanging="284"/>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r>
      <w:r w:rsidRPr="00254B55">
        <w:rPr>
          <w:rFonts w:ascii="Trebuchet MS" w:hAnsi="Trebuchet MS" w:cs="Arial"/>
          <w:b/>
          <w:bCs/>
          <w:sz w:val="22"/>
          <w:szCs w:val="22"/>
        </w:rPr>
        <w:t>Prelevări și restituții/ derivații</w:t>
      </w:r>
      <w:r w:rsidRPr="00254B55">
        <w:rPr>
          <w:rFonts w:ascii="Trebuchet MS" w:hAnsi="Trebuchet MS" w:cs="Arial"/>
          <w:sz w:val="22"/>
          <w:szCs w:val="22"/>
        </w:rPr>
        <w:t xml:space="preserve"> - prize de apă, restituții folosințe (evacuări), derivații cu efecte asupra curgerii minime, stabilității albiei și biotei;</w:t>
      </w:r>
    </w:p>
    <w:p w:rsidR="00E12732" w:rsidRPr="00254B55" w:rsidRDefault="00E12732" w:rsidP="00575607">
      <w:pPr>
        <w:ind w:left="284" w:hanging="284"/>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t xml:space="preserve"> </w:t>
      </w:r>
      <w:r w:rsidRPr="00254B55">
        <w:rPr>
          <w:rFonts w:ascii="Trebuchet MS" w:hAnsi="Trebuchet MS" w:cs="Arial"/>
          <w:b/>
          <w:bCs/>
          <w:sz w:val="22"/>
          <w:szCs w:val="22"/>
        </w:rPr>
        <w:t>Șenale navigabile</w:t>
      </w:r>
      <w:r w:rsidRPr="00254B55">
        <w:rPr>
          <w:rFonts w:ascii="Trebuchet MS" w:hAnsi="Trebuchet MS" w:cs="Arial"/>
          <w:sz w:val="22"/>
          <w:szCs w:val="22"/>
        </w:rPr>
        <w:t xml:space="preserve"> – cu efecte asupra stabilității albiei și biotei.</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 xml:space="preserve">Aceste lucrări au fost executate pe corpurile de apă în diverse scopuri, și anume: protejarea populației împotriva inundațiilor, asigurarea cerinţei de apă, regularizarea debitelor naturale, producerea de energie prin hidrocentrale etc), cu efecte funcţionale pentru comunităţile umane. </w:t>
      </w:r>
    </w:p>
    <w:p w:rsidR="00E12732" w:rsidRPr="00254B55" w:rsidRDefault="00E12732" w:rsidP="00575607">
      <w:pPr>
        <w:ind w:firstLine="567"/>
        <w:jc w:val="both"/>
        <w:rPr>
          <w:rFonts w:ascii="Trebuchet MS" w:hAnsi="Trebuchet MS" w:cs="Arial"/>
          <w:sz w:val="22"/>
          <w:szCs w:val="22"/>
        </w:rPr>
      </w:pPr>
      <w:r w:rsidRPr="00254B55">
        <w:rPr>
          <w:rFonts w:ascii="Trebuchet MS" w:hAnsi="Trebuchet MS" w:cs="Arial"/>
          <w:sz w:val="22"/>
          <w:szCs w:val="22"/>
        </w:rPr>
        <w:t xml:space="preserve">Potrivit Planului național de management actualizat 2021, centralizarea la nivel naţional a presiunilor potențial semnificative care afectează în mod semnificativ caracteristicile hidromorfologice ale corpurilor de apă este prezentată în continuare în </w:t>
      </w:r>
      <w:r w:rsidRPr="00254B55">
        <w:rPr>
          <w:rFonts w:ascii="Trebuchet MS" w:hAnsi="Trebuchet MS" w:cs="Arial"/>
          <w:i/>
          <w:sz w:val="22"/>
          <w:szCs w:val="22"/>
        </w:rPr>
        <w:t>Tabelul II.1.1.4.2</w:t>
      </w:r>
      <w:r w:rsidRPr="00254B55">
        <w:rPr>
          <w:rFonts w:ascii="Trebuchet MS" w:hAnsi="Trebuchet MS" w:cs="Arial"/>
          <w:sz w:val="22"/>
          <w:szCs w:val="22"/>
        </w:rPr>
        <w:t xml:space="preserve"> și </w:t>
      </w:r>
      <w:r w:rsidRPr="00254B55">
        <w:rPr>
          <w:rFonts w:ascii="Trebuchet MS" w:hAnsi="Trebuchet MS" w:cs="Arial"/>
          <w:i/>
          <w:sz w:val="22"/>
          <w:szCs w:val="22"/>
        </w:rPr>
        <w:t xml:space="preserve">Figurile II.1.1.4-5. </w:t>
      </w:r>
      <w:r w:rsidRPr="00254B55">
        <w:rPr>
          <w:rFonts w:ascii="Trebuchet MS" w:hAnsi="Trebuchet MS" w:cs="Arial"/>
          <w:sz w:val="22"/>
          <w:szCs w:val="22"/>
        </w:rPr>
        <w:t>Astfel, la nivel național s-au identificat 5.349 presiuni hidromorfologice potențial semnificative. Se precizează că toate aceste presiuni reprezintă presiuni punctuale de natură hidromorfologică, situate pe corpurile de apă, aproape în totalitatea lor caracterul potențial semnificativ fiind dat de cumulul aceluiași tip de presiune la nivelul corpului de apă</w:t>
      </w:r>
    </w:p>
    <w:p w:rsidR="00E12732" w:rsidRPr="00254B55" w:rsidRDefault="00E12732" w:rsidP="00575607">
      <w:pPr>
        <w:ind w:firstLine="567"/>
        <w:jc w:val="both"/>
        <w:rPr>
          <w:rFonts w:ascii="Trebuchet MS" w:hAnsi="Trebuchet MS" w:cs="Arial"/>
          <w:i/>
          <w:sz w:val="22"/>
          <w:szCs w:val="22"/>
        </w:rPr>
      </w:pPr>
      <w:r w:rsidRPr="00254B55">
        <w:rPr>
          <w:rFonts w:ascii="Trebuchet MS" w:hAnsi="Trebuchet MS" w:cs="Arial"/>
          <w:sz w:val="22"/>
          <w:szCs w:val="22"/>
        </w:rPr>
        <w:t>În urma aplicării procesului de validare a presiunilor potențial semnificative – alterări hidromorfologice cu atingerea obiectivelor de mediu de către corpurile de apă de suprafață, la nivel național s-a identificat un număr de 402 presiuni hidromorfologice semnificative</w:t>
      </w:r>
      <w:r w:rsidRPr="00254B55">
        <w:rPr>
          <w:rFonts w:ascii="Trebuchet MS" w:hAnsi="Trebuchet MS" w:cs="Arial"/>
          <w:i/>
          <w:sz w:val="22"/>
          <w:szCs w:val="22"/>
        </w:rPr>
        <w:t>.</w:t>
      </w:r>
    </w:p>
    <w:p w:rsidR="00E12732" w:rsidRPr="00254B55" w:rsidRDefault="00E12732" w:rsidP="00575607">
      <w:pPr>
        <w:jc w:val="both"/>
        <w:rPr>
          <w:rFonts w:ascii="Trebuchet MS" w:hAnsi="Trebuchet MS" w:cs="Arial"/>
          <w:b/>
          <w:sz w:val="22"/>
          <w:szCs w:val="22"/>
        </w:rPr>
      </w:pPr>
    </w:p>
    <w:p w:rsidR="00E12732" w:rsidRPr="00254B55" w:rsidRDefault="00E12732" w:rsidP="00E12732">
      <w:pPr>
        <w:spacing w:before="120" w:after="120" w:line="300" w:lineRule="auto"/>
        <w:jc w:val="both"/>
        <w:rPr>
          <w:rFonts w:ascii="Trebuchet MS" w:hAnsi="Trebuchet MS" w:cs="Arial"/>
          <w:b/>
          <w:sz w:val="22"/>
          <w:szCs w:val="22"/>
        </w:rPr>
      </w:pPr>
      <w:r w:rsidRPr="00254B55">
        <w:rPr>
          <w:rFonts w:ascii="Trebuchet MS" w:hAnsi="Trebuchet MS" w:cs="Arial"/>
          <w:b/>
          <w:sz w:val="22"/>
          <w:szCs w:val="22"/>
        </w:rPr>
        <w:t>Tabel II.1.1.4.2. Presiuni hidromorfologice potențial semnificative ale corpurilor de apă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709"/>
        <w:gridCol w:w="1888"/>
        <w:gridCol w:w="990"/>
        <w:gridCol w:w="1090"/>
        <w:gridCol w:w="3156"/>
      </w:tblGrid>
      <w:tr w:rsidR="00E12732" w:rsidRPr="00254B55" w:rsidTr="00E13AA6">
        <w:trPr>
          <w:jc w:val="center"/>
        </w:trPr>
        <w:tc>
          <w:tcPr>
            <w:tcW w:w="737" w:type="dxa"/>
            <w:shd w:val="clear" w:color="auto" w:fill="BDD6EE"/>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Nr. crt.</w:t>
            </w:r>
          </w:p>
        </w:tc>
        <w:tc>
          <w:tcPr>
            <w:tcW w:w="3597" w:type="dxa"/>
            <w:gridSpan w:val="2"/>
            <w:shd w:val="clear" w:color="auto" w:fill="BDD6EE"/>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Presiuni hidromorfologice</w:t>
            </w:r>
          </w:p>
        </w:tc>
        <w:tc>
          <w:tcPr>
            <w:tcW w:w="990" w:type="dxa"/>
            <w:shd w:val="clear" w:color="auto" w:fill="BDD6EE"/>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Număr</w:t>
            </w:r>
          </w:p>
        </w:tc>
        <w:tc>
          <w:tcPr>
            <w:tcW w:w="1090" w:type="dxa"/>
            <w:shd w:val="clear" w:color="auto" w:fill="BDD6EE"/>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Lungime (km)</w:t>
            </w:r>
          </w:p>
        </w:tc>
        <w:tc>
          <w:tcPr>
            <w:tcW w:w="3156" w:type="dxa"/>
            <w:shd w:val="clear" w:color="auto" w:fill="BDD6EE"/>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Exemple</w:t>
            </w:r>
          </w:p>
        </w:tc>
      </w:tr>
      <w:tr w:rsidR="00E12732" w:rsidRPr="00254B55" w:rsidTr="00E13AA6">
        <w:trPr>
          <w:jc w:val="center"/>
        </w:trPr>
        <w:tc>
          <w:tcPr>
            <w:tcW w:w="737"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1</w:t>
            </w:r>
          </w:p>
        </w:tc>
        <w:tc>
          <w:tcPr>
            <w:tcW w:w="1709"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Lucrări de barare transversală situate pe corpul de apă</w:t>
            </w:r>
          </w:p>
        </w:tc>
        <w:tc>
          <w:tcPr>
            <w:tcW w:w="1888"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Lacuri de acumulare a căror suprafaţă este mai mare de 0,5 km</w:t>
            </w:r>
            <w:r w:rsidRPr="00254B55">
              <w:rPr>
                <w:rFonts w:ascii="Trebuchet MS" w:hAnsi="Trebuchet MS" w:cs="Arial"/>
                <w:sz w:val="22"/>
                <w:szCs w:val="22"/>
                <w:vertAlign w:val="superscript"/>
              </w:rPr>
              <w:t>2</w:t>
            </w:r>
          </w:p>
        </w:tc>
        <w:tc>
          <w:tcPr>
            <w:tcW w:w="9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2.917</w:t>
            </w:r>
          </w:p>
        </w:tc>
        <w:tc>
          <w:tcPr>
            <w:tcW w:w="10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3156"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Baraje, praguri pentru următoarele folosințe: producere de energie electrică, apărare împotriva inundațiilor, apă potabilă, irigații, recreere, industrie, navigație etc. Dintre acestea, 211 au fost evaluate ca presiuni semnificative.</w:t>
            </w:r>
          </w:p>
        </w:tc>
      </w:tr>
      <w:tr w:rsidR="00E12732" w:rsidRPr="00254B55" w:rsidTr="00E13AA6">
        <w:trPr>
          <w:jc w:val="center"/>
        </w:trPr>
        <w:tc>
          <w:tcPr>
            <w:tcW w:w="737" w:type="dxa"/>
            <w:vMerge w:val="restart"/>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2</w:t>
            </w:r>
          </w:p>
        </w:tc>
        <w:tc>
          <w:tcPr>
            <w:tcW w:w="1709" w:type="dxa"/>
            <w:vMerge w:val="restart"/>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Lucrări în lungul cursurilor de apă</w:t>
            </w:r>
          </w:p>
        </w:tc>
        <w:tc>
          <w:tcPr>
            <w:tcW w:w="1888"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Îndiguiri</w:t>
            </w:r>
          </w:p>
        </w:tc>
        <w:tc>
          <w:tcPr>
            <w:tcW w:w="990" w:type="dxa"/>
            <w:vMerge w:val="restart"/>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1697</w:t>
            </w:r>
          </w:p>
        </w:tc>
        <w:tc>
          <w:tcPr>
            <w:tcW w:w="10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8.783</w:t>
            </w:r>
          </w:p>
        </w:tc>
        <w:tc>
          <w:tcPr>
            <w:tcW w:w="3156" w:type="dxa"/>
            <w:vMerge w:val="restart"/>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Presiunile potențial semnificative sunt datorate folosințelor de tipul apărare împotriva inundațiilor, agricultură, navigație având ca efecte alterări ale albiei, alterări ale zonei ripariene, precum și pierderi fizice ale unei părți din corpul de apă. Dintre acestea, 168 au fost evaluate ca presiuni semnificative.</w:t>
            </w:r>
          </w:p>
        </w:tc>
      </w:tr>
      <w:tr w:rsidR="00E12732" w:rsidRPr="00254B55" w:rsidTr="00E13AA6">
        <w:trPr>
          <w:jc w:val="center"/>
        </w:trPr>
        <w:tc>
          <w:tcPr>
            <w:tcW w:w="737" w:type="dxa"/>
            <w:vMerge/>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1709" w:type="dxa"/>
            <w:vMerge/>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1888"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Lucrări de regularizare</w:t>
            </w:r>
          </w:p>
        </w:tc>
        <w:tc>
          <w:tcPr>
            <w:tcW w:w="990" w:type="dxa"/>
            <w:vMerge/>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10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7.176</w:t>
            </w:r>
          </w:p>
        </w:tc>
        <w:tc>
          <w:tcPr>
            <w:tcW w:w="3156" w:type="dxa"/>
            <w:vMerge/>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r>
      <w:tr w:rsidR="00E12732" w:rsidRPr="00254B55" w:rsidTr="00E13AA6">
        <w:trPr>
          <w:jc w:val="center"/>
        </w:trPr>
        <w:tc>
          <w:tcPr>
            <w:tcW w:w="737" w:type="dxa"/>
            <w:vMerge w:val="restart"/>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3</w:t>
            </w:r>
          </w:p>
        </w:tc>
        <w:tc>
          <w:tcPr>
            <w:tcW w:w="1709" w:type="dxa"/>
            <w:vMerge w:val="restart"/>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Lucrări de prelevare și restituție a apelor</w:t>
            </w:r>
          </w:p>
        </w:tc>
        <w:tc>
          <w:tcPr>
            <w:tcW w:w="1888"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Prelevări de apă</w:t>
            </w:r>
          </w:p>
        </w:tc>
        <w:tc>
          <w:tcPr>
            <w:tcW w:w="9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535</w:t>
            </w:r>
          </w:p>
        </w:tc>
        <w:tc>
          <w:tcPr>
            <w:tcW w:w="10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3156" w:type="dxa"/>
            <w:shd w:val="clear" w:color="auto" w:fill="auto"/>
            <w:vAlign w:val="center"/>
          </w:tcPr>
          <w:p w:rsidR="00E12732" w:rsidRPr="00254B55" w:rsidRDefault="00E12732" w:rsidP="00E13AA6">
            <w:pPr>
              <w:spacing w:line="300" w:lineRule="auto"/>
              <w:jc w:val="both"/>
              <w:rPr>
                <w:rFonts w:ascii="Trebuchet MS" w:hAnsi="Trebuchet MS" w:cs="Arial"/>
                <w:sz w:val="22"/>
                <w:szCs w:val="22"/>
              </w:rPr>
            </w:pPr>
            <w:r w:rsidRPr="00254B55">
              <w:rPr>
                <w:rFonts w:ascii="Trebuchet MS" w:hAnsi="Trebuchet MS" w:cs="Arial"/>
                <w:sz w:val="22"/>
                <w:szCs w:val="22"/>
              </w:rPr>
              <w:t>Pentru următoarele folosințe: prelevări de apă, având ca scop prelevări de apă pentru folosințe alimentare cu apă, hidroenergie, industrie, agricultură, alimentare cu apă pentru populație, apă de răcire, producere de energie electrică, ferme piscicole, altele.</w:t>
            </w:r>
          </w:p>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Dintre acestea, 6 au fost evaluate ca presiuni semnificative.</w:t>
            </w:r>
          </w:p>
        </w:tc>
      </w:tr>
      <w:tr w:rsidR="00E12732" w:rsidRPr="00254B55" w:rsidTr="00E13AA6">
        <w:trPr>
          <w:jc w:val="center"/>
        </w:trPr>
        <w:tc>
          <w:tcPr>
            <w:tcW w:w="737" w:type="dxa"/>
            <w:vMerge/>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1709" w:type="dxa"/>
            <w:vMerge/>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1888"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Derivații și canale</w:t>
            </w:r>
          </w:p>
        </w:tc>
        <w:tc>
          <w:tcPr>
            <w:tcW w:w="9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135</w:t>
            </w:r>
          </w:p>
        </w:tc>
        <w:tc>
          <w:tcPr>
            <w:tcW w:w="10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3156"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Derivații și canale având ca scop suplimentarea debitului afluent pentru anumite acumulări, asigurarea cerinţei de apă pentru folosințe de tip gospodărie comunală, industrie, agricultură. Dintre acestea, 15 au fost evaluate ca presiuni semnificative.</w:t>
            </w:r>
          </w:p>
        </w:tc>
      </w:tr>
      <w:tr w:rsidR="00E12732" w:rsidRPr="00254B55" w:rsidTr="00E13AA6">
        <w:trPr>
          <w:jc w:val="center"/>
        </w:trPr>
        <w:tc>
          <w:tcPr>
            <w:tcW w:w="737"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4</w:t>
            </w:r>
          </w:p>
        </w:tc>
        <w:tc>
          <w:tcPr>
            <w:tcW w:w="1709"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Canale navigabile</w:t>
            </w:r>
          </w:p>
        </w:tc>
        <w:tc>
          <w:tcPr>
            <w:tcW w:w="1888"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9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b/>
                <w:sz w:val="22"/>
                <w:szCs w:val="22"/>
              </w:rPr>
              <w:t>3</w:t>
            </w:r>
          </w:p>
        </w:tc>
        <w:tc>
          <w:tcPr>
            <w:tcW w:w="1090"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p>
        </w:tc>
        <w:tc>
          <w:tcPr>
            <w:tcW w:w="3156" w:type="dxa"/>
            <w:shd w:val="clear" w:color="auto" w:fill="auto"/>
            <w:vAlign w:val="center"/>
          </w:tcPr>
          <w:p w:rsidR="00E12732" w:rsidRPr="00254B55" w:rsidRDefault="00E12732" w:rsidP="00E13AA6">
            <w:pPr>
              <w:spacing w:line="300" w:lineRule="auto"/>
              <w:jc w:val="both"/>
              <w:rPr>
                <w:rFonts w:ascii="Trebuchet MS" w:hAnsi="Trebuchet MS" w:cs="Arial"/>
                <w:b/>
                <w:sz w:val="22"/>
                <w:szCs w:val="22"/>
              </w:rPr>
            </w:pPr>
            <w:r w:rsidRPr="00254B55">
              <w:rPr>
                <w:rFonts w:ascii="Trebuchet MS" w:hAnsi="Trebuchet MS" w:cs="Arial"/>
                <w:sz w:val="22"/>
                <w:szCs w:val="22"/>
              </w:rPr>
              <w:t>Fluviul Dunărea este principala rută navigabilă din România. Pe teritoriul românesc, calea navigabilă se împarte în Dunărea fluvială, de la intrarea în țară până la Tulcea, și Dunărea maritimă, de la Tulcea până la vărsarea în Marea Neagră. De asemenea, canalul Dunăre - Marea Neagră (CDMN) și canalul Poarta Albă - Midia - Năvodari (CPAMN) asigură conexiunea cu Marea Neagră. Singura rută navigabilă pe râurile interioare este canalul Bega. Navigaţia pe canalul Bega nu se mai desfăşoară din anul 1967. În prezent, pe canalul Bega se desfăşoară doar navigaţie de agrement, foarte redusă şi doar pe tronsonul Timişoara – Frontieră.</w:t>
            </w:r>
            <w:r w:rsidRPr="00254B55">
              <w:rPr>
                <w:rFonts w:ascii="Trebuchet MS" w:hAnsi="Trebuchet MS"/>
                <w:sz w:val="22"/>
                <w:szCs w:val="22"/>
              </w:rPr>
              <w:t xml:space="preserve"> </w:t>
            </w:r>
            <w:r w:rsidRPr="00254B55">
              <w:rPr>
                <w:rFonts w:ascii="Trebuchet MS" w:hAnsi="Trebuchet MS" w:cs="Arial"/>
                <w:sz w:val="22"/>
                <w:szCs w:val="22"/>
              </w:rPr>
              <w:t>Din cele 3 presiuni potențial semnificative de tipul canale navigabile, niciuna nu a fost evaluată ca presiune semnificativă.</w:t>
            </w:r>
          </w:p>
        </w:tc>
      </w:tr>
    </w:tbl>
    <w:p w:rsidR="00E12732" w:rsidRPr="00575607" w:rsidRDefault="00E12732" w:rsidP="00E12732">
      <w:pPr>
        <w:spacing w:line="300" w:lineRule="auto"/>
        <w:jc w:val="both"/>
        <w:rPr>
          <w:rFonts w:ascii="Trebuchet MS" w:hAnsi="Trebuchet MS" w:cs="Arial"/>
          <w:i/>
          <w:sz w:val="20"/>
          <w:szCs w:val="20"/>
        </w:rPr>
      </w:pPr>
      <w:r w:rsidRPr="00575607">
        <w:rPr>
          <w:rFonts w:ascii="Trebuchet MS" w:hAnsi="Trebuchet MS" w:cs="Arial"/>
          <w:i/>
          <w:sz w:val="20"/>
          <w:szCs w:val="20"/>
        </w:rPr>
        <w:t>(Sursa datelor: Administrația Națională „Apele Române”, Planul Național de Management actualizat (</w:t>
      </w:r>
      <w:hyperlink r:id="rId68" w:history="1">
        <w:r w:rsidRPr="00575607">
          <w:rPr>
            <w:rStyle w:val="Hyperlink"/>
            <w:rFonts w:ascii="Trebuchet MS" w:hAnsi="Trebuchet MS" w:cs="Arial"/>
            <w:i/>
            <w:sz w:val="20"/>
            <w:szCs w:val="20"/>
          </w:rPr>
          <w:t>https://rowater.ro/despre-noi/descrierea-activitatii/managementul-european-integrat-resurse-de-apa/planurile-de-management-ale-bazinelor-hidrografice/planuri-de-management-nationale/</w:t>
        </w:r>
      </w:hyperlink>
      <w:r w:rsidRPr="00575607">
        <w:rPr>
          <w:rFonts w:ascii="Trebuchet MS" w:hAnsi="Trebuchet MS" w:cs="Arial"/>
          <w:i/>
          <w:sz w:val="20"/>
          <w:szCs w:val="20"/>
        </w:rPr>
        <w:t>) )</w:t>
      </w:r>
    </w:p>
    <w:p w:rsidR="00E12732" w:rsidRPr="00575607" w:rsidRDefault="00E12732" w:rsidP="00E12732">
      <w:pPr>
        <w:spacing w:line="300" w:lineRule="auto"/>
        <w:jc w:val="both"/>
        <w:rPr>
          <w:rFonts w:ascii="Trebuchet MS" w:hAnsi="Trebuchet MS" w:cs="Arial"/>
          <w:b/>
        </w:rPr>
      </w:pPr>
    </w:p>
    <w:p w:rsidR="00E12732" w:rsidRPr="00575607" w:rsidRDefault="00E12732" w:rsidP="00E12732">
      <w:pPr>
        <w:pStyle w:val="Default"/>
        <w:spacing w:before="120" w:after="120" w:line="300" w:lineRule="auto"/>
        <w:jc w:val="both"/>
        <w:rPr>
          <w:rFonts w:ascii="Trebuchet MS" w:hAnsi="Trebuchet MS"/>
          <w:iCs/>
          <w:sz w:val="22"/>
          <w:szCs w:val="22"/>
        </w:rPr>
      </w:pPr>
      <w:r w:rsidRPr="00575607">
        <w:rPr>
          <w:rFonts w:ascii="Trebuchet MS" w:hAnsi="Trebuchet MS"/>
          <w:b/>
          <w:bCs/>
          <w:iCs/>
          <w:sz w:val="22"/>
          <w:szCs w:val="22"/>
        </w:rPr>
        <w:t xml:space="preserve">Figura II.1.1.4.1 </w:t>
      </w:r>
      <w:r w:rsidRPr="00575607">
        <w:rPr>
          <w:rFonts w:ascii="Trebuchet MS" w:hAnsi="Trebuchet MS"/>
          <w:iCs/>
          <w:sz w:val="22"/>
          <w:szCs w:val="22"/>
        </w:rPr>
        <w:t>Lucrări hidrotehnice – presiuni hidromorfologice potențial semnificative (diguri, regularizări și derivații) în anul 2021</w:t>
      </w:r>
    </w:p>
    <w:p w:rsidR="00E12732" w:rsidRPr="00575607" w:rsidRDefault="00E12732" w:rsidP="00E12732">
      <w:pPr>
        <w:pStyle w:val="Default"/>
        <w:spacing w:line="300" w:lineRule="auto"/>
        <w:jc w:val="center"/>
        <w:rPr>
          <w:rFonts w:ascii="Trebuchet MS" w:hAnsi="Trebuchet MS"/>
          <w:noProof/>
          <w:sz w:val="22"/>
          <w:szCs w:val="22"/>
          <w:lang w:val="en-GB" w:eastAsia="en-GB"/>
        </w:rPr>
      </w:pPr>
      <w:r w:rsidRPr="00575607">
        <w:rPr>
          <w:rFonts w:ascii="Trebuchet MS" w:hAnsi="Trebuchet MS"/>
          <w:noProof/>
          <w:sz w:val="22"/>
          <w:szCs w:val="22"/>
        </w:rPr>
        <w:drawing>
          <wp:inline distT="0" distB="0" distL="0" distR="0" wp14:anchorId="66671058" wp14:editId="1AEAF7C8">
            <wp:extent cx="4791075" cy="33813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91075" cy="3381375"/>
                    </a:xfrm>
                    <a:prstGeom prst="rect">
                      <a:avLst/>
                    </a:prstGeom>
                    <a:noFill/>
                    <a:ln>
                      <a:noFill/>
                    </a:ln>
                  </pic:spPr>
                </pic:pic>
              </a:graphicData>
            </a:graphic>
          </wp:inline>
        </w:drawing>
      </w:r>
    </w:p>
    <w:p w:rsidR="00E12732" w:rsidRPr="00575607" w:rsidRDefault="00E12732" w:rsidP="00E12732">
      <w:pPr>
        <w:spacing w:line="300" w:lineRule="auto"/>
        <w:jc w:val="both"/>
        <w:rPr>
          <w:rFonts w:ascii="Trebuchet MS" w:hAnsi="Trebuchet MS" w:cs="Arial"/>
          <w:i/>
          <w:sz w:val="20"/>
          <w:szCs w:val="20"/>
        </w:rPr>
      </w:pPr>
      <w:r w:rsidRPr="00575607">
        <w:rPr>
          <w:rFonts w:ascii="Trebuchet MS" w:hAnsi="Trebuchet MS" w:cs="Arial"/>
          <w:i/>
          <w:sz w:val="20"/>
          <w:szCs w:val="20"/>
        </w:rPr>
        <w:t>(Sursa datelor: Administrația Națională „Apele Române”, Planul Național de Management actualizat)</w:t>
      </w:r>
    </w:p>
    <w:p w:rsidR="00E12732" w:rsidRPr="00575607" w:rsidRDefault="00E12732" w:rsidP="00E12732">
      <w:pPr>
        <w:pStyle w:val="Default"/>
        <w:spacing w:before="120" w:after="120" w:line="300" w:lineRule="auto"/>
        <w:jc w:val="both"/>
        <w:rPr>
          <w:rFonts w:ascii="Trebuchet MS" w:hAnsi="Trebuchet MS"/>
          <w:sz w:val="22"/>
          <w:szCs w:val="22"/>
        </w:rPr>
      </w:pPr>
    </w:p>
    <w:p w:rsidR="00E12732" w:rsidRPr="00575607" w:rsidRDefault="00E12732" w:rsidP="00E12732">
      <w:pPr>
        <w:pStyle w:val="Default"/>
        <w:spacing w:before="120" w:after="120" w:line="300" w:lineRule="auto"/>
        <w:jc w:val="both"/>
        <w:rPr>
          <w:rFonts w:ascii="Trebuchet MS" w:hAnsi="Trebuchet MS"/>
          <w:sz w:val="22"/>
          <w:szCs w:val="22"/>
        </w:rPr>
      </w:pPr>
    </w:p>
    <w:p w:rsidR="00E12732" w:rsidRPr="00575607" w:rsidRDefault="00E12732" w:rsidP="00E12732">
      <w:pPr>
        <w:pStyle w:val="Default"/>
        <w:spacing w:before="120" w:after="120" w:line="300" w:lineRule="auto"/>
        <w:jc w:val="both"/>
        <w:rPr>
          <w:rFonts w:ascii="Trebuchet MS" w:hAnsi="Trebuchet MS"/>
          <w:sz w:val="22"/>
          <w:szCs w:val="22"/>
        </w:rPr>
      </w:pPr>
    </w:p>
    <w:p w:rsidR="00E12732" w:rsidRPr="00575607" w:rsidRDefault="00E12732" w:rsidP="00E12732">
      <w:pPr>
        <w:pStyle w:val="Default"/>
        <w:spacing w:before="120" w:after="120" w:line="300" w:lineRule="auto"/>
        <w:jc w:val="both"/>
        <w:rPr>
          <w:rFonts w:ascii="Trebuchet MS" w:hAnsi="Trebuchet MS"/>
          <w:sz w:val="22"/>
          <w:szCs w:val="22"/>
        </w:rPr>
      </w:pPr>
    </w:p>
    <w:p w:rsidR="00E12732" w:rsidRPr="00575607" w:rsidRDefault="00E12732" w:rsidP="00E12732">
      <w:pPr>
        <w:pStyle w:val="Default"/>
        <w:spacing w:before="120" w:after="120" w:line="300" w:lineRule="auto"/>
        <w:jc w:val="both"/>
        <w:rPr>
          <w:rFonts w:ascii="Trebuchet MS" w:hAnsi="Trebuchet MS"/>
          <w:sz w:val="22"/>
          <w:szCs w:val="22"/>
        </w:rPr>
      </w:pPr>
    </w:p>
    <w:p w:rsidR="00E12732" w:rsidRPr="00575607" w:rsidRDefault="00E12732" w:rsidP="00E12732">
      <w:pPr>
        <w:pStyle w:val="Default"/>
        <w:spacing w:before="120" w:after="120" w:line="300" w:lineRule="auto"/>
        <w:jc w:val="both"/>
        <w:rPr>
          <w:rFonts w:ascii="Trebuchet MS" w:hAnsi="Trebuchet MS"/>
          <w:sz w:val="22"/>
          <w:szCs w:val="22"/>
        </w:rPr>
      </w:pPr>
    </w:p>
    <w:p w:rsidR="00254B55" w:rsidRDefault="00254B55" w:rsidP="00E12732">
      <w:pPr>
        <w:spacing w:line="300" w:lineRule="auto"/>
        <w:jc w:val="both"/>
        <w:rPr>
          <w:rFonts w:ascii="Trebuchet MS" w:hAnsi="Trebuchet MS" w:cs="Arial"/>
          <w:b/>
          <w:bCs/>
          <w:iCs/>
        </w:rPr>
      </w:pPr>
    </w:p>
    <w:p w:rsidR="00254B55" w:rsidRDefault="00254B55" w:rsidP="00E12732">
      <w:pPr>
        <w:spacing w:line="300" w:lineRule="auto"/>
        <w:jc w:val="both"/>
        <w:rPr>
          <w:rFonts w:ascii="Trebuchet MS" w:hAnsi="Trebuchet MS" w:cs="Arial"/>
          <w:b/>
          <w:bCs/>
          <w:iCs/>
        </w:rPr>
      </w:pPr>
    </w:p>
    <w:p w:rsidR="00254B55" w:rsidRDefault="00254B55" w:rsidP="00E12732">
      <w:pPr>
        <w:spacing w:line="300" w:lineRule="auto"/>
        <w:jc w:val="both"/>
        <w:rPr>
          <w:rFonts w:ascii="Trebuchet MS" w:hAnsi="Trebuchet MS" w:cs="Arial"/>
          <w:b/>
          <w:bCs/>
          <w:iCs/>
        </w:rPr>
      </w:pPr>
    </w:p>
    <w:p w:rsidR="00254B55" w:rsidRDefault="00254B55" w:rsidP="00E12732">
      <w:pPr>
        <w:spacing w:line="300" w:lineRule="auto"/>
        <w:jc w:val="both"/>
        <w:rPr>
          <w:rFonts w:ascii="Trebuchet MS" w:hAnsi="Trebuchet MS" w:cs="Arial"/>
          <w:b/>
          <w:bCs/>
          <w:iCs/>
        </w:rPr>
      </w:pPr>
    </w:p>
    <w:p w:rsidR="00254B55" w:rsidRDefault="00254B55" w:rsidP="00E12732">
      <w:pPr>
        <w:spacing w:line="300" w:lineRule="auto"/>
        <w:jc w:val="both"/>
        <w:rPr>
          <w:rFonts w:ascii="Trebuchet MS" w:hAnsi="Trebuchet MS" w:cs="Arial"/>
          <w:b/>
          <w:bCs/>
          <w:iCs/>
        </w:rPr>
      </w:pPr>
    </w:p>
    <w:p w:rsidR="00E12732" w:rsidRPr="00254B55" w:rsidRDefault="00E12732" w:rsidP="00E12732">
      <w:pPr>
        <w:spacing w:line="300" w:lineRule="auto"/>
        <w:jc w:val="both"/>
        <w:rPr>
          <w:rFonts w:ascii="Trebuchet MS" w:hAnsi="Trebuchet MS" w:cs="Arial"/>
          <w:iCs/>
          <w:sz w:val="22"/>
          <w:szCs w:val="22"/>
        </w:rPr>
      </w:pPr>
      <w:r w:rsidRPr="00254B55">
        <w:rPr>
          <w:rFonts w:ascii="Trebuchet MS" w:hAnsi="Trebuchet MS" w:cs="Arial"/>
          <w:b/>
          <w:bCs/>
          <w:iCs/>
          <w:sz w:val="22"/>
          <w:szCs w:val="22"/>
        </w:rPr>
        <w:t>Figura II.1.1.4.2.</w:t>
      </w:r>
      <w:r w:rsidRPr="00254B55">
        <w:rPr>
          <w:rFonts w:ascii="Trebuchet MS" w:hAnsi="Trebuchet MS" w:cs="Arial"/>
          <w:iCs/>
          <w:sz w:val="22"/>
          <w:szCs w:val="22"/>
        </w:rPr>
        <w:t xml:space="preserve"> Prelevările de apă de suprafață potențial semnificative la nivel național în anul 2021</w:t>
      </w:r>
    </w:p>
    <w:p w:rsidR="00E12732" w:rsidRPr="00575607" w:rsidRDefault="00E12732" w:rsidP="00E12732">
      <w:pPr>
        <w:pStyle w:val="Default"/>
        <w:spacing w:line="300" w:lineRule="auto"/>
        <w:jc w:val="center"/>
        <w:rPr>
          <w:rFonts w:ascii="Trebuchet MS" w:hAnsi="Trebuchet MS"/>
          <w:i/>
          <w:sz w:val="20"/>
          <w:szCs w:val="20"/>
        </w:rPr>
      </w:pPr>
      <w:r w:rsidRPr="00575607">
        <w:rPr>
          <w:rFonts w:ascii="Trebuchet MS" w:hAnsi="Trebuchet MS"/>
          <w:i/>
          <w:noProof/>
          <w:sz w:val="20"/>
          <w:szCs w:val="20"/>
        </w:rPr>
        <w:drawing>
          <wp:inline distT="0" distB="0" distL="0" distR="0" wp14:anchorId="43307824" wp14:editId="357DD7AB">
            <wp:extent cx="5153025" cy="36290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53025" cy="3629025"/>
                    </a:xfrm>
                    <a:prstGeom prst="rect">
                      <a:avLst/>
                    </a:prstGeom>
                    <a:noFill/>
                    <a:ln>
                      <a:noFill/>
                    </a:ln>
                  </pic:spPr>
                </pic:pic>
              </a:graphicData>
            </a:graphic>
          </wp:inline>
        </w:drawing>
      </w:r>
    </w:p>
    <w:p w:rsidR="00E12732" w:rsidRPr="00575607" w:rsidRDefault="00E12732" w:rsidP="00E12732">
      <w:pPr>
        <w:spacing w:line="300" w:lineRule="auto"/>
        <w:jc w:val="both"/>
        <w:rPr>
          <w:rFonts w:ascii="Trebuchet MS" w:hAnsi="Trebuchet MS" w:cs="Arial"/>
          <w:i/>
          <w:sz w:val="20"/>
          <w:szCs w:val="20"/>
        </w:rPr>
      </w:pPr>
      <w:r w:rsidRPr="00575607">
        <w:rPr>
          <w:rFonts w:ascii="Trebuchet MS" w:hAnsi="Trebuchet MS" w:cs="Arial"/>
          <w:i/>
          <w:sz w:val="20"/>
          <w:szCs w:val="20"/>
        </w:rPr>
        <w:t>(Sursa datelor: Administrația Națională „Apele Române”, Planul Național de Management actualizat)</w:t>
      </w:r>
    </w:p>
    <w:p w:rsidR="00E12732" w:rsidRPr="00575607" w:rsidRDefault="00E12732" w:rsidP="00575607">
      <w:pPr>
        <w:jc w:val="both"/>
        <w:rPr>
          <w:rFonts w:ascii="Trebuchet MS" w:hAnsi="Trebuchet MS" w:cs="Arial"/>
          <w:i/>
        </w:rPr>
      </w:pP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Pe lângă impactul produs de alterările hidromorfologice existente asupra stării corpurilor de apă, există o serie de proiecte aflate în diferite stadii de planificare şi implementare, care pot contribui la alterarea fizică a corpurilor de apă. Proiectele viitoare de infrastructură fac subiectul, în principal a următoarelor tipuri de activități:</w:t>
      </w:r>
    </w:p>
    <w:p w:rsidR="00E12732" w:rsidRPr="00254B55" w:rsidRDefault="00E12732" w:rsidP="00575607">
      <w:pPr>
        <w:numPr>
          <w:ilvl w:val="0"/>
          <w:numId w:val="65"/>
        </w:numPr>
        <w:ind w:left="360"/>
        <w:jc w:val="both"/>
        <w:rPr>
          <w:rFonts w:ascii="Trebuchet MS" w:hAnsi="Trebuchet MS" w:cs="Arial"/>
          <w:sz w:val="22"/>
          <w:szCs w:val="22"/>
        </w:rPr>
      </w:pPr>
      <w:r w:rsidRPr="00254B55">
        <w:rPr>
          <w:rFonts w:ascii="Trebuchet MS" w:hAnsi="Trebuchet MS" w:cs="Arial"/>
          <w:b/>
          <w:bCs/>
          <w:sz w:val="22"/>
          <w:szCs w:val="22"/>
        </w:rPr>
        <w:t>Managementul riscului la inundații conform documentelor de planificare</w:t>
      </w:r>
      <w:r w:rsidRPr="00254B55">
        <w:rPr>
          <w:rFonts w:ascii="Trebuchet MS" w:hAnsi="Trebuchet MS" w:cs="Arial"/>
          <w:sz w:val="22"/>
          <w:szCs w:val="22"/>
        </w:rPr>
        <w:t>: Strategia Națională de Management al Riscului la Inundații (SNMRI) pe termen mediu și lung, Planurile de Management al Riscului la Inundații actualizate 2021, proiectul “Întărirea capacității autorității publice centrale în domeniul managementului apelor în scopul implementării Strategiei Naționale de Management al Riscului la Inundații (SNMRI) pe termen mediu și lung”, cod SIPOCA 601 / cod MySMIS 127559 - rezultatele proiectului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legislației din domeniul managementului riscurilor, stabilirea rolurilor și competențelor autorităților publice centrale și locale; proiectul „Întărirea capacității autorității publice centrale în domeniul apelor în scopul implementării etapelor a 2-a și a 3-a ale Ciclului II al Directivei Inundații - RO-FLOODS” cod SIPOCA 734 / cod MySMIS 130033 - obiectivul general al proiectului îl reprezintă fundamentarea și sprijinirea măsurilor de implementare ce vizează adaptarea structurilor, optimizarea proceselor și pregătirea resurselor umane necesare îndeplinirii obligațiilor asumate prin Legea Apelor nr. 107/1996 cu modificările și completările ulterioare și conformarea cu cerințele Directivei 2007/60/EC privind evaluarea și gestionarea riscului la inundații; se precizează că la nivel național se au în vedere un număr de 172 obiective de investiții pe anul 2021, cu finanțare integrală sau parțială de la bugetul de stat, repartizate ANAR; tipurile de lucrări avute în vedere în cadrul obiectivelor de investiții sunt: punere în siguranță acumulări, acumulări nepermanente, consolidare faleze, îndiguiri, supraînălțări diguri, consolidări diguri, regularizări;</w:t>
      </w:r>
    </w:p>
    <w:p w:rsidR="00E12732" w:rsidRPr="00254B55" w:rsidRDefault="00E12732" w:rsidP="00575607">
      <w:pPr>
        <w:numPr>
          <w:ilvl w:val="0"/>
          <w:numId w:val="65"/>
        </w:numPr>
        <w:ind w:left="360"/>
        <w:jc w:val="both"/>
        <w:rPr>
          <w:rFonts w:ascii="Trebuchet MS" w:hAnsi="Trebuchet MS" w:cs="Arial"/>
          <w:sz w:val="22"/>
          <w:szCs w:val="22"/>
        </w:rPr>
      </w:pPr>
      <w:r w:rsidRPr="00254B55">
        <w:rPr>
          <w:rFonts w:ascii="Trebuchet MS" w:hAnsi="Trebuchet MS" w:cs="Arial"/>
          <w:b/>
          <w:bCs/>
          <w:sz w:val="22"/>
          <w:szCs w:val="22"/>
        </w:rPr>
        <w:t>Producerea de energie prin centrale hidroelectrice</w:t>
      </w:r>
      <w:r w:rsidRPr="00254B55">
        <w:rPr>
          <w:rFonts w:ascii="Trebuchet MS" w:hAnsi="Trebuchet MS" w:cs="Arial"/>
          <w:sz w:val="22"/>
          <w:szCs w:val="22"/>
        </w:rPr>
        <w:t>, având în vedere prevederile Strategiei Energetice a României 2020 - 2030, cu perspectiva anului 2050;</w:t>
      </w:r>
    </w:p>
    <w:p w:rsidR="00E12732" w:rsidRPr="00254B55" w:rsidRDefault="00E12732" w:rsidP="00575607">
      <w:pPr>
        <w:numPr>
          <w:ilvl w:val="0"/>
          <w:numId w:val="65"/>
        </w:numPr>
        <w:ind w:left="360"/>
        <w:jc w:val="both"/>
        <w:rPr>
          <w:rFonts w:ascii="Trebuchet MS" w:hAnsi="Trebuchet MS" w:cs="Arial"/>
          <w:sz w:val="22"/>
          <w:szCs w:val="22"/>
        </w:rPr>
      </w:pPr>
      <w:r w:rsidRPr="00254B55">
        <w:rPr>
          <w:rFonts w:ascii="Trebuchet MS" w:hAnsi="Trebuchet MS" w:cs="Arial"/>
          <w:sz w:val="22"/>
          <w:szCs w:val="22"/>
        </w:rPr>
        <w:t>asigurarea apei pentru irigații potrivit Strategiei naţionale de reabilitare și extindere a infrastructurii de irigații din România, Programului Național de Reabilitare a Infrastructurii principale de Irigații, proiecte PNDR și Program Național Strategic pot CAP 2023-2027);</w:t>
      </w:r>
    </w:p>
    <w:p w:rsidR="00E12732" w:rsidRPr="00254B55" w:rsidRDefault="00E12732" w:rsidP="00575607">
      <w:pPr>
        <w:numPr>
          <w:ilvl w:val="0"/>
          <w:numId w:val="65"/>
        </w:numPr>
        <w:ind w:left="360"/>
        <w:jc w:val="both"/>
        <w:rPr>
          <w:rFonts w:ascii="Trebuchet MS" w:hAnsi="Trebuchet MS" w:cs="Arial"/>
          <w:sz w:val="22"/>
          <w:szCs w:val="22"/>
        </w:rPr>
      </w:pPr>
      <w:r w:rsidRPr="00254B55">
        <w:rPr>
          <w:rFonts w:ascii="Trebuchet MS" w:hAnsi="Trebuchet MS" w:cs="Arial"/>
          <w:sz w:val="22"/>
          <w:szCs w:val="22"/>
        </w:rPr>
        <w:t>Asigurarea apei pentru irigații, având în vedere prevederile Strategiei naţionale de reabilitare și extindere a infrastructurii de irigații din România</w:t>
      </w:r>
    </w:p>
    <w:p w:rsidR="00E12732" w:rsidRPr="00254B55" w:rsidRDefault="00E12732" w:rsidP="00575607">
      <w:pPr>
        <w:numPr>
          <w:ilvl w:val="0"/>
          <w:numId w:val="65"/>
        </w:numPr>
        <w:ind w:left="360"/>
        <w:jc w:val="both"/>
        <w:rPr>
          <w:rFonts w:ascii="Trebuchet MS" w:hAnsi="Trebuchet MS" w:cs="Arial"/>
          <w:sz w:val="22"/>
          <w:szCs w:val="22"/>
        </w:rPr>
      </w:pPr>
      <w:r w:rsidRPr="00254B55">
        <w:rPr>
          <w:rFonts w:ascii="Trebuchet MS" w:hAnsi="Trebuchet MS" w:cs="Arial"/>
          <w:b/>
          <w:bCs/>
          <w:sz w:val="22"/>
          <w:szCs w:val="22"/>
        </w:rPr>
        <w:t>Asigurarea condițiilor de transport rutier, feroviar și navigație</w:t>
      </w:r>
      <w:r w:rsidRPr="00254B55">
        <w:rPr>
          <w:rFonts w:ascii="Trebuchet MS" w:hAnsi="Trebuchet MS" w:cs="Arial"/>
          <w:sz w:val="22"/>
          <w:szCs w:val="22"/>
        </w:rPr>
        <w:t xml:space="preserve"> - Strategia națională pentru dezvoltarea durabilă a României 2030, proiecte care au făcut/fac subiectul reglementării din punct de vedere al gospodăririi apelor, alte proiecte internaționale;</w:t>
      </w:r>
    </w:p>
    <w:p w:rsidR="00E12732" w:rsidRPr="00254B55" w:rsidRDefault="00E12732" w:rsidP="00575607">
      <w:pPr>
        <w:numPr>
          <w:ilvl w:val="0"/>
          <w:numId w:val="65"/>
        </w:numPr>
        <w:ind w:left="360"/>
        <w:jc w:val="both"/>
        <w:rPr>
          <w:rFonts w:ascii="Trebuchet MS" w:hAnsi="Trebuchet MS" w:cs="Arial"/>
          <w:sz w:val="22"/>
          <w:szCs w:val="22"/>
        </w:rPr>
      </w:pPr>
      <w:r w:rsidRPr="00254B55">
        <w:rPr>
          <w:rFonts w:ascii="Trebuchet MS" w:hAnsi="Trebuchet MS" w:cs="Arial"/>
          <w:b/>
          <w:bCs/>
          <w:sz w:val="22"/>
          <w:szCs w:val="22"/>
        </w:rPr>
        <w:t>Reducerea eroziunii costiere</w:t>
      </w:r>
      <w:r w:rsidRPr="00254B55">
        <w:rPr>
          <w:rFonts w:ascii="Trebuchet MS" w:hAnsi="Trebuchet MS" w:cs="Arial"/>
          <w:sz w:val="22"/>
          <w:szCs w:val="22"/>
        </w:rPr>
        <w:t xml:space="preserve"> - proiectul Reducerea Eroziunii costiere Faza II, finanțat prin Programul Operațional Infrastructură Mare 2014-2020, Axa Prioritară 5 - Promovarea adaptării la schimbările climatice, prevenirea și gestionarea riscurilor), aflat în curs de implementare;</w:t>
      </w:r>
    </w:p>
    <w:p w:rsidR="00E12732" w:rsidRPr="00254B55" w:rsidRDefault="00E12732" w:rsidP="00575607">
      <w:pPr>
        <w:numPr>
          <w:ilvl w:val="0"/>
          <w:numId w:val="65"/>
        </w:numPr>
        <w:ind w:left="360"/>
        <w:jc w:val="both"/>
        <w:rPr>
          <w:rFonts w:ascii="Trebuchet MS" w:hAnsi="Trebuchet MS" w:cs="Arial"/>
          <w:sz w:val="22"/>
          <w:szCs w:val="22"/>
        </w:rPr>
      </w:pPr>
      <w:r w:rsidRPr="00254B55">
        <w:rPr>
          <w:rFonts w:ascii="Trebuchet MS" w:hAnsi="Trebuchet MS" w:cs="Arial"/>
          <w:b/>
          <w:bCs/>
          <w:sz w:val="22"/>
          <w:szCs w:val="22"/>
        </w:rPr>
        <w:t>Infrastructura pentru alimentare cu apă și canalizare – epurare</w:t>
      </w:r>
      <w:r w:rsidRPr="00254B55">
        <w:rPr>
          <w:rFonts w:ascii="Trebuchet MS" w:hAnsi="Trebuchet MS" w:cs="Arial"/>
          <w:sz w:val="22"/>
          <w:szCs w:val="22"/>
        </w:rPr>
        <w:t xml:space="preserve"> (Programul Operațional Infrastructură Mare 2014-2020, Planul National de Reziliență 2021-2026, Programul Operațional Dezvoltare Durabilă 2021-2027, Programul Național „Anghel Saligny” și viitoarea Strategie națională privind alimentarea cu apă, colectarea și epurarea apelor uzate urbane).</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 xml:space="preserve">Directiva Cadru a Apei subliniază rolul esențial al cantităţii şi dinamicii apei ca suport al calităţii ecosistemelor acvatice şi îndeplinirii obiectivelor de mediu. Conform acesteia, lista elementelor de calitate aferentă obiectivelor de mediu pentru fiecare categorie de apă de suprafață cuprinde: elemente hidromorfologice și elemente fizico-chimice și poluanţi specifici care reprezintă suport pentru elementele biologice. Regimul hidrologic este inclus în categoria elementelor hidromorfologice. La nivel european, preocupările în ceea ce privește definirea unui </w:t>
      </w:r>
      <w:r w:rsidRPr="00254B55">
        <w:rPr>
          <w:rFonts w:ascii="Trebuchet MS" w:hAnsi="Trebuchet MS" w:cs="Arial"/>
          <w:b/>
          <w:bCs/>
          <w:sz w:val="22"/>
          <w:szCs w:val="22"/>
        </w:rPr>
        <w:t>debit ecologic</w:t>
      </w:r>
      <w:r w:rsidRPr="00254B55">
        <w:rPr>
          <w:rFonts w:ascii="Trebuchet MS" w:hAnsi="Trebuchet MS" w:cs="Arial"/>
          <w:sz w:val="22"/>
          <w:szCs w:val="22"/>
        </w:rPr>
        <w:t xml:space="preserve"> au apărut ca urmare a cerințelor Directivei Cadru a Apei cu privire la stabilirea unui regim hidrologic care să reprezinte suport pentru îndeplinirea obiectivelor de mediu („debit ecologic” – „ecological flow”).</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Pentru a sprijini Statele Membre în identificarea unui regim hidrologic care să reprezinte suport pentru atingerea şi menţinerea stării bune a apelor sau pentru nedeteriorarea stării ecologice existente, la nivelul Comisiei Europene în cadrul Strategiei de Implementare Comună a Directivei Cadru a Apei a fost elaborat, în anul 2015, Ghidul nr. 31 - Debitele ecologice în implementarea Directivei Cadru a Apei/Ecological flows in the implementation of the Water Framework Directive - Guidance Document no. 31. Acest ghid prezintă noțiunea de „debit ecologic” în contextul implementării Directivei Cadru a Apei ca “un regim hidrologic care să asigure atingerea obiectivelor de mediu prevăzute de Directiva Cadru a Apei pentru corpurile naturale de apă de suprafaţă, aşa cum se menţionează în articolul 4(1)”. Prin urmare, debitul ecologic trebuie să fie stabilit astfel încât să menţină, într-o anumită măsură, dinamica naturală a curgerii apei, adică să fie variabil în timp și spațiu. Debitele ecologice trebuie să conducă la atingerea şi menţinerea stării ecologice bune pentru corpurile de apă naturale sau nedeteriorarea stării ecologice acolo unde este cazul.</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 xml:space="preserve">Regimul hidrologic al corpurilor de apă râuri și lacuri la nivel național este disponibil pe site-ul Administrației Naționale „Apele Române” la link-ul </w:t>
      </w:r>
      <w:hyperlink r:id="rId71" w:history="1">
        <w:r w:rsidRPr="00254B55">
          <w:rPr>
            <w:rStyle w:val="Hyperlink"/>
            <w:rFonts w:ascii="Trebuchet MS" w:hAnsi="Trebuchet MS" w:cs="Arial"/>
            <w:sz w:val="22"/>
            <w:szCs w:val="22"/>
          </w:rPr>
          <w:t>https://portal-gis.rowater.ro/portal/home/</w:t>
        </w:r>
      </w:hyperlink>
      <w:r w:rsidRPr="00254B55">
        <w:rPr>
          <w:rFonts w:ascii="Trebuchet MS" w:hAnsi="Trebuchet MS" w:cs="Arial"/>
          <w:sz w:val="22"/>
          <w:szCs w:val="22"/>
        </w:rPr>
        <w:t>.</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 xml:space="preserve">În calitate de Stat Membru, România trebuie să răspundă tuturor cerințelor Uniunii Europene şi implicit cerinţei de asigurare a unui debit ecologic. Astfel, în contextul atingerii obiectivelor de mediu pentru corpurile de apă de suprafaţă s-a introdus în Legea Apelor 107/1996 cu modificările și completările ulterioare, noțiunea de debit ecologic, definit în conformitate cu recomandările europene. </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Ulterior prin aprobarea Hotărârii de Guvern 148/2020 s-a stabilit modul de determinare și de calcul al debitului ecologic, ce a avut la bază cerințele Ghidului WFD CIS nr. 31, legislația națională, rezultatele recente din literatura de specialitate, precum și de posibilitățile de implementare în operativ. Metodologia are la bază următoarele principii: variabilitatea naturală a regimului hidrologic ținând cont de variația sezonieră; definirea Debitului Ecologic în funcție de tipologia cursurilor de apă din România și nevoile de habitat ale speciilor de pești dominante, corespunzătoare fiecărei tipologii.</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Asigurarea debitului ecologic în aval de lucrările de barare sau de captare a apei amplasate pe cursurile de apă de suprafață (având ca tipuri de folosințe alimentare cu apă a localităților și a operatorilor economici, producerea de energie electrică, atenuarea undelor de viitură, piscicultură, agrement, irigații) constituie o măsură de bază care asigură suport pentru atingerea şi menținerea stării ecologice bune, respectiv atingerea potențialului ecologic bun pentru toate corpurile de apă de suprafață.</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Având în vedere calculul debitelor ecologice în conformitate cu cerințele legislative, începând cu anul 2020, la nivelul INHGA se desfășoară studiul „Determinarea debitelor ecologice, în conformitate cu cerinţele Directivei Cadru a Apei, pentru o serie de baraje prioritare aflate în administrarea Administrației Naționale “Apele Române”, studiu ce are ca obiectiv calculul debitelor ecologice în conformitate cu prevederile HG nr. 148/2020. Astfel în perioada 2020-2022 au fost calculate valorile debitelor ecologice pentru un număr de 140 baraje aparținând ANAR, iar până la sfârșitul anului 2023 au fost calculate valorile debitele ecologice/servitute, precum și valorile altor parametri caracteristici ai scurgerii minime în secțiuni de calcul aferente a 145 de stații hidrometrice constituie suport în vederea reactualizării Planurilor de restricții și folosire a apei în perioadele deficitare.</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De asemenea, începând cu anul 2021, la nivelul INHGA se desfășoară „Studiul suport pentru implementarea debitelor ecologice, în conformitate cu cerinţele Directivei Cadru a Apei, pentru o serie de baraje prioritare”. Studiul cuprinde următoarele etape:</w:t>
      </w:r>
    </w:p>
    <w:p w:rsidR="00E12732" w:rsidRPr="00254B55" w:rsidRDefault="00E12732" w:rsidP="00575607">
      <w:pPr>
        <w:ind w:firstLine="547"/>
        <w:jc w:val="both"/>
        <w:rPr>
          <w:rFonts w:ascii="Trebuchet MS" w:hAnsi="Trebuchet MS" w:cs="Arial"/>
          <w:sz w:val="22"/>
          <w:szCs w:val="22"/>
        </w:rPr>
      </w:pPr>
      <w:r w:rsidRPr="00254B55">
        <w:rPr>
          <w:rFonts w:ascii="Trebuchet MS" w:hAnsi="Trebuchet MS" w:cs="Arial"/>
          <w:sz w:val="22"/>
          <w:szCs w:val="22"/>
        </w:rPr>
        <w:t>- analiză regulamente de exploatare pentru o serie de baraje;</w:t>
      </w:r>
    </w:p>
    <w:p w:rsidR="00E12732" w:rsidRPr="00254B55" w:rsidRDefault="00E12732" w:rsidP="00575607">
      <w:pPr>
        <w:ind w:firstLine="547"/>
        <w:jc w:val="both"/>
        <w:rPr>
          <w:rFonts w:ascii="Trebuchet MS" w:hAnsi="Trebuchet MS" w:cs="Arial"/>
          <w:sz w:val="22"/>
          <w:szCs w:val="22"/>
        </w:rPr>
      </w:pPr>
      <w:r w:rsidRPr="00254B55">
        <w:rPr>
          <w:rFonts w:ascii="Trebuchet MS" w:hAnsi="Trebuchet MS" w:cs="Arial"/>
          <w:sz w:val="22"/>
          <w:szCs w:val="22"/>
        </w:rPr>
        <w:t>- elaborare chestionar analiză detaliată din punct de vedere al caracteristicilor constructive ale barajelor/prizelor de captare existente relevante pentru implementarea debitului ecologic;</w:t>
      </w:r>
    </w:p>
    <w:p w:rsidR="00E12732" w:rsidRPr="00254B55" w:rsidRDefault="00E12732" w:rsidP="00575607">
      <w:pPr>
        <w:ind w:firstLine="547"/>
        <w:jc w:val="both"/>
        <w:rPr>
          <w:rFonts w:ascii="Trebuchet MS" w:hAnsi="Trebuchet MS" w:cs="Arial"/>
          <w:sz w:val="22"/>
          <w:szCs w:val="22"/>
        </w:rPr>
      </w:pPr>
      <w:r w:rsidRPr="00254B55">
        <w:rPr>
          <w:rFonts w:ascii="Trebuchet MS" w:hAnsi="Trebuchet MS" w:cs="Arial"/>
          <w:sz w:val="22"/>
          <w:szCs w:val="22"/>
        </w:rPr>
        <w:t>- dezvoltare şi completare structură bază de date cu informaţii relevante pentru implementarea debitului ecologic;</w:t>
      </w:r>
    </w:p>
    <w:p w:rsidR="00E12732" w:rsidRPr="00254B55" w:rsidRDefault="00E12732" w:rsidP="00575607">
      <w:pPr>
        <w:ind w:firstLine="547"/>
        <w:jc w:val="both"/>
        <w:rPr>
          <w:rFonts w:ascii="Trebuchet MS" w:hAnsi="Trebuchet MS" w:cs="Arial"/>
          <w:sz w:val="22"/>
          <w:szCs w:val="22"/>
        </w:rPr>
      </w:pPr>
      <w:r w:rsidRPr="00254B55">
        <w:rPr>
          <w:rFonts w:ascii="Trebuchet MS" w:hAnsi="Trebuchet MS" w:cs="Arial"/>
          <w:sz w:val="22"/>
          <w:szCs w:val="22"/>
        </w:rPr>
        <w:t>- elaborare procedură semi-automată/foi de calcul cu legături multiple în vederea analizei impactului în planul asigurării folosinţelor al implementării debitului ecologic la baraje.</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Din perspectiva conformării cu prevederile Directivei Cadru Apă și a implementării și respectării legislației naționale specifice în vigoare, pentru protecția și conservarea stării apelor, viitoarele lucrări și activități pe ape sau care au legătură cu apele sunt evaluate din perspectiva posibilului impact al acestora asupra corpurilor de apă, în procesul de reglementare din punct de vedere al gospodăririi apelor.</w:t>
      </w:r>
    </w:p>
    <w:p w:rsidR="00E12732" w:rsidRPr="00254B55" w:rsidRDefault="00E12732" w:rsidP="00575607">
      <w:pPr>
        <w:ind w:firstLine="630"/>
        <w:jc w:val="both"/>
        <w:rPr>
          <w:rFonts w:ascii="Trebuchet MS" w:hAnsi="Trebuchet MS" w:cs="Arial"/>
          <w:sz w:val="22"/>
          <w:szCs w:val="22"/>
        </w:rPr>
      </w:pPr>
      <w:r w:rsidRPr="00254B55">
        <w:rPr>
          <w:rFonts w:ascii="Trebuchet MS" w:hAnsi="Trebuchet MS" w:cs="Arial"/>
          <w:sz w:val="22"/>
          <w:szCs w:val="22"/>
        </w:rPr>
        <w:t xml:space="preserve">În acest sens prin Ordinul nr. 828/2019 al Ministrului Apelor și Pădurilor, a fost reglementat conținutul cadru al Studiului de evaluare a impactului asupra corpurilor de apă. În conținutul cadru, o etapă importantă în contextul protecției și nedeteriorării stării corpurilor de apă, o reprezintă identificarea şi stabilirea de măsuri suplimentare practice/realizabile de atenuare/reducere a impactului, inclusiv a impactului cumulat, pentru corpurile de apă cu risc de deteriorare a stării. În situația în care respectivul proiect sau cumulat cu proiectele autorizate/în curs de autorizare/avizate/în curs de avizare/planificate conduce la deteriorarea stării corpului de apă, se aplică cerințele de conformare cu prevederile Articolului 4.7 al DCA, transpus în Legea Apelor prin Articolul 2.7. </w:t>
      </w:r>
    </w:p>
    <w:p w:rsidR="00E12732" w:rsidRPr="00254B55" w:rsidRDefault="00E12732" w:rsidP="00575607">
      <w:pPr>
        <w:ind w:firstLine="720"/>
        <w:jc w:val="both"/>
        <w:rPr>
          <w:rFonts w:ascii="Trebuchet MS" w:hAnsi="Trebuchet MS" w:cs="Arial"/>
          <w:sz w:val="22"/>
          <w:szCs w:val="22"/>
        </w:rPr>
      </w:pPr>
      <w:r w:rsidRPr="00254B55">
        <w:rPr>
          <w:rFonts w:ascii="Trebuchet MS" w:hAnsi="Trebuchet MS" w:cs="Arial"/>
          <w:sz w:val="22"/>
          <w:szCs w:val="22"/>
        </w:rPr>
        <w:t>Deteriorarea/riscul de deteriorare a stării ecologice a corpurilor de apă în relaţie cu proiectele noi de infrastructură este permisă  numai cu respectarea prevederilor Art. 4.7 al Directivei Cadru Apă. Deteriorarea stării (ecologice) a corpurilor de apă se analizează la nivel de element de calitate al stării, cu aplicarea principiului “celei mai defavorabile situaţii/one out - all out”, având în vedere prevederile din Anexa V a DCA.</w:t>
      </w:r>
    </w:p>
    <w:p w:rsidR="00E12732" w:rsidRPr="00254B55" w:rsidRDefault="00E12732" w:rsidP="00575607">
      <w:pPr>
        <w:ind w:firstLine="720"/>
        <w:jc w:val="both"/>
        <w:rPr>
          <w:rFonts w:ascii="Trebuchet MS" w:eastAsia="Times New Roman" w:hAnsi="Trebuchet MS" w:cs="Arial"/>
          <w:sz w:val="22"/>
          <w:szCs w:val="22"/>
          <w:lang w:val="it-IT"/>
        </w:rPr>
      </w:pPr>
      <w:r w:rsidRPr="00254B55">
        <w:rPr>
          <w:rFonts w:ascii="Trebuchet MS" w:eastAsia="Times New Roman" w:hAnsi="Trebuchet MS" w:cs="Arial"/>
          <w:sz w:val="22"/>
          <w:szCs w:val="22"/>
          <w:lang w:val="it-IT"/>
        </w:rPr>
        <w:t>În estimarea deteriorării/riscului de deterioare a stării ecologice, impactul potențial cumulat al viitoarelor proiecte de infrastructură (cât şi a celor existente) este luat în considerare.</w:t>
      </w:r>
    </w:p>
    <w:p w:rsidR="00E12732" w:rsidRPr="00254B55" w:rsidRDefault="00E12732" w:rsidP="00575607">
      <w:pPr>
        <w:ind w:firstLine="708"/>
        <w:jc w:val="both"/>
        <w:rPr>
          <w:rFonts w:ascii="Trebuchet MS" w:eastAsia="Times New Roman" w:hAnsi="Trebuchet MS" w:cs="Arial"/>
          <w:sz w:val="22"/>
          <w:szCs w:val="22"/>
        </w:rPr>
      </w:pPr>
      <w:r w:rsidRPr="00254B55">
        <w:rPr>
          <w:rFonts w:ascii="Trebuchet MS" w:eastAsia="Times New Roman" w:hAnsi="Trebuchet MS" w:cs="Arial"/>
          <w:sz w:val="22"/>
          <w:szCs w:val="22"/>
        </w:rPr>
        <w:t>De asemenea, pentru cazurile în care va avea loc modificarea obiectivului de mediu prin trecerea corpului de apă din categoria corpurilor de apă naturale în corpuri de apă puternic modificate, aceasta se realizează prin respectarea cerinţelor Art. 4.7 şi ale Art. 4.3 ale DCA.</w:t>
      </w:r>
    </w:p>
    <w:p w:rsidR="00E12732" w:rsidRPr="00254B55" w:rsidRDefault="00E12732" w:rsidP="00575607">
      <w:pPr>
        <w:ind w:firstLine="630"/>
        <w:jc w:val="both"/>
        <w:rPr>
          <w:rFonts w:ascii="Trebuchet MS" w:hAnsi="Trebuchet MS" w:cs="Arial"/>
          <w:sz w:val="22"/>
          <w:szCs w:val="22"/>
        </w:rPr>
      </w:pPr>
    </w:p>
    <w:p w:rsidR="00E12732" w:rsidRPr="00254B55" w:rsidRDefault="00E12732" w:rsidP="00575607">
      <w:pPr>
        <w:jc w:val="both"/>
        <w:rPr>
          <w:rFonts w:ascii="Trebuchet MS" w:hAnsi="Trebuchet MS" w:cs="Arial"/>
          <w:i/>
          <w:sz w:val="22"/>
          <w:szCs w:val="22"/>
        </w:rPr>
      </w:pPr>
    </w:p>
    <w:p w:rsidR="00E12732" w:rsidRPr="00254B55" w:rsidRDefault="00E12732" w:rsidP="00575607">
      <w:pPr>
        <w:pStyle w:val="Default"/>
        <w:jc w:val="both"/>
        <w:rPr>
          <w:rFonts w:ascii="Trebuchet MS" w:hAnsi="Trebuchet MS"/>
          <w:sz w:val="22"/>
          <w:szCs w:val="22"/>
        </w:rPr>
      </w:pPr>
      <w:r w:rsidRPr="00254B55">
        <w:rPr>
          <w:rFonts w:ascii="Trebuchet MS" w:hAnsi="Trebuchet MS"/>
          <w:noProof/>
          <w:sz w:val="22"/>
          <w:szCs w:val="22"/>
          <w:lang w:val="it-IT" w:eastAsia="en-GB"/>
        </w:rPr>
        <w:t xml:space="preserve"> </w:t>
      </w:r>
    </w:p>
    <w:p w:rsidR="00E12732" w:rsidRPr="00575607" w:rsidRDefault="00E12732" w:rsidP="00E12732">
      <w:pPr>
        <w:spacing w:before="120" w:after="120" w:line="300" w:lineRule="auto"/>
        <w:jc w:val="both"/>
        <w:rPr>
          <w:rFonts w:ascii="Trebuchet MS" w:hAnsi="Trebuchet MS" w:cs="Arial"/>
          <w:i/>
        </w:rPr>
        <w:sectPr w:rsidR="00E12732" w:rsidRPr="00575607" w:rsidSect="00E12732">
          <w:pgSz w:w="11906" w:h="16838"/>
          <w:pgMar w:top="851" w:right="1134" w:bottom="851" w:left="1418" w:header="709" w:footer="709" w:gutter="0"/>
          <w:cols w:space="708"/>
          <w:docGrid w:linePitch="360"/>
        </w:sectPr>
      </w:pPr>
    </w:p>
    <w:p w:rsidR="00E12732" w:rsidRPr="00575607" w:rsidRDefault="00E12732" w:rsidP="00E12732">
      <w:pPr>
        <w:spacing w:before="120" w:after="120" w:line="300" w:lineRule="auto"/>
        <w:ind w:firstLine="720"/>
        <w:jc w:val="both"/>
        <w:rPr>
          <w:rFonts w:ascii="Trebuchet MS" w:hAnsi="Trebuchet MS" w:cs="Arial"/>
        </w:rPr>
      </w:pPr>
    </w:p>
    <w:p w:rsidR="00CF2185" w:rsidRPr="006B1DFF" w:rsidRDefault="00CF2185" w:rsidP="00CF2185">
      <w:pPr>
        <w:jc w:val="both"/>
        <w:rPr>
          <w:rFonts w:ascii="Trebuchet MS" w:hAnsi="Trebuchet MS"/>
          <w:b/>
          <w:bCs/>
        </w:rPr>
      </w:pPr>
      <w:bookmarkStart w:id="126" w:name="_Hlk11745223"/>
      <w:r w:rsidRPr="006B1DFF">
        <w:rPr>
          <w:rFonts w:ascii="Trebuchet MS" w:hAnsi="Trebuchet MS"/>
          <w:b/>
          <w:bCs/>
        </w:rPr>
        <w:t>II.1.2. Prognoze</w:t>
      </w:r>
    </w:p>
    <w:bookmarkEnd w:id="126"/>
    <w:p w:rsidR="00CF2185" w:rsidRPr="006B1DFF" w:rsidRDefault="00CF2185" w:rsidP="00CF2185">
      <w:pPr>
        <w:jc w:val="both"/>
        <w:rPr>
          <w:rFonts w:ascii="Trebuchet MS" w:hAnsi="Trebuchet MS" w:cs="Arial"/>
          <w:b/>
          <w:bCs/>
        </w:rPr>
      </w:pPr>
      <w:r w:rsidRPr="006B1DFF">
        <w:rPr>
          <w:rFonts w:ascii="Trebuchet MS" w:hAnsi="Trebuchet MS" w:cs="Arial"/>
          <w:b/>
          <w:bCs/>
        </w:rPr>
        <w:t>II.1.2.1. Diponibilitatea, cererea și deficitul de apă</w:t>
      </w:r>
    </w:p>
    <w:p w:rsidR="00CF2185" w:rsidRPr="006B1DFF" w:rsidRDefault="00CF2185" w:rsidP="00CF2185">
      <w:pPr>
        <w:jc w:val="both"/>
        <w:rPr>
          <w:rFonts w:ascii="Trebuchet MS" w:hAnsi="Trebuchet MS" w:cs="Arial"/>
          <w:b/>
          <w:bCs/>
        </w:rPr>
      </w:pPr>
    </w:p>
    <w:p w:rsidR="00CF2185" w:rsidRPr="00254B55" w:rsidRDefault="00CF2185" w:rsidP="00CF2185">
      <w:pPr>
        <w:jc w:val="both"/>
        <w:rPr>
          <w:rFonts w:ascii="Trebuchet MS" w:hAnsi="Trebuchet MS" w:cs="Arial"/>
          <w:b/>
          <w:bCs/>
          <w:sz w:val="22"/>
          <w:szCs w:val="22"/>
        </w:rPr>
      </w:pPr>
      <w:r w:rsidRPr="00254B55">
        <w:rPr>
          <w:rFonts w:ascii="Trebuchet MS" w:hAnsi="Trebuchet MS" w:cs="Arial"/>
          <w:b/>
          <w:bCs/>
          <w:sz w:val="22"/>
          <w:szCs w:val="22"/>
        </w:rPr>
        <w:t>Prognoza cerințelor de apă pentru folosinţe (populație, industrie, irigații, zootehnie, acvacultură/ piscicultură) pentru anul 2030</w:t>
      </w:r>
    </w:p>
    <w:p w:rsidR="00CF2185" w:rsidRPr="00254B55" w:rsidRDefault="00CF2185" w:rsidP="00CF2185">
      <w:pPr>
        <w:pStyle w:val="textscris"/>
        <w:spacing w:before="0" w:after="0"/>
        <w:rPr>
          <w:rFonts w:ascii="Trebuchet MS" w:hAnsi="Trebuchet MS"/>
          <w:sz w:val="22"/>
          <w:szCs w:val="22"/>
          <w:lang w:val="fr-FR"/>
        </w:rPr>
      </w:pPr>
    </w:p>
    <w:p w:rsidR="00CF2185" w:rsidRPr="00254B55" w:rsidRDefault="00CF2185" w:rsidP="00CF2185">
      <w:pPr>
        <w:pStyle w:val="textscris"/>
        <w:spacing w:before="0" w:after="0"/>
        <w:rPr>
          <w:rFonts w:ascii="Trebuchet MS" w:hAnsi="Trebuchet MS"/>
          <w:sz w:val="22"/>
          <w:szCs w:val="22"/>
          <w:lang w:val="fr-FR"/>
        </w:rPr>
      </w:pPr>
      <w:r w:rsidRPr="00254B55">
        <w:rPr>
          <w:rFonts w:ascii="Trebuchet MS" w:hAnsi="Trebuchet MS"/>
          <w:sz w:val="22"/>
          <w:szCs w:val="22"/>
          <w:lang w:val="fr-FR"/>
        </w:rPr>
        <w:t>Prognoza cerințelor de apă s-a elaborat în anul 2014 în cadrul temei: Actualizarea studiilor de fundamentare a P.A.B.H. - Evaluarea cerințelor de apă (an de referinţă 2011) la nivelul celor 11 Administrații Bazinale de Apă, pentru orizontul de timp 2020 - 2030.</w:t>
      </w:r>
    </w:p>
    <w:p w:rsidR="00CF2185" w:rsidRPr="00254B55" w:rsidRDefault="00CF2185" w:rsidP="00CF2185">
      <w:pPr>
        <w:pStyle w:val="textscris"/>
        <w:spacing w:before="0" w:after="0"/>
        <w:rPr>
          <w:rFonts w:ascii="Trebuchet MS" w:hAnsi="Trebuchet MS"/>
          <w:color w:val="000000"/>
          <w:sz w:val="22"/>
          <w:szCs w:val="22"/>
          <w:lang w:val="fr-FR"/>
        </w:rPr>
      </w:pPr>
      <w:r w:rsidRPr="00254B55">
        <w:rPr>
          <w:rFonts w:ascii="Trebuchet MS" w:hAnsi="Trebuchet MS"/>
          <w:color w:val="000000"/>
          <w:sz w:val="22"/>
          <w:szCs w:val="22"/>
          <w:lang w:val="fr-FR"/>
        </w:rPr>
        <w:t>Pentru realizarea prognozei cerinţelor de apă pentru anul 2030 a fost aplicată „Metodologia de prognoză a cerinţelor de apă ale folosinţelor”, elaborată în cadrul Institutului Naţional de Hidrologie şi Gospodărire a Apelor, metodologie aplicată în elaborarea Planului Naţional de Amenajare a Bazinelor Hidrografice, parte componentă a Schemei Directoare de Amenajare şi Management a Bazinelor Hidrografice.</w:t>
      </w:r>
    </w:p>
    <w:p w:rsidR="00CF2185" w:rsidRPr="00254B55" w:rsidRDefault="00CF2185" w:rsidP="00CF2185">
      <w:pPr>
        <w:pStyle w:val="textscris"/>
        <w:spacing w:before="0" w:after="0"/>
        <w:rPr>
          <w:rFonts w:ascii="Trebuchet MS" w:hAnsi="Trebuchet MS"/>
          <w:color w:val="000000"/>
          <w:sz w:val="22"/>
          <w:szCs w:val="22"/>
          <w:lang w:val="fr-FR"/>
        </w:rPr>
      </w:pPr>
      <w:r w:rsidRPr="00254B55">
        <w:rPr>
          <w:rFonts w:ascii="Trebuchet MS" w:hAnsi="Trebuchet MS"/>
          <w:sz w:val="22"/>
          <w:szCs w:val="22"/>
          <w:lang w:val="fr-FR"/>
        </w:rPr>
        <w:t>Prognoza cerinţelor de apă s-a estimat prin metode specifice de prognoză pentru fiecare categorie de folosinţă de apă:</w:t>
      </w:r>
    </w:p>
    <w:p w:rsidR="00CF2185" w:rsidRPr="00254B55" w:rsidRDefault="00CF2185" w:rsidP="00CF2185">
      <w:pPr>
        <w:pStyle w:val="bulet1"/>
        <w:tabs>
          <w:tab w:val="clear" w:pos="360"/>
        </w:tabs>
        <w:spacing w:before="0" w:after="0"/>
        <w:ind w:hanging="360"/>
        <w:rPr>
          <w:rFonts w:ascii="Trebuchet MS" w:eastAsia="Calibri" w:hAnsi="Trebuchet MS"/>
          <w:sz w:val="22"/>
          <w:szCs w:val="22"/>
        </w:rPr>
      </w:pPr>
      <w:r w:rsidRPr="00254B55">
        <w:rPr>
          <w:rFonts w:ascii="Trebuchet MS" w:eastAsia="Calibri" w:hAnsi="Trebuchet MS"/>
          <w:sz w:val="22"/>
          <w:szCs w:val="22"/>
        </w:rPr>
        <w:t>Populație;</w:t>
      </w:r>
    </w:p>
    <w:p w:rsidR="00CF2185" w:rsidRPr="00254B55" w:rsidRDefault="00CF2185" w:rsidP="00CF2185">
      <w:pPr>
        <w:pStyle w:val="bulet1"/>
        <w:tabs>
          <w:tab w:val="clear" w:pos="360"/>
        </w:tabs>
        <w:spacing w:before="0" w:after="0"/>
        <w:ind w:hanging="360"/>
        <w:rPr>
          <w:rFonts w:ascii="Trebuchet MS" w:eastAsia="Calibri" w:hAnsi="Trebuchet MS"/>
          <w:sz w:val="22"/>
          <w:szCs w:val="22"/>
        </w:rPr>
      </w:pPr>
      <w:r w:rsidRPr="00254B55">
        <w:rPr>
          <w:rFonts w:ascii="Trebuchet MS" w:eastAsia="Calibri" w:hAnsi="Trebuchet MS"/>
          <w:sz w:val="22"/>
          <w:szCs w:val="22"/>
        </w:rPr>
        <w:t>Industrie;</w:t>
      </w:r>
    </w:p>
    <w:p w:rsidR="00CF2185" w:rsidRPr="00254B55" w:rsidRDefault="00CF2185" w:rsidP="00CF2185">
      <w:pPr>
        <w:pStyle w:val="bulet1"/>
        <w:tabs>
          <w:tab w:val="clear" w:pos="360"/>
        </w:tabs>
        <w:spacing w:before="0" w:after="0"/>
        <w:ind w:hanging="360"/>
        <w:rPr>
          <w:rFonts w:ascii="Trebuchet MS" w:eastAsia="Calibri" w:hAnsi="Trebuchet MS"/>
          <w:sz w:val="22"/>
          <w:szCs w:val="22"/>
        </w:rPr>
      </w:pPr>
      <w:r w:rsidRPr="00254B55">
        <w:rPr>
          <w:rFonts w:ascii="Trebuchet MS" w:eastAsia="Calibri" w:hAnsi="Trebuchet MS"/>
          <w:sz w:val="22"/>
          <w:szCs w:val="22"/>
        </w:rPr>
        <w:t>Irigații;</w:t>
      </w:r>
    </w:p>
    <w:p w:rsidR="00CF2185" w:rsidRPr="00254B55" w:rsidRDefault="00CF2185" w:rsidP="00CF2185">
      <w:pPr>
        <w:pStyle w:val="bulet1"/>
        <w:tabs>
          <w:tab w:val="clear" w:pos="360"/>
        </w:tabs>
        <w:spacing w:before="0" w:after="0"/>
        <w:ind w:hanging="360"/>
        <w:rPr>
          <w:rFonts w:ascii="Trebuchet MS" w:eastAsia="Calibri" w:hAnsi="Trebuchet MS"/>
          <w:sz w:val="22"/>
          <w:szCs w:val="22"/>
        </w:rPr>
      </w:pPr>
      <w:r w:rsidRPr="00254B55">
        <w:rPr>
          <w:rFonts w:ascii="Trebuchet MS" w:eastAsia="Calibri" w:hAnsi="Trebuchet MS"/>
          <w:sz w:val="22"/>
          <w:szCs w:val="22"/>
        </w:rPr>
        <w:t>Zootehnie;</w:t>
      </w:r>
    </w:p>
    <w:p w:rsidR="00CF2185" w:rsidRPr="00254B55" w:rsidRDefault="00CF2185" w:rsidP="00CF2185">
      <w:pPr>
        <w:pStyle w:val="bulet1"/>
        <w:tabs>
          <w:tab w:val="clear" w:pos="360"/>
        </w:tabs>
        <w:spacing w:before="0" w:after="0"/>
        <w:ind w:hanging="360"/>
        <w:rPr>
          <w:rFonts w:ascii="Trebuchet MS" w:eastAsia="Calibri" w:hAnsi="Trebuchet MS"/>
          <w:sz w:val="22"/>
          <w:szCs w:val="22"/>
        </w:rPr>
      </w:pPr>
      <w:r w:rsidRPr="00254B55">
        <w:rPr>
          <w:rFonts w:ascii="Trebuchet MS" w:eastAsia="Calibri" w:hAnsi="Trebuchet MS"/>
          <w:sz w:val="22"/>
          <w:szCs w:val="22"/>
        </w:rPr>
        <w:t>Acvacultură/piscicultură.</w:t>
      </w:r>
    </w:p>
    <w:p w:rsidR="00CF2185" w:rsidRPr="00254B55" w:rsidRDefault="00CF2185" w:rsidP="00CF2185">
      <w:pPr>
        <w:jc w:val="both"/>
        <w:rPr>
          <w:rFonts w:ascii="Trebuchet MS" w:hAnsi="Trebuchet MS" w:cs="Arial"/>
          <w:sz w:val="22"/>
          <w:szCs w:val="22"/>
        </w:rPr>
      </w:pPr>
      <w:r w:rsidRPr="00254B55">
        <w:rPr>
          <w:rFonts w:ascii="Trebuchet MS" w:hAnsi="Trebuchet MS" w:cs="Arial"/>
          <w:sz w:val="22"/>
          <w:szCs w:val="22"/>
        </w:rPr>
        <w:tab/>
        <w:t xml:space="preserve">În elaborarea </w:t>
      </w:r>
      <w:r w:rsidRPr="00254B55">
        <w:rPr>
          <w:rFonts w:ascii="Trebuchet MS" w:hAnsi="Trebuchet MS" w:cs="Arial"/>
          <w:b/>
          <w:i/>
          <w:sz w:val="22"/>
          <w:szCs w:val="22"/>
        </w:rPr>
        <w:t>prognozei cerințelor de apă pentru populație</w:t>
      </w:r>
      <w:r w:rsidRPr="00254B55">
        <w:rPr>
          <w:rFonts w:ascii="Trebuchet MS" w:hAnsi="Trebuchet MS" w:cs="Arial"/>
          <w:sz w:val="22"/>
          <w:szCs w:val="22"/>
        </w:rPr>
        <w:t xml:space="preserve"> s-a ţinut cont de:</w:t>
      </w:r>
    </w:p>
    <w:p w:rsidR="00CF2185" w:rsidRPr="00254B55" w:rsidRDefault="00CF2185" w:rsidP="004F134E">
      <w:pPr>
        <w:pStyle w:val="ListParagraph"/>
        <w:numPr>
          <w:ilvl w:val="0"/>
          <w:numId w:val="47"/>
        </w:numPr>
        <w:tabs>
          <w:tab w:val="left" w:pos="-879"/>
        </w:tabs>
        <w:jc w:val="both"/>
        <w:rPr>
          <w:rFonts w:ascii="Trebuchet MS" w:hAnsi="Trebuchet MS" w:cs="Arial"/>
          <w:sz w:val="22"/>
          <w:szCs w:val="22"/>
          <w:lang w:val="fr-FR"/>
        </w:rPr>
      </w:pPr>
      <w:r w:rsidRPr="00254B55">
        <w:rPr>
          <w:rFonts w:ascii="Trebuchet MS" w:hAnsi="Trebuchet MS" w:cs="Arial"/>
          <w:sz w:val="22"/>
          <w:szCs w:val="22"/>
          <w:lang w:val="fr-FR"/>
        </w:rPr>
        <w:t>datele puse la dispoziţie de Institutul Naţional de Statistică prin Recensământul Populaţiei şi Locuinţelor realizat în anul 2011;</w:t>
      </w:r>
    </w:p>
    <w:p w:rsidR="00CF2185" w:rsidRPr="00254B55" w:rsidRDefault="00CF2185" w:rsidP="004F134E">
      <w:pPr>
        <w:pStyle w:val="ListParagraph"/>
        <w:numPr>
          <w:ilvl w:val="0"/>
          <w:numId w:val="47"/>
        </w:numPr>
        <w:tabs>
          <w:tab w:val="left" w:pos="-879"/>
        </w:tabs>
        <w:jc w:val="both"/>
        <w:rPr>
          <w:rFonts w:ascii="Trebuchet MS" w:hAnsi="Trebuchet MS" w:cs="Arial"/>
          <w:sz w:val="22"/>
          <w:szCs w:val="22"/>
          <w:lang w:val="fr-FR"/>
        </w:rPr>
      </w:pPr>
      <w:r w:rsidRPr="00254B55">
        <w:rPr>
          <w:rFonts w:ascii="Trebuchet MS" w:hAnsi="Trebuchet MS" w:cs="Arial"/>
          <w:sz w:val="22"/>
          <w:szCs w:val="22"/>
          <w:lang w:val="fr-FR"/>
        </w:rPr>
        <w:t>datele statistice privind evoluţia populaţiei din România realizată de Organizaţia Naţiunilor Unite (Departamentul pentru Economie şi Afaceri Sociale – Divizia Populaţiei) în lucrarea „World Population Prospects: The 2012 Revision” publicată la 13 iunie 2013;</w:t>
      </w:r>
    </w:p>
    <w:p w:rsidR="00CF2185" w:rsidRPr="00254B55" w:rsidRDefault="00CF2185" w:rsidP="004F134E">
      <w:pPr>
        <w:pStyle w:val="ListParagraph"/>
        <w:numPr>
          <w:ilvl w:val="0"/>
          <w:numId w:val="47"/>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both"/>
        <w:rPr>
          <w:rFonts w:ascii="Trebuchet MS" w:hAnsi="Trebuchet MS" w:cs="Arial"/>
          <w:sz w:val="22"/>
          <w:szCs w:val="22"/>
          <w:lang w:val="fr-FR"/>
        </w:rPr>
      </w:pPr>
      <w:r w:rsidRPr="00254B55">
        <w:rPr>
          <w:rFonts w:ascii="Trebuchet MS" w:hAnsi="Trebuchet MS" w:cs="Arial"/>
          <w:sz w:val="22"/>
          <w:szCs w:val="22"/>
          <w:lang w:val="fr-FR"/>
        </w:rPr>
        <w:t>repartiţia populaţiei pe medii de locuire;</w:t>
      </w:r>
    </w:p>
    <w:p w:rsidR="00CF2185" w:rsidRPr="00254B55" w:rsidRDefault="00CF2185" w:rsidP="004F134E">
      <w:pPr>
        <w:pStyle w:val="ListParagraph"/>
        <w:numPr>
          <w:ilvl w:val="0"/>
          <w:numId w:val="47"/>
        </w:numPr>
        <w:tabs>
          <w:tab w:val="left" w:pos="-879"/>
        </w:tabs>
        <w:jc w:val="both"/>
        <w:rPr>
          <w:rFonts w:ascii="Trebuchet MS" w:hAnsi="Trebuchet MS" w:cs="Arial"/>
          <w:sz w:val="22"/>
          <w:szCs w:val="22"/>
        </w:rPr>
      </w:pPr>
      <w:r w:rsidRPr="00254B55">
        <w:rPr>
          <w:rFonts w:ascii="Trebuchet MS" w:hAnsi="Trebuchet MS" w:cs="Arial"/>
          <w:sz w:val="22"/>
          <w:szCs w:val="22"/>
          <w:lang w:val="fr-FR"/>
        </w:rPr>
        <w:t xml:space="preserve">coeficientul de creştere a gradului de urbanizare pentru România (conform statisticii Organizaţiei Naţinunilor Unite (Departamentul pentru Economie şi Afaceri Sociale – Divizia Populaţiei) din lucrarea „World Urbanization Prospects: The 2011 Revision. </w:t>
      </w:r>
      <w:r w:rsidRPr="00254B55">
        <w:rPr>
          <w:rFonts w:ascii="Trebuchet MS" w:hAnsi="Trebuchet MS" w:cs="Arial"/>
          <w:sz w:val="22"/>
          <w:szCs w:val="22"/>
        </w:rPr>
        <w:t>Average Annual Rate of Change the Percentage Urban by Major Area, Region and Country” publicată în octombrie 2012;</w:t>
      </w:r>
    </w:p>
    <w:p w:rsidR="00CF2185" w:rsidRPr="00254B55" w:rsidRDefault="00CF2185" w:rsidP="004F134E">
      <w:pPr>
        <w:pStyle w:val="ListParagraph"/>
        <w:numPr>
          <w:ilvl w:val="0"/>
          <w:numId w:val="47"/>
        </w:numPr>
        <w:tabs>
          <w:tab w:val="left" w:pos="-879"/>
        </w:tabs>
        <w:jc w:val="both"/>
        <w:rPr>
          <w:rFonts w:ascii="Trebuchet MS" w:hAnsi="Trebuchet MS" w:cs="Arial"/>
          <w:sz w:val="22"/>
          <w:szCs w:val="22"/>
          <w:lang w:val="fr-FR"/>
        </w:rPr>
      </w:pPr>
      <w:r w:rsidRPr="00254B55">
        <w:rPr>
          <w:rFonts w:ascii="Trebuchet MS" w:hAnsi="Trebuchet MS" w:cs="Arial"/>
          <w:sz w:val="22"/>
          <w:szCs w:val="22"/>
          <w:lang w:val="fr-FR"/>
        </w:rPr>
        <w:t>prognoza evoluţiei populaţiei pentru anul 2030;</w:t>
      </w:r>
    </w:p>
    <w:p w:rsidR="00CF2185" w:rsidRPr="00254B55" w:rsidRDefault="00CF2185" w:rsidP="004F134E">
      <w:pPr>
        <w:pStyle w:val="ListParagraph"/>
        <w:numPr>
          <w:ilvl w:val="0"/>
          <w:numId w:val="47"/>
        </w:numPr>
        <w:tabs>
          <w:tab w:val="left" w:pos="-879"/>
        </w:tabs>
        <w:jc w:val="both"/>
        <w:rPr>
          <w:rFonts w:ascii="Trebuchet MS" w:hAnsi="Trebuchet MS" w:cs="Arial"/>
          <w:sz w:val="22"/>
          <w:szCs w:val="22"/>
          <w:lang w:val="fr-FR"/>
        </w:rPr>
      </w:pPr>
      <w:r w:rsidRPr="00254B55">
        <w:rPr>
          <w:rFonts w:ascii="Trebuchet MS" w:hAnsi="Trebuchet MS" w:cs="Arial"/>
          <w:sz w:val="22"/>
          <w:szCs w:val="22"/>
          <w:lang w:val="fr-FR"/>
        </w:rPr>
        <w:t>rata de utilizare a apei pentru populaţie în zonele urbane/rurale, la nivelul României;</w:t>
      </w:r>
    </w:p>
    <w:p w:rsidR="00CF2185" w:rsidRPr="00254B55" w:rsidRDefault="00CF2185" w:rsidP="004F134E">
      <w:pPr>
        <w:pStyle w:val="ListParagraph"/>
        <w:numPr>
          <w:ilvl w:val="0"/>
          <w:numId w:val="47"/>
        </w:numPr>
        <w:tabs>
          <w:tab w:val="left" w:pos="-879"/>
        </w:tabs>
        <w:jc w:val="both"/>
        <w:rPr>
          <w:rFonts w:ascii="Trebuchet MS" w:hAnsi="Trebuchet MS" w:cs="Arial"/>
          <w:sz w:val="22"/>
          <w:szCs w:val="22"/>
        </w:rPr>
      </w:pPr>
      <w:r w:rsidRPr="00254B55">
        <w:rPr>
          <w:rFonts w:ascii="Trebuchet MS" w:hAnsi="Trebuchet MS" w:cs="Arial"/>
          <w:sz w:val="22"/>
          <w:szCs w:val="22"/>
        </w:rPr>
        <w:t xml:space="preserve">prevederile </w:t>
      </w:r>
      <w:r w:rsidRPr="00254B55">
        <w:rPr>
          <w:rFonts w:ascii="Trebuchet MS" w:hAnsi="Trebuchet MS" w:cs="Arial"/>
          <w:i/>
          <w:sz w:val="22"/>
          <w:szCs w:val="22"/>
        </w:rPr>
        <w:t>Programului Operaţional Sectorial de Mediu</w:t>
      </w:r>
      <w:r w:rsidRPr="00254B55">
        <w:rPr>
          <w:rFonts w:ascii="Trebuchet MS" w:hAnsi="Trebuchet MS" w:cs="Arial"/>
          <w:sz w:val="22"/>
          <w:szCs w:val="22"/>
        </w:rPr>
        <w:t xml:space="preserve"> (POS MEDIU).</w:t>
      </w:r>
    </w:p>
    <w:p w:rsidR="00CF2185" w:rsidRPr="00254B55" w:rsidRDefault="00CF2185" w:rsidP="00CF2185">
      <w:pPr>
        <w:tabs>
          <w:tab w:val="left" w:pos="-879"/>
        </w:tabs>
        <w:ind w:firstLine="720"/>
        <w:jc w:val="both"/>
        <w:rPr>
          <w:rFonts w:ascii="Trebuchet MS" w:hAnsi="Trebuchet MS" w:cs="Arial"/>
          <w:sz w:val="22"/>
          <w:szCs w:val="22"/>
        </w:rPr>
      </w:pPr>
      <w:r w:rsidRPr="00254B55">
        <w:rPr>
          <w:rFonts w:ascii="Trebuchet MS" w:hAnsi="Trebuchet MS" w:cs="Arial"/>
          <w:sz w:val="22"/>
          <w:szCs w:val="22"/>
        </w:rPr>
        <w:t>Prognoza cerinţelor de apă pentru populaţie s-a realizat pentru trei scenarii în funcţie de rata fertilităţii: scenariul minimal (rata scăzută a fertilităţii), scenariul mediu (rata medie a fertilităţii) şi scenariul maximal (rata ridicată a fertilităţii).</w:t>
      </w:r>
    </w:p>
    <w:p w:rsidR="00CF2185" w:rsidRPr="00254B55" w:rsidRDefault="00CF2185" w:rsidP="00CF2185">
      <w:pPr>
        <w:tabs>
          <w:tab w:val="left" w:pos="-879"/>
        </w:tabs>
        <w:ind w:firstLine="720"/>
        <w:jc w:val="both"/>
        <w:rPr>
          <w:rFonts w:ascii="Trebuchet MS" w:hAnsi="Trebuchet MS" w:cs="Arial"/>
          <w:sz w:val="22"/>
          <w:szCs w:val="22"/>
        </w:rPr>
      </w:pPr>
      <w:r w:rsidRPr="00254B55">
        <w:rPr>
          <w:rFonts w:ascii="Trebuchet MS" w:hAnsi="Trebuchet MS" w:cs="Arial"/>
          <w:b/>
          <w:i/>
          <w:sz w:val="22"/>
          <w:szCs w:val="22"/>
          <w:lang w:val="es-ES_tradnl"/>
        </w:rPr>
        <w:t>Prognoza cerințelor de apă pentru industrie</w:t>
      </w:r>
      <w:r w:rsidRPr="00254B55">
        <w:rPr>
          <w:rFonts w:ascii="Trebuchet MS" w:hAnsi="Trebuchet MS" w:cs="Arial"/>
          <w:i/>
          <w:sz w:val="22"/>
          <w:szCs w:val="22"/>
          <w:lang w:val="es-ES_tradnl"/>
        </w:rPr>
        <w:t xml:space="preserve"> </w:t>
      </w:r>
      <w:r w:rsidRPr="00254B55">
        <w:rPr>
          <w:rFonts w:ascii="Trebuchet MS" w:hAnsi="Trebuchet MS" w:cs="Arial"/>
          <w:sz w:val="22"/>
          <w:szCs w:val="22"/>
          <w:lang w:val="es-ES_tradnl"/>
        </w:rPr>
        <w:t xml:space="preserve">s-a estimat prin </w:t>
      </w:r>
      <w:r w:rsidRPr="00254B55">
        <w:rPr>
          <w:rFonts w:ascii="Trebuchet MS" w:hAnsi="Trebuchet MS" w:cs="Arial"/>
          <w:sz w:val="22"/>
          <w:szCs w:val="22"/>
        </w:rPr>
        <w:t>metoda prelevărilor pe locuitor, având la bază:</w:t>
      </w:r>
    </w:p>
    <w:p w:rsidR="00CF2185" w:rsidRPr="00254B55" w:rsidRDefault="00CF2185" w:rsidP="004F134E">
      <w:pPr>
        <w:pStyle w:val="ListParagraph"/>
        <w:numPr>
          <w:ilvl w:val="0"/>
          <w:numId w:val="49"/>
        </w:numPr>
        <w:tabs>
          <w:tab w:val="left" w:pos="-879"/>
        </w:tabs>
        <w:jc w:val="both"/>
        <w:rPr>
          <w:rFonts w:ascii="Trebuchet MS" w:hAnsi="Trebuchet MS" w:cs="Arial"/>
          <w:sz w:val="22"/>
          <w:szCs w:val="22"/>
          <w:lang w:val="fr-FR"/>
        </w:rPr>
      </w:pPr>
      <w:r w:rsidRPr="00254B55">
        <w:rPr>
          <w:rFonts w:ascii="Trebuchet MS" w:hAnsi="Trebuchet MS" w:cs="Arial"/>
          <w:sz w:val="22"/>
          <w:szCs w:val="22"/>
          <w:lang w:val="es-ES_tradnl"/>
        </w:rPr>
        <w:t>volumul de apă industrială prelevat la nivelul anului de referinţă, volum preluat din Balanţa Apei elaborată de Administraţia Naţională „Apele Române”</w:t>
      </w:r>
      <w:r w:rsidRPr="00254B55">
        <w:rPr>
          <w:rFonts w:ascii="Trebuchet MS" w:hAnsi="Trebuchet MS" w:cs="Arial"/>
          <w:sz w:val="22"/>
          <w:szCs w:val="22"/>
          <w:lang w:val="fr-FR"/>
        </w:rPr>
        <w:t>;</w:t>
      </w:r>
    </w:p>
    <w:p w:rsidR="00CF2185" w:rsidRPr="00254B55" w:rsidRDefault="00CF2185" w:rsidP="004F134E">
      <w:pPr>
        <w:pStyle w:val="ListParagraph"/>
        <w:numPr>
          <w:ilvl w:val="0"/>
          <w:numId w:val="49"/>
        </w:numPr>
        <w:tabs>
          <w:tab w:val="left" w:pos="-879"/>
        </w:tabs>
        <w:jc w:val="both"/>
        <w:rPr>
          <w:rFonts w:ascii="Trebuchet MS" w:hAnsi="Trebuchet MS" w:cs="Arial"/>
          <w:sz w:val="22"/>
          <w:szCs w:val="22"/>
          <w:lang w:val="fr-FR"/>
        </w:rPr>
      </w:pPr>
      <w:r w:rsidRPr="00254B55">
        <w:rPr>
          <w:rFonts w:ascii="Trebuchet MS" w:hAnsi="Trebuchet MS" w:cs="Arial"/>
          <w:sz w:val="22"/>
          <w:szCs w:val="22"/>
          <w:lang w:val="es-ES_tradnl"/>
        </w:rPr>
        <w:t>populaţia la nivelul anului de referinţă</w:t>
      </w:r>
      <w:r w:rsidRPr="00254B55">
        <w:rPr>
          <w:rFonts w:ascii="Trebuchet MS" w:hAnsi="Trebuchet MS" w:cs="Arial"/>
          <w:sz w:val="22"/>
          <w:szCs w:val="22"/>
          <w:lang w:val="fr-FR"/>
        </w:rPr>
        <w:t>;</w:t>
      </w:r>
    </w:p>
    <w:p w:rsidR="00CF2185" w:rsidRPr="00254B55" w:rsidRDefault="00CF2185" w:rsidP="004F134E">
      <w:pPr>
        <w:pStyle w:val="ListParagraph"/>
        <w:numPr>
          <w:ilvl w:val="0"/>
          <w:numId w:val="49"/>
        </w:numPr>
        <w:tabs>
          <w:tab w:val="left" w:pos="-879"/>
        </w:tabs>
        <w:ind w:left="794"/>
        <w:jc w:val="both"/>
        <w:rPr>
          <w:rFonts w:ascii="Trebuchet MS" w:hAnsi="Trebuchet MS" w:cs="Arial"/>
          <w:sz w:val="22"/>
          <w:szCs w:val="22"/>
          <w:lang w:val="fr-FR"/>
        </w:rPr>
      </w:pPr>
      <w:r w:rsidRPr="00254B55">
        <w:rPr>
          <w:rFonts w:ascii="Trebuchet MS" w:hAnsi="Trebuchet MS" w:cs="Arial"/>
          <w:sz w:val="22"/>
          <w:szCs w:val="22"/>
          <w:lang w:val="fr-FR"/>
        </w:rPr>
        <w:t>evoluţia principalilor indicatori economico - sociali furnizată de Comisia Naţională de Prognoză, prin publicaţia "</w:t>
      </w:r>
      <w:r w:rsidRPr="00254B55">
        <w:rPr>
          <w:rFonts w:ascii="Trebuchet MS" w:hAnsi="Trebuchet MS" w:cs="Arial"/>
          <w:i/>
          <w:sz w:val="22"/>
          <w:szCs w:val="22"/>
          <w:lang w:val="fr-FR"/>
        </w:rPr>
        <w:t>Proiecţia principalilor indicatori economico - sociali în profil teritorial până în 2016</w:t>
      </w:r>
      <w:r w:rsidRPr="00254B55">
        <w:rPr>
          <w:rFonts w:ascii="Trebuchet MS" w:hAnsi="Trebuchet MS" w:cs="Arial"/>
          <w:sz w:val="22"/>
          <w:szCs w:val="22"/>
          <w:lang w:val="fr-FR"/>
        </w:rPr>
        <w:t xml:space="preserve">", publicat în iunie 2013. </w:t>
      </w:r>
    </w:p>
    <w:p w:rsidR="00CF2185" w:rsidRPr="00254B55" w:rsidRDefault="00CF2185" w:rsidP="00CF2185">
      <w:pPr>
        <w:tabs>
          <w:tab w:val="left" w:pos="-879"/>
        </w:tabs>
        <w:ind w:firstLine="720"/>
        <w:jc w:val="both"/>
        <w:rPr>
          <w:rFonts w:ascii="Trebuchet MS" w:hAnsi="Trebuchet MS" w:cs="Arial"/>
          <w:sz w:val="22"/>
          <w:szCs w:val="22"/>
          <w:lang w:val="es-ES_tradnl"/>
        </w:rPr>
      </w:pPr>
      <w:r w:rsidRPr="00254B55">
        <w:rPr>
          <w:rFonts w:ascii="Trebuchet MS" w:hAnsi="Trebuchet MS" w:cs="Arial"/>
          <w:sz w:val="22"/>
          <w:szCs w:val="22"/>
          <w:lang w:val="es-ES_tradnl"/>
        </w:rPr>
        <w:t>Ca şi în cazul prognozei cerinţelor de apă pentru populaţie, prognoza cerinţelor de apă pentru industrie s-a realizat pentru trei scenarii de prognoză.</w:t>
      </w:r>
    </w:p>
    <w:p w:rsidR="00CF2185" w:rsidRPr="00254B55" w:rsidRDefault="00CF2185" w:rsidP="00CF2185">
      <w:pPr>
        <w:tabs>
          <w:tab w:val="left" w:pos="-879"/>
        </w:tabs>
        <w:ind w:firstLine="720"/>
        <w:jc w:val="both"/>
        <w:rPr>
          <w:rFonts w:ascii="Trebuchet MS" w:hAnsi="Trebuchet MS" w:cs="Arial"/>
          <w:sz w:val="22"/>
          <w:szCs w:val="22"/>
          <w:lang w:val="es-ES_tradnl"/>
        </w:rPr>
      </w:pPr>
      <w:r w:rsidRPr="00254B55">
        <w:rPr>
          <w:rFonts w:ascii="Trebuchet MS" w:hAnsi="Trebuchet MS" w:cs="Arial"/>
          <w:sz w:val="22"/>
          <w:szCs w:val="22"/>
          <w:lang w:val="es-ES_tradnl"/>
        </w:rPr>
        <w:t>Pentru calculul</w:t>
      </w:r>
      <w:r w:rsidRPr="00254B55">
        <w:rPr>
          <w:rFonts w:ascii="Trebuchet MS" w:hAnsi="Trebuchet MS" w:cs="Arial"/>
          <w:b/>
          <w:i/>
          <w:sz w:val="22"/>
          <w:szCs w:val="22"/>
          <w:lang w:val="es-ES_tradnl"/>
        </w:rPr>
        <w:t xml:space="preserve"> prognozei cerințelor de apă pentru irigații</w:t>
      </w:r>
      <w:r w:rsidRPr="00254B55">
        <w:rPr>
          <w:rFonts w:ascii="Trebuchet MS" w:hAnsi="Trebuchet MS" w:cs="Arial"/>
          <w:i/>
          <w:sz w:val="22"/>
          <w:szCs w:val="22"/>
          <w:lang w:val="es-ES_tradnl"/>
        </w:rPr>
        <w:t xml:space="preserve"> </w:t>
      </w:r>
      <w:r w:rsidRPr="00254B55">
        <w:rPr>
          <w:rFonts w:ascii="Trebuchet MS" w:hAnsi="Trebuchet MS" w:cs="Arial"/>
          <w:sz w:val="22"/>
          <w:szCs w:val="22"/>
          <w:lang w:val="es-ES_tradnl"/>
        </w:rPr>
        <w:t xml:space="preserve">s-au luat în considerare: </w:t>
      </w:r>
    </w:p>
    <w:p w:rsidR="00CF2185" w:rsidRPr="00254B55" w:rsidRDefault="00CF2185" w:rsidP="004F134E">
      <w:pPr>
        <w:pStyle w:val="ListParagraph"/>
        <w:numPr>
          <w:ilvl w:val="0"/>
          <w:numId w:val="46"/>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volumele de apă prelevate pentru irigații în anii anteriori realizării calculului;</w:t>
      </w:r>
    </w:p>
    <w:p w:rsidR="00CF2185" w:rsidRPr="00254B55" w:rsidRDefault="00CF2185" w:rsidP="004F134E">
      <w:pPr>
        <w:pStyle w:val="ListParagraph"/>
        <w:numPr>
          <w:ilvl w:val="0"/>
          <w:numId w:val="46"/>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 xml:space="preserve">suprafețele prognozate a fi irigate în conformitate cu Strategia Investiţiilor în Sectorul Irigaţiilor, elaborată de Fidman Merk at S.R.L. (Ianuarie 2011) pentru Ministerul Agriculturii şi Dezvoltării Rurale – Proiectul de Reabilitare şi Reformă a Sectorului de Irigaţii; </w:t>
      </w:r>
    </w:p>
    <w:p w:rsidR="00CF2185" w:rsidRPr="00254B55" w:rsidRDefault="00CF2185" w:rsidP="004F134E">
      <w:pPr>
        <w:pStyle w:val="ListParagraph"/>
        <w:numPr>
          <w:ilvl w:val="0"/>
          <w:numId w:val="46"/>
        </w:numPr>
        <w:jc w:val="both"/>
        <w:rPr>
          <w:rFonts w:ascii="Trebuchet MS" w:hAnsi="Trebuchet MS" w:cs="Arial"/>
          <w:sz w:val="22"/>
          <w:szCs w:val="22"/>
          <w:lang w:val="fr-FR"/>
        </w:rPr>
      </w:pPr>
      <w:r w:rsidRPr="00254B55">
        <w:rPr>
          <w:rFonts w:ascii="Trebuchet MS" w:hAnsi="Trebuchet MS" w:cs="Arial"/>
          <w:sz w:val="22"/>
          <w:szCs w:val="22"/>
          <w:lang w:val="es-ES_tradnl"/>
        </w:rPr>
        <w:t>suprafeţele prognozate a fi amenajate pentru irigaţii cu normele</w:t>
      </w:r>
      <w:r w:rsidRPr="00254B55">
        <w:rPr>
          <w:rFonts w:ascii="Trebuchet MS" w:hAnsi="Trebuchet MS" w:cs="Arial"/>
          <w:sz w:val="22"/>
          <w:szCs w:val="22"/>
          <w:lang w:val="fr-FR"/>
        </w:rPr>
        <w:t xml:space="preserve"> de udare la nivel național, conform informaţiilor primite de la Agenția Națională de Îmbunătățiri Funciare (ANIF).</w:t>
      </w:r>
    </w:p>
    <w:p w:rsidR="00CF2185" w:rsidRPr="00254B55" w:rsidRDefault="00CF2185" w:rsidP="00CF2185">
      <w:pPr>
        <w:ind w:firstLine="720"/>
        <w:jc w:val="both"/>
        <w:rPr>
          <w:rFonts w:ascii="Trebuchet MS" w:hAnsi="Trebuchet MS" w:cs="Arial"/>
          <w:sz w:val="22"/>
          <w:szCs w:val="22"/>
          <w:lang w:val="es-ES_tradnl"/>
        </w:rPr>
      </w:pPr>
      <w:r w:rsidRPr="00254B55">
        <w:rPr>
          <w:rFonts w:ascii="Trebuchet MS" w:hAnsi="Trebuchet MS" w:cs="Arial"/>
          <w:sz w:val="22"/>
          <w:szCs w:val="22"/>
          <w:lang w:val="es-ES_tradnl"/>
        </w:rPr>
        <w:t>Calculele de prognoză s-au realizat pentru trei scenarii de prognoză.</w:t>
      </w:r>
    </w:p>
    <w:p w:rsidR="00CF2185" w:rsidRPr="00254B55" w:rsidRDefault="00CF2185" w:rsidP="00CF2185">
      <w:pPr>
        <w:ind w:firstLine="720"/>
        <w:jc w:val="both"/>
        <w:rPr>
          <w:rFonts w:ascii="Trebuchet MS" w:hAnsi="Trebuchet MS" w:cs="Arial"/>
          <w:sz w:val="22"/>
          <w:szCs w:val="22"/>
          <w:lang w:val="es-ES_tradnl"/>
        </w:rPr>
      </w:pPr>
      <w:r w:rsidRPr="00254B55">
        <w:rPr>
          <w:rFonts w:ascii="Trebuchet MS" w:hAnsi="Trebuchet MS" w:cs="Arial"/>
          <w:b/>
          <w:i/>
          <w:sz w:val="22"/>
          <w:szCs w:val="22"/>
          <w:lang w:val="es-ES_tradnl"/>
        </w:rPr>
        <w:t>Prognoza cerințelor de apă pentru zootehnie</w:t>
      </w:r>
      <w:r w:rsidRPr="00254B55">
        <w:rPr>
          <w:rFonts w:ascii="Trebuchet MS" w:hAnsi="Trebuchet MS" w:cs="Arial"/>
          <w:i/>
          <w:sz w:val="22"/>
          <w:szCs w:val="22"/>
          <w:lang w:val="es-ES_tradnl"/>
        </w:rPr>
        <w:t xml:space="preserve"> </w:t>
      </w:r>
      <w:r w:rsidRPr="00254B55">
        <w:rPr>
          <w:rFonts w:ascii="Trebuchet MS" w:hAnsi="Trebuchet MS" w:cs="Arial"/>
          <w:sz w:val="22"/>
          <w:szCs w:val="22"/>
          <w:lang w:val="es-ES_tradnl"/>
        </w:rPr>
        <w:t xml:space="preserve">se referă în mod exclusiv la cerința de apă necesară creșterii animalelor în regim industrial, pentru animalele crescute în gospodăriile poulației volumele de apă necesare s-au considerat a fi înglobate în cerința de apă pentru poluația din mediul rural. </w:t>
      </w:r>
    </w:p>
    <w:p w:rsidR="00CF2185" w:rsidRPr="00254B55" w:rsidRDefault="00CF2185" w:rsidP="00CF2185">
      <w:pPr>
        <w:ind w:firstLine="720"/>
        <w:jc w:val="both"/>
        <w:rPr>
          <w:rFonts w:ascii="Trebuchet MS" w:hAnsi="Trebuchet MS" w:cs="Arial"/>
          <w:sz w:val="22"/>
          <w:szCs w:val="22"/>
          <w:lang w:val="es-ES_tradnl"/>
        </w:rPr>
      </w:pPr>
      <w:r w:rsidRPr="00254B55">
        <w:rPr>
          <w:rFonts w:ascii="Trebuchet MS" w:hAnsi="Trebuchet MS" w:cs="Arial"/>
          <w:sz w:val="22"/>
          <w:szCs w:val="22"/>
          <w:lang w:val="es-ES_tradnl"/>
        </w:rPr>
        <w:t xml:space="preserve">Pentru calcul prognozei cerințelor de apă pentru zootehnie s-au luat în considerare: </w:t>
      </w:r>
    </w:p>
    <w:p w:rsidR="00CF2185" w:rsidRPr="00254B55" w:rsidRDefault="00CF2185" w:rsidP="004F134E">
      <w:pPr>
        <w:pStyle w:val="ListParagraph"/>
        <w:numPr>
          <w:ilvl w:val="0"/>
          <w:numId w:val="48"/>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 xml:space="preserve">datele furnizate de Institutul Naţional de Statistică ce cuprind efectivele de animale, pe categorii de animale, forme de proprietate, macroregiuni, regiuni de dezvoltare şi judeţe pentru anul de referinţă (2011); </w:t>
      </w:r>
    </w:p>
    <w:p w:rsidR="00CF2185" w:rsidRPr="00254B55" w:rsidRDefault="00CF2185" w:rsidP="004F134E">
      <w:pPr>
        <w:pStyle w:val="ListParagraph"/>
        <w:numPr>
          <w:ilvl w:val="0"/>
          <w:numId w:val="48"/>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numărul populaţiei la nivelul anului de referinţă;</w:t>
      </w:r>
    </w:p>
    <w:p w:rsidR="00CF2185" w:rsidRPr="00254B55" w:rsidRDefault="00CF2185" w:rsidP="004F134E">
      <w:pPr>
        <w:pStyle w:val="ListParagraph"/>
        <w:numPr>
          <w:ilvl w:val="0"/>
          <w:numId w:val="48"/>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prognoza evoluției numărului de locuitori pentru anul 2030 determinată anterior;</w:t>
      </w:r>
    </w:p>
    <w:p w:rsidR="00CF2185" w:rsidRPr="00254B55" w:rsidRDefault="00CF2185" w:rsidP="004F134E">
      <w:pPr>
        <w:pStyle w:val="ListParagraph"/>
        <w:numPr>
          <w:ilvl w:val="0"/>
          <w:numId w:val="48"/>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cerinţa medie de apă pentru animalele crescute în regim industrial.</w:t>
      </w:r>
    </w:p>
    <w:p w:rsidR="00CF2185" w:rsidRPr="00254B55" w:rsidRDefault="00CF2185" w:rsidP="00CF2185">
      <w:pPr>
        <w:pStyle w:val="1text2"/>
        <w:spacing w:before="0"/>
        <w:ind w:firstLine="714"/>
        <w:rPr>
          <w:rFonts w:ascii="Trebuchet MS" w:hAnsi="Trebuchet MS" w:cs="Arial"/>
          <w:sz w:val="22"/>
          <w:szCs w:val="22"/>
        </w:rPr>
      </w:pPr>
      <w:r w:rsidRPr="00254B55">
        <w:rPr>
          <w:rFonts w:ascii="Trebuchet MS" w:hAnsi="Trebuchet MS" w:cs="Arial"/>
          <w:sz w:val="22"/>
          <w:szCs w:val="22"/>
        </w:rPr>
        <w:t xml:space="preserve">Calculele de prognoză s-au realizat pentru trei scenarii de prognoză în funcție de coeficienții estimați ai creșterii economice. </w:t>
      </w:r>
    </w:p>
    <w:p w:rsidR="00CF2185" w:rsidRPr="00254B55" w:rsidRDefault="00CF2185" w:rsidP="00CF2185">
      <w:pPr>
        <w:pStyle w:val="1text2"/>
        <w:spacing w:before="0"/>
        <w:ind w:firstLine="714"/>
        <w:rPr>
          <w:rFonts w:ascii="Trebuchet MS" w:hAnsi="Trebuchet MS" w:cs="Arial"/>
          <w:sz w:val="22"/>
          <w:szCs w:val="22"/>
        </w:rPr>
      </w:pPr>
      <w:r w:rsidRPr="00254B55">
        <w:rPr>
          <w:rFonts w:ascii="Trebuchet MS" w:hAnsi="Trebuchet MS" w:cs="Arial"/>
          <w:b/>
          <w:i/>
          <w:sz w:val="22"/>
          <w:szCs w:val="22"/>
          <w:lang w:val="es-ES_tradnl"/>
        </w:rPr>
        <w:t>Prognoza cerințelor de apă pentru acvacultură/piscicultură</w:t>
      </w:r>
      <w:r w:rsidRPr="00254B55">
        <w:rPr>
          <w:rFonts w:ascii="Trebuchet MS" w:hAnsi="Trebuchet MS" w:cs="Arial"/>
          <w:i/>
          <w:sz w:val="22"/>
          <w:szCs w:val="22"/>
          <w:lang w:val="es-ES_tradnl"/>
        </w:rPr>
        <w:t xml:space="preserve"> </w:t>
      </w:r>
      <w:r w:rsidRPr="00254B55">
        <w:rPr>
          <w:rFonts w:ascii="Trebuchet MS" w:hAnsi="Trebuchet MS" w:cs="Arial"/>
          <w:sz w:val="22"/>
          <w:szCs w:val="22"/>
          <w:lang w:val="es-ES_tradnl"/>
        </w:rPr>
        <w:t xml:space="preserve">s-a realizat luând în considerare: </w:t>
      </w:r>
    </w:p>
    <w:p w:rsidR="00CF2185" w:rsidRPr="00254B55" w:rsidRDefault="00CF2185" w:rsidP="004F134E">
      <w:pPr>
        <w:pStyle w:val="ListParagraph"/>
        <w:numPr>
          <w:ilvl w:val="0"/>
          <w:numId w:val="48"/>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volumele de apă prelevate în anii anteriori pentru acvacultură/piscicultură, volume ce au fost preluate din Balanţa Apei elaborată de Administraţia Naţională „Apele Române”</w:t>
      </w:r>
      <w:r w:rsidRPr="00254B55">
        <w:rPr>
          <w:rFonts w:ascii="Trebuchet MS" w:hAnsi="Trebuchet MS" w:cs="Arial"/>
          <w:sz w:val="22"/>
          <w:szCs w:val="22"/>
          <w:lang w:val="fr-FR"/>
        </w:rPr>
        <w:t>;</w:t>
      </w:r>
    </w:p>
    <w:p w:rsidR="00CF2185" w:rsidRPr="00254B55" w:rsidRDefault="00CF2185" w:rsidP="004F134E">
      <w:pPr>
        <w:pStyle w:val="ListParagraph"/>
        <w:numPr>
          <w:ilvl w:val="0"/>
          <w:numId w:val="48"/>
        </w:numPr>
        <w:tabs>
          <w:tab w:val="left" w:pos="-879"/>
        </w:tabs>
        <w:jc w:val="both"/>
        <w:rPr>
          <w:rFonts w:ascii="Trebuchet MS" w:hAnsi="Trebuchet MS" w:cs="Arial"/>
          <w:sz w:val="22"/>
          <w:szCs w:val="22"/>
          <w:lang w:val="es-ES_tradnl"/>
        </w:rPr>
      </w:pPr>
      <w:r w:rsidRPr="00254B55">
        <w:rPr>
          <w:rFonts w:ascii="Trebuchet MS" w:hAnsi="Trebuchet MS" w:cs="Arial"/>
          <w:sz w:val="22"/>
          <w:szCs w:val="22"/>
          <w:lang w:val="es-ES_tradnl"/>
        </w:rPr>
        <w:t>suprafeţele amenajărilor piscicole – pepiniere şi crescătorii potrivit Registrului Unităților de Acvacultură (RUA actualizarea martie 2014) a Agenţiei Naţionale pentru Pescuit şi Acvacultură.</w:t>
      </w:r>
    </w:p>
    <w:p w:rsidR="00CF2185" w:rsidRPr="00254B55" w:rsidRDefault="00CF2185" w:rsidP="00CF2185">
      <w:pPr>
        <w:pStyle w:val="1text2"/>
        <w:spacing w:before="0"/>
        <w:ind w:firstLine="720"/>
        <w:rPr>
          <w:rFonts w:ascii="Trebuchet MS" w:hAnsi="Trebuchet MS" w:cs="Arial"/>
          <w:sz w:val="22"/>
          <w:szCs w:val="22"/>
        </w:rPr>
      </w:pPr>
      <w:r w:rsidRPr="00254B55">
        <w:rPr>
          <w:rFonts w:ascii="Trebuchet MS" w:hAnsi="Trebuchet MS" w:cs="Arial"/>
          <w:sz w:val="22"/>
          <w:szCs w:val="22"/>
        </w:rPr>
        <w:t>Calculele de prognoză s-au realizat pentru trei scenarii de prognoză care prevăd o creștere ponderată a suprafețelor amenajate pentru acvacultură.</w:t>
      </w:r>
    </w:p>
    <w:p w:rsidR="00CF2185" w:rsidRPr="00254B55" w:rsidRDefault="00CF2185" w:rsidP="00CF2185">
      <w:pPr>
        <w:pStyle w:val="textscris"/>
        <w:spacing w:before="0" w:after="0"/>
        <w:rPr>
          <w:rFonts w:ascii="Trebuchet MS" w:hAnsi="Trebuchet MS"/>
          <w:sz w:val="22"/>
          <w:szCs w:val="22"/>
          <w:lang w:val="es-ES_tradnl"/>
        </w:rPr>
      </w:pPr>
      <w:r w:rsidRPr="00254B55">
        <w:rPr>
          <w:rFonts w:ascii="Trebuchet MS" w:hAnsi="Trebuchet MS"/>
          <w:sz w:val="22"/>
          <w:szCs w:val="22"/>
          <w:lang w:val="es-ES_tradnl"/>
        </w:rPr>
        <w:t>În tabelul 2.9 este redată cerința de apă prognozată pe folosințe de apă, pentru anul 2030, în cazul scenariului mediu.</w:t>
      </w:r>
    </w:p>
    <w:p w:rsidR="00CF2185" w:rsidRPr="00254B55" w:rsidRDefault="00CF2185" w:rsidP="00CF2185">
      <w:pPr>
        <w:pStyle w:val="textscris"/>
        <w:spacing w:before="0" w:after="0"/>
        <w:rPr>
          <w:rFonts w:ascii="Trebuchet MS" w:hAnsi="Trebuchet MS"/>
          <w:color w:val="000000"/>
          <w:sz w:val="22"/>
          <w:szCs w:val="22"/>
          <w:lang w:val="ro-RO"/>
        </w:rPr>
      </w:pPr>
    </w:p>
    <w:p w:rsidR="006B1DFF" w:rsidRPr="00254B55" w:rsidRDefault="006B1DFF" w:rsidP="00CF2185">
      <w:pPr>
        <w:pStyle w:val="1text2"/>
        <w:spacing w:before="0"/>
        <w:jc w:val="center"/>
        <w:rPr>
          <w:rFonts w:ascii="Trebuchet MS" w:hAnsi="Trebuchet MS" w:cs="Arial"/>
          <w:i/>
          <w:iCs w:val="0"/>
          <w:sz w:val="22"/>
          <w:szCs w:val="22"/>
        </w:rPr>
      </w:pPr>
    </w:p>
    <w:p w:rsidR="006B1DFF" w:rsidRPr="00254B55" w:rsidRDefault="006B1DFF" w:rsidP="00CF2185">
      <w:pPr>
        <w:pStyle w:val="1text2"/>
        <w:spacing w:before="0"/>
        <w:jc w:val="center"/>
        <w:rPr>
          <w:rFonts w:ascii="Trebuchet MS" w:hAnsi="Trebuchet MS" w:cs="Arial"/>
          <w:i/>
          <w:iCs w:val="0"/>
          <w:sz w:val="22"/>
          <w:szCs w:val="22"/>
        </w:rPr>
      </w:pPr>
    </w:p>
    <w:p w:rsidR="006B1DFF" w:rsidRPr="00254B55" w:rsidRDefault="006B1DFF" w:rsidP="00CF2185">
      <w:pPr>
        <w:pStyle w:val="1text2"/>
        <w:spacing w:before="0"/>
        <w:jc w:val="center"/>
        <w:rPr>
          <w:rFonts w:ascii="Trebuchet MS" w:hAnsi="Trebuchet MS" w:cs="Arial"/>
          <w:i/>
          <w:iCs w:val="0"/>
          <w:sz w:val="22"/>
          <w:szCs w:val="22"/>
        </w:rPr>
      </w:pPr>
    </w:p>
    <w:p w:rsidR="00CF2185" w:rsidRPr="00254B55" w:rsidRDefault="00CF2185" w:rsidP="00CF2185">
      <w:pPr>
        <w:pStyle w:val="1text2"/>
        <w:spacing w:before="0"/>
        <w:jc w:val="center"/>
        <w:rPr>
          <w:rFonts w:ascii="Trebuchet MS" w:hAnsi="Trebuchet MS" w:cs="Arial"/>
          <w:i/>
          <w:iCs w:val="0"/>
          <w:sz w:val="22"/>
          <w:szCs w:val="22"/>
        </w:rPr>
      </w:pPr>
      <w:r w:rsidRPr="00254B55">
        <w:rPr>
          <w:rFonts w:ascii="Trebuchet MS" w:hAnsi="Trebuchet MS" w:cs="Arial"/>
          <w:i/>
          <w:iCs w:val="0"/>
          <w:sz w:val="22"/>
          <w:szCs w:val="22"/>
        </w:rPr>
        <w:t>Tabelul II.1.2.1.1 Prognoza cerinței de apă pentru anul 2030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2039"/>
      </w:tblGrid>
      <w:tr w:rsidR="00CF2185" w:rsidRPr="006B1DFF" w:rsidTr="00E13AA6">
        <w:trPr>
          <w:trHeight w:val="73"/>
          <w:jc w:val="center"/>
        </w:trPr>
        <w:tc>
          <w:tcPr>
            <w:tcW w:w="2738" w:type="dxa"/>
            <w:vMerge w:val="restart"/>
            <w:shd w:val="clear" w:color="auto" w:fill="D9D9D9"/>
            <w:vAlign w:val="center"/>
          </w:tcPr>
          <w:p w:rsidR="00CF2185" w:rsidRPr="006B1DFF" w:rsidRDefault="00CF2185" w:rsidP="00E13AA6">
            <w:pPr>
              <w:pStyle w:val="1text2"/>
              <w:spacing w:before="0"/>
              <w:rPr>
                <w:rFonts w:ascii="Trebuchet MS" w:hAnsi="Trebuchet MS" w:cs="Arial"/>
                <w:b/>
                <w:bCs/>
                <w:sz w:val="22"/>
                <w:szCs w:val="22"/>
              </w:rPr>
            </w:pPr>
            <w:r w:rsidRPr="006B1DFF">
              <w:rPr>
                <w:rFonts w:ascii="Trebuchet MS" w:hAnsi="Trebuchet MS" w:cs="Arial"/>
                <w:b/>
                <w:bCs/>
                <w:sz w:val="22"/>
                <w:szCs w:val="22"/>
              </w:rPr>
              <w:t>Folosința de apă</w:t>
            </w:r>
          </w:p>
        </w:tc>
        <w:tc>
          <w:tcPr>
            <w:tcW w:w="2039" w:type="dxa"/>
            <w:shd w:val="clear" w:color="auto" w:fill="D9D9D9"/>
            <w:vAlign w:val="center"/>
          </w:tcPr>
          <w:p w:rsidR="00CF2185" w:rsidRPr="006B1DFF" w:rsidRDefault="00CF2185" w:rsidP="00E13AA6">
            <w:pPr>
              <w:pStyle w:val="1text2"/>
              <w:spacing w:before="0"/>
              <w:jc w:val="center"/>
              <w:rPr>
                <w:rFonts w:ascii="Trebuchet MS" w:hAnsi="Trebuchet MS" w:cs="Arial"/>
                <w:b/>
                <w:bCs/>
                <w:sz w:val="22"/>
                <w:szCs w:val="22"/>
              </w:rPr>
            </w:pPr>
            <w:r w:rsidRPr="006B1DFF">
              <w:rPr>
                <w:rFonts w:ascii="Trebuchet MS" w:hAnsi="Trebuchet MS" w:cs="Arial"/>
                <w:b/>
                <w:bCs/>
                <w:sz w:val="22"/>
                <w:szCs w:val="22"/>
              </w:rPr>
              <w:t>Cerința de apă</w:t>
            </w:r>
          </w:p>
          <w:p w:rsidR="00CF2185" w:rsidRPr="006B1DFF" w:rsidRDefault="00CF2185" w:rsidP="00E13AA6">
            <w:pPr>
              <w:pStyle w:val="1text2"/>
              <w:spacing w:before="0"/>
              <w:jc w:val="center"/>
              <w:rPr>
                <w:rFonts w:ascii="Trebuchet MS" w:hAnsi="Trebuchet MS" w:cs="Arial"/>
                <w:b/>
                <w:bCs/>
                <w:sz w:val="22"/>
                <w:szCs w:val="22"/>
              </w:rPr>
            </w:pPr>
            <w:r w:rsidRPr="006B1DFF">
              <w:rPr>
                <w:rFonts w:ascii="Trebuchet MS" w:hAnsi="Trebuchet MS" w:cs="Arial"/>
                <w:b/>
                <w:bCs/>
                <w:sz w:val="22"/>
                <w:szCs w:val="22"/>
              </w:rPr>
              <w:t>(mil. mc)</w:t>
            </w:r>
          </w:p>
        </w:tc>
      </w:tr>
      <w:tr w:rsidR="00CF2185" w:rsidRPr="006B1DFF" w:rsidTr="00E13AA6">
        <w:trPr>
          <w:jc w:val="center"/>
        </w:trPr>
        <w:tc>
          <w:tcPr>
            <w:tcW w:w="2738" w:type="dxa"/>
            <w:vMerge/>
            <w:shd w:val="clear" w:color="auto" w:fill="D9D9D9"/>
          </w:tcPr>
          <w:p w:rsidR="00CF2185" w:rsidRPr="006B1DFF" w:rsidRDefault="00CF2185" w:rsidP="00E13AA6">
            <w:pPr>
              <w:pStyle w:val="1text2"/>
              <w:spacing w:before="0"/>
              <w:rPr>
                <w:rFonts w:ascii="Trebuchet MS" w:hAnsi="Trebuchet MS" w:cs="Arial"/>
                <w:b/>
                <w:bCs/>
                <w:sz w:val="22"/>
                <w:szCs w:val="22"/>
              </w:rPr>
            </w:pPr>
          </w:p>
        </w:tc>
        <w:tc>
          <w:tcPr>
            <w:tcW w:w="2039" w:type="dxa"/>
            <w:shd w:val="clear" w:color="auto" w:fill="D9D9D9"/>
          </w:tcPr>
          <w:p w:rsidR="00CF2185" w:rsidRPr="006B1DFF" w:rsidRDefault="00CF2185" w:rsidP="00E13AA6">
            <w:pPr>
              <w:pStyle w:val="1text2"/>
              <w:spacing w:before="0"/>
              <w:jc w:val="center"/>
              <w:rPr>
                <w:rFonts w:ascii="Trebuchet MS" w:hAnsi="Trebuchet MS" w:cs="Arial"/>
                <w:b/>
                <w:bCs/>
                <w:sz w:val="22"/>
                <w:szCs w:val="22"/>
              </w:rPr>
            </w:pPr>
            <w:r w:rsidRPr="006B1DFF">
              <w:rPr>
                <w:rFonts w:ascii="Trebuchet MS" w:hAnsi="Trebuchet MS" w:cs="Arial"/>
                <w:b/>
                <w:bCs/>
                <w:sz w:val="22"/>
                <w:szCs w:val="22"/>
              </w:rPr>
              <w:t>2030</w:t>
            </w:r>
          </w:p>
        </w:tc>
      </w:tr>
      <w:tr w:rsidR="00CF2185" w:rsidRPr="006B1DFF" w:rsidTr="00E13AA6">
        <w:trPr>
          <w:jc w:val="center"/>
        </w:trPr>
        <w:tc>
          <w:tcPr>
            <w:tcW w:w="2738" w:type="dxa"/>
            <w:shd w:val="clear" w:color="auto" w:fill="auto"/>
          </w:tcPr>
          <w:p w:rsidR="00CF2185" w:rsidRPr="006B1DFF" w:rsidRDefault="00CF2185" w:rsidP="00E13AA6">
            <w:pPr>
              <w:pStyle w:val="1text2"/>
              <w:spacing w:before="0"/>
              <w:rPr>
                <w:rFonts w:ascii="Trebuchet MS" w:hAnsi="Trebuchet MS" w:cs="Arial"/>
                <w:sz w:val="22"/>
                <w:szCs w:val="22"/>
              </w:rPr>
            </w:pPr>
            <w:r w:rsidRPr="006B1DFF">
              <w:rPr>
                <w:rFonts w:ascii="Trebuchet MS" w:hAnsi="Trebuchet MS" w:cs="Arial"/>
                <w:sz w:val="22"/>
                <w:szCs w:val="22"/>
              </w:rPr>
              <w:t>Populație</w:t>
            </w:r>
          </w:p>
        </w:tc>
        <w:tc>
          <w:tcPr>
            <w:tcW w:w="2039" w:type="dxa"/>
            <w:shd w:val="clear" w:color="auto" w:fill="auto"/>
          </w:tcPr>
          <w:p w:rsidR="00CF2185" w:rsidRPr="006B1DFF" w:rsidRDefault="00CF2185" w:rsidP="00E13AA6">
            <w:pPr>
              <w:pStyle w:val="1text2"/>
              <w:spacing w:before="0"/>
              <w:jc w:val="center"/>
              <w:rPr>
                <w:rFonts w:ascii="Trebuchet MS" w:hAnsi="Trebuchet MS" w:cs="Arial"/>
                <w:sz w:val="22"/>
                <w:szCs w:val="22"/>
              </w:rPr>
            </w:pPr>
            <w:r w:rsidRPr="006B1DFF">
              <w:rPr>
                <w:rFonts w:ascii="Trebuchet MS" w:hAnsi="Trebuchet MS" w:cs="Arial"/>
                <w:sz w:val="22"/>
                <w:szCs w:val="22"/>
              </w:rPr>
              <w:t>2.097</w:t>
            </w:r>
          </w:p>
        </w:tc>
      </w:tr>
      <w:tr w:rsidR="00CF2185" w:rsidRPr="006B1DFF" w:rsidTr="00E13AA6">
        <w:trPr>
          <w:jc w:val="center"/>
        </w:trPr>
        <w:tc>
          <w:tcPr>
            <w:tcW w:w="2738" w:type="dxa"/>
            <w:shd w:val="clear" w:color="auto" w:fill="auto"/>
          </w:tcPr>
          <w:p w:rsidR="00CF2185" w:rsidRPr="006B1DFF" w:rsidRDefault="00CF2185" w:rsidP="00E13AA6">
            <w:pPr>
              <w:pStyle w:val="1text2"/>
              <w:spacing w:before="0"/>
              <w:rPr>
                <w:rFonts w:ascii="Trebuchet MS" w:hAnsi="Trebuchet MS" w:cs="Arial"/>
                <w:sz w:val="22"/>
                <w:szCs w:val="22"/>
              </w:rPr>
            </w:pPr>
            <w:r w:rsidRPr="006B1DFF">
              <w:rPr>
                <w:rFonts w:ascii="Trebuchet MS" w:hAnsi="Trebuchet MS" w:cs="Arial"/>
                <w:sz w:val="22"/>
                <w:szCs w:val="22"/>
              </w:rPr>
              <w:t>Industrie</w:t>
            </w:r>
          </w:p>
        </w:tc>
        <w:tc>
          <w:tcPr>
            <w:tcW w:w="2039" w:type="dxa"/>
            <w:shd w:val="clear" w:color="auto" w:fill="auto"/>
          </w:tcPr>
          <w:p w:rsidR="00CF2185" w:rsidRPr="006B1DFF" w:rsidRDefault="00CF2185" w:rsidP="00E13AA6">
            <w:pPr>
              <w:pStyle w:val="1text2"/>
              <w:spacing w:before="0"/>
              <w:jc w:val="center"/>
              <w:rPr>
                <w:rFonts w:ascii="Trebuchet MS" w:hAnsi="Trebuchet MS" w:cs="Arial"/>
                <w:sz w:val="22"/>
                <w:szCs w:val="22"/>
              </w:rPr>
            </w:pPr>
            <w:r w:rsidRPr="006B1DFF">
              <w:rPr>
                <w:rFonts w:ascii="Trebuchet MS" w:hAnsi="Trebuchet MS" w:cs="Arial"/>
                <w:sz w:val="22"/>
                <w:szCs w:val="22"/>
              </w:rPr>
              <w:t>7.383</w:t>
            </w:r>
          </w:p>
        </w:tc>
      </w:tr>
      <w:tr w:rsidR="00CF2185" w:rsidRPr="006B1DFF" w:rsidTr="00E13AA6">
        <w:trPr>
          <w:jc w:val="center"/>
        </w:trPr>
        <w:tc>
          <w:tcPr>
            <w:tcW w:w="2738" w:type="dxa"/>
            <w:shd w:val="clear" w:color="auto" w:fill="auto"/>
          </w:tcPr>
          <w:p w:rsidR="00CF2185" w:rsidRPr="006B1DFF" w:rsidRDefault="00CF2185" w:rsidP="00E13AA6">
            <w:pPr>
              <w:pStyle w:val="1text2"/>
              <w:spacing w:before="0"/>
              <w:rPr>
                <w:rFonts w:ascii="Trebuchet MS" w:hAnsi="Trebuchet MS" w:cs="Arial"/>
                <w:sz w:val="22"/>
                <w:szCs w:val="22"/>
              </w:rPr>
            </w:pPr>
            <w:r w:rsidRPr="006B1DFF">
              <w:rPr>
                <w:rFonts w:ascii="Trebuchet MS" w:hAnsi="Trebuchet MS" w:cs="Arial"/>
                <w:sz w:val="22"/>
                <w:szCs w:val="22"/>
              </w:rPr>
              <w:t>Irigații</w:t>
            </w:r>
          </w:p>
        </w:tc>
        <w:tc>
          <w:tcPr>
            <w:tcW w:w="2039" w:type="dxa"/>
            <w:shd w:val="clear" w:color="auto" w:fill="auto"/>
          </w:tcPr>
          <w:p w:rsidR="00CF2185" w:rsidRPr="006B1DFF" w:rsidRDefault="00CF2185" w:rsidP="00E13AA6">
            <w:pPr>
              <w:pStyle w:val="1text2"/>
              <w:spacing w:before="0"/>
              <w:jc w:val="center"/>
              <w:rPr>
                <w:rFonts w:ascii="Trebuchet MS" w:hAnsi="Trebuchet MS" w:cs="Arial"/>
                <w:sz w:val="22"/>
                <w:szCs w:val="22"/>
              </w:rPr>
            </w:pPr>
            <w:r w:rsidRPr="006B1DFF">
              <w:rPr>
                <w:rFonts w:ascii="Trebuchet MS" w:hAnsi="Trebuchet MS" w:cs="Arial"/>
                <w:sz w:val="22"/>
                <w:szCs w:val="22"/>
              </w:rPr>
              <w:t>1.689</w:t>
            </w:r>
          </w:p>
        </w:tc>
      </w:tr>
      <w:tr w:rsidR="00CF2185" w:rsidRPr="006B1DFF" w:rsidTr="00E13AA6">
        <w:trPr>
          <w:jc w:val="center"/>
        </w:trPr>
        <w:tc>
          <w:tcPr>
            <w:tcW w:w="2738" w:type="dxa"/>
            <w:shd w:val="clear" w:color="auto" w:fill="auto"/>
          </w:tcPr>
          <w:p w:rsidR="00CF2185" w:rsidRPr="006B1DFF" w:rsidRDefault="00CF2185" w:rsidP="00E13AA6">
            <w:pPr>
              <w:pStyle w:val="1text2"/>
              <w:spacing w:before="0"/>
              <w:rPr>
                <w:rFonts w:ascii="Trebuchet MS" w:hAnsi="Trebuchet MS" w:cs="Arial"/>
                <w:sz w:val="22"/>
                <w:szCs w:val="22"/>
              </w:rPr>
            </w:pPr>
            <w:r w:rsidRPr="006B1DFF">
              <w:rPr>
                <w:rFonts w:ascii="Trebuchet MS" w:hAnsi="Trebuchet MS" w:cs="Arial"/>
                <w:sz w:val="22"/>
                <w:szCs w:val="22"/>
              </w:rPr>
              <w:t>Zootehnie</w:t>
            </w:r>
          </w:p>
        </w:tc>
        <w:tc>
          <w:tcPr>
            <w:tcW w:w="2039" w:type="dxa"/>
            <w:shd w:val="clear" w:color="auto" w:fill="auto"/>
          </w:tcPr>
          <w:p w:rsidR="00CF2185" w:rsidRPr="006B1DFF" w:rsidRDefault="00CF2185" w:rsidP="00E13AA6">
            <w:pPr>
              <w:pStyle w:val="1text2"/>
              <w:spacing w:before="0"/>
              <w:jc w:val="center"/>
              <w:rPr>
                <w:rFonts w:ascii="Trebuchet MS" w:hAnsi="Trebuchet MS" w:cs="Arial"/>
                <w:sz w:val="22"/>
                <w:szCs w:val="22"/>
              </w:rPr>
            </w:pPr>
            <w:r w:rsidRPr="006B1DFF">
              <w:rPr>
                <w:rFonts w:ascii="Trebuchet MS" w:hAnsi="Trebuchet MS" w:cs="Arial"/>
                <w:sz w:val="22"/>
                <w:szCs w:val="22"/>
              </w:rPr>
              <w:t>164</w:t>
            </w:r>
          </w:p>
        </w:tc>
      </w:tr>
      <w:tr w:rsidR="00CF2185" w:rsidRPr="006B1DFF" w:rsidTr="00E13AA6">
        <w:trPr>
          <w:jc w:val="center"/>
        </w:trPr>
        <w:tc>
          <w:tcPr>
            <w:tcW w:w="2738" w:type="dxa"/>
            <w:shd w:val="clear" w:color="auto" w:fill="auto"/>
          </w:tcPr>
          <w:p w:rsidR="00CF2185" w:rsidRPr="006B1DFF" w:rsidRDefault="00CF2185" w:rsidP="00E13AA6">
            <w:pPr>
              <w:pStyle w:val="1text2"/>
              <w:spacing w:before="0"/>
              <w:rPr>
                <w:rFonts w:ascii="Trebuchet MS" w:hAnsi="Trebuchet MS" w:cs="Arial"/>
                <w:sz w:val="22"/>
                <w:szCs w:val="22"/>
              </w:rPr>
            </w:pPr>
            <w:r w:rsidRPr="006B1DFF">
              <w:rPr>
                <w:rFonts w:ascii="Trebuchet MS" w:hAnsi="Trebuchet MS" w:cs="Arial"/>
                <w:sz w:val="22"/>
                <w:szCs w:val="22"/>
              </w:rPr>
              <w:t>Acvacultură/piscicultură</w:t>
            </w:r>
          </w:p>
        </w:tc>
        <w:tc>
          <w:tcPr>
            <w:tcW w:w="2039" w:type="dxa"/>
            <w:shd w:val="clear" w:color="auto" w:fill="auto"/>
          </w:tcPr>
          <w:p w:rsidR="00CF2185" w:rsidRPr="006B1DFF" w:rsidRDefault="00CF2185" w:rsidP="00E13AA6">
            <w:pPr>
              <w:pStyle w:val="1text2"/>
              <w:spacing w:before="0"/>
              <w:jc w:val="center"/>
              <w:rPr>
                <w:rFonts w:ascii="Trebuchet MS" w:hAnsi="Trebuchet MS" w:cs="Arial"/>
                <w:sz w:val="22"/>
                <w:szCs w:val="22"/>
              </w:rPr>
            </w:pPr>
            <w:r w:rsidRPr="006B1DFF">
              <w:rPr>
                <w:rFonts w:ascii="Trebuchet MS" w:hAnsi="Trebuchet MS" w:cs="Arial"/>
                <w:sz w:val="22"/>
                <w:szCs w:val="22"/>
              </w:rPr>
              <w:t>949</w:t>
            </w:r>
          </w:p>
        </w:tc>
      </w:tr>
      <w:tr w:rsidR="00CF2185" w:rsidRPr="006B1DFF" w:rsidTr="00E13AA6">
        <w:trPr>
          <w:jc w:val="center"/>
        </w:trPr>
        <w:tc>
          <w:tcPr>
            <w:tcW w:w="2738" w:type="dxa"/>
            <w:shd w:val="clear" w:color="auto" w:fill="auto"/>
          </w:tcPr>
          <w:p w:rsidR="00CF2185" w:rsidRPr="006B1DFF" w:rsidRDefault="00CF2185" w:rsidP="00E13AA6">
            <w:pPr>
              <w:pStyle w:val="1text2"/>
              <w:spacing w:before="0"/>
              <w:rPr>
                <w:rFonts w:ascii="Trebuchet MS" w:hAnsi="Trebuchet MS" w:cs="Arial"/>
                <w:b/>
                <w:bCs/>
                <w:sz w:val="22"/>
                <w:szCs w:val="22"/>
              </w:rPr>
            </w:pPr>
            <w:r w:rsidRPr="006B1DFF">
              <w:rPr>
                <w:rFonts w:ascii="Trebuchet MS" w:hAnsi="Trebuchet MS" w:cs="Arial"/>
                <w:b/>
                <w:bCs/>
                <w:sz w:val="22"/>
                <w:szCs w:val="22"/>
              </w:rPr>
              <w:t>Total România</w:t>
            </w:r>
          </w:p>
        </w:tc>
        <w:tc>
          <w:tcPr>
            <w:tcW w:w="2039" w:type="dxa"/>
            <w:shd w:val="clear" w:color="auto" w:fill="auto"/>
          </w:tcPr>
          <w:p w:rsidR="00CF2185" w:rsidRPr="006B1DFF" w:rsidRDefault="00CF2185" w:rsidP="00E13AA6">
            <w:pPr>
              <w:pStyle w:val="1text2"/>
              <w:spacing w:before="0"/>
              <w:jc w:val="center"/>
              <w:rPr>
                <w:rFonts w:ascii="Trebuchet MS" w:hAnsi="Trebuchet MS" w:cs="Arial"/>
                <w:b/>
                <w:bCs/>
                <w:sz w:val="22"/>
                <w:szCs w:val="22"/>
              </w:rPr>
            </w:pPr>
            <w:r w:rsidRPr="006B1DFF">
              <w:rPr>
                <w:rFonts w:ascii="Trebuchet MS" w:hAnsi="Trebuchet MS" w:cs="Arial"/>
                <w:b/>
                <w:bCs/>
                <w:sz w:val="22"/>
                <w:szCs w:val="22"/>
              </w:rPr>
              <w:t>12.282</w:t>
            </w:r>
          </w:p>
        </w:tc>
      </w:tr>
    </w:tbl>
    <w:p w:rsidR="00CF2185" w:rsidRPr="006B1DFF" w:rsidRDefault="00CF2185" w:rsidP="00CF2185">
      <w:pPr>
        <w:ind w:firstLine="708"/>
        <w:jc w:val="both"/>
        <w:rPr>
          <w:rFonts w:ascii="Trebuchet MS" w:hAnsi="Trebuchet MS"/>
          <w:b/>
          <w:bCs/>
          <w:sz w:val="22"/>
          <w:szCs w:val="22"/>
        </w:rPr>
      </w:pPr>
    </w:p>
    <w:p w:rsidR="00542F9B" w:rsidRPr="006B1DFF" w:rsidRDefault="00542F9B" w:rsidP="00542F9B">
      <w:pPr>
        <w:ind w:firstLine="708"/>
        <w:jc w:val="both"/>
        <w:rPr>
          <w:rFonts w:ascii="Trebuchet MS" w:hAnsi="Trebuchet MS"/>
          <w:b/>
          <w:bCs/>
        </w:rPr>
      </w:pPr>
    </w:p>
    <w:p w:rsidR="00CF2185" w:rsidRDefault="00CF2185" w:rsidP="00542F9B">
      <w:pPr>
        <w:ind w:firstLine="708"/>
        <w:jc w:val="both"/>
        <w:rPr>
          <w:rFonts w:ascii="Trebuchet MS" w:hAnsi="Trebuchet MS"/>
          <w:b/>
          <w:bCs/>
        </w:rPr>
      </w:pPr>
    </w:p>
    <w:p w:rsidR="00254B55" w:rsidRDefault="00254B55" w:rsidP="00542F9B">
      <w:pPr>
        <w:ind w:firstLine="708"/>
        <w:jc w:val="both"/>
        <w:rPr>
          <w:rFonts w:ascii="Trebuchet MS" w:hAnsi="Trebuchet MS"/>
          <w:b/>
          <w:bCs/>
        </w:rPr>
      </w:pPr>
    </w:p>
    <w:p w:rsidR="00254B55" w:rsidRDefault="00254B55" w:rsidP="00542F9B">
      <w:pPr>
        <w:ind w:firstLine="708"/>
        <w:jc w:val="both"/>
        <w:rPr>
          <w:rFonts w:ascii="Trebuchet MS" w:hAnsi="Trebuchet MS"/>
          <w:b/>
          <w:bCs/>
        </w:rPr>
      </w:pPr>
    </w:p>
    <w:p w:rsidR="00254B55" w:rsidRPr="006B1DFF" w:rsidRDefault="00254B55" w:rsidP="00542F9B">
      <w:pPr>
        <w:ind w:firstLine="708"/>
        <w:jc w:val="both"/>
        <w:rPr>
          <w:rFonts w:ascii="Trebuchet MS" w:hAnsi="Trebuchet MS"/>
          <w:b/>
          <w:bCs/>
        </w:rPr>
      </w:pPr>
    </w:p>
    <w:p w:rsidR="000F1794" w:rsidRPr="006B1DFF" w:rsidRDefault="000F1794" w:rsidP="000F1794">
      <w:pPr>
        <w:rPr>
          <w:rFonts w:ascii="Trebuchet MS" w:eastAsia="Calibri" w:hAnsi="Trebuchet MS"/>
          <w:b/>
        </w:rPr>
      </w:pPr>
      <w:r w:rsidRPr="006B1DFF">
        <w:rPr>
          <w:rFonts w:ascii="Trebuchet MS" w:eastAsia="Calibri" w:hAnsi="Trebuchet MS"/>
          <w:b/>
        </w:rPr>
        <w:t>II.1.2.2. Riscurile și presiunile inundațiilor</w:t>
      </w:r>
    </w:p>
    <w:p w:rsidR="000F1794" w:rsidRPr="006B1DFF" w:rsidRDefault="000F1794" w:rsidP="000F1794">
      <w:pPr>
        <w:rPr>
          <w:rFonts w:ascii="Trebuchet MS" w:eastAsia="Calibri" w:hAnsi="Trebuchet MS"/>
          <w:b/>
        </w:rPr>
      </w:pPr>
    </w:p>
    <w:p w:rsidR="000F1794" w:rsidRPr="00254B55" w:rsidRDefault="000F1794" w:rsidP="000F1794">
      <w:pPr>
        <w:spacing w:line="300" w:lineRule="auto"/>
        <w:jc w:val="center"/>
        <w:rPr>
          <w:rFonts w:ascii="Trebuchet MS" w:eastAsia="Calibri" w:hAnsi="Trebuchet MS"/>
          <w:b/>
          <w:sz w:val="22"/>
          <w:szCs w:val="22"/>
        </w:rPr>
      </w:pPr>
      <w:r w:rsidRPr="00254B55">
        <w:rPr>
          <w:rFonts w:ascii="Trebuchet MS" w:eastAsia="Calibri" w:hAnsi="Trebuchet MS"/>
          <w:b/>
          <w:sz w:val="22"/>
          <w:szCs w:val="22"/>
          <w:highlight w:val="green"/>
        </w:rPr>
        <w:t>Indicator CLIM 17. Inundaţii RO 53</w:t>
      </w:r>
    </w:p>
    <w:p w:rsidR="000F1794" w:rsidRPr="00254B55" w:rsidRDefault="000F1794" w:rsidP="000F1794">
      <w:pPr>
        <w:spacing w:line="300" w:lineRule="auto"/>
        <w:jc w:val="center"/>
        <w:rPr>
          <w:rFonts w:ascii="Trebuchet MS" w:eastAsia="Calibri" w:hAnsi="Trebuchet MS"/>
          <w:b/>
          <w:color w:val="FF0000"/>
          <w:sz w:val="22"/>
          <w:szCs w:val="22"/>
        </w:rPr>
      </w:pPr>
    </w:p>
    <w:p w:rsidR="000F1794" w:rsidRPr="00254B55" w:rsidRDefault="000F1794" w:rsidP="000F1794">
      <w:pPr>
        <w:spacing w:line="300" w:lineRule="auto"/>
        <w:jc w:val="center"/>
        <w:rPr>
          <w:rFonts w:ascii="Trebuchet MS" w:eastAsia="Calibri" w:hAnsi="Trebuchet MS"/>
          <w:b/>
          <w:sz w:val="22"/>
          <w:szCs w:val="22"/>
        </w:rPr>
      </w:pPr>
      <w:r w:rsidRPr="00254B55">
        <w:rPr>
          <w:rFonts w:ascii="Trebuchet MS" w:eastAsia="Calibri" w:hAnsi="Trebuchet MS"/>
          <w:b/>
          <w:sz w:val="22"/>
          <w:szCs w:val="22"/>
        </w:rPr>
        <w:t>Tabel nr. II.1.2.2.1 Tabel sintetic cu privire la inundațiile din România</w:t>
      </w:r>
    </w:p>
    <w:tbl>
      <w:tblPr>
        <w:tblStyle w:val="TableGrid"/>
        <w:tblW w:w="6946" w:type="dxa"/>
        <w:jc w:val="center"/>
        <w:tblLook w:val="04A0" w:firstRow="1" w:lastRow="0" w:firstColumn="1" w:lastColumn="0" w:noHBand="0" w:noVBand="1"/>
      </w:tblPr>
      <w:tblGrid>
        <w:gridCol w:w="776"/>
        <w:gridCol w:w="1161"/>
        <w:gridCol w:w="1665"/>
        <w:gridCol w:w="1737"/>
        <w:gridCol w:w="1607"/>
      </w:tblGrid>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b/>
                <w:sz w:val="22"/>
                <w:szCs w:val="22"/>
                <w:lang w:val="en-US"/>
              </w:rPr>
            </w:pPr>
            <w:r w:rsidRPr="00254B55">
              <w:rPr>
                <w:rFonts w:ascii="Trebuchet MS" w:hAnsi="Trebuchet MS"/>
                <w:b/>
                <w:sz w:val="22"/>
                <w:szCs w:val="22"/>
                <w:lang w:val="en-US"/>
              </w:rPr>
              <w:t>Nr. Crt.</w:t>
            </w:r>
          </w:p>
        </w:tc>
        <w:tc>
          <w:tcPr>
            <w:tcW w:w="1161" w:type="dxa"/>
            <w:vAlign w:val="center"/>
          </w:tcPr>
          <w:p w:rsidR="000F1794" w:rsidRPr="00254B55" w:rsidRDefault="000F1794" w:rsidP="00E13AA6">
            <w:pPr>
              <w:spacing w:line="300" w:lineRule="auto"/>
              <w:jc w:val="center"/>
              <w:rPr>
                <w:rFonts w:ascii="Trebuchet MS" w:hAnsi="Trebuchet MS"/>
                <w:b/>
                <w:sz w:val="22"/>
                <w:szCs w:val="22"/>
                <w:lang w:val="en-US"/>
              </w:rPr>
            </w:pPr>
            <w:r w:rsidRPr="00254B55">
              <w:rPr>
                <w:rFonts w:ascii="Trebuchet MS" w:hAnsi="Trebuchet MS"/>
                <w:b/>
                <w:sz w:val="22"/>
                <w:szCs w:val="22"/>
                <w:lang w:val="en-US"/>
              </w:rPr>
              <w:t>Anul</w:t>
            </w:r>
          </w:p>
        </w:tc>
        <w:tc>
          <w:tcPr>
            <w:tcW w:w="1665" w:type="dxa"/>
            <w:vAlign w:val="center"/>
          </w:tcPr>
          <w:p w:rsidR="000F1794" w:rsidRPr="00254B55" w:rsidRDefault="000F1794" w:rsidP="00E13AA6">
            <w:pPr>
              <w:spacing w:line="300" w:lineRule="auto"/>
              <w:jc w:val="center"/>
              <w:rPr>
                <w:rFonts w:ascii="Trebuchet MS" w:hAnsi="Trebuchet MS"/>
                <w:b/>
                <w:sz w:val="22"/>
                <w:szCs w:val="22"/>
                <w:lang w:val="en-US"/>
              </w:rPr>
            </w:pPr>
            <w:r w:rsidRPr="00254B55">
              <w:rPr>
                <w:rFonts w:ascii="Trebuchet MS" w:hAnsi="Trebuchet MS"/>
                <w:b/>
                <w:sz w:val="22"/>
                <w:szCs w:val="22"/>
                <w:lang w:val="en-US"/>
              </w:rPr>
              <w:t>Nr. evenimente</w:t>
            </w:r>
          </w:p>
        </w:tc>
        <w:tc>
          <w:tcPr>
            <w:tcW w:w="1737" w:type="dxa"/>
            <w:vAlign w:val="center"/>
          </w:tcPr>
          <w:p w:rsidR="000F1794" w:rsidRPr="00254B55" w:rsidRDefault="000F1794" w:rsidP="00E13AA6">
            <w:pPr>
              <w:spacing w:line="300" w:lineRule="auto"/>
              <w:jc w:val="center"/>
              <w:rPr>
                <w:rFonts w:ascii="Trebuchet MS" w:hAnsi="Trebuchet MS"/>
                <w:b/>
                <w:sz w:val="22"/>
                <w:szCs w:val="22"/>
                <w:lang w:val="en-US"/>
              </w:rPr>
            </w:pPr>
            <w:r w:rsidRPr="00254B55">
              <w:rPr>
                <w:rFonts w:ascii="Trebuchet MS" w:hAnsi="Trebuchet MS"/>
                <w:b/>
                <w:sz w:val="22"/>
                <w:szCs w:val="22"/>
                <w:lang w:val="en-US"/>
              </w:rPr>
              <w:t>Nr. evenimente semnificative</w:t>
            </w:r>
          </w:p>
        </w:tc>
        <w:tc>
          <w:tcPr>
            <w:tcW w:w="1607" w:type="dxa"/>
            <w:vAlign w:val="center"/>
          </w:tcPr>
          <w:p w:rsidR="000F1794" w:rsidRPr="00254B55" w:rsidRDefault="000F1794" w:rsidP="00E13AA6">
            <w:pPr>
              <w:spacing w:line="300" w:lineRule="auto"/>
              <w:jc w:val="center"/>
              <w:rPr>
                <w:rFonts w:ascii="Trebuchet MS" w:hAnsi="Trebuchet MS"/>
                <w:b/>
                <w:sz w:val="22"/>
                <w:szCs w:val="22"/>
              </w:rPr>
            </w:pPr>
            <w:r w:rsidRPr="00254B55">
              <w:rPr>
                <w:rFonts w:ascii="Trebuchet MS" w:hAnsi="Trebuchet MS"/>
                <w:b/>
                <w:sz w:val="22"/>
                <w:szCs w:val="22"/>
                <w:lang w:val="en-US"/>
              </w:rPr>
              <w:t>Localități urbane afectate</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2010</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94</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9</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117</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2011</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45</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1</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19</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3</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2012</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39</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6</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39</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4</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2013</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74</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4</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47</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5</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2014</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151</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14</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72</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6</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2015</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49</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2</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7</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2016</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171</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18</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93</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8</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2017</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137</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68</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9</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2018</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164</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138</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10</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2019</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154</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131</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11</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2020</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158</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111</w:t>
            </w:r>
          </w:p>
        </w:tc>
      </w:tr>
      <w:tr w:rsidR="000F1794" w:rsidRPr="00254B55" w:rsidTr="00E13AA6">
        <w:trPr>
          <w:jc w:val="center"/>
        </w:trPr>
        <w:tc>
          <w:tcPr>
            <w:tcW w:w="776"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12</w:t>
            </w:r>
          </w:p>
        </w:tc>
        <w:tc>
          <w:tcPr>
            <w:tcW w:w="1161"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2021</w:t>
            </w:r>
          </w:p>
        </w:tc>
        <w:tc>
          <w:tcPr>
            <w:tcW w:w="1665"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207</w:t>
            </w:r>
          </w:p>
        </w:tc>
        <w:tc>
          <w:tcPr>
            <w:tcW w:w="1737" w:type="dxa"/>
            <w:vAlign w:val="center"/>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w:t>
            </w:r>
          </w:p>
        </w:tc>
        <w:tc>
          <w:tcPr>
            <w:tcW w:w="1607" w:type="dxa"/>
            <w:vAlign w:val="center"/>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122</w:t>
            </w:r>
          </w:p>
        </w:tc>
      </w:tr>
      <w:tr w:rsidR="000F1794" w:rsidRPr="00254B55" w:rsidTr="00E13AA6">
        <w:trPr>
          <w:jc w:val="center"/>
        </w:trPr>
        <w:tc>
          <w:tcPr>
            <w:tcW w:w="776" w:type="dxa"/>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13</w:t>
            </w:r>
          </w:p>
        </w:tc>
        <w:tc>
          <w:tcPr>
            <w:tcW w:w="1161" w:type="dxa"/>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2022</w:t>
            </w:r>
          </w:p>
        </w:tc>
        <w:tc>
          <w:tcPr>
            <w:tcW w:w="1665" w:type="dxa"/>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214</w:t>
            </w:r>
          </w:p>
        </w:tc>
        <w:tc>
          <w:tcPr>
            <w:tcW w:w="1737" w:type="dxa"/>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3</w:t>
            </w:r>
          </w:p>
        </w:tc>
        <w:tc>
          <w:tcPr>
            <w:tcW w:w="1607" w:type="dxa"/>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119</w:t>
            </w:r>
          </w:p>
        </w:tc>
      </w:tr>
      <w:tr w:rsidR="000F1794" w:rsidRPr="00254B55" w:rsidTr="00E13AA6">
        <w:trPr>
          <w:jc w:val="center"/>
        </w:trPr>
        <w:tc>
          <w:tcPr>
            <w:tcW w:w="776" w:type="dxa"/>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14</w:t>
            </w:r>
          </w:p>
        </w:tc>
        <w:tc>
          <w:tcPr>
            <w:tcW w:w="1161" w:type="dxa"/>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2023</w:t>
            </w:r>
          </w:p>
        </w:tc>
        <w:tc>
          <w:tcPr>
            <w:tcW w:w="1665" w:type="dxa"/>
          </w:tcPr>
          <w:p w:rsidR="000F1794" w:rsidRPr="00254B55" w:rsidRDefault="000F1794" w:rsidP="00E13AA6">
            <w:pPr>
              <w:spacing w:line="300" w:lineRule="auto"/>
              <w:jc w:val="center"/>
              <w:rPr>
                <w:rFonts w:ascii="Trebuchet MS" w:hAnsi="Trebuchet MS"/>
                <w:color w:val="FF0000"/>
                <w:sz w:val="22"/>
                <w:szCs w:val="22"/>
                <w:highlight w:val="yellow"/>
                <w:lang w:val="en-US"/>
              </w:rPr>
            </w:pPr>
            <w:r w:rsidRPr="00254B55">
              <w:rPr>
                <w:rFonts w:ascii="Trebuchet MS" w:hAnsi="Trebuchet MS"/>
                <w:sz w:val="22"/>
                <w:szCs w:val="22"/>
                <w:lang w:val="en-US"/>
              </w:rPr>
              <w:t>262</w:t>
            </w:r>
          </w:p>
        </w:tc>
        <w:tc>
          <w:tcPr>
            <w:tcW w:w="1737" w:type="dxa"/>
          </w:tcPr>
          <w:p w:rsidR="000F1794" w:rsidRPr="00254B55" w:rsidRDefault="000F1794" w:rsidP="00E13AA6">
            <w:pPr>
              <w:spacing w:line="300" w:lineRule="auto"/>
              <w:jc w:val="center"/>
              <w:rPr>
                <w:rFonts w:ascii="Trebuchet MS" w:hAnsi="Trebuchet MS"/>
                <w:sz w:val="22"/>
                <w:szCs w:val="22"/>
              </w:rPr>
            </w:pPr>
            <w:r w:rsidRPr="00254B55">
              <w:rPr>
                <w:rFonts w:ascii="Trebuchet MS" w:hAnsi="Trebuchet MS"/>
                <w:sz w:val="22"/>
                <w:szCs w:val="22"/>
              </w:rPr>
              <w:t>2</w:t>
            </w:r>
          </w:p>
        </w:tc>
        <w:tc>
          <w:tcPr>
            <w:tcW w:w="1607" w:type="dxa"/>
          </w:tcPr>
          <w:p w:rsidR="000F1794" w:rsidRPr="00254B55" w:rsidRDefault="000F1794" w:rsidP="00E13AA6">
            <w:pPr>
              <w:spacing w:line="300" w:lineRule="auto"/>
              <w:jc w:val="center"/>
              <w:rPr>
                <w:rFonts w:ascii="Trebuchet MS" w:hAnsi="Trebuchet MS"/>
                <w:sz w:val="22"/>
                <w:szCs w:val="22"/>
                <w:lang w:val="en-US"/>
              </w:rPr>
            </w:pPr>
            <w:r w:rsidRPr="00254B55">
              <w:rPr>
                <w:rFonts w:ascii="Trebuchet MS" w:hAnsi="Trebuchet MS"/>
                <w:sz w:val="22"/>
                <w:szCs w:val="22"/>
                <w:lang w:val="en-US"/>
              </w:rPr>
              <w:t>178</w:t>
            </w:r>
          </w:p>
        </w:tc>
      </w:tr>
    </w:tbl>
    <w:p w:rsidR="000F1794" w:rsidRPr="005A33A8" w:rsidRDefault="000F1794" w:rsidP="000F1794">
      <w:pPr>
        <w:pStyle w:val="Heading1"/>
        <w:shd w:val="clear" w:color="auto" w:fill="FFFFFF"/>
        <w:spacing w:before="0" w:after="0" w:line="300" w:lineRule="auto"/>
        <w:jc w:val="both"/>
        <w:textAlignment w:val="baseline"/>
        <w:rPr>
          <w:rFonts w:ascii="Trebuchet MS" w:hAnsi="Trebuchet MS" w:cstheme="minorBidi"/>
          <w:b w:val="0"/>
          <w:i/>
          <w:sz w:val="22"/>
          <w:szCs w:val="22"/>
          <w:u w:val="single"/>
          <w:lang w:val="fr-FR"/>
        </w:rPr>
      </w:pPr>
      <w:r w:rsidRPr="005A33A8">
        <w:rPr>
          <w:rFonts w:ascii="Trebuchet MS" w:hAnsi="Trebuchet MS" w:cstheme="minorBidi"/>
          <w:b w:val="0"/>
          <w:i/>
          <w:sz w:val="22"/>
          <w:szCs w:val="22"/>
          <w:u w:val="single"/>
          <w:lang w:val="fr-FR"/>
        </w:rPr>
        <w:t>Notă: ***evenimentele istorice semnificative se stabilesc în cadrul ciclului 3 de implementare al Directivei inundații 2007/60/CE</w:t>
      </w:r>
    </w:p>
    <w:p w:rsidR="000F1794" w:rsidRPr="00254B55" w:rsidRDefault="000F1794" w:rsidP="000F1794">
      <w:pPr>
        <w:spacing w:line="300" w:lineRule="auto"/>
        <w:ind w:firstLine="708"/>
        <w:jc w:val="both"/>
        <w:rPr>
          <w:rFonts w:ascii="Trebuchet MS" w:eastAsia="Calibri" w:hAnsi="Trebuchet MS"/>
          <w:sz w:val="22"/>
          <w:szCs w:val="22"/>
          <w:lang w:val="fr-FR"/>
        </w:rPr>
      </w:pPr>
    </w:p>
    <w:p w:rsidR="000F1794" w:rsidRPr="00254B55" w:rsidRDefault="000F1794" w:rsidP="006B1DFF">
      <w:pPr>
        <w:ind w:firstLine="708"/>
        <w:jc w:val="both"/>
        <w:rPr>
          <w:rFonts w:ascii="Trebuchet MS" w:eastAsia="Calibri" w:hAnsi="Trebuchet MS" w:cs="Arial"/>
          <w:sz w:val="22"/>
          <w:szCs w:val="22"/>
        </w:rPr>
      </w:pPr>
      <w:r w:rsidRPr="00254B55">
        <w:rPr>
          <w:rFonts w:ascii="Trebuchet MS" w:eastAsia="Calibri" w:hAnsi="Trebuchet MS" w:cs="Arial"/>
          <w:sz w:val="22"/>
          <w:szCs w:val="22"/>
        </w:rPr>
        <w:t>În cursul anului 2023 s-au înregistrat un numar de 268 fenomene meteorologice extreme din care:</w:t>
      </w:r>
    </w:p>
    <w:p w:rsidR="000F1794" w:rsidRPr="00254B55" w:rsidRDefault="000F1794" w:rsidP="006B1DFF">
      <w:pPr>
        <w:ind w:firstLine="709"/>
        <w:jc w:val="both"/>
        <w:rPr>
          <w:rFonts w:ascii="Trebuchet MS" w:eastAsia="Calibri" w:hAnsi="Trebuchet MS" w:cs="Arial"/>
          <w:sz w:val="22"/>
          <w:szCs w:val="22"/>
        </w:rPr>
      </w:pPr>
      <w:r w:rsidRPr="00254B55">
        <w:rPr>
          <w:rFonts w:ascii="Trebuchet MS" w:eastAsia="Calibri" w:hAnsi="Trebuchet MS" w:cs="Arial"/>
          <w:sz w:val="22"/>
          <w:szCs w:val="22"/>
        </w:rPr>
        <w:t>- 253 evenimente extreme produse de inundaţii prin revărsarea râurilor sau din scurgeri de pe versanţi;</w:t>
      </w:r>
    </w:p>
    <w:p w:rsidR="000F1794" w:rsidRPr="00254B55" w:rsidRDefault="000F1794" w:rsidP="006B1DFF">
      <w:pPr>
        <w:ind w:firstLine="709"/>
        <w:jc w:val="both"/>
        <w:rPr>
          <w:rFonts w:ascii="Trebuchet MS" w:eastAsia="Calibri" w:hAnsi="Trebuchet MS" w:cs="Arial"/>
          <w:sz w:val="22"/>
          <w:szCs w:val="22"/>
        </w:rPr>
      </w:pPr>
      <w:r w:rsidRPr="00254B55">
        <w:rPr>
          <w:rFonts w:ascii="Trebuchet MS" w:eastAsia="Calibri" w:hAnsi="Trebuchet MS" w:cs="Arial"/>
          <w:sz w:val="22"/>
          <w:szCs w:val="22"/>
        </w:rPr>
        <w:t>- un eveniment extrem produs de secetă, secare fântâni sat Salcia, comuna Salcia, județ Prahova.</w:t>
      </w:r>
    </w:p>
    <w:p w:rsidR="000F1794" w:rsidRPr="00254B55" w:rsidRDefault="000F1794" w:rsidP="006B1DFF">
      <w:pPr>
        <w:ind w:firstLine="709"/>
        <w:jc w:val="both"/>
        <w:rPr>
          <w:rFonts w:ascii="Trebuchet MS" w:eastAsia="Calibri" w:hAnsi="Trebuchet MS" w:cs="Arial"/>
          <w:sz w:val="22"/>
          <w:szCs w:val="22"/>
        </w:rPr>
      </w:pPr>
    </w:p>
    <w:p w:rsidR="000F1794" w:rsidRPr="00254B55" w:rsidRDefault="000F1794" w:rsidP="006B1DFF">
      <w:pPr>
        <w:ind w:firstLine="709"/>
        <w:jc w:val="both"/>
        <w:rPr>
          <w:rFonts w:ascii="Trebuchet MS" w:eastAsia="Calibri" w:hAnsi="Trebuchet MS" w:cs="Arial"/>
          <w:sz w:val="22"/>
          <w:szCs w:val="22"/>
        </w:rPr>
      </w:pPr>
      <w:r w:rsidRPr="00254B55">
        <w:rPr>
          <w:rFonts w:ascii="Trebuchet MS" w:eastAsia="Calibri" w:hAnsi="Trebuchet MS" w:cs="Arial"/>
          <w:sz w:val="22"/>
          <w:szCs w:val="22"/>
        </w:rPr>
        <w:t>Următoarele evenimente au însoţit fenomenele de inundaţii din revărsarea râurilor şi din scurgeri pe versanţi.</w:t>
      </w:r>
    </w:p>
    <w:p w:rsidR="000F1794" w:rsidRPr="00254B55" w:rsidRDefault="000F1794" w:rsidP="006B1DFF">
      <w:pPr>
        <w:ind w:left="851" w:hanging="142"/>
        <w:jc w:val="both"/>
        <w:rPr>
          <w:rFonts w:ascii="Trebuchet MS" w:eastAsia="Calibri" w:hAnsi="Trebuchet MS" w:cs="Arial"/>
          <w:sz w:val="22"/>
          <w:szCs w:val="22"/>
        </w:rPr>
      </w:pPr>
      <w:r w:rsidRPr="00254B55">
        <w:rPr>
          <w:rFonts w:ascii="Trebuchet MS" w:eastAsia="Calibri" w:hAnsi="Trebuchet MS" w:cs="Arial"/>
          <w:sz w:val="22"/>
          <w:szCs w:val="22"/>
        </w:rPr>
        <w:t>- 22 evenimente de provocate la topirea zăpezii sau datorită fenomenului îngheţ-dezgheţ;</w:t>
      </w:r>
    </w:p>
    <w:p w:rsidR="000F1794" w:rsidRPr="00254B55" w:rsidRDefault="000F1794" w:rsidP="006B1DFF">
      <w:pPr>
        <w:ind w:left="851" w:hanging="142"/>
        <w:jc w:val="both"/>
        <w:rPr>
          <w:rFonts w:ascii="Trebuchet MS" w:eastAsia="Calibri" w:hAnsi="Trebuchet MS" w:cs="Arial"/>
          <w:sz w:val="22"/>
          <w:szCs w:val="22"/>
        </w:rPr>
      </w:pPr>
      <w:r w:rsidRPr="00254B55">
        <w:rPr>
          <w:rFonts w:ascii="Trebuchet MS" w:eastAsia="Calibri" w:hAnsi="Trebuchet MS" w:cs="Arial"/>
          <w:sz w:val="22"/>
          <w:szCs w:val="22"/>
        </w:rPr>
        <w:t>- 34 evenimente extreme produse de precipitaţii abundente şi băltiri;</w:t>
      </w:r>
    </w:p>
    <w:p w:rsidR="000F1794" w:rsidRPr="00254B55" w:rsidRDefault="000F1794" w:rsidP="006B1DFF">
      <w:pPr>
        <w:ind w:left="851" w:hanging="142"/>
        <w:jc w:val="both"/>
        <w:rPr>
          <w:rFonts w:ascii="Trebuchet MS" w:eastAsia="Calibri" w:hAnsi="Trebuchet MS" w:cs="Arial"/>
          <w:sz w:val="22"/>
          <w:szCs w:val="22"/>
        </w:rPr>
      </w:pPr>
      <w:r w:rsidRPr="00254B55">
        <w:rPr>
          <w:rFonts w:ascii="Trebuchet MS" w:eastAsia="Calibri" w:hAnsi="Trebuchet MS" w:cs="Arial"/>
          <w:sz w:val="22"/>
          <w:szCs w:val="22"/>
        </w:rPr>
        <w:t>- 7 evenimente extreme produse de precipitaţii abundente şi grindină;</w:t>
      </w:r>
    </w:p>
    <w:p w:rsidR="000F1794" w:rsidRPr="00254B55" w:rsidRDefault="000F1794" w:rsidP="006B1DFF">
      <w:pPr>
        <w:ind w:left="851" w:hanging="142"/>
        <w:jc w:val="both"/>
        <w:rPr>
          <w:rFonts w:ascii="Trebuchet MS" w:eastAsia="Calibri" w:hAnsi="Trebuchet MS" w:cs="Arial"/>
          <w:sz w:val="22"/>
          <w:szCs w:val="22"/>
        </w:rPr>
      </w:pPr>
      <w:r w:rsidRPr="00254B55">
        <w:rPr>
          <w:rFonts w:ascii="Trebuchet MS" w:eastAsia="Calibri" w:hAnsi="Trebuchet MS" w:cs="Arial"/>
          <w:sz w:val="22"/>
          <w:szCs w:val="22"/>
        </w:rPr>
        <w:t xml:space="preserve">- 15 evenimente extreme produse de precipitaţii abundente şi vânt; </w:t>
      </w:r>
    </w:p>
    <w:p w:rsidR="000F1794" w:rsidRPr="00254B55" w:rsidRDefault="000F1794" w:rsidP="006B1DFF">
      <w:pPr>
        <w:ind w:left="851" w:hanging="142"/>
        <w:jc w:val="both"/>
        <w:rPr>
          <w:rFonts w:ascii="Trebuchet MS" w:hAnsi="Trebuchet MS" w:cs="Arial"/>
          <w:bCs/>
          <w:sz w:val="22"/>
          <w:szCs w:val="22"/>
        </w:rPr>
      </w:pPr>
      <w:r w:rsidRPr="00254B55">
        <w:rPr>
          <w:rFonts w:ascii="Trebuchet MS" w:hAnsi="Trebuchet MS" w:cs="Arial"/>
          <w:bCs/>
          <w:sz w:val="22"/>
          <w:szCs w:val="22"/>
        </w:rPr>
        <w:t>- 26 evenimente datorate incapacităţii de preluare a apei pluviale de către reţeaua de canalizare;</w:t>
      </w:r>
    </w:p>
    <w:p w:rsidR="000F1794" w:rsidRPr="00254B55" w:rsidRDefault="000F1794" w:rsidP="006B1DFF">
      <w:pPr>
        <w:ind w:left="851" w:hanging="142"/>
        <w:jc w:val="both"/>
        <w:rPr>
          <w:rFonts w:ascii="Trebuchet MS" w:hAnsi="Trebuchet MS" w:cs="Arial"/>
          <w:bCs/>
          <w:sz w:val="22"/>
          <w:szCs w:val="22"/>
        </w:rPr>
      </w:pPr>
      <w:r w:rsidRPr="00254B55">
        <w:rPr>
          <w:rFonts w:ascii="Trebuchet MS" w:hAnsi="Trebuchet MS" w:cs="Arial"/>
          <w:bCs/>
          <w:sz w:val="22"/>
          <w:szCs w:val="22"/>
        </w:rPr>
        <w:t>- 27 evenimente au fost însoţite de alunecări de teren.</w:t>
      </w:r>
    </w:p>
    <w:p w:rsidR="000F1794" w:rsidRPr="00254B55" w:rsidRDefault="000F1794" w:rsidP="006B1DFF">
      <w:pPr>
        <w:jc w:val="both"/>
        <w:rPr>
          <w:rFonts w:ascii="Trebuchet MS" w:hAnsi="Trebuchet MS" w:cs="Arial"/>
          <w:bCs/>
          <w:sz w:val="22"/>
          <w:szCs w:val="22"/>
        </w:rPr>
      </w:pPr>
      <w:r w:rsidRPr="00254B55">
        <w:rPr>
          <w:rFonts w:ascii="Trebuchet MS" w:hAnsi="Trebuchet MS" w:cs="Arial"/>
          <w:bCs/>
          <w:sz w:val="22"/>
          <w:szCs w:val="22"/>
        </w:rPr>
        <w:tab/>
      </w:r>
    </w:p>
    <w:p w:rsidR="000F1794" w:rsidRPr="00254B55" w:rsidRDefault="000F1794" w:rsidP="006B1DFF">
      <w:pPr>
        <w:ind w:firstLine="708"/>
        <w:jc w:val="both"/>
        <w:rPr>
          <w:rFonts w:ascii="Trebuchet MS" w:hAnsi="Trebuchet MS" w:cs="Arial"/>
          <w:i/>
          <w:sz w:val="22"/>
          <w:szCs w:val="22"/>
        </w:rPr>
      </w:pPr>
      <w:r w:rsidRPr="00254B55">
        <w:rPr>
          <w:rFonts w:ascii="Trebuchet MS" w:hAnsi="Trebuchet MS" w:cs="Arial"/>
          <w:bCs/>
          <w:sz w:val="22"/>
          <w:szCs w:val="22"/>
        </w:rPr>
        <w:t xml:space="preserve">În timpul inundaţiilor din anul 2023 s-a înregistrat o victimă, aceasta a fost surprinsă de viitura de pe pr. Șoimuș în localitatea Buceava-Șoimuș, comuna Brazii, judeţul Arad. </w:t>
      </w:r>
      <w:r w:rsidRPr="00254B55">
        <w:rPr>
          <w:rFonts w:ascii="Trebuchet MS" w:eastAsia="Calibri" w:hAnsi="Trebuchet MS" w:cs="Arial"/>
          <w:sz w:val="22"/>
          <w:szCs w:val="22"/>
        </w:rPr>
        <w:t>Au fost afectate de inundaţii cel puţin o dată un număr de 876 UAT-uri, respectiv un număr de 2347 localităţi, locuinţe din care: 11 locuinţe distruse, 858 locuinţe avariate, respectiv 1634 locuinţe inundate. Populaţia afectată de inundaţii a fost de 7509 locuitori.</w:t>
      </w:r>
    </w:p>
    <w:p w:rsidR="000F1794" w:rsidRPr="00254B55" w:rsidRDefault="000F1794" w:rsidP="006B1DFF">
      <w:pPr>
        <w:jc w:val="center"/>
        <w:rPr>
          <w:rFonts w:asciiTheme="minorBidi" w:hAnsiTheme="minorBidi"/>
          <w:b/>
          <w:i/>
          <w:sz w:val="22"/>
          <w:szCs w:val="22"/>
          <w:u w:val="single"/>
        </w:rPr>
      </w:pPr>
    </w:p>
    <w:p w:rsidR="00CA3E77" w:rsidRPr="00254B55" w:rsidRDefault="00CA3E77" w:rsidP="006B1DFF">
      <w:pPr>
        <w:pStyle w:val="Default"/>
        <w:rPr>
          <w:b/>
          <w:bCs/>
          <w:color w:val="auto"/>
          <w:sz w:val="22"/>
          <w:szCs w:val="22"/>
          <w:lang w:val="it-IT"/>
        </w:rPr>
      </w:pPr>
    </w:p>
    <w:p w:rsidR="00CA3E77" w:rsidRPr="00254B55" w:rsidRDefault="00CA3E77" w:rsidP="006B1DFF">
      <w:pPr>
        <w:pStyle w:val="Default"/>
        <w:rPr>
          <w:rFonts w:ascii="Trebuchet MS" w:hAnsi="Trebuchet MS"/>
          <w:b/>
          <w:bCs/>
          <w:color w:val="auto"/>
          <w:sz w:val="22"/>
          <w:szCs w:val="22"/>
          <w:lang w:val="it-IT"/>
        </w:rPr>
      </w:pPr>
    </w:p>
    <w:p w:rsidR="00AE762B" w:rsidRPr="00254B55" w:rsidRDefault="00AE762B" w:rsidP="006B1DFF">
      <w:pPr>
        <w:pStyle w:val="Default"/>
        <w:rPr>
          <w:rFonts w:ascii="Trebuchet MS" w:hAnsi="Trebuchet MS"/>
          <w:b/>
          <w:color w:val="auto"/>
          <w:sz w:val="22"/>
          <w:szCs w:val="22"/>
          <w:lang w:val="it-IT"/>
        </w:rPr>
      </w:pPr>
      <w:r w:rsidRPr="00254B55">
        <w:rPr>
          <w:rFonts w:ascii="Trebuchet MS" w:hAnsi="Trebuchet MS"/>
          <w:b/>
          <w:bCs/>
          <w:color w:val="auto"/>
          <w:sz w:val="22"/>
          <w:szCs w:val="22"/>
          <w:lang w:val="it-IT"/>
        </w:rPr>
        <w:t>B. Alte date şi informaţii specifice</w:t>
      </w:r>
      <w:r w:rsidRPr="00254B55">
        <w:rPr>
          <w:rFonts w:ascii="Trebuchet MS" w:hAnsi="Trebuchet MS"/>
          <w:b/>
          <w:color w:val="auto"/>
          <w:sz w:val="22"/>
          <w:szCs w:val="22"/>
          <w:lang w:val="it-IT"/>
        </w:rPr>
        <w:t xml:space="preserve"> :  INUNDAŢII</w:t>
      </w:r>
    </w:p>
    <w:p w:rsidR="00AE762B" w:rsidRPr="00254B55" w:rsidRDefault="00AE762B" w:rsidP="006B1DFF">
      <w:pPr>
        <w:pStyle w:val="Default"/>
        <w:rPr>
          <w:rFonts w:ascii="Trebuchet MS" w:hAnsi="Trebuchet MS"/>
          <w:b/>
          <w:sz w:val="22"/>
          <w:szCs w:val="22"/>
          <w:lang w:val="it-IT"/>
        </w:rPr>
      </w:pPr>
    </w:p>
    <w:p w:rsidR="004250D1" w:rsidRPr="00254B55" w:rsidRDefault="004250D1" w:rsidP="006B1DFF">
      <w:pPr>
        <w:ind w:firstLine="709"/>
        <w:jc w:val="both"/>
        <w:rPr>
          <w:rFonts w:ascii="Trebuchet MS" w:eastAsia="Calibri" w:hAnsi="Trebuchet MS" w:cs="Arial"/>
          <w:sz w:val="22"/>
          <w:szCs w:val="22"/>
        </w:rPr>
      </w:pP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nund</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ţ</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i</w:t>
      </w:r>
      <w:r w:rsidRPr="00254B55">
        <w:rPr>
          <w:rFonts w:ascii="Trebuchet MS" w:eastAsia="Calibri" w:hAnsi="Trebuchet MS" w:cs="Arial"/>
          <w:sz w:val="22"/>
          <w:szCs w:val="22"/>
        </w:rPr>
        <w:t>le</w:t>
      </w:r>
      <w:r w:rsidRPr="00254B55">
        <w:rPr>
          <w:rFonts w:ascii="Trebuchet MS" w:eastAsia="Calibri" w:hAnsi="Trebuchet MS" w:cs="Arial"/>
          <w:spacing w:val="19"/>
          <w:sz w:val="22"/>
          <w:szCs w:val="22"/>
        </w:rPr>
        <w:t xml:space="preserve"> </w:t>
      </w:r>
      <w:r w:rsidRPr="00254B55">
        <w:rPr>
          <w:rFonts w:ascii="Trebuchet MS" w:eastAsia="Calibri" w:hAnsi="Trebuchet MS" w:cs="Arial"/>
          <w:sz w:val="22"/>
          <w:szCs w:val="22"/>
        </w:rPr>
        <w:t>rep</w:t>
      </w:r>
      <w:r w:rsidRPr="00254B55">
        <w:rPr>
          <w:rFonts w:ascii="Trebuchet MS" w:eastAsia="Calibri" w:hAnsi="Trebuchet MS" w:cs="Arial"/>
          <w:spacing w:val="-1"/>
          <w:sz w:val="22"/>
          <w:szCs w:val="22"/>
        </w:rPr>
        <w:t>r</w:t>
      </w:r>
      <w:r w:rsidRPr="00254B55">
        <w:rPr>
          <w:rFonts w:ascii="Trebuchet MS" w:eastAsia="Calibri" w:hAnsi="Trebuchet MS" w:cs="Arial"/>
          <w:sz w:val="22"/>
          <w:szCs w:val="22"/>
        </w:rPr>
        <w:t>ez</w:t>
      </w:r>
      <w:r w:rsidRPr="00254B55">
        <w:rPr>
          <w:rFonts w:ascii="Trebuchet MS" w:eastAsia="Calibri" w:hAnsi="Trebuchet MS" w:cs="Arial"/>
          <w:spacing w:val="-1"/>
          <w:sz w:val="22"/>
          <w:szCs w:val="22"/>
        </w:rPr>
        <w:t>in</w:t>
      </w:r>
      <w:r w:rsidRPr="00254B55">
        <w:rPr>
          <w:rFonts w:ascii="Trebuchet MS" w:eastAsia="Calibri" w:hAnsi="Trebuchet MS" w:cs="Arial"/>
          <w:sz w:val="22"/>
          <w:szCs w:val="22"/>
        </w:rPr>
        <w:t>tă</w:t>
      </w:r>
      <w:r w:rsidRPr="00254B55">
        <w:rPr>
          <w:rFonts w:ascii="Trebuchet MS" w:eastAsia="Calibri" w:hAnsi="Trebuchet MS" w:cs="Arial"/>
          <w:spacing w:val="19"/>
          <w:sz w:val="22"/>
          <w:szCs w:val="22"/>
        </w:rPr>
        <w:t xml:space="preserve"> </w:t>
      </w:r>
      <w:r w:rsidRPr="00254B55">
        <w:rPr>
          <w:rFonts w:ascii="Trebuchet MS" w:eastAsia="Calibri" w:hAnsi="Trebuchet MS" w:cs="Arial"/>
          <w:spacing w:val="-1"/>
          <w:sz w:val="22"/>
          <w:szCs w:val="22"/>
        </w:rPr>
        <w:t>unu</w:t>
      </w:r>
      <w:r w:rsidRPr="00254B55">
        <w:rPr>
          <w:rFonts w:ascii="Trebuchet MS" w:eastAsia="Calibri" w:hAnsi="Trebuchet MS" w:cs="Arial"/>
          <w:sz w:val="22"/>
          <w:szCs w:val="22"/>
        </w:rPr>
        <w:t>l</w:t>
      </w:r>
      <w:r w:rsidRPr="00254B55">
        <w:rPr>
          <w:rFonts w:ascii="Trebuchet MS" w:eastAsia="Calibri" w:hAnsi="Trebuchet MS" w:cs="Arial"/>
          <w:spacing w:val="19"/>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tre</w:t>
      </w:r>
      <w:r w:rsidRPr="00254B55">
        <w:rPr>
          <w:rFonts w:ascii="Trebuchet MS" w:eastAsia="Calibri" w:hAnsi="Trebuchet MS" w:cs="Arial"/>
          <w:spacing w:val="19"/>
          <w:sz w:val="22"/>
          <w:szCs w:val="22"/>
        </w:rPr>
        <w:t xml:space="preserve"> </w:t>
      </w:r>
      <w:r w:rsidRPr="00254B55">
        <w:rPr>
          <w:rFonts w:ascii="Trebuchet MS" w:eastAsia="Calibri" w:hAnsi="Trebuchet MS" w:cs="Arial"/>
          <w:spacing w:val="-1"/>
          <w:sz w:val="22"/>
          <w:szCs w:val="22"/>
        </w:rPr>
        <w:t>h</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z</w:t>
      </w:r>
      <w:r w:rsidRPr="00254B55">
        <w:rPr>
          <w:rFonts w:ascii="Trebuchet MS" w:eastAsia="Calibri" w:hAnsi="Trebuchet MS" w:cs="Arial"/>
          <w:sz w:val="22"/>
          <w:szCs w:val="22"/>
        </w:rPr>
        <w:t>ar</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ele</w:t>
      </w:r>
      <w:r w:rsidRPr="00254B55">
        <w:rPr>
          <w:rFonts w:ascii="Trebuchet MS" w:eastAsia="Calibri" w:hAnsi="Trebuchet MS" w:cs="Arial"/>
          <w:spacing w:val="19"/>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ri</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ci</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ale</w:t>
      </w:r>
      <w:r w:rsidRPr="00254B55">
        <w:rPr>
          <w:rFonts w:ascii="Trebuchet MS" w:eastAsia="Calibri" w:hAnsi="Trebuchet MS" w:cs="Arial"/>
          <w:spacing w:val="19"/>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in</w:t>
      </w:r>
      <w:r w:rsidRPr="00254B55">
        <w:rPr>
          <w:rFonts w:ascii="Trebuchet MS" w:eastAsia="Calibri" w:hAnsi="Trebuchet MS" w:cs="Arial"/>
          <w:spacing w:val="18"/>
          <w:sz w:val="22"/>
          <w:szCs w:val="22"/>
        </w:rPr>
        <w:t xml:space="preserve"> </w:t>
      </w:r>
      <w:r w:rsidRPr="00254B55">
        <w:rPr>
          <w:rFonts w:ascii="Trebuchet MS" w:eastAsia="Calibri" w:hAnsi="Trebuchet MS" w:cs="Arial"/>
          <w:sz w:val="22"/>
          <w:szCs w:val="22"/>
        </w:rPr>
        <w:t xml:space="preserve">ţara  </w:t>
      </w:r>
      <w:r w:rsidRPr="00254B55">
        <w:rPr>
          <w:rFonts w:ascii="Trebuchet MS" w:eastAsia="Calibri" w:hAnsi="Trebuchet MS" w:cs="Arial"/>
          <w:spacing w:val="-1"/>
          <w:sz w:val="22"/>
          <w:szCs w:val="22"/>
        </w:rPr>
        <w:t>n</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astră, care</w:t>
      </w:r>
      <w:r w:rsidRPr="00254B55">
        <w:rPr>
          <w:rFonts w:ascii="Trebuchet MS" w:eastAsia="Calibri" w:hAnsi="Trebuchet MS" w:cs="Arial"/>
          <w:spacing w:val="-9"/>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rin</w:t>
      </w:r>
      <w:r w:rsidRPr="00254B55">
        <w:rPr>
          <w:rFonts w:ascii="Trebuchet MS" w:eastAsia="Calibri" w:hAnsi="Trebuchet MS" w:cs="Arial"/>
          <w:spacing w:val="-10"/>
          <w:sz w:val="22"/>
          <w:szCs w:val="22"/>
        </w:rPr>
        <w:t xml:space="preserve"> </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t</w:t>
      </w:r>
      <w:r w:rsidRPr="00254B55">
        <w:rPr>
          <w:rFonts w:ascii="Trebuchet MS" w:eastAsia="Calibri" w:hAnsi="Trebuchet MS" w:cs="Arial"/>
          <w:spacing w:val="1"/>
          <w:sz w:val="22"/>
          <w:szCs w:val="22"/>
        </w:rPr>
        <w:t>e</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s</w:t>
      </w:r>
      <w:r w:rsidRPr="00254B55">
        <w:rPr>
          <w:rFonts w:ascii="Trebuchet MS" w:eastAsia="Calibri" w:hAnsi="Trebuchet MS" w:cs="Arial"/>
          <w:spacing w:val="-3"/>
          <w:sz w:val="22"/>
          <w:szCs w:val="22"/>
        </w:rPr>
        <w:t>i</w:t>
      </w:r>
      <w:r w:rsidRPr="00254B55">
        <w:rPr>
          <w:rFonts w:ascii="Trebuchet MS" w:eastAsia="Calibri" w:hAnsi="Trebuchet MS" w:cs="Arial"/>
          <w:sz w:val="22"/>
          <w:szCs w:val="22"/>
        </w:rPr>
        <w:t>tate</w:t>
      </w:r>
      <w:r w:rsidRPr="00254B55">
        <w:rPr>
          <w:rFonts w:ascii="Trebuchet MS" w:eastAsia="Calibri" w:hAnsi="Trebuchet MS" w:cs="Arial"/>
          <w:spacing w:val="-11"/>
          <w:sz w:val="22"/>
          <w:szCs w:val="22"/>
        </w:rPr>
        <w:t xml:space="preserve"> </w:t>
      </w:r>
      <w:r w:rsidRPr="00254B55">
        <w:rPr>
          <w:rFonts w:ascii="Trebuchet MS" w:eastAsia="Calibri" w:hAnsi="Trebuchet MS" w:cs="Arial"/>
          <w:sz w:val="22"/>
          <w:szCs w:val="22"/>
        </w:rPr>
        <w:t>şi</w:t>
      </w:r>
      <w:r w:rsidRPr="00254B55">
        <w:rPr>
          <w:rFonts w:ascii="Trebuchet MS" w:eastAsia="Calibri" w:hAnsi="Trebuchet MS" w:cs="Arial"/>
          <w:spacing w:val="-9"/>
          <w:sz w:val="22"/>
          <w:szCs w:val="22"/>
        </w:rPr>
        <w:t xml:space="preserve"> </w:t>
      </w:r>
      <w:r w:rsidRPr="00254B55">
        <w:rPr>
          <w:rFonts w:ascii="Trebuchet MS" w:eastAsia="Calibri" w:hAnsi="Trebuchet MS" w:cs="Arial"/>
          <w:spacing w:val="-3"/>
          <w:sz w:val="22"/>
          <w:szCs w:val="22"/>
        </w:rPr>
        <w:t>a</w:t>
      </w:r>
      <w:r w:rsidRPr="00254B55">
        <w:rPr>
          <w:rFonts w:ascii="Trebuchet MS" w:eastAsia="Calibri" w:hAnsi="Trebuchet MS" w:cs="Arial"/>
          <w:spacing w:val="1"/>
          <w:sz w:val="22"/>
          <w:szCs w:val="22"/>
        </w:rPr>
        <w:t>m</w:t>
      </w:r>
      <w:r w:rsidRPr="00254B55">
        <w:rPr>
          <w:rFonts w:ascii="Trebuchet MS" w:eastAsia="Calibri" w:hAnsi="Trebuchet MS" w:cs="Arial"/>
          <w:spacing w:val="-1"/>
          <w:sz w:val="22"/>
          <w:szCs w:val="22"/>
        </w:rPr>
        <w:t>p</w:t>
      </w:r>
      <w:r w:rsidRPr="00254B55">
        <w:rPr>
          <w:rFonts w:ascii="Trebuchet MS" w:eastAsia="Calibri" w:hAnsi="Trebuchet MS" w:cs="Arial"/>
          <w:spacing w:val="-3"/>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are</w:t>
      </w:r>
      <w:r w:rsidRPr="00254B55">
        <w:rPr>
          <w:rFonts w:ascii="Trebuchet MS" w:eastAsia="Calibri" w:hAnsi="Trebuchet MS" w:cs="Arial"/>
          <w:spacing w:val="-9"/>
          <w:sz w:val="22"/>
          <w:szCs w:val="22"/>
        </w:rPr>
        <w:t xml:space="preserve"> </w:t>
      </w:r>
      <w:r w:rsidRPr="00254B55">
        <w:rPr>
          <w:rFonts w:ascii="Trebuchet MS" w:eastAsia="Calibri" w:hAnsi="Trebuchet MS" w:cs="Arial"/>
          <w:spacing w:val="-3"/>
          <w:sz w:val="22"/>
          <w:szCs w:val="22"/>
        </w:rPr>
        <w:t>a</w:t>
      </w:r>
      <w:r w:rsidRPr="00254B55">
        <w:rPr>
          <w:rFonts w:ascii="Trebuchet MS" w:eastAsia="Calibri" w:hAnsi="Trebuchet MS" w:cs="Arial"/>
          <w:spacing w:val="-1"/>
          <w:sz w:val="22"/>
          <w:szCs w:val="22"/>
        </w:rPr>
        <w:t>m</w:t>
      </w:r>
      <w:r w:rsidRPr="00254B55">
        <w:rPr>
          <w:rFonts w:ascii="Trebuchet MS" w:eastAsia="Calibri" w:hAnsi="Trebuchet MS" w:cs="Arial"/>
          <w:sz w:val="22"/>
          <w:szCs w:val="22"/>
        </w:rPr>
        <w:t>en</w:t>
      </w:r>
      <w:r w:rsidRPr="00254B55">
        <w:rPr>
          <w:rFonts w:ascii="Trebuchet MS" w:eastAsia="Calibri" w:hAnsi="Trebuchet MS" w:cs="Arial"/>
          <w:spacing w:val="-1"/>
          <w:sz w:val="22"/>
          <w:szCs w:val="22"/>
        </w:rPr>
        <w:t>in</w:t>
      </w:r>
      <w:r w:rsidRPr="00254B55">
        <w:rPr>
          <w:rFonts w:ascii="Trebuchet MS" w:eastAsia="Calibri" w:hAnsi="Trebuchet MS" w:cs="Arial"/>
          <w:sz w:val="22"/>
          <w:szCs w:val="22"/>
        </w:rPr>
        <w:t>ţă</w:t>
      </w:r>
      <w:r w:rsidRPr="00254B55">
        <w:rPr>
          <w:rFonts w:ascii="Trebuchet MS" w:eastAsia="Calibri" w:hAnsi="Trebuchet MS" w:cs="Arial"/>
          <w:spacing w:val="-9"/>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pu</w:t>
      </w:r>
      <w:r w:rsidRPr="00254B55">
        <w:rPr>
          <w:rFonts w:ascii="Trebuchet MS" w:eastAsia="Calibri" w:hAnsi="Trebuchet MS" w:cs="Arial"/>
          <w:sz w:val="22"/>
          <w:szCs w:val="22"/>
        </w:rPr>
        <w:t>laţi</w:t>
      </w:r>
      <w:r w:rsidRPr="00254B55">
        <w:rPr>
          <w:rFonts w:ascii="Trebuchet MS" w:eastAsia="Calibri" w:hAnsi="Trebuchet MS" w:cs="Arial"/>
          <w:spacing w:val="-3"/>
          <w:sz w:val="22"/>
          <w:szCs w:val="22"/>
        </w:rPr>
        <w:t>a</w:t>
      </w:r>
      <w:r w:rsidRPr="00254B55">
        <w:rPr>
          <w:rFonts w:ascii="Trebuchet MS" w:eastAsia="Calibri" w:hAnsi="Trebuchet MS" w:cs="Arial"/>
          <w:sz w:val="22"/>
          <w:szCs w:val="22"/>
        </w:rPr>
        <w:t>,</w:t>
      </w:r>
      <w:r w:rsidRPr="00254B55">
        <w:rPr>
          <w:rFonts w:ascii="Trebuchet MS" w:eastAsia="Calibri" w:hAnsi="Trebuchet MS" w:cs="Arial"/>
          <w:spacing w:val="-9"/>
          <w:sz w:val="22"/>
          <w:szCs w:val="22"/>
        </w:rPr>
        <w:t xml:space="preserve"> </w:t>
      </w:r>
      <w:r w:rsidRPr="00254B55">
        <w:rPr>
          <w:rFonts w:ascii="Trebuchet MS" w:eastAsia="Calibri" w:hAnsi="Trebuchet MS" w:cs="Arial"/>
          <w:spacing w:val="-3"/>
          <w:sz w:val="22"/>
          <w:szCs w:val="22"/>
        </w:rPr>
        <w:t>a</w:t>
      </w:r>
      <w:r w:rsidRPr="00254B55">
        <w:rPr>
          <w:rFonts w:ascii="Trebuchet MS" w:eastAsia="Calibri" w:hAnsi="Trebuchet MS" w:cs="Arial"/>
          <w:sz w:val="22"/>
          <w:szCs w:val="22"/>
        </w:rPr>
        <w:t>cti</w:t>
      </w:r>
      <w:r w:rsidRPr="00254B55">
        <w:rPr>
          <w:rFonts w:ascii="Trebuchet MS" w:eastAsia="Calibri" w:hAnsi="Trebuchet MS" w:cs="Arial"/>
          <w:spacing w:val="1"/>
          <w:sz w:val="22"/>
          <w:szCs w:val="22"/>
        </w:rPr>
        <w:t>v</w:t>
      </w:r>
      <w:r w:rsidRPr="00254B55">
        <w:rPr>
          <w:rFonts w:ascii="Trebuchet MS" w:eastAsia="Calibri" w:hAnsi="Trebuchet MS" w:cs="Arial"/>
          <w:sz w:val="22"/>
          <w:szCs w:val="22"/>
        </w:rPr>
        <w:t>it</w:t>
      </w:r>
      <w:r w:rsidRPr="00254B55">
        <w:rPr>
          <w:rFonts w:ascii="Trebuchet MS" w:eastAsia="Calibri" w:hAnsi="Trebuchet MS" w:cs="Arial"/>
          <w:spacing w:val="-2"/>
          <w:sz w:val="22"/>
          <w:szCs w:val="22"/>
        </w:rPr>
        <w:t>a</w:t>
      </w:r>
      <w:r w:rsidRPr="00254B55">
        <w:rPr>
          <w:rFonts w:ascii="Trebuchet MS" w:eastAsia="Calibri" w:hAnsi="Trebuchet MS" w:cs="Arial"/>
          <w:sz w:val="22"/>
          <w:szCs w:val="22"/>
        </w:rPr>
        <w:t>t</w:t>
      </w:r>
      <w:r w:rsidRPr="00254B55">
        <w:rPr>
          <w:rFonts w:ascii="Trebuchet MS" w:eastAsia="Calibri" w:hAnsi="Trebuchet MS" w:cs="Arial"/>
          <w:spacing w:val="1"/>
          <w:sz w:val="22"/>
          <w:szCs w:val="22"/>
        </w:rPr>
        <w:t>e</w:t>
      </w:r>
      <w:r w:rsidRPr="00254B55">
        <w:rPr>
          <w:rFonts w:ascii="Trebuchet MS" w:eastAsia="Calibri" w:hAnsi="Trebuchet MS" w:cs="Arial"/>
          <w:sz w:val="22"/>
          <w:szCs w:val="22"/>
        </w:rPr>
        <w:t>a</w:t>
      </w:r>
      <w:r w:rsidRPr="00254B55">
        <w:rPr>
          <w:rFonts w:ascii="Trebuchet MS" w:eastAsia="Calibri" w:hAnsi="Trebuchet MS" w:cs="Arial"/>
          <w:spacing w:val="-12"/>
          <w:sz w:val="22"/>
          <w:szCs w:val="22"/>
        </w:rPr>
        <w:t xml:space="preserve"> </w:t>
      </w:r>
      <w:r w:rsidRPr="00254B55">
        <w:rPr>
          <w:rFonts w:ascii="Trebuchet MS" w:eastAsia="Calibri" w:hAnsi="Trebuchet MS" w:cs="Arial"/>
          <w:sz w:val="22"/>
          <w:szCs w:val="22"/>
        </w:rPr>
        <w:t>e</w:t>
      </w:r>
      <w:r w:rsidRPr="00254B55">
        <w:rPr>
          <w:rFonts w:ascii="Trebuchet MS" w:eastAsia="Calibri" w:hAnsi="Trebuchet MS" w:cs="Arial"/>
          <w:spacing w:val="-2"/>
          <w:sz w:val="22"/>
          <w:szCs w:val="22"/>
        </w:rPr>
        <w:t>c</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no</w:t>
      </w:r>
      <w:r w:rsidRPr="00254B55">
        <w:rPr>
          <w:rFonts w:ascii="Trebuchet MS" w:eastAsia="Calibri" w:hAnsi="Trebuchet MS" w:cs="Arial"/>
          <w:spacing w:val="1"/>
          <w:sz w:val="22"/>
          <w:szCs w:val="22"/>
        </w:rPr>
        <w:t>m</w:t>
      </w:r>
      <w:r w:rsidRPr="00254B55">
        <w:rPr>
          <w:rFonts w:ascii="Trebuchet MS" w:eastAsia="Calibri" w:hAnsi="Trebuchet MS" w:cs="Arial"/>
          <w:sz w:val="22"/>
          <w:szCs w:val="22"/>
        </w:rPr>
        <w:t>ic</w:t>
      </w:r>
      <w:r w:rsidRPr="00254B55">
        <w:rPr>
          <w:rFonts w:ascii="Trebuchet MS" w:eastAsia="Calibri" w:hAnsi="Trebuchet MS" w:cs="Arial"/>
          <w:spacing w:val="-3"/>
          <w:sz w:val="22"/>
          <w:szCs w:val="22"/>
        </w:rPr>
        <w:t>ă</w:t>
      </w:r>
      <w:r w:rsidRPr="00254B55">
        <w:rPr>
          <w:rFonts w:ascii="Trebuchet MS" w:eastAsia="Calibri" w:hAnsi="Trebuchet MS" w:cs="Arial"/>
          <w:sz w:val="22"/>
          <w:szCs w:val="22"/>
        </w:rPr>
        <w:t xml:space="preserve">, </w:t>
      </w:r>
      <w:r w:rsidRPr="00254B55">
        <w:rPr>
          <w:rFonts w:ascii="Trebuchet MS" w:eastAsia="Calibri" w:hAnsi="Trebuchet MS" w:cs="Arial"/>
          <w:spacing w:val="1"/>
          <w:sz w:val="22"/>
          <w:szCs w:val="22"/>
        </w:rPr>
        <w:t>m</w:t>
      </w:r>
      <w:r w:rsidRPr="00254B55">
        <w:rPr>
          <w:rFonts w:ascii="Trebuchet MS" w:eastAsia="Calibri" w:hAnsi="Trebuchet MS" w:cs="Arial"/>
          <w:sz w:val="22"/>
          <w:szCs w:val="22"/>
        </w:rPr>
        <w:t>ed</w:t>
      </w:r>
      <w:r w:rsidRPr="00254B55">
        <w:rPr>
          <w:rFonts w:ascii="Trebuchet MS" w:eastAsia="Calibri" w:hAnsi="Trebuchet MS" w:cs="Arial"/>
          <w:spacing w:val="-1"/>
          <w:sz w:val="22"/>
          <w:szCs w:val="22"/>
        </w:rPr>
        <w:t>iu</w:t>
      </w:r>
      <w:r w:rsidRPr="00254B55">
        <w:rPr>
          <w:rFonts w:ascii="Trebuchet MS" w:eastAsia="Calibri" w:hAnsi="Trebuchet MS" w:cs="Arial"/>
          <w:sz w:val="22"/>
          <w:szCs w:val="22"/>
        </w:rPr>
        <w:t>l,</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v</w:t>
      </w:r>
      <w:r w:rsidRPr="00254B55">
        <w:rPr>
          <w:rFonts w:ascii="Trebuchet MS" w:eastAsia="Calibri" w:hAnsi="Trebuchet MS" w:cs="Arial"/>
          <w:sz w:val="22"/>
          <w:szCs w:val="22"/>
        </w:rPr>
        <w:t>alori</w:t>
      </w:r>
      <w:r w:rsidRPr="00254B55">
        <w:rPr>
          <w:rFonts w:ascii="Trebuchet MS" w:eastAsia="Calibri" w:hAnsi="Trebuchet MS" w:cs="Arial"/>
          <w:spacing w:val="-4"/>
          <w:sz w:val="22"/>
          <w:szCs w:val="22"/>
        </w:rPr>
        <w:t>l</w:t>
      </w:r>
      <w:r w:rsidRPr="00254B55">
        <w:rPr>
          <w:rFonts w:ascii="Trebuchet MS" w:eastAsia="Calibri" w:hAnsi="Trebuchet MS" w:cs="Arial"/>
          <w:sz w:val="22"/>
          <w:szCs w:val="22"/>
        </w:rPr>
        <w:t>e</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cu</w:t>
      </w:r>
      <w:r w:rsidRPr="00254B55">
        <w:rPr>
          <w:rFonts w:ascii="Trebuchet MS" w:eastAsia="Calibri" w:hAnsi="Trebuchet MS" w:cs="Arial"/>
          <w:spacing w:val="-1"/>
          <w:sz w:val="22"/>
          <w:szCs w:val="22"/>
        </w:rPr>
        <w:t>l</w:t>
      </w:r>
      <w:r w:rsidRPr="00254B55">
        <w:rPr>
          <w:rFonts w:ascii="Trebuchet MS" w:eastAsia="Calibri" w:hAnsi="Trebuchet MS" w:cs="Arial"/>
          <w:sz w:val="22"/>
          <w:szCs w:val="22"/>
        </w:rPr>
        <w:t>tur</w:t>
      </w:r>
      <w:r w:rsidRPr="00254B55">
        <w:rPr>
          <w:rFonts w:ascii="Trebuchet MS" w:eastAsia="Calibri" w:hAnsi="Trebuchet MS" w:cs="Arial"/>
          <w:spacing w:val="-1"/>
          <w:sz w:val="22"/>
          <w:szCs w:val="22"/>
        </w:rPr>
        <w:t>a</w:t>
      </w:r>
      <w:r w:rsidRPr="00254B55">
        <w:rPr>
          <w:rFonts w:ascii="Trebuchet MS" w:eastAsia="Calibri" w:hAnsi="Trebuchet MS" w:cs="Arial"/>
          <w:spacing w:val="-3"/>
          <w:sz w:val="22"/>
          <w:szCs w:val="22"/>
        </w:rPr>
        <w:t>l</w:t>
      </w:r>
      <w:r w:rsidRPr="00254B55">
        <w:rPr>
          <w:rFonts w:ascii="Trebuchet MS" w:eastAsia="Calibri" w:hAnsi="Trebuchet MS" w:cs="Arial"/>
          <w:sz w:val="22"/>
          <w:szCs w:val="22"/>
        </w:rPr>
        <w:t>e</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şi</w:t>
      </w:r>
      <w:r w:rsidRPr="00254B55">
        <w:rPr>
          <w:rFonts w:ascii="Trebuchet MS" w:eastAsia="Calibri" w:hAnsi="Trebuchet MS" w:cs="Arial"/>
          <w:spacing w:val="-3"/>
          <w:sz w:val="22"/>
          <w:szCs w:val="22"/>
        </w:rPr>
        <w:t xml:space="preserve"> </w:t>
      </w:r>
      <w:r w:rsidRPr="00254B55">
        <w:rPr>
          <w:rFonts w:ascii="Trebuchet MS" w:eastAsia="Calibri" w:hAnsi="Trebuchet MS" w:cs="Arial"/>
          <w:sz w:val="22"/>
          <w:szCs w:val="22"/>
        </w:rPr>
        <w:t>de</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atr</w:t>
      </w:r>
      <w:r w:rsidRPr="00254B55">
        <w:rPr>
          <w:rFonts w:ascii="Trebuchet MS" w:eastAsia="Calibri" w:hAnsi="Trebuchet MS" w:cs="Arial"/>
          <w:spacing w:val="-3"/>
          <w:sz w:val="22"/>
          <w:szCs w:val="22"/>
        </w:rPr>
        <w:t>i</w:t>
      </w:r>
      <w:r w:rsidRPr="00254B55">
        <w:rPr>
          <w:rFonts w:ascii="Trebuchet MS" w:eastAsia="Calibri" w:hAnsi="Trebuchet MS" w:cs="Arial"/>
          <w:spacing w:val="1"/>
          <w:sz w:val="22"/>
          <w:szCs w:val="22"/>
        </w:rPr>
        <w:t>mo</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w:t>
      </w:r>
    </w:p>
    <w:p w:rsidR="004250D1" w:rsidRPr="00254B55" w:rsidRDefault="004250D1" w:rsidP="006B1DFF">
      <w:pPr>
        <w:ind w:firstLine="709"/>
        <w:jc w:val="both"/>
        <w:rPr>
          <w:rFonts w:ascii="Trebuchet MS" w:eastAsia="Calibri" w:hAnsi="Trebuchet MS" w:cs="Arial"/>
          <w:sz w:val="22"/>
          <w:szCs w:val="22"/>
        </w:rPr>
      </w:pPr>
      <w:r w:rsidRPr="00254B55">
        <w:rPr>
          <w:rFonts w:ascii="Trebuchet MS" w:eastAsia="Calibri" w:hAnsi="Trebuchet MS" w:cs="Arial"/>
          <w:sz w:val="22"/>
          <w:szCs w:val="22"/>
        </w:rPr>
        <w:t>În</w:t>
      </w:r>
      <w:r w:rsidRPr="00254B55">
        <w:rPr>
          <w:rFonts w:ascii="Trebuchet MS" w:eastAsia="Calibri" w:hAnsi="Trebuchet MS" w:cs="Arial"/>
          <w:spacing w:val="4"/>
          <w:sz w:val="22"/>
          <w:szCs w:val="22"/>
        </w:rPr>
        <w:t xml:space="preserve"> </w:t>
      </w:r>
      <w:r w:rsidRPr="00254B55">
        <w:rPr>
          <w:rFonts w:ascii="Trebuchet MS" w:eastAsia="Calibri" w:hAnsi="Trebuchet MS" w:cs="Arial"/>
          <w:sz w:val="22"/>
          <w:szCs w:val="22"/>
        </w:rPr>
        <w:t>R</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m</w:t>
      </w:r>
      <w:r w:rsidRPr="00254B55">
        <w:rPr>
          <w:rFonts w:ascii="Trebuchet MS" w:eastAsia="Calibri" w:hAnsi="Trebuchet MS" w:cs="Arial"/>
          <w:sz w:val="22"/>
          <w:szCs w:val="22"/>
        </w:rPr>
        <w:t>â</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ia</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nund</w:t>
      </w:r>
      <w:r w:rsidRPr="00254B55">
        <w:rPr>
          <w:rFonts w:ascii="Trebuchet MS" w:eastAsia="Calibri" w:hAnsi="Trebuchet MS" w:cs="Arial"/>
          <w:sz w:val="22"/>
          <w:szCs w:val="22"/>
        </w:rPr>
        <w:t>aţii</w:t>
      </w:r>
      <w:r w:rsidRPr="00254B55">
        <w:rPr>
          <w:rFonts w:ascii="Trebuchet MS" w:eastAsia="Calibri" w:hAnsi="Trebuchet MS" w:cs="Arial"/>
          <w:spacing w:val="-1"/>
          <w:sz w:val="22"/>
          <w:szCs w:val="22"/>
        </w:rPr>
        <w:t>l</w:t>
      </w:r>
      <w:r w:rsidRPr="00254B55">
        <w:rPr>
          <w:rFonts w:ascii="Trebuchet MS" w:eastAsia="Calibri" w:hAnsi="Trebuchet MS" w:cs="Arial"/>
          <w:sz w:val="22"/>
          <w:szCs w:val="22"/>
        </w:rPr>
        <w:t>e</w:t>
      </w:r>
      <w:r w:rsidRPr="00254B55">
        <w:rPr>
          <w:rFonts w:ascii="Trebuchet MS" w:eastAsia="Calibri" w:hAnsi="Trebuchet MS" w:cs="Arial"/>
          <w:spacing w:val="6"/>
          <w:sz w:val="22"/>
          <w:szCs w:val="22"/>
        </w:rPr>
        <w:t xml:space="preserve"> </w:t>
      </w:r>
      <w:r w:rsidRPr="00254B55">
        <w:rPr>
          <w:rFonts w:ascii="Trebuchet MS" w:eastAsia="Calibri" w:hAnsi="Trebuchet MS" w:cs="Arial"/>
          <w:sz w:val="22"/>
          <w:szCs w:val="22"/>
        </w:rPr>
        <w:t>su</w:t>
      </w:r>
      <w:r w:rsidRPr="00254B55">
        <w:rPr>
          <w:rFonts w:ascii="Trebuchet MS" w:eastAsia="Calibri" w:hAnsi="Trebuchet MS" w:cs="Arial"/>
          <w:spacing w:val="-4"/>
          <w:sz w:val="22"/>
          <w:szCs w:val="22"/>
        </w:rPr>
        <w:t>n</w:t>
      </w:r>
      <w:r w:rsidRPr="00254B55">
        <w:rPr>
          <w:rFonts w:ascii="Trebuchet MS" w:eastAsia="Calibri" w:hAnsi="Trebuchet MS" w:cs="Arial"/>
          <w:sz w:val="22"/>
          <w:szCs w:val="22"/>
        </w:rPr>
        <w:t>t</w:t>
      </w:r>
      <w:r w:rsidRPr="00254B55">
        <w:rPr>
          <w:rFonts w:ascii="Trebuchet MS" w:eastAsia="Calibri" w:hAnsi="Trebuchet MS" w:cs="Arial"/>
          <w:spacing w:val="6"/>
          <w:sz w:val="22"/>
          <w:szCs w:val="22"/>
        </w:rPr>
        <w:t xml:space="preserve"> </w:t>
      </w:r>
      <w:r w:rsidRPr="00254B55">
        <w:rPr>
          <w:rFonts w:ascii="Trebuchet MS" w:eastAsia="Calibri" w:hAnsi="Trebuchet MS" w:cs="Arial"/>
          <w:spacing w:val="-1"/>
          <w:sz w:val="22"/>
          <w:szCs w:val="22"/>
        </w:rPr>
        <w:t>po</w:t>
      </w:r>
      <w:r w:rsidRPr="00254B55">
        <w:rPr>
          <w:rFonts w:ascii="Trebuchet MS" w:eastAsia="Calibri" w:hAnsi="Trebuchet MS" w:cs="Arial"/>
          <w:sz w:val="22"/>
          <w:szCs w:val="22"/>
        </w:rPr>
        <w:t>si</w:t>
      </w:r>
      <w:r w:rsidRPr="00254B55">
        <w:rPr>
          <w:rFonts w:ascii="Trebuchet MS" w:eastAsia="Calibri" w:hAnsi="Trebuchet MS" w:cs="Arial"/>
          <w:spacing w:val="-1"/>
          <w:sz w:val="22"/>
          <w:szCs w:val="22"/>
        </w:rPr>
        <w:t>b</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l</w:t>
      </w:r>
      <w:r w:rsidRPr="00254B55">
        <w:rPr>
          <w:rFonts w:ascii="Trebuchet MS" w:eastAsia="Calibri" w:hAnsi="Trebuchet MS" w:cs="Arial"/>
          <w:sz w:val="22"/>
          <w:szCs w:val="22"/>
        </w:rPr>
        <w:t>e</w:t>
      </w:r>
      <w:r w:rsidRPr="00254B55">
        <w:rPr>
          <w:rFonts w:ascii="Trebuchet MS" w:eastAsia="Calibri" w:hAnsi="Trebuchet MS" w:cs="Arial"/>
          <w:spacing w:val="6"/>
          <w:sz w:val="22"/>
          <w:szCs w:val="22"/>
        </w:rPr>
        <w:t xml:space="preserve"> </w:t>
      </w:r>
      <w:r w:rsidRPr="00254B55">
        <w:rPr>
          <w:rFonts w:ascii="Trebuchet MS" w:eastAsia="Calibri" w:hAnsi="Trebuchet MS" w:cs="Arial"/>
          <w:spacing w:val="-3"/>
          <w:sz w:val="22"/>
          <w:szCs w:val="22"/>
        </w:rPr>
        <w:t>p</w:t>
      </w:r>
      <w:r w:rsidRPr="00254B55">
        <w:rPr>
          <w:rFonts w:ascii="Trebuchet MS" w:eastAsia="Calibri" w:hAnsi="Trebuchet MS" w:cs="Arial"/>
          <w:sz w:val="22"/>
          <w:szCs w:val="22"/>
        </w:rPr>
        <w:t>e</w:t>
      </w:r>
      <w:r w:rsidRPr="00254B55">
        <w:rPr>
          <w:rFonts w:ascii="Trebuchet MS" w:eastAsia="Calibri" w:hAnsi="Trebuchet MS" w:cs="Arial"/>
          <w:spacing w:val="6"/>
          <w:sz w:val="22"/>
          <w:szCs w:val="22"/>
        </w:rPr>
        <w:t xml:space="preserve"> </w:t>
      </w:r>
      <w:r w:rsidRPr="00254B55">
        <w:rPr>
          <w:rFonts w:ascii="Trebuchet MS" w:eastAsia="Calibri" w:hAnsi="Trebuchet MS" w:cs="Arial"/>
          <w:spacing w:val="-2"/>
          <w:sz w:val="22"/>
          <w:szCs w:val="22"/>
        </w:rPr>
        <w:t>t</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t</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arc</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rs</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l a</w:t>
      </w:r>
      <w:r w:rsidRPr="00254B55">
        <w:rPr>
          <w:rFonts w:ascii="Trebuchet MS" w:eastAsia="Calibri" w:hAnsi="Trebuchet MS" w:cs="Arial"/>
          <w:spacing w:val="-1"/>
          <w:sz w:val="22"/>
          <w:szCs w:val="22"/>
        </w:rPr>
        <w:t>nu</w:t>
      </w:r>
      <w:r w:rsidRPr="00254B55">
        <w:rPr>
          <w:rFonts w:ascii="Trebuchet MS" w:eastAsia="Calibri" w:hAnsi="Trebuchet MS" w:cs="Arial"/>
          <w:sz w:val="22"/>
          <w:szCs w:val="22"/>
        </w:rPr>
        <w:t>l</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i,</w:t>
      </w:r>
      <w:r w:rsidRPr="00254B55">
        <w:rPr>
          <w:rFonts w:ascii="Trebuchet MS" w:eastAsia="Calibri" w:hAnsi="Trebuchet MS" w:cs="Arial"/>
          <w:spacing w:val="5"/>
          <w:sz w:val="22"/>
          <w:szCs w:val="22"/>
        </w:rPr>
        <w:t xml:space="preserve"> </w:t>
      </w:r>
      <w:r w:rsidRPr="00254B55">
        <w:rPr>
          <w:rFonts w:ascii="Trebuchet MS" w:eastAsia="Calibri" w:hAnsi="Trebuchet MS" w:cs="Arial"/>
          <w:sz w:val="22"/>
          <w:szCs w:val="22"/>
        </w:rPr>
        <w:t>ac</w:t>
      </w:r>
      <w:r w:rsidRPr="00254B55">
        <w:rPr>
          <w:rFonts w:ascii="Trebuchet MS" w:eastAsia="Calibri" w:hAnsi="Trebuchet MS" w:cs="Arial"/>
          <w:spacing w:val="9"/>
          <w:sz w:val="22"/>
          <w:szCs w:val="22"/>
        </w:rPr>
        <w:t>e</w:t>
      </w:r>
      <w:r w:rsidRPr="00254B55">
        <w:rPr>
          <w:rFonts w:ascii="Trebuchet MS" w:eastAsia="Calibri" w:hAnsi="Trebuchet MS" w:cs="Arial"/>
          <w:sz w:val="22"/>
          <w:szCs w:val="22"/>
        </w:rPr>
        <w:t>s</w:t>
      </w:r>
      <w:r w:rsidRPr="00254B55">
        <w:rPr>
          <w:rFonts w:ascii="Trebuchet MS" w:eastAsia="Calibri" w:hAnsi="Trebuchet MS" w:cs="Arial"/>
          <w:spacing w:val="-2"/>
          <w:sz w:val="22"/>
          <w:szCs w:val="22"/>
        </w:rPr>
        <w:t>t</w:t>
      </w:r>
      <w:r w:rsidRPr="00254B55">
        <w:rPr>
          <w:rFonts w:ascii="Trebuchet MS" w:eastAsia="Calibri" w:hAnsi="Trebuchet MS" w:cs="Arial"/>
          <w:sz w:val="22"/>
          <w:szCs w:val="22"/>
        </w:rPr>
        <w:t>ea</w:t>
      </w:r>
      <w:r w:rsidRPr="00254B55">
        <w:rPr>
          <w:rFonts w:ascii="Trebuchet MS" w:eastAsia="Calibri" w:hAnsi="Trebuchet MS" w:cs="Arial"/>
          <w:spacing w:val="3"/>
          <w:sz w:val="22"/>
          <w:szCs w:val="22"/>
        </w:rPr>
        <w:t xml:space="preserve"> </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v</w:t>
      </w:r>
      <w:r w:rsidRPr="00254B55">
        <w:rPr>
          <w:rFonts w:ascii="Trebuchet MS" w:eastAsia="Calibri" w:hAnsi="Trebuchet MS" w:cs="Arial"/>
          <w:sz w:val="22"/>
          <w:szCs w:val="22"/>
        </w:rPr>
        <w:t>â</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d ca</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su</w:t>
      </w:r>
      <w:r w:rsidRPr="00254B55">
        <w:rPr>
          <w:rFonts w:ascii="Trebuchet MS" w:eastAsia="Calibri" w:hAnsi="Trebuchet MS" w:cs="Arial"/>
          <w:spacing w:val="-1"/>
          <w:sz w:val="22"/>
          <w:szCs w:val="22"/>
        </w:rPr>
        <w:t>r</w:t>
      </w:r>
      <w:r w:rsidRPr="00254B55">
        <w:rPr>
          <w:rFonts w:ascii="Trebuchet MS" w:eastAsia="Calibri" w:hAnsi="Trebuchet MS" w:cs="Arial"/>
          <w:sz w:val="22"/>
          <w:szCs w:val="22"/>
        </w:rPr>
        <w:t>să</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3"/>
          <w:sz w:val="22"/>
          <w:szCs w:val="22"/>
        </w:rPr>
        <w:t>r</w:t>
      </w:r>
      <w:r w:rsidRPr="00254B55">
        <w:rPr>
          <w:rFonts w:ascii="Trebuchet MS" w:eastAsia="Calibri" w:hAnsi="Trebuchet MS" w:cs="Arial"/>
          <w:sz w:val="22"/>
          <w:szCs w:val="22"/>
        </w:rPr>
        <w:t>e</w:t>
      </w:r>
      <w:r w:rsidRPr="00254B55">
        <w:rPr>
          <w:rFonts w:ascii="Trebuchet MS" w:eastAsia="Calibri" w:hAnsi="Trebuchet MS" w:cs="Arial"/>
          <w:spacing w:val="1"/>
          <w:sz w:val="22"/>
          <w:szCs w:val="22"/>
        </w:rPr>
        <w:t>v</w:t>
      </w:r>
      <w:r w:rsidRPr="00254B55">
        <w:rPr>
          <w:rFonts w:ascii="Trebuchet MS" w:eastAsia="Calibri" w:hAnsi="Trebuchet MS" w:cs="Arial"/>
          <w:sz w:val="22"/>
          <w:szCs w:val="22"/>
        </w:rPr>
        <w:t>ă</w:t>
      </w:r>
      <w:r w:rsidRPr="00254B55">
        <w:rPr>
          <w:rFonts w:ascii="Trebuchet MS" w:eastAsia="Calibri" w:hAnsi="Trebuchet MS" w:cs="Arial"/>
          <w:spacing w:val="-3"/>
          <w:sz w:val="22"/>
          <w:szCs w:val="22"/>
        </w:rPr>
        <w:t>r</w:t>
      </w:r>
      <w:r w:rsidRPr="00254B55">
        <w:rPr>
          <w:rFonts w:ascii="Trebuchet MS" w:eastAsia="Calibri" w:hAnsi="Trebuchet MS" w:cs="Arial"/>
          <w:sz w:val="22"/>
          <w:szCs w:val="22"/>
        </w:rPr>
        <w:t>sări</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atu</w:t>
      </w:r>
      <w:r w:rsidRPr="00254B55">
        <w:rPr>
          <w:rFonts w:ascii="Trebuchet MS" w:eastAsia="Calibri" w:hAnsi="Trebuchet MS" w:cs="Arial"/>
          <w:spacing w:val="-1"/>
          <w:sz w:val="22"/>
          <w:szCs w:val="22"/>
        </w:rPr>
        <w:t>r</w:t>
      </w:r>
      <w:r w:rsidRPr="00254B55">
        <w:rPr>
          <w:rFonts w:ascii="Trebuchet MS" w:eastAsia="Calibri" w:hAnsi="Trebuchet MS" w:cs="Arial"/>
          <w:sz w:val="22"/>
          <w:szCs w:val="22"/>
        </w:rPr>
        <w:t>a</w:t>
      </w:r>
      <w:r w:rsidRPr="00254B55">
        <w:rPr>
          <w:rFonts w:ascii="Trebuchet MS" w:eastAsia="Calibri" w:hAnsi="Trebuchet MS" w:cs="Arial"/>
          <w:spacing w:val="2"/>
          <w:sz w:val="22"/>
          <w:szCs w:val="22"/>
        </w:rPr>
        <w:t>l</w:t>
      </w:r>
      <w:r w:rsidRPr="00254B55">
        <w:rPr>
          <w:rFonts w:ascii="Trebuchet MS" w:eastAsia="Calibri" w:hAnsi="Trebuchet MS" w:cs="Arial"/>
          <w:sz w:val="22"/>
          <w:szCs w:val="22"/>
        </w:rPr>
        <w:t>e</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ale</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cu</w:t>
      </w:r>
      <w:r w:rsidRPr="00254B55">
        <w:rPr>
          <w:rFonts w:ascii="Trebuchet MS" w:eastAsia="Calibri" w:hAnsi="Trebuchet MS" w:cs="Arial"/>
          <w:spacing w:val="-1"/>
          <w:sz w:val="22"/>
          <w:szCs w:val="22"/>
        </w:rPr>
        <w:t>r</w:t>
      </w:r>
      <w:r w:rsidRPr="00254B55">
        <w:rPr>
          <w:rFonts w:ascii="Trebuchet MS" w:eastAsia="Calibri" w:hAnsi="Trebuchet MS" w:cs="Arial"/>
          <w:sz w:val="22"/>
          <w:szCs w:val="22"/>
        </w:rPr>
        <w:t>su</w:t>
      </w:r>
      <w:r w:rsidRPr="00254B55">
        <w:rPr>
          <w:rFonts w:ascii="Trebuchet MS" w:eastAsia="Calibri" w:hAnsi="Trebuchet MS" w:cs="Arial"/>
          <w:spacing w:val="-1"/>
          <w:sz w:val="22"/>
          <w:szCs w:val="22"/>
        </w:rPr>
        <w:t>r</w:t>
      </w:r>
      <w:r w:rsidRPr="00254B55">
        <w:rPr>
          <w:rFonts w:ascii="Trebuchet MS" w:eastAsia="Calibri" w:hAnsi="Trebuchet MS" w:cs="Arial"/>
          <w:sz w:val="22"/>
          <w:szCs w:val="22"/>
        </w:rPr>
        <w:t>i</w:t>
      </w:r>
      <w:r w:rsidRPr="00254B55">
        <w:rPr>
          <w:rFonts w:ascii="Trebuchet MS" w:eastAsia="Calibri" w:hAnsi="Trebuchet MS" w:cs="Arial"/>
          <w:spacing w:val="-3"/>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 a</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ă,</w:t>
      </w:r>
      <w:r w:rsidRPr="00254B55">
        <w:rPr>
          <w:rFonts w:ascii="Trebuchet MS" w:eastAsia="Calibri" w:hAnsi="Trebuchet MS" w:cs="Arial"/>
          <w:spacing w:val="6"/>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w:t>
      </w:r>
      <w:r w:rsidRPr="00254B55">
        <w:rPr>
          <w:rFonts w:ascii="Trebuchet MS" w:eastAsia="Calibri" w:hAnsi="Trebuchet MS" w:cs="Arial"/>
          <w:spacing w:val="-2"/>
          <w:sz w:val="22"/>
          <w:szCs w:val="22"/>
        </w:rPr>
        <w:t>ec</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itaţii</w:t>
      </w:r>
      <w:r w:rsidRPr="00254B55">
        <w:rPr>
          <w:rFonts w:ascii="Trebuchet MS" w:eastAsia="Calibri" w:hAnsi="Trebuchet MS" w:cs="Arial"/>
          <w:spacing w:val="-1"/>
          <w:sz w:val="22"/>
          <w:szCs w:val="22"/>
        </w:rPr>
        <w:t>l</w:t>
      </w:r>
      <w:r w:rsidRPr="00254B55">
        <w:rPr>
          <w:rFonts w:ascii="Trebuchet MS" w:eastAsia="Calibri" w:hAnsi="Trebuchet MS" w:cs="Arial"/>
          <w:sz w:val="22"/>
          <w:szCs w:val="22"/>
        </w:rPr>
        <w:t>e</w:t>
      </w:r>
      <w:r w:rsidRPr="00254B55">
        <w:rPr>
          <w:rFonts w:ascii="Trebuchet MS" w:eastAsia="Calibri" w:hAnsi="Trebuchet MS" w:cs="Arial"/>
          <w:spacing w:val="3"/>
          <w:sz w:val="22"/>
          <w:szCs w:val="22"/>
        </w:rPr>
        <w:t xml:space="preserve"> </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bund</w:t>
      </w:r>
      <w:r w:rsidRPr="00254B55">
        <w:rPr>
          <w:rFonts w:ascii="Trebuchet MS" w:eastAsia="Calibri" w:hAnsi="Trebuchet MS" w:cs="Arial"/>
          <w:sz w:val="22"/>
          <w:szCs w:val="22"/>
        </w:rPr>
        <w:t>ent</w:t>
      </w:r>
      <w:r w:rsidRPr="00254B55">
        <w:rPr>
          <w:rFonts w:ascii="Trebuchet MS" w:eastAsia="Calibri" w:hAnsi="Trebuchet MS" w:cs="Arial"/>
          <w:spacing w:val="-2"/>
          <w:sz w:val="22"/>
          <w:szCs w:val="22"/>
        </w:rPr>
        <w:t>e</w:t>
      </w:r>
      <w:r w:rsidRPr="00254B55">
        <w:rPr>
          <w:rFonts w:ascii="Trebuchet MS" w:eastAsia="Calibri" w:hAnsi="Trebuchet MS" w:cs="Arial"/>
          <w:sz w:val="22"/>
          <w:szCs w:val="22"/>
        </w:rPr>
        <w:t>, t</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ir</w:t>
      </w:r>
      <w:r w:rsidRPr="00254B55">
        <w:rPr>
          <w:rFonts w:ascii="Trebuchet MS" w:eastAsia="Calibri" w:hAnsi="Trebuchet MS" w:cs="Arial"/>
          <w:spacing w:val="1"/>
          <w:sz w:val="22"/>
          <w:szCs w:val="22"/>
        </w:rPr>
        <w:t>e</w:t>
      </w:r>
      <w:r w:rsidRPr="00254B55">
        <w:rPr>
          <w:rFonts w:ascii="Trebuchet MS" w:eastAsia="Calibri" w:hAnsi="Trebuchet MS" w:cs="Arial"/>
          <w:sz w:val="22"/>
          <w:szCs w:val="22"/>
        </w:rPr>
        <w:t>a</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z</w:t>
      </w:r>
      <w:r w:rsidRPr="00254B55">
        <w:rPr>
          <w:rFonts w:ascii="Trebuchet MS" w:eastAsia="Calibri" w:hAnsi="Trebuchet MS" w:cs="Arial"/>
          <w:sz w:val="22"/>
          <w:szCs w:val="22"/>
        </w:rPr>
        <w:t>ă</w:t>
      </w:r>
      <w:r w:rsidRPr="00254B55">
        <w:rPr>
          <w:rFonts w:ascii="Trebuchet MS" w:eastAsia="Calibri" w:hAnsi="Trebuchet MS" w:cs="Arial"/>
          <w:spacing w:val="-3"/>
          <w:sz w:val="22"/>
          <w:szCs w:val="22"/>
        </w:rPr>
        <w:t>p</w:t>
      </w:r>
      <w:r w:rsidRPr="00254B55">
        <w:rPr>
          <w:rFonts w:ascii="Trebuchet MS" w:eastAsia="Calibri" w:hAnsi="Trebuchet MS" w:cs="Arial"/>
          <w:sz w:val="22"/>
          <w:szCs w:val="22"/>
        </w:rPr>
        <w:t>ez</w:t>
      </w:r>
      <w:r w:rsidRPr="00254B55">
        <w:rPr>
          <w:rFonts w:ascii="Trebuchet MS" w:eastAsia="Calibri" w:hAnsi="Trebuchet MS" w:cs="Arial"/>
          <w:spacing w:val="-1"/>
          <w:sz w:val="22"/>
          <w:szCs w:val="22"/>
        </w:rPr>
        <w:t>i</w:t>
      </w:r>
      <w:r w:rsidRPr="00254B55">
        <w:rPr>
          <w:rFonts w:ascii="Trebuchet MS" w:eastAsia="Calibri" w:hAnsi="Trebuchet MS" w:cs="Arial"/>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b</w:t>
      </w:r>
      <w:r w:rsidRPr="00254B55">
        <w:rPr>
          <w:rFonts w:ascii="Trebuchet MS" w:eastAsia="Calibri" w:hAnsi="Trebuchet MS" w:cs="Arial"/>
          <w:spacing w:val="-3"/>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caje</w:t>
      </w:r>
      <w:r w:rsidRPr="00254B55">
        <w:rPr>
          <w:rFonts w:ascii="Trebuchet MS" w:eastAsia="Calibri" w:hAnsi="Trebuchet MS" w:cs="Arial"/>
          <w:spacing w:val="-2"/>
          <w:sz w:val="22"/>
          <w:szCs w:val="22"/>
        </w:rPr>
        <w:t>l</w:t>
      </w:r>
      <w:r w:rsidRPr="00254B55">
        <w:rPr>
          <w:rFonts w:ascii="Trebuchet MS" w:eastAsia="Calibri" w:hAnsi="Trebuchet MS" w:cs="Arial"/>
          <w:sz w:val="22"/>
          <w:szCs w:val="22"/>
        </w:rPr>
        <w:t xml:space="preserve">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at</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ra</w:t>
      </w:r>
      <w:r w:rsidRPr="00254B55">
        <w:rPr>
          <w:rFonts w:ascii="Trebuchet MS" w:eastAsia="Calibri" w:hAnsi="Trebuchet MS" w:cs="Arial"/>
          <w:spacing w:val="-2"/>
          <w:sz w:val="22"/>
          <w:szCs w:val="22"/>
        </w:rPr>
        <w:t>t</w:t>
      </w:r>
      <w:r w:rsidRPr="00254B55">
        <w:rPr>
          <w:rFonts w:ascii="Trebuchet MS" w:eastAsia="Calibri" w:hAnsi="Trebuchet MS" w:cs="Arial"/>
          <w:sz w:val="22"/>
          <w:szCs w:val="22"/>
        </w:rPr>
        <w:t>e</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du</w:t>
      </w:r>
      <w:r w:rsidRPr="00254B55">
        <w:rPr>
          <w:rFonts w:ascii="Trebuchet MS" w:eastAsia="Calibri" w:hAnsi="Trebuchet MS" w:cs="Arial"/>
          <w:sz w:val="22"/>
          <w:szCs w:val="22"/>
        </w:rPr>
        <w:t>ri</w:t>
      </w:r>
      <w:r w:rsidRPr="00254B55">
        <w:rPr>
          <w:rFonts w:ascii="Trebuchet MS" w:eastAsia="Calibri" w:hAnsi="Trebuchet MS" w:cs="Arial"/>
          <w:spacing w:val="-4"/>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1"/>
          <w:sz w:val="22"/>
          <w:szCs w:val="22"/>
        </w:rPr>
        <w:t>g</w:t>
      </w:r>
      <w:r w:rsidRPr="00254B55">
        <w:rPr>
          <w:rFonts w:ascii="Trebuchet MS" w:eastAsia="Calibri" w:hAnsi="Trebuchet MS" w:cs="Arial"/>
          <w:spacing w:val="-3"/>
          <w:sz w:val="22"/>
          <w:szCs w:val="22"/>
        </w:rPr>
        <w:t>h</w:t>
      </w:r>
      <w:r w:rsidRPr="00254B55">
        <w:rPr>
          <w:rFonts w:ascii="Trebuchet MS" w:eastAsia="Calibri" w:hAnsi="Trebuchet MS" w:cs="Arial"/>
          <w:sz w:val="22"/>
          <w:szCs w:val="22"/>
        </w:rPr>
        <w:t>eaţă</w:t>
      </w:r>
      <w:r w:rsidRPr="00254B55">
        <w:rPr>
          <w:rFonts w:ascii="Trebuchet MS" w:eastAsia="Calibri" w:hAnsi="Trebuchet MS" w:cs="Arial"/>
          <w:spacing w:val="9"/>
          <w:sz w:val="22"/>
          <w:szCs w:val="22"/>
        </w:rPr>
        <w:t xml:space="preserve"> </w:t>
      </w:r>
      <w:r w:rsidRPr="00254B55">
        <w:rPr>
          <w:rFonts w:ascii="Trebuchet MS" w:eastAsia="Calibri" w:hAnsi="Trebuchet MS" w:cs="Arial"/>
          <w:sz w:val="22"/>
          <w:szCs w:val="22"/>
        </w:rPr>
        <w:t>sau</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l</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ti</w:t>
      </w:r>
      <w:r w:rsidRPr="00254B55">
        <w:rPr>
          <w:rFonts w:ascii="Trebuchet MS" w:eastAsia="Calibri" w:hAnsi="Trebuchet MS" w:cs="Arial"/>
          <w:spacing w:val="-2"/>
          <w:sz w:val="22"/>
          <w:szCs w:val="22"/>
        </w:rPr>
        <w:t>t</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1"/>
          <w:sz w:val="22"/>
          <w:szCs w:val="22"/>
        </w:rPr>
        <w:t>i</w:t>
      </w:r>
      <w:r w:rsidRPr="00254B55">
        <w:rPr>
          <w:rFonts w:ascii="Trebuchet MS" w:eastAsia="Calibri" w:hAnsi="Trebuchet MS" w:cs="Arial"/>
          <w:spacing w:val="-3"/>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 et</w:t>
      </w:r>
      <w:r w:rsidRPr="00254B55">
        <w:rPr>
          <w:rFonts w:ascii="Trebuchet MS" w:eastAsia="Calibri" w:hAnsi="Trebuchet MS" w:cs="Arial"/>
          <w:spacing w:val="1"/>
          <w:sz w:val="22"/>
          <w:szCs w:val="22"/>
        </w:rPr>
        <w:t>c</w:t>
      </w:r>
      <w:r w:rsidRPr="00254B55">
        <w:rPr>
          <w:rFonts w:ascii="Trebuchet MS" w:eastAsia="Calibri" w:hAnsi="Trebuchet MS" w:cs="Arial"/>
          <w:sz w:val="22"/>
          <w:szCs w:val="22"/>
        </w:rPr>
        <w:t>.</w:t>
      </w:r>
    </w:p>
    <w:p w:rsidR="004250D1" w:rsidRPr="00254B55" w:rsidRDefault="004250D1" w:rsidP="006B1DFF">
      <w:pPr>
        <w:ind w:firstLine="709"/>
        <w:jc w:val="both"/>
        <w:rPr>
          <w:rFonts w:ascii="Trebuchet MS" w:eastAsia="Calibri" w:hAnsi="Trebuchet MS" w:cs="Arial"/>
          <w:sz w:val="22"/>
          <w:szCs w:val="22"/>
        </w:rPr>
      </w:pP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racti</w:t>
      </w:r>
      <w:r w:rsidRPr="00254B55">
        <w:rPr>
          <w:rFonts w:ascii="Trebuchet MS" w:eastAsia="Calibri" w:hAnsi="Trebuchet MS" w:cs="Arial"/>
          <w:spacing w:val="-2"/>
          <w:sz w:val="22"/>
          <w:szCs w:val="22"/>
        </w:rPr>
        <w:t>c</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m</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nd</w:t>
      </w:r>
      <w:r w:rsidRPr="00254B55">
        <w:rPr>
          <w:rFonts w:ascii="Trebuchet MS" w:eastAsia="Calibri" w:hAnsi="Trebuchet MS" w:cs="Arial"/>
          <w:sz w:val="22"/>
          <w:szCs w:val="22"/>
        </w:rPr>
        <w:t>ia</w:t>
      </w:r>
      <w:r w:rsidRPr="00254B55">
        <w:rPr>
          <w:rFonts w:ascii="Trebuchet MS" w:eastAsia="Calibri" w:hAnsi="Trebuchet MS" w:cs="Arial"/>
          <w:spacing w:val="-1"/>
          <w:sz w:val="22"/>
          <w:szCs w:val="22"/>
        </w:rPr>
        <w:t>l</w:t>
      </w:r>
      <w:r w:rsidRPr="00254B55">
        <w:rPr>
          <w:rFonts w:ascii="Trebuchet MS" w:eastAsia="Calibri" w:hAnsi="Trebuchet MS" w:cs="Arial"/>
          <w:sz w:val="22"/>
          <w:szCs w:val="22"/>
        </w:rPr>
        <w:t>ă</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w:t>
      </w:r>
      <w:r w:rsidRPr="00254B55">
        <w:rPr>
          <w:rFonts w:ascii="Trebuchet MS" w:eastAsia="Calibri" w:hAnsi="Trebuchet MS" w:cs="Arial"/>
          <w:spacing w:val="-1"/>
          <w:sz w:val="22"/>
          <w:szCs w:val="22"/>
        </w:rPr>
        <w:t>m</w:t>
      </w:r>
      <w:r w:rsidRPr="00254B55">
        <w:rPr>
          <w:rFonts w:ascii="Trebuchet MS" w:eastAsia="Calibri" w:hAnsi="Trebuchet MS" w:cs="Arial"/>
          <w:spacing w:val="1"/>
          <w:sz w:val="22"/>
          <w:szCs w:val="22"/>
        </w:rPr>
        <w:t>o</w:t>
      </w:r>
      <w:r w:rsidRPr="00254B55">
        <w:rPr>
          <w:rFonts w:ascii="Trebuchet MS" w:eastAsia="Calibri" w:hAnsi="Trebuchet MS" w:cs="Arial"/>
          <w:spacing w:val="-3"/>
          <w:sz w:val="22"/>
          <w:szCs w:val="22"/>
        </w:rPr>
        <w:t>n</w:t>
      </w:r>
      <w:r w:rsidRPr="00254B55">
        <w:rPr>
          <w:rFonts w:ascii="Trebuchet MS" w:eastAsia="Calibri" w:hAnsi="Trebuchet MS" w:cs="Arial"/>
          <w:sz w:val="22"/>
          <w:szCs w:val="22"/>
        </w:rPr>
        <w:t>strat</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că</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ar</w:t>
      </w:r>
      <w:r w:rsidRPr="00254B55">
        <w:rPr>
          <w:rFonts w:ascii="Trebuchet MS" w:eastAsia="Calibri" w:hAnsi="Trebuchet MS" w:cs="Arial"/>
          <w:spacing w:val="-1"/>
          <w:sz w:val="22"/>
          <w:szCs w:val="22"/>
        </w:rPr>
        <w:t>i</w:t>
      </w:r>
      <w:r w:rsidRPr="00254B55">
        <w:rPr>
          <w:rFonts w:ascii="Trebuchet MS" w:eastAsia="Calibri" w:hAnsi="Trebuchet MS" w:cs="Arial"/>
          <w:sz w:val="22"/>
          <w:szCs w:val="22"/>
        </w:rPr>
        <w:t>ţia</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nund</w:t>
      </w:r>
      <w:r w:rsidRPr="00254B55">
        <w:rPr>
          <w:rFonts w:ascii="Trebuchet MS" w:eastAsia="Calibri" w:hAnsi="Trebuchet MS" w:cs="Arial"/>
          <w:sz w:val="22"/>
          <w:szCs w:val="22"/>
        </w:rPr>
        <w:t>aţii</w:t>
      </w:r>
      <w:r w:rsidRPr="00254B55">
        <w:rPr>
          <w:rFonts w:ascii="Trebuchet MS" w:eastAsia="Calibri" w:hAnsi="Trebuchet MS" w:cs="Arial"/>
          <w:spacing w:val="-1"/>
          <w:sz w:val="22"/>
          <w:szCs w:val="22"/>
        </w:rPr>
        <w:t>lo</w:t>
      </w:r>
      <w:r w:rsidRPr="00254B55">
        <w:rPr>
          <w:rFonts w:ascii="Trebuchet MS" w:eastAsia="Calibri" w:hAnsi="Trebuchet MS" w:cs="Arial"/>
          <w:sz w:val="22"/>
          <w:szCs w:val="22"/>
        </w:rPr>
        <w:t>r</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 xml:space="preserve">u </w:t>
      </w:r>
      <w:r w:rsidRPr="00254B55">
        <w:rPr>
          <w:rFonts w:ascii="Trebuchet MS" w:eastAsia="Calibri" w:hAnsi="Trebuchet MS" w:cs="Arial"/>
          <w:spacing w:val="-1"/>
          <w:sz w:val="22"/>
          <w:szCs w:val="22"/>
        </w:rPr>
        <w:t>p</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ate</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fi e</w:t>
      </w:r>
      <w:r w:rsidRPr="00254B55">
        <w:rPr>
          <w:rFonts w:ascii="Trebuchet MS" w:eastAsia="Calibri" w:hAnsi="Trebuchet MS" w:cs="Arial"/>
          <w:spacing w:val="1"/>
          <w:sz w:val="22"/>
          <w:szCs w:val="22"/>
        </w:rPr>
        <w:t>v</w:t>
      </w:r>
      <w:r w:rsidRPr="00254B55">
        <w:rPr>
          <w:rFonts w:ascii="Trebuchet MS" w:eastAsia="Calibri" w:hAnsi="Trebuchet MS" w:cs="Arial"/>
          <w:spacing w:val="-3"/>
          <w:sz w:val="22"/>
          <w:szCs w:val="22"/>
        </w:rPr>
        <w:t>i</w:t>
      </w:r>
      <w:r w:rsidRPr="00254B55">
        <w:rPr>
          <w:rFonts w:ascii="Trebuchet MS" w:eastAsia="Calibri" w:hAnsi="Trebuchet MS" w:cs="Arial"/>
          <w:sz w:val="22"/>
          <w:szCs w:val="22"/>
        </w:rPr>
        <w:t>tat</w:t>
      </w:r>
      <w:r w:rsidRPr="00254B55">
        <w:rPr>
          <w:rFonts w:ascii="Trebuchet MS" w:eastAsia="Calibri" w:hAnsi="Trebuchet MS" w:cs="Arial"/>
          <w:spacing w:val="-3"/>
          <w:sz w:val="22"/>
          <w:szCs w:val="22"/>
        </w:rPr>
        <w:t>ă</w:t>
      </w:r>
      <w:r w:rsidRPr="00254B55">
        <w:rPr>
          <w:rFonts w:ascii="Trebuchet MS" w:eastAsia="Calibri" w:hAnsi="Trebuchet MS" w:cs="Arial"/>
          <w:sz w:val="22"/>
          <w:szCs w:val="22"/>
        </w:rPr>
        <w:t>, î</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să</w:t>
      </w:r>
      <w:r w:rsidRPr="00254B55">
        <w:rPr>
          <w:rFonts w:ascii="Trebuchet MS" w:eastAsia="Calibri" w:hAnsi="Trebuchet MS" w:cs="Arial"/>
          <w:spacing w:val="3"/>
          <w:sz w:val="22"/>
          <w:szCs w:val="22"/>
        </w:rPr>
        <w:t xml:space="preserve"> </w:t>
      </w:r>
      <w:r w:rsidRPr="00254B55">
        <w:rPr>
          <w:rFonts w:ascii="Trebuchet MS" w:eastAsia="Calibri" w:hAnsi="Trebuchet MS" w:cs="Arial"/>
          <w:sz w:val="22"/>
          <w:szCs w:val="22"/>
        </w:rPr>
        <w:t>ele</w:t>
      </w:r>
      <w:r w:rsidRPr="00254B55">
        <w:rPr>
          <w:rFonts w:ascii="Trebuchet MS" w:eastAsia="Calibri" w:hAnsi="Trebuchet MS" w:cs="Arial"/>
          <w:spacing w:val="4"/>
          <w:sz w:val="22"/>
          <w:szCs w:val="22"/>
        </w:rPr>
        <w:t xml:space="preserve"> </w:t>
      </w:r>
      <w:r w:rsidRPr="00254B55">
        <w:rPr>
          <w:rFonts w:ascii="Trebuchet MS" w:eastAsia="Calibri" w:hAnsi="Trebuchet MS" w:cs="Arial"/>
          <w:spacing w:val="-3"/>
          <w:sz w:val="22"/>
          <w:szCs w:val="22"/>
        </w:rPr>
        <w:t>p</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t</w:t>
      </w:r>
      <w:r w:rsidRPr="00254B55">
        <w:rPr>
          <w:rFonts w:ascii="Trebuchet MS" w:eastAsia="Calibri" w:hAnsi="Trebuchet MS" w:cs="Arial"/>
          <w:spacing w:val="4"/>
          <w:sz w:val="22"/>
          <w:szCs w:val="22"/>
        </w:rPr>
        <w:t xml:space="preserve"> </w:t>
      </w:r>
      <w:r w:rsidRPr="00254B55">
        <w:rPr>
          <w:rFonts w:ascii="Trebuchet MS" w:eastAsia="Calibri" w:hAnsi="Trebuchet MS" w:cs="Arial"/>
          <w:sz w:val="22"/>
          <w:szCs w:val="22"/>
        </w:rPr>
        <w:t>fi</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1"/>
          <w:sz w:val="22"/>
          <w:szCs w:val="22"/>
        </w:rPr>
        <w:t>g</w:t>
      </w:r>
      <w:r w:rsidRPr="00254B55">
        <w:rPr>
          <w:rFonts w:ascii="Trebuchet MS" w:eastAsia="Calibri" w:hAnsi="Trebuchet MS" w:cs="Arial"/>
          <w:spacing w:val="-2"/>
          <w:sz w:val="22"/>
          <w:szCs w:val="22"/>
        </w:rPr>
        <w:t>e</w:t>
      </w:r>
      <w:r w:rsidRPr="00254B55">
        <w:rPr>
          <w:rFonts w:ascii="Trebuchet MS" w:eastAsia="Calibri" w:hAnsi="Trebuchet MS" w:cs="Arial"/>
          <w:sz w:val="22"/>
          <w:szCs w:val="22"/>
        </w:rPr>
        <w:t>st</w:t>
      </w:r>
      <w:r w:rsidRPr="00254B55">
        <w:rPr>
          <w:rFonts w:ascii="Trebuchet MS" w:eastAsia="Calibri" w:hAnsi="Trebuchet MS" w:cs="Arial"/>
          <w:spacing w:val="-2"/>
          <w:sz w:val="22"/>
          <w:szCs w:val="22"/>
        </w:rPr>
        <w:t>i</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a</w:t>
      </w:r>
      <w:r w:rsidRPr="00254B55">
        <w:rPr>
          <w:rFonts w:ascii="Trebuchet MS" w:eastAsia="Calibri" w:hAnsi="Trebuchet MS" w:cs="Arial"/>
          <w:spacing w:val="4"/>
          <w:sz w:val="22"/>
          <w:szCs w:val="22"/>
        </w:rPr>
        <w:t>t</w:t>
      </w:r>
      <w:r w:rsidRPr="00254B55">
        <w:rPr>
          <w:rFonts w:ascii="Trebuchet MS" w:eastAsia="Calibri" w:hAnsi="Trebuchet MS" w:cs="Arial"/>
          <w:sz w:val="22"/>
          <w:szCs w:val="22"/>
        </w:rPr>
        <w:t>e,</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iar</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ef</w:t>
      </w:r>
      <w:r w:rsidRPr="00254B55">
        <w:rPr>
          <w:rFonts w:ascii="Trebuchet MS" w:eastAsia="Calibri" w:hAnsi="Trebuchet MS" w:cs="Arial"/>
          <w:spacing w:val="1"/>
          <w:sz w:val="22"/>
          <w:szCs w:val="22"/>
        </w:rPr>
        <w:t>e</w:t>
      </w:r>
      <w:r w:rsidRPr="00254B55">
        <w:rPr>
          <w:rFonts w:ascii="Trebuchet MS" w:eastAsia="Calibri" w:hAnsi="Trebuchet MS" w:cs="Arial"/>
          <w:spacing w:val="-2"/>
          <w:sz w:val="22"/>
          <w:szCs w:val="22"/>
        </w:rPr>
        <w:t>c</w:t>
      </w:r>
      <w:r w:rsidRPr="00254B55">
        <w:rPr>
          <w:rFonts w:ascii="Trebuchet MS" w:eastAsia="Calibri" w:hAnsi="Trebuchet MS" w:cs="Arial"/>
          <w:sz w:val="22"/>
          <w:szCs w:val="22"/>
        </w:rPr>
        <w:t>t</w:t>
      </w:r>
      <w:r w:rsidRPr="00254B55">
        <w:rPr>
          <w:rFonts w:ascii="Trebuchet MS" w:eastAsia="Calibri" w:hAnsi="Trebuchet MS" w:cs="Arial"/>
          <w:spacing w:val="1"/>
          <w:sz w:val="22"/>
          <w:szCs w:val="22"/>
        </w:rPr>
        <w:t>e</w:t>
      </w:r>
      <w:r w:rsidRPr="00254B55">
        <w:rPr>
          <w:rFonts w:ascii="Trebuchet MS" w:eastAsia="Calibri" w:hAnsi="Trebuchet MS" w:cs="Arial"/>
          <w:sz w:val="22"/>
          <w:szCs w:val="22"/>
        </w:rPr>
        <w:t>le</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3"/>
          <w:sz w:val="22"/>
          <w:szCs w:val="22"/>
        </w:rPr>
        <w:t>p</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t</w:t>
      </w:r>
      <w:r w:rsidRPr="00254B55">
        <w:rPr>
          <w:rFonts w:ascii="Trebuchet MS" w:eastAsia="Calibri" w:hAnsi="Trebuchet MS" w:cs="Arial"/>
          <w:spacing w:val="4"/>
          <w:sz w:val="22"/>
          <w:szCs w:val="22"/>
        </w:rPr>
        <w:t xml:space="preserve"> </w:t>
      </w:r>
      <w:r w:rsidRPr="00254B55">
        <w:rPr>
          <w:rFonts w:ascii="Trebuchet MS" w:eastAsia="Calibri" w:hAnsi="Trebuchet MS" w:cs="Arial"/>
          <w:sz w:val="22"/>
          <w:szCs w:val="22"/>
        </w:rPr>
        <w:t>fi re</w:t>
      </w:r>
      <w:r w:rsidRPr="00254B55">
        <w:rPr>
          <w:rFonts w:ascii="Trebuchet MS" w:eastAsia="Calibri" w:hAnsi="Trebuchet MS" w:cs="Arial"/>
          <w:spacing w:val="-3"/>
          <w:sz w:val="22"/>
          <w:szCs w:val="22"/>
        </w:rPr>
        <w:t>d</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se</w:t>
      </w:r>
      <w:r w:rsidRPr="00254B55">
        <w:rPr>
          <w:rFonts w:ascii="Trebuchet MS" w:eastAsia="Calibri" w:hAnsi="Trebuchet MS" w:cs="Arial"/>
          <w:spacing w:val="4"/>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ri</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t</w:t>
      </w:r>
      <w:r w:rsidRPr="00254B55">
        <w:rPr>
          <w:rFonts w:ascii="Trebuchet MS" w:eastAsia="Calibri" w:hAnsi="Trebuchet MS" w:cs="Arial"/>
          <w:spacing w:val="7"/>
          <w:sz w:val="22"/>
          <w:szCs w:val="22"/>
        </w:rPr>
        <w:t>r</w:t>
      </w:r>
      <w:r w:rsidRPr="00254B55">
        <w:rPr>
          <w:rFonts w:ascii="Trebuchet MS" w:eastAsia="Calibri" w:hAnsi="Trebuchet MS" w:cs="Arial"/>
          <w:sz w:val="22"/>
          <w:szCs w:val="22"/>
        </w:rPr>
        <w:t>-</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n</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c</w:t>
      </w:r>
      <w:r w:rsidRPr="00254B55">
        <w:rPr>
          <w:rFonts w:ascii="Trebuchet MS" w:eastAsia="Calibri" w:hAnsi="Trebuchet MS" w:cs="Arial"/>
          <w:spacing w:val="-2"/>
          <w:sz w:val="22"/>
          <w:szCs w:val="22"/>
        </w:rPr>
        <w:t>e</w:t>
      </w:r>
      <w:r w:rsidRPr="00254B55">
        <w:rPr>
          <w:rFonts w:ascii="Trebuchet MS" w:eastAsia="Calibri" w:hAnsi="Trebuchet MS" w:cs="Arial"/>
          <w:sz w:val="22"/>
          <w:szCs w:val="22"/>
        </w:rPr>
        <w:t>s sist</w:t>
      </w:r>
      <w:r w:rsidRPr="00254B55">
        <w:rPr>
          <w:rFonts w:ascii="Trebuchet MS" w:eastAsia="Calibri" w:hAnsi="Trebuchet MS" w:cs="Arial"/>
          <w:spacing w:val="-2"/>
          <w:sz w:val="22"/>
          <w:szCs w:val="22"/>
        </w:rPr>
        <w:t>e</w:t>
      </w:r>
      <w:r w:rsidRPr="00254B55">
        <w:rPr>
          <w:rFonts w:ascii="Trebuchet MS" w:eastAsia="Calibri" w:hAnsi="Trebuchet MS" w:cs="Arial"/>
          <w:spacing w:val="1"/>
          <w:sz w:val="22"/>
          <w:szCs w:val="22"/>
        </w:rPr>
        <w:t>m</w:t>
      </w:r>
      <w:r w:rsidRPr="00254B55">
        <w:rPr>
          <w:rFonts w:ascii="Trebuchet MS" w:eastAsia="Calibri" w:hAnsi="Trebuchet MS" w:cs="Arial"/>
          <w:sz w:val="22"/>
          <w:szCs w:val="22"/>
        </w:rPr>
        <w:t>atic,</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rep</w:t>
      </w:r>
      <w:r w:rsidRPr="00254B55">
        <w:rPr>
          <w:rFonts w:ascii="Trebuchet MS" w:eastAsia="Calibri" w:hAnsi="Trebuchet MS" w:cs="Arial"/>
          <w:spacing w:val="-1"/>
          <w:sz w:val="22"/>
          <w:szCs w:val="22"/>
        </w:rPr>
        <w:t>r</w:t>
      </w:r>
      <w:r w:rsidRPr="00254B55">
        <w:rPr>
          <w:rFonts w:ascii="Trebuchet MS" w:eastAsia="Calibri" w:hAnsi="Trebuchet MS" w:cs="Arial"/>
          <w:sz w:val="22"/>
          <w:szCs w:val="22"/>
        </w:rPr>
        <w:t>e</w:t>
      </w:r>
      <w:r w:rsidRPr="00254B55">
        <w:rPr>
          <w:rFonts w:ascii="Trebuchet MS" w:eastAsia="Calibri" w:hAnsi="Trebuchet MS" w:cs="Arial"/>
          <w:spacing w:val="-3"/>
          <w:sz w:val="22"/>
          <w:szCs w:val="22"/>
        </w:rPr>
        <w:t>z</w:t>
      </w:r>
      <w:r w:rsidRPr="00254B55">
        <w:rPr>
          <w:rFonts w:ascii="Trebuchet MS" w:eastAsia="Calibri" w:hAnsi="Trebuchet MS" w:cs="Arial"/>
          <w:sz w:val="22"/>
          <w:szCs w:val="22"/>
        </w:rPr>
        <w:t>entat</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3"/>
          <w:sz w:val="22"/>
          <w:szCs w:val="22"/>
        </w:rPr>
        <w:t>d</w:t>
      </w:r>
      <w:r w:rsidRPr="00254B55">
        <w:rPr>
          <w:rFonts w:ascii="Trebuchet MS" w:eastAsia="Calibri" w:hAnsi="Trebuchet MS" w:cs="Arial"/>
          <w:sz w:val="22"/>
          <w:szCs w:val="22"/>
        </w:rPr>
        <w:t>e</w:t>
      </w:r>
      <w:r w:rsidRPr="00254B55">
        <w:rPr>
          <w:rFonts w:ascii="Trebuchet MS" w:eastAsia="Calibri" w:hAnsi="Trebuchet MS" w:cs="Arial"/>
          <w:spacing w:val="6"/>
          <w:sz w:val="22"/>
          <w:szCs w:val="22"/>
        </w:rPr>
        <w:t xml:space="preserve"> </w:t>
      </w:r>
      <w:r w:rsidRPr="00254B55">
        <w:rPr>
          <w:rFonts w:ascii="Trebuchet MS" w:eastAsia="Calibri" w:hAnsi="Trebuchet MS" w:cs="Arial"/>
          <w:spacing w:val="-1"/>
          <w:sz w:val="22"/>
          <w:szCs w:val="22"/>
        </w:rPr>
        <w:t>m</w:t>
      </w:r>
      <w:r w:rsidRPr="00254B55">
        <w:rPr>
          <w:rFonts w:ascii="Trebuchet MS" w:eastAsia="Calibri" w:hAnsi="Trebuchet MS" w:cs="Arial"/>
          <w:sz w:val="22"/>
          <w:szCs w:val="22"/>
        </w:rPr>
        <w:t>ăs</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ri</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şi</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3"/>
          <w:sz w:val="22"/>
          <w:szCs w:val="22"/>
        </w:rPr>
        <w:t>a</w:t>
      </w:r>
      <w:r w:rsidRPr="00254B55">
        <w:rPr>
          <w:rFonts w:ascii="Trebuchet MS" w:eastAsia="Calibri" w:hAnsi="Trebuchet MS" w:cs="Arial"/>
          <w:sz w:val="22"/>
          <w:szCs w:val="22"/>
        </w:rPr>
        <w:t>cţiu</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i menite sa contribuie la diminuarea riscului asociat acestor fenomene.</w:t>
      </w:r>
    </w:p>
    <w:p w:rsidR="004250D1" w:rsidRPr="00254B55" w:rsidRDefault="004250D1" w:rsidP="006B1DFF">
      <w:pPr>
        <w:ind w:firstLine="709"/>
        <w:jc w:val="both"/>
        <w:rPr>
          <w:rFonts w:ascii="Trebuchet MS" w:eastAsia="Calibri" w:hAnsi="Trebuchet MS" w:cs="Arial"/>
          <w:sz w:val="22"/>
          <w:szCs w:val="22"/>
        </w:rPr>
      </w:pPr>
      <w:r w:rsidRPr="00254B55">
        <w:rPr>
          <w:rFonts w:ascii="Trebuchet MS" w:eastAsia="Calibri" w:hAnsi="Trebuchet MS" w:cs="Arial"/>
          <w:sz w:val="22"/>
          <w:szCs w:val="22"/>
        </w:rPr>
        <w:t>În urma anal</w:t>
      </w:r>
      <w:r w:rsidRPr="00254B55">
        <w:rPr>
          <w:rFonts w:ascii="Trebuchet MS" w:eastAsia="Calibri" w:hAnsi="Trebuchet MS" w:cs="Arial"/>
          <w:spacing w:val="-1"/>
          <w:sz w:val="22"/>
          <w:szCs w:val="22"/>
        </w:rPr>
        <w:t>iz</w:t>
      </w:r>
      <w:r w:rsidRPr="00254B55">
        <w:rPr>
          <w:rFonts w:ascii="Trebuchet MS" w:eastAsia="Calibri" w:hAnsi="Trebuchet MS" w:cs="Arial"/>
          <w:sz w:val="22"/>
          <w:szCs w:val="22"/>
        </w:rPr>
        <w:t>ăr</w:t>
      </w:r>
      <w:r w:rsidRPr="00254B55">
        <w:rPr>
          <w:rFonts w:ascii="Trebuchet MS" w:eastAsia="Calibri" w:hAnsi="Trebuchet MS" w:cs="Arial"/>
          <w:spacing w:val="-1"/>
          <w:sz w:val="22"/>
          <w:szCs w:val="22"/>
        </w:rPr>
        <w:t>i</w:t>
      </w:r>
      <w:r w:rsidRPr="00254B55">
        <w:rPr>
          <w:rFonts w:ascii="Trebuchet MS" w:eastAsia="Calibri" w:hAnsi="Trebuchet MS" w:cs="Arial"/>
          <w:sz w:val="22"/>
          <w:szCs w:val="22"/>
        </w:rPr>
        <w:t>i</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și</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rel</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crăr</w:t>
      </w:r>
      <w:r w:rsidRPr="00254B55">
        <w:rPr>
          <w:rFonts w:ascii="Trebuchet MS" w:eastAsia="Calibri" w:hAnsi="Trebuchet MS" w:cs="Arial"/>
          <w:spacing w:val="-1"/>
          <w:sz w:val="22"/>
          <w:szCs w:val="22"/>
        </w:rPr>
        <w:t>i</w:t>
      </w:r>
      <w:r w:rsidRPr="00254B55">
        <w:rPr>
          <w:rFonts w:ascii="Trebuchet MS" w:eastAsia="Calibri" w:hAnsi="Trebuchet MS" w:cs="Arial"/>
          <w:sz w:val="22"/>
          <w:szCs w:val="22"/>
        </w:rPr>
        <w:t>i</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1"/>
          <w:sz w:val="22"/>
          <w:szCs w:val="22"/>
        </w:rPr>
        <w:t>h</w:t>
      </w:r>
      <w:r w:rsidRPr="00254B55">
        <w:rPr>
          <w:rFonts w:ascii="Trebuchet MS" w:eastAsia="Calibri" w:hAnsi="Trebuchet MS" w:cs="Arial"/>
          <w:sz w:val="22"/>
          <w:szCs w:val="22"/>
        </w:rPr>
        <w:t>ărți</w:t>
      </w:r>
      <w:r w:rsidRPr="00254B55">
        <w:rPr>
          <w:rFonts w:ascii="Trebuchet MS" w:eastAsia="Calibri" w:hAnsi="Trebuchet MS" w:cs="Arial"/>
          <w:spacing w:val="-1"/>
          <w:sz w:val="22"/>
          <w:szCs w:val="22"/>
        </w:rPr>
        <w:t>l</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h</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z</w:t>
      </w:r>
      <w:r w:rsidRPr="00254B55">
        <w:rPr>
          <w:rFonts w:ascii="Trebuchet MS" w:eastAsia="Calibri" w:hAnsi="Trebuchet MS" w:cs="Arial"/>
          <w:sz w:val="22"/>
          <w:szCs w:val="22"/>
        </w:rPr>
        <w:t>ard și</w:t>
      </w:r>
      <w:r w:rsidRPr="00254B55">
        <w:rPr>
          <w:rFonts w:ascii="Trebuchet MS" w:eastAsia="Calibri" w:hAnsi="Trebuchet MS" w:cs="Arial"/>
          <w:spacing w:val="1"/>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risc</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la</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nund</w:t>
      </w:r>
      <w:r w:rsidRPr="00254B55">
        <w:rPr>
          <w:rFonts w:ascii="Trebuchet MS" w:eastAsia="Calibri" w:hAnsi="Trebuchet MS" w:cs="Arial"/>
          <w:sz w:val="22"/>
          <w:szCs w:val="22"/>
        </w:rPr>
        <w:t>ații</w:t>
      </w:r>
      <w:r w:rsidRPr="00254B55">
        <w:rPr>
          <w:rFonts w:ascii="Trebuchet MS" w:eastAsia="Calibri" w:hAnsi="Trebuchet MS" w:cs="Arial"/>
          <w:spacing w:val="1"/>
          <w:sz w:val="22"/>
          <w:szCs w:val="22"/>
        </w:rPr>
        <w:t xml:space="preserve"> elaborate la nivelul fiecărui bazin/spaţiu hidrorafic din Români</w:t>
      </w:r>
      <w:r w:rsidRPr="00254B55">
        <w:rPr>
          <w:rFonts w:ascii="Trebuchet MS" w:eastAsia="Calibri" w:hAnsi="Trebuchet MS" w:cs="Arial"/>
          <w:sz w:val="22"/>
          <w:szCs w:val="22"/>
        </w:rPr>
        <w:t>a, aferente  sc</w:t>
      </w:r>
      <w:r w:rsidRPr="00254B55">
        <w:rPr>
          <w:rFonts w:ascii="Trebuchet MS" w:eastAsia="Calibri" w:hAnsi="Trebuchet MS" w:cs="Arial"/>
          <w:spacing w:val="1"/>
          <w:sz w:val="22"/>
          <w:szCs w:val="22"/>
        </w:rPr>
        <w:t>e</w:t>
      </w:r>
      <w:r w:rsidRPr="00254B55">
        <w:rPr>
          <w:rFonts w:ascii="Trebuchet MS" w:eastAsia="Calibri" w:hAnsi="Trebuchet MS" w:cs="Arial"/>
          <w:spacing w:val="-1"/>
          <w:sz w:val="22"/>
          <w:szCs w:val="22"/>
        </w:rPr>
        <w:t>n</w:t>
      </w:r>
      <w:r w:rsidRPr="00254B55">
        <w:rPr>
          <w:rFonts w:ascii="Trebuchet MS" w:eastAsia="Calibri" w:hAnsi="Trebuchet MS" w:cs="Arial"/>
          <w:sz w:val="22"/>
          <w:szCs w:val="22"/>
        </w:rPr>
        <w:t>ar</w:t>
      </w:r>
      <w:r w:rsidRPr="00254B55">
        <w:rPr>
          <w:rFonts w:ascii="Trebuchet MS" w:eastAsia="Calibri" w:hAnsi="Trebuchet MS" w:cs="Arial"/>
          <w:spacing w:val="-1"/>
          <w:sz w:val="22"/>
          <w:szCs w:val="22"/>
        </w:rPr>
        <w:t>iu</w:t>
      </w:r>
      <w:r w:rsidRPr="00254B55">
        <w:rPr>
          <w:rFonts w:ascii="Trebuchet MS" w:eastAsia="Calibri" w:hAnsi="Trebuchet MS" w:cs="Arial"/>
          <w:sz w:val="22"/>
          <w:szCs w:val="22"/>
        </w:rPr>
        <w:t>l</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 xml:space="preserve"> m</w:t>
      </w:r>
      <w:r w:rsidRPr="00254B55">
        <w:rPr>
          <w:rFonts w:ascii="Trebuchet MS" w:eastAsia="Calibri" w:hAnsi="Trebuchet MS" w:cs="Arial"/>
          <w:sz w:val="22"/>
          <w:szCs w:val="22"/>
        </w:rPr>
        <w:t>ed</w:t>
      </w:r>
      <w:r w:rsidRPr="00254B55">
        <w:rPr>
          <w:rFonts w:ascii="Trebuchet MS" w:eastAsia="Calibri" w:hAnsi="Trebuchet MS" w:cs="Arial"/>
          <w:spacing w:val="-1"/>
          <w:sz w:val="22"/>
          <w:szCs w:val="22"/>
        </w:rPr>
        <w:t>i</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2"/>
          <w:sz w:val="22"/>
          <w:szCs w:val="22"/>
        </w:rPr>
        <w:t>c</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2"/>
          <w:sz w:val="22"/>
          <w:szCs w:val="22"/>
        </w:rPr>
        <w:t>e</w:t>
      </w:r>
      <w:r w:rsidRPr="00254B55">
        <w:rPr>
          <w:rFonts w:ascii="Trebuchet MS" w:eastAsia="Calibri" w:hAnsi="Trebuchet MS" w:cs="Arial"/>
          <w:sz w:val="22"/>
          <w:szCs w:val="22"/>
        </w:rPr>
        <w:t>sp</w:t>
      </w:r>
      <w:r w:rsidRPr="00254B55">
        <w:rPr>
          <w:rFonts w:ascii="Trebuchet MS" w:eastAsia="Calibri" w:hAnsi="Trebuchet MS" w:cs="Arial"/>
          <w:spacing w:val="-1"/>
          <w:sz w:val="22"/>
          <w:szCs w:val="22"/>
        </w:rPr>
        <w:t>unz</w:t>
      </w:r>
      <w:r w:rsidRPr="00254B55">
        <w:rPr>
          <w:rFonts w:ascii="Trebuchet MS" w:eastAsia="Calibri" w:hAnsi="Trebuchet MS" w:cs="Arial"/>
          <w:sz w:val="22"/>
          <w:szCs w:val="22"/>
        </w:rPr>
        <w:t>ăt</w:t>
      </w:r>
      <w:r w:rsidRPr="00254B55">
        <w:rPr>
          <w:rFonts w:ascii="Trebuchet MS" w:eastAsia="Calibri" w:hAnsi="Trebuchet MS" w:cs="Arial"/>
          <w:spacing w:val="1"/>
          <w:sz w:val="22"/>
          <w:szCs w:val="22"/>
        </w:rPr>
        <w:t>o</w:t>
      </w:r>
      <w:r w:rsidRPr="00254B55">
        <w:rPr>
          <w:rFonts w:ascii="Trebuchet MS" w:eastAsia="Calibri" w:hAnsi="Trebuchet MS" w:cs="Arial"/>
          <w:sz w:val="22"/>
          <w:szCs w:val="22"/>
        </w:rPr>
        <w:t>r</w:t>
      </w:r>
      <w:r w:rsidRPr="00254B55">
        <w:rPr>
          <w:rFonts w:ascii="Trebuchet MS" w:eastAsia="Calibri" w:hAnsi="Trebuchet MS" w:cs="Arial"/>
          <w:spacing w:val="5"/>
          <w:sz w:val="22"/>
          <w:szCs w:val="22"/>
        </w:rPr>
        <w:t xml:space="preserv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eb</w:t>
      </w:r>
      <w:r w:rsidRPr="00254B55">
        <w:rPr>
          <w:rFonts w:ascii="Trebuchet MS" w:eastAsia="Calibri" w:hAnsi="Trebuchet MS" w:cs="Arial"/>
          <w:spacing w:val="-1"/>
          <w:sz w:val="22"/>
          <w:szCs w:val="22"/>
        </w:rPr>
        <w:t>i</w:t>
      </w:r>
      <w:r w:rsidRPr="00254B55">
        <w:rPr>
          <w:rFonts w:ascii="Trebuchet MS" w:eastAsia="Calibri" w:hAnsi="Trebuchet MS" w:cs="Arial"/>
          <w:spacing w:val="1"/>
          <w:sz w:val="22"/>
          <w:szCs w:val="22"/>
        </w:rPr>
        <w:t>t</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l</w:t>
      </w:r>
      <w:r w:rsidRPr="00254B55">
        <w:rPr>
          <w:rFonts w:ascii="Trebuchet MS" w:eastAsia="Calibri" w:hAnsi="Trebuchet MS" w:cs="Arial"/>
          <w:spacing w:val="-1"/>
          <w:sz w:val="22"/>
          <w:szCs w:val="22"/>
        </w:rPr>
        <w:t>u</w:t>
      </w:r>
      <w:r w:rsidRPr="00254B55">
        <w:rPr>
          <w:rFonts w:ascii="Trebuchet MS" w:eastAsia="Calibri" w:hAnsi="Trebuchet MS" w:cs="Arial"/>
          <w:sz w:val="22"/>
          <w:szCs w:val="22"/>
        </w:rPr>
        <w:t xml:space="preserve">i </w:t>
      </w:r>
      <w:r w:rsidRPr="00254B55">
        <w:rPr>
          <w:rFonts w:ascii="Trebuchet MS" w:eastAsia="Calibri" w:hAnsi="Trebuchet MS" w:cs="Arial"/>
          <w:spacing w:val="1"/>
          <w:sz w:val="22"/>
          <w:szCs w:val="22"/>
        </w:rPr>
        <w:t>m</w:t>
      </w:r>
      <w:r w:rsidRPr="00254B55">
        <w:rPr>
          <w:rFonts w:ascii="Trebuchet MS" w:eastAsia="Calibri" w:hAnsi="Trebuchet MS" w:cs="Arial"/>
          <w:spacing w:val="-3"/>
          <w:sz w:val="22"/>
          <w:szCs w:val="22"/>
        </w:rPr>
        <w:t>a</w:t>
      </w:r>
      <w:r w:rsidRPr="00254B55">
        <w:rPr>
          <w:rFonts w:ascii="Trebuchet MS" w:eastAsia="Calibri" w:hAnsi="Trebuchet MS" w:cs="Arial"/>
          <w:sz w:val="22"/>
          <w:szCs w:val="22"/>
        </w:rPr>
        <w:t>xim</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cu</w:t>
      </w:r>
      <w:r w:rsidRPr="00254B55">
        <w:rPr>
          <w:rFonts w:ascii="Trebuchet MS" w:eastAsia="Calibri" w:hAnsi="Trebuchet MS" w:cs="Arial"/>
          <w:spacing w:val="2"/>
          <w:sz w:val="22"/>
          <w:szCs w:val="22"/>
        </w:rPr>
        <w:t xml:space="preserve"> </w:t>
      </w:r>
      <w:r w:rsidRPr="00254B55">
        <w:rPr>
          <w:rFonts w:ascii="Trebuchet MS" w:eastAsia="Calibri" w:hAnsi="Trebuchet MS" w:cs="Arial"/>
          <w:spacing w:val="-1"/>
          <w:sz w:val="22"/>
          <w:szCs w:val="22"/>
        </w:rPr>
        <w:t>p</w:t>
      </w:r>
      <w:r w:rsidRPr="00254B55">
        <w:rPr>
          <w:rFonts w:ascii="Trebuchet MS" w:eastAsia="Calibri" w:hAnsi="Trebuchet MS" w:cs="Arial"/>
          <w:sz w:val="22"/>
          <w:szCs w:val="22"/>
        </w:rPr>
        <w:t>r</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b</w:t>
      </w:r>
      <w:r w:rsidRPr="00254B55">
        <w:rPr>
          <w:rFonts w:ascii="Trebuchet MS" w:eastAsia="Calibri" w:hAnsi="Trebuchet MS" w:cs="Arial"/>
          <w:sz w:val="22"/>
          <w:szCs w:val="22"/>
        </w:rPr>
        <w:t>a</w:t>
      </w:r>
      <w:r w:rsidRPr="00254B55">
        <w:rPr>
          <w:rFonts w:ascii="Trebuchet MS" w:eastAsia="Calibri" w:hAnsi="Trebuchet MS" w:cs="Arial"/>
          <w:spacing w:val="-1"/>
          <w:sz w:val="22"/>
          <w:szCs w:val="22"/>
        </w:rPr>
        <w:t>b</w:t>
      </w:r>
      <w:r w:rsidRPr="00254B55">
        <w:rPr>
          <w:rFonts w:ascii="Trebuchet MS" w:eastAsia="Calibri" w:hAnsi="Trebuchet MS" w:cs="Arial"/>
          <w:sz w:val="22"/>
          <w:szCs w:val="22"/>
        </w:rPr>
        <w:t>ilita</w:t>
      </w:r>
      <w:r w:rsidRPr="00254B55">
        <w:rPr>
          <w:rFonts w:ascii="Trebuchet MS" w:eastAsia="Calibri" w:hAnsi="Trebuchet MS" w:cs="Arial"/>
          <w:spacing w:val="-2"/>
          <w:sz w:val="22"/>
          <w:szCs w:val="22"/>
        </w:rPr>
        <w:t>t</w:t>
      </w:r>
      <w:r w:rsidRPr="00254B55">
        <w:rPr>
          <w:rFonts w:ascii="Trebuchet MS" w:eastAsia="Calibri" w:hAnsi="Trebuchet MS" w:cs="Arial"/>
          <w:sz w:val="22"/>
          <w:szCs w:val="22"/>
        </w:rPr>
        <w:t>ea</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3"/>
          <w:sz w:val="22"/>
          <w:szCs w:val="22"/>
        </w:rPr>
        <w:t>d</w:t>
      </w:r>
      <w:r w:rsidRPr="00254B55">
        <w:rPr>
          <w:rFonts w:ascii="Trebuchet MS" w:eastAsia="Calibri" w:hAnsi="Trebuchet MS" w:cs="Arial"/>
          <w:sz w:val="22"/>
          <w:szCs w:val="22"/>
        </w:rPr>
        <w:t xml:space="preserve">e </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epăș</w:t>
      </w:r>
      <w:r w:rsidRPr="00254B55">
        <w:rPr>
          <w:rFonts w:ascii="Trebuchet MS" w:eastAsia="Calibri" w:hAnsi="Trebuchet MS" w:cs="Arial"/>
          <w:spacing w:val="-1"/>
          <w:sz w:val="22"/>
          <w:szCs w:val="22"/>
        </w:rPr>
        <w:t>i</w:t>
      </w:r>
      <w:r w:rsidRPr="00254B55">
        <w:rPr>
          <w:rFonts w:ascii="Trebuchet MS" w:eastAsia="Calibri" w:hAnsi="Trebuchet MS" w:cs="Arial"/>
          <w:sz w:val="22"/>
          <w:szCs w:val="22"/>
        </w:rPr>
        <w:t>re</w:t>
      </w:r>
      <w:r w:rsidRPr="00254B55">
        <w:rPr>
          <w:rFonts w:ascii="Trebuchet MS" w:eastAsia="Calibri" w:hAnsi="Trebuchet MS" w:cs="Arial"/>
          <w:spacing w:val="-3"/>
          <w:sz w:val="22"/>
          <w:szCs w:val="22"/>
        </w:rPr>
        <w:t xml:space="preserve"> </w:t>
      </w:r>
      <w:r w:rsidRPr="00254B55">
        <w:rPr>
          <w:rFonts w:ascii="Trebuchet MS" w:eastAsia="Calibri" w:hAnsi="Trebuchet MS" w:cs="Arial"/>
          <w:spacing w:val="1"/>
          <w:sz w:val="22"/>
          <w:szCs w:val="22"/>
        </w:rPr>
        <w:t>1</w:t>
      </w:r>
      <w:r w:rsidRPr="00254B55">
        <w:rPr>
          <w:rFonts w:ascii="Trebuchet MS" w:eastAsia="Calibri" w:hAnsi="Trebuchet MS" w:cs="Arial"/>
          <w:sz w:val="22"/>
          <w:szCs w:val="22"/>
        </w:rPr>
        <w:t>%,</w:t>
      </w:r>
      <w:r w:rsidRPr="00254B55">
        <w:rPr>
          <w:rFonts w:ascii="Trebuchet MS" w:eastAsia="Calibri" w:hAnsi="Trebuchet MS" w:cs="Arial"/>
          <w:spacing w:val="-3"/>
          <w:sz w:val="22"/>
          <w:szCs w:val="22"/>
        </w:rPr>
        <w:t xml:space="preserve"> </w:t>
      </w:r>
      <w:r w:rsidRPr="00254B55">
        <w:rPr>
          <w:rFonts w:ascii="Trebuchet MS" w:eastAsia="Calibri" w:hAnsi="Trebuchet MS" w:cs="Arial"/>
          <w:sz w:val="22"/>
          <w:szCs w:val="22"/>
        </w:rPr>
        <w:t>res</w:t>
      </w:r>
      <w:r w:rsidRPr="00254B55">
        <w:rPr>
          <w:rFonts w:ascii="Trebuchet MS" w:eastAsia="Calibri" w:hAnsi="Trebuchet MS" w:cs="Arial"/>
          <w:spacing w:val="-3"/>
          <w:sz w:val="22"/>
          <w:szCs w:val="22"/>
        </w:rPr>
        <w:t>p</w:t>
      </w:r>
      <w:r w:rsidRPr="00254B55">
        <w:rPr>
          <w:rFonts w:ascii="Trebuchet MS" w:eastAsia="Calibri" w:hAnsi="Trebuchet MS" w:cs="Arial"/>
          <w:sz w:val="22"/>
          <w:szCs w:val="22"/>
        </w:rPr>
        <w:t>ec</w:t>
      </w:r>
      <w:r w:rsidRPr="00254B55">
        <w:rPr>
          <w:rFonts w:ascii="Trebuchet MS" w:eastAsia="Calibri" w:hAnsi="Trebuchet MS" w:cs="Arial"/>
          <w:spacing w:val="1"/>
          <w:sz w:val="22"/>
          <w:szCs w:val="22"/>
        </w:rPr>
        <w:t>t</w:t>
      </w:r>
      <w:r w:rsidRPr="00254B55">
        <w:rPr>
          <w:rFonts w:ascii="Trebuchet MS" w:eastAsia="Calibri" w:hAnsi="Trebuchet MS" w:cs="Arial"/>
          <w:spacing w:val="-3"/>
          <w:sz w:val="22"/>
          <w:szCs w:val="22"/>
        </w:rPr>
        <w:t>i</w:t>
      </w:r>
      <w:r w:rsidRPr="00254B55">
        <w:rPr>
          <w:rFonts w:ascii="Trebuchet MS" w:eastAsia="Calibri" w:hAnsi="Trebuchet MS" w:cs="Arial"/>
          <w:sz w:val="22"/>
          <w:szCs w:val="22"/>
        </w:rPr>
        <w:t>v</w:t>
      </w:r>
      <w:r w:rsidRPr="00254B55">
        <w:rPr>
          <w:rFonts w:ascii="Trebuchet MS" w:eastAsia="Calibri" w:hAnsi="Trebuchet MS" w:cs="Arial"/>
          <w:spacing w:val="1"/>
          <w:sz w:val="22"/>
          <w:szCs w:val="22"/>
        </w:rPr>
        <w:t xml:space="preserve"> </w:t>
      </w:r>
      <w:r w:rsidRPr="00254B55">
        <w:rPr>
          <w:rFonts w:ascii="Trebuchet MS" w:eastAsia="Calibri" w:hAnsi="Trebuchet MS" w:cs="Arial"/>
          <w:sz w:val="22"/>
          <w:szCs w:val="22"/>
        </w:rPr>
        <w:t>i</w:t>
      </w:r>
      <w:r w:rsidRPr="00254B55">
        <w:rPr>
          <w:rFonts w:ascii="Trebuchet MS" w:eastAsia="Calibri" w:hAnsi="Trebuchet MS" w:cs="Arial"/>
          <w:spacing w:val="-1"/>
          <w:sz w:val="22"/>
          <w:szCs w:val="22"/>
        </w:rPr>
        <w:t>nu</w:t>
      </w:r>
      <w:r w:rsidRPr="00254B55">
        <w:rPr>
          <w:rFonts w:ascii="Trebuchet MS" w:eastAsia="Calibri" w:hAnsi="Trebuchet MS" w:cs="Arial"/>
          <w:spacing w:val="-3"/>
          <w:sz w:val="22"/>
          <w:szCs w:val="22"/>
        </w:rPr>
        <w:t>n</w:t>
      </w:r>
      <w:r w:rsidRPr="00254B55">
        <w:rPr>
          <w:rFonts w:ascii="Trebuchet MS" w:eastAsia="Calibri" w:hAnsi="Trebuchet MS" w:cs="Arial"/>
          <w:spacing w:val="-1"/>
          <w:sz w:val="22"/>
          <w:szCs w:val="22"/>
        </w:rPr>
        <w:t>d</w:t>
      </w:r>
      <w:r w:rsidRPr="00254B55">
        <w:rPr>
          <w:rFonts w:ascii="Trebuchet MS" w:eastAsia="Calibri" w:hAnsi="Trebuchet MS" w:cs="Arial"/>
          <w:sz w:val="22"/>
          <w:szCs w:val="22"/>
        </w:rPr>
        <w:t>ații</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care</w:t>
      </w:r>
      <w:r w:rsidRPr="00254B55">
        <w:rPr>
          <w:rFonts w:ascii="Trebuchet MS" w:eastAsia="Calibri" w:hAnsi="Trebuchet MS" w:cs="Arial"/>
          <w:spacing w:val="-4"/>
          <w:sz w:val="22"/>
          <w:szCs w:val="22"/>
        </w:rPr>
        <w:t xml:space="preserve"> </w:t>
      </w:r>
      <w:r w:rsidRPr="00254B55">
        <w:rPr>
          <w:rFonts w:ascii="Trebuchet MS" w:eastAsia="Calibri" w:hAnsi="Trebuchet MS" w:cs="Arial"/>
          <w:sz w:val="22"/>
          <w:szCs w:val="22"/>
        </w:rPr>
        <w:t>se</w:t>
      </w:r>
      <w:r w:rsidRPr="00254B55">
        <w:rPr>
          <w:rFonts w:ascii="Trebuchet MS" w:eastAsia="Calibri" w:hAnsi="Trebuchet MS" w:cs="Arial"/>
          <w:spacing w:val="-4"/>
          <w:sz w:val="22"/>
          <w:szCs w:val="22"/>
        </w:rPr>
        <w:t xml:space="preserve"> </w:t>
      </w:r>
      <w:r w:rsidRPr="00254B55">
        <w:rPr>
          <w:rFonts w:ascii="Trebuchet MS" w:eastAsia="Calibri" w:hAnsi="Trebuchet MS" w:cs="Arial"/>
          <w:spacing w:val="-1"/>
          <w:sz w:val="22"/>
          <w:szCs w:val="22"/>
        </w:rPr>
        <w:t>po</w:t>
      </w:r>
      <w:r w:rsidRPr="00254B55">
        <w:rPr>
          <w:rFonts w:ascii="Trebuchet MS" w:eastAsia="Calibri" w:hAnsi="Trebuchet MS" w:cs="Arial"/>
          <w:sz w:val="22"/>
          <w:szCs w:val="22"/>
        </w:rPr>
        <w:t>t</w:t>
      </w:r>
      <w:r w:rsidRPr="00254B55">
        <w:rPr>
          <w:rFonts w:ascii="Trebuchet MS" w:eastAsia="Calibri" w:hAnsi="Trebuchet MS" w:cs="Arial"/>
          <w:spacing w:val="-1"/>
          <w:sz w:val="22"/>
          <w:szCs w:val="22"/>
        </w:rPr>
        <w:t xml:space="preserve"> p</w:t>
      </w:r>
      <w:r w:rsidRPr="00254B55">
        <w:rPr>
          <w:rFonts w:ascii="Trebuchet MS" w:eastAsia="Calibri" w:hAnsi="Trebuchet MS" w:cs="Arial"/>
          <w:spacing w:val="-3"/>
          <w:sz w:val="22"/>
          <w:szCs w:val="22"/>
        </w:rPr>
        <w:t>r</w:t>
      </w:r>
      <w:r w:rsidRPr="00254B55">
        <w:rPr>
          <w:rFonts w:ascii="Trebuchet MS" w:eastAsia="Calibri" w:hAnsi="Trebuchet MS" w:cs="Arial"/>
          <w:spacing w:val="1"/>
          <w:sz w:val="22"/>
          <w:szCs w:val="22"/>
        </w:rPr>
        <w:t>o</w:t>
      </w:r>
      <w:r w:rsidRPr="00254B55">
        <w:rPr>
          <w:rFonts w:ascii="Trebuchet MS" w:eastAsia="Calibri" w:hAnsi="Trebuchet MS" w:cs="Arial"/>
          <w:spacing w:val="-1"/>
          <w:sz w:val="22"/>
          <w:szCs w:val="22"/>
        </w:rPr>
        <w:t>du</w:t>
      </w:r>
      <w:r w:rsidRPr="00254B55">
        <w:rPr>
          <w:rFonts w:ascii="Trebuchet MS" w:eastAsia="Calibri" w:hAnsi="Trebuchet MS" w:cs="Arial"/>
          <w:sz w:val="22"/>
          <w:szCs w:val="22"/>
        </w:rPr>
        <w:t>ce</w:t>
      </w:r>
      <w:r w:rsidRPr="00254B55">
        <w:rPr>
          <w:rFonts w:ascii="Trebuchet MS" w:eastAsia="Calibri" w:hAnsi="Trebuchet MS" w:cs="Arial"/>
          <w:spacing w:val="2"/>
          <w:sz w:val="22"/>
          <w:szCs w:val="22"/>
        </w:rPr>
        <w:t xml:space="preserve"> </w:t>
      </w:r>
      <w:r w:rsidRPr="00254B55">
        <w:rPr>
          <w:rFonts w:ascii="Trebuchet MS" w:eastAsia="Calibri" w:hAnsi="Trebuchet MS" w:cs="Arial"/>
          <w:sz w:val="22"/>
          <w:szCs w:val="22"/>
        </w:rPr>
        <w:t>în</w:t>
      </w:r>
      <w:r w:rsidRPr="00254B55">
        <w:rPr>
          <w:rFonts w:ascii="Trebuchet MS" w:eastAsia="Calibri" w:hAnsi="Trebuchet MS" w:cs="Arial"/>
          <w:spacing w:val="-5"/>
          <w:sz w:val="22"/>
          <w:szCs w:val="22"/>
        </w:rPr>
        <w:t xml:space="preserve"> </w:t>
      </w:r>
      <w:r w:rsidRPr="00254B55">
        <w:rPr>
          <w:rFonts w:ascii="Trebuchet MS" w:eastAsia="Calibri" w:hAnsi="Trebuchet MS" w:cs="Arial"/>
          <w:spacing w:val="-1"/>
          <w:sz w:val="22"/>
          <w:szCs w:val="22"/>
        </w:rPr>
        <w:t>m</w:t>
      </w:r>
      <w:r w:rsidRPr="00254B55">
        <w:rPr>
          <w:rFonts w:ascii="Trebuchet MS" w:eastAsia="Calibri" w:hAnsi="Trebuchet MS" w:cs="Arial"/>
          <w:sz w:val="22"/>
          <w:szCs w:val="22"/>
        </w:rPr>
        <w:t>ed</w:t>
      </w:r>
      <w:r w:rsidRPr="00254B55">
        <w:rPr>
          <w:rFonts w:ascii="Trebuchet MS" w:eastAsia="Calibri" w:hAnsi="Trebuchet MS" w:cs="Arial"/>
          <w:spacing w:val="-1"/>
          <w:sz w:val="22"/>
          <w:szCs w:val="22"/>
        </w:rPr>
        <w:t>i</w:t>
      </w:r>
      <w:r w:rsidRPr="00254B55">
        <w:rPr>
          <w:rFonts w:ascii="Trebuchet MS" w:eastAsia="Calibri" w:hAnsi="Trebuchet MS" w:cs="Arial"/>
          <w:sz w:val="22"/>
          <w:szCs w:val="22"/>
        </w:rPr>
        <w:t xml:space="preserve">e </w:t>
      </w:r>
      <w:r w:rsidRPr="00254B55">
        <w:rPr>
          <w:rFonts w:ascii="Trebuchet MS" w:eastAsia="Calibri" w:hAnsi="Trebuchet MS" w:cs="Arial"/>
          <w:b/>
          <w:sz w:val="22"/>
          <w:szCs w:val="22"/>
        </w:rPr>
        <w:t>o</w:t>
      </w:r>
      <w:r w:rsidRPr="00254B55">
        <w:rPr>
          <w:rFonts w:ascii="Trebuchet MS" w:eastAsia="Calibri" w:hAnsi="Trebuchet MS" w:cs="Arial"/>
          <w:b/>
          <w:spacing w:val="-5"/>
          <w:sz w:val="22"/>
          <w:szCs w:val="22"/>
        </w:rPr>
        <w:t xml:space="preserve"> </w:t>
      </w:r>
      <w:r w:rsidRPr="00254B55">
        <w:rPr>
          <w:rFonts w:ascii="Trebuchet MS" w:eastAsia="Calibri" w:hAnsi="Trebuchet MS" w:cs="Arial"/>
          <w:b/>
          <w:spacing w:val="-1"/>
          <w:sz w:val="22"/>
          <w:szCs w:val="22"/>
        </w:rPr>
        <w:t>da</w:t>
      </w:r>
      <w:r w:rsidRPr="00254B55">
        <w:rPr>
          <w:rFonts w:ascii="Trebuchet MS" w:eastAsia="Calibri" w:hAnsi="Trebuchet MS" w:cs="Arial"/>
          <w:b/>
          <w:sz w:val="22"/>
          <w:szCs w:val="22"/>
        </w:rPr>
        <w:t>ta</w:t>
      </w:r>
      <w:r w:rsidRPr="00254B55">
        <w:rPr>
          <w:rFonts w:ascii="Trebuchet MS" w:eastAsia="Calibri" w:hAnsi="Trebuchet MS" w:cs="Arial"/>
          <w:b/>
          <w:spacing w:val="-3"/>
          <w:sz w:val="22"/>
          <w:szCs w:val="22"/>
        </w:rPr>
        <w:t xml:space="preserve"> </w:t>
      </w:r>
      <w:r w:rsidRPr="00254B55">
        <w:rPr>
          <w:rFonts w:ascii="Trebuchet MS" w:eastAsia="Calibri" w:hAnsi="Trebuchet MS" w:cs="Arial"/>
          <w:b/>
          <w:spacing w:val="1"/>
          <w:sz w:val="22"/>
          <w:szCs w:val="22"/>
        </w:rPr>
        <w:t>l</w:t>
      </w:r>
      <w:r w:rsidRPr="00254B55">
        <w:rPr>
          <w:rFonts w:ascii="Trebuchet MS" w:eastAsia="Calibri" w:hAnsi="Trebuchet MS" w:cs="Arial"/>
          <w:b/>
          <w:sz w:val="22"/>
          <w:szCs w:val="22"/>
        </w:rPr>
        <w:t>a</w:t>
      </w:r>
      <w:r w:rsidRPr="00254B55">
        <w:rPr>
          <w:rFonts w:ascii="Trebuchet MS" w:eastAsia="Calibri" w:hAnsi="Trebuchet MS" w:cs="Arial"/>
          <w:b/>
          <w:spacing w:val="-5"/>
          <w:sz w:val="22"/>
          <w:szCs w:val="22"/>
        </w:rPr>
        <w:t xml:space="preserve"> </w:t>
      </w:r>
      <w:r w:rsidRPr="00254B55">
        <w:rPr>
          <w:rFonts w:ascii="Trebuchet MS" w:eastAsia="Calibri" w:hAnsi="Trebuchet MS" w:cs="Arial"/>
          <w:b/>
          <w:spacing w:val="1"/>
          <w:sz w:val="22"/>
          <w:szCs w:val="22"/>
        </w:rPr>
        <w:t>1</w:t>
      </w:r>
      <w:r w:rsidRPr="00254B55">
        <w:rPr>
          <w:rFonts w:ascii="Trebuchet MS" w:eastAsia="Calibri" w:hAnsi="Trebuchet MS" w:cs="Arial"/>
          <w:b/>
          <w:spacing w:val="-2"/>
          <w:sz w:val="22"/>
          <w:szCs w:val="22"/>
        </w:rPr>
        <w:t>0</w:t>
      </w:r>
      <w:r w:rsidRPr="00254B55">
        <w:rPr>
          <w:rFonts w:ascii="Trebuchet MS" w:eastAsia="Calibri" w:hAnsi="Trebuchet MS" w:cs="Arial"/>
          <w:b/>
          <w:sz w:val="22"/>
          <w:szCs w:val="22"/>
        </w:rPr>
        <w:t xml:space="preserve">0 </w:t>
      </w:r>
      <w:r w:rsidRPr="00254B55">
        <w:rPr>
          <w:rFonts w:ascii="Trebuchet MS" w:eastAsia="Calibri" w:hAnsi="Trebuchet MS" w:cs="Arial"/>
          <w:b/>
          <w:spacing w:val="-1"/>
          <w:sz w:val="22"/>
          <w:szCs w:val="22"/>
        </w:rPr>
        <w:t>d</w:t>
      </w:r>
      <w:r w:rsidRPr="00254B55">
        <w:rPr>
          <w:rFonts w:ascii="Trebuchet MS" w:eastAsia="Calibri" w:hAnsi="Trebuchet MS" w:cs="Arial"/>
          <w:b/>
          <w:sz w:val="22"/>
          <w:szCs w:val="22"/>
        </w:rPr>
        <w:t>e</w:t>
      </w:r>
      <w:r w:rsidRPr="00254B55">
        <w:rPr>
          <w:rFonts w:ascii="Trebuchet MS" w:eastAsia="Calibri" w:hAnsi="Trebuchet MS" w:cs="Arial"/>
          <w:b/>
          <w:spacing w:val="-1"/>
          <w:sz w:val="22"/>
          <w:szCs w:val="22"/>
        </w:rPr>
        <w:t xml:space="preserve"> </w:t>
      </w:r>
      <w:r w:rsidRPr="00254B55">
        <w:rPr>
          <w:rFonts w:ascii="Trebuchet MS" w:eastAsia="Calibri" w:hAnsi="Trebuchet MS" w:cs="Arial"/>
          <w:b/>
          <w:sz w:val="22"/>
          <w:szCs w:val="22"/>
        </w:rPr>
        <w:t>a</w:t>
      </w:r>
      <w:r w:rsidRPr="00254B55">
        <w:rPr>
          <w:rFonts w:ascii="Trebuchet MS" w:eastAsia="Calibri" w:hAnsi="Trebuchet MS" w:cs="Arial"/>
          <w:b/>
          <w:spacing w:val="-1"/>
          <w:sz w:val="22"/>
          <w:szCs w:val="22"/>
        </w:rPr>
        <w:t>n</w:t>
      </w:r>
      <w:r w:rsidRPr="00254B55">
        <w:rPr>
          <w:rFonts w:ascii="Trebuchet MS" w:eastAsia="Calibri" w:hAnsi="Trebuchet MS" w:cs="Arial"/>
          <w:b/>
          <w:spacing w:val="1"/>
          <w:sz w:val="22"/>
          <w:szCs w:val="22"/>
        </w:rPr>
        <w:t>i</w:t>
      </w:r>
      <w:r w:rsidRPr="00254B55">
        <w:rPr>
          <w:rFonts w:ascii="Trebuchet MS" w:eastAsia="Calibri" w:hAnsi="Trebuchet MS" w:cs="Arial"/>
          <w:sz w:val="22"/>
          <w:szCs w:val="22"/>
        </w:rPr>
        <w:t xml:space="preserve"> a rezultat, pentru teritoriul ţării, o serie de date şi informaţii care constituie o serie  indicatori care descriu consecinţele pe care inundaţiile le pot avea asupra populaţiei şi mediului înconjurător:</w:t>
      </w:r>
    </w:p>
    <w:p w:rsidR="004250D1" w:rsidRPr="00254B55" w:rsidRDefault="004250D1" w:rsidP="006B1DFF">
      <w:pPr>
        <w:widowControl w:val="0"/>
        <w:numPr>
          <w:ilvl w:val="0"/>
          <w:numId w:val="50"/>
        </w:numPr>
        <w:tabs>
          <w:tab w:val="left" w:pos="1021"/>
        </w:tabs>
        <w:spacing w:line="276" w:lineRule="auto"/>
        <w:jc w:val="both"/>
        <w:rPr>
          <w:rFonts w:ascii="Trebuchet MS" w:hAnsi="Trebuchet MS" w:cs="Arial"/>
          <w:sz w:val="22"/>
          <w:szCs w:val="22"/>
        </w:rPr>
      </w:pPr>
      <w:r w:rsidRPr="00254B55">
        <w:rPr>
          <w:rFonts w:ascii="Trebuchet MS" w:hAnsi="Trebuchet MS" w:cs="Arial"/>
          <w:sz w:val="22"/>
          <w:szCs w:val="22"/>
        </w:rPr>
        <w:t>Populaţia potențial afectată în acest scenariu se regăsește repartizată în aproximativ 3.547 de localități răspândite pe întreg teritoriul țării noastre si reprezintă cca. 4% (aproximativ 830.000 loc. din totalul populaţiei României); cele  mai  afectate  județe  din  punct  de  vedere  al  populației  situate  în interiorul zonelor inundabile sunt: Bihor, Mureș, Brașov și Cluj;</w:t>
      </w:r>
    </w:p>
    <w:p w:rsidR="004250D1" w:rsidRPr="00254B55" w:rsidRDefault="004250D1" w:rsidP="006B1DFF">
      <w:pPr>
        <w:widowControl w:val="0"/>
        <w:numPr>
          <w:ilvl w:val="0"/>
          <w:numId w:val="50"/>
        </w:numPr>
        <w:tabs>
          <w:tab w:val="left" w:pos="1021"/>
        </w:tabs>
        <w:spacing w:line="276" w:lineRule="auto"/>
        <w:jc w:val="both"/>
        <w:rPr>
          <w:rFonts w:ascii="Trebuchet MS" w:hAnsi="Trebuchet MS" w:cs="Arial"/>
          <w:sz w:val="22"/>
          <w:szCs w:val="22"/>
        </w:rPr>
      </w:pPr>
      <w:r w:rsidRPr="00254B55">
        <w:rPr>
          <w:rFonts w:ascii="Trebuchet MS" w:hAnsi="Trebuchet MS" w:cs="Arial"/>
          <w:sz w:val="22"/>
          <w:szCs w:val="22"/>
        </w:rPr>
        <w:t>32 de instalaţii I.E.D (instalaţii privind emisiile industriale – desemnate prin Directiva „Industrial Emissions Directive”) sunt supuse riscului de a fi inundate pe teritoriul României;</w:t>
      </w:r>
    </w:p>
    <w:p w:rsidR="004250D1" w:rsidRPr="00254B55" w:rsidRDefault="004250D1" w:rsidP="006B1DFF">
      <w:pPr>
        <w:widowControl w:val="0"/>
        <w:numPr>
          <w:ilvl w:val="0"/>
          <w:numId w:val="50"/>
        </w:numPr>
        <w:tabs>
          <w:tab w:val="left" w:pos="1021"/>
        </w:tabs>
        <w:spacing w:line="276" w:lineRule="auto"/>
        <w:jc w:val="both"/>
        <w:rPr>
          <w:rFonts w:ascii="Trebuchet MS" w:hAnsi="Trebuchet MS" w:cs="Arial"/>
          <w:sz w:val="22"/>
          <w:szCs w:val="22"/>
        </w:rPr>
      </w:pPr>
      <w:r w:rsidRPr="00254B55">
        <w:rPr>
          <w:rFonts w:ascii="Trebuchet MS" w:hAnsi="Trebuchet MS" w:cs="Arial"/>
          <w:sz w:val="22"/>
          <w:szCs w:val="22"/>
        </w:rPr>
        <w:t>Siturile de importanţă comunitară SCI, ariile de protecţie specială avifaunistică SPA, habitate, zone vulnerabile; la nivelul ţării  469  de zone protejate se regăsesc în zone inundabile, detaliate astfel: 204 zone protejate pentru captarea apei  în scopul consumului uman; 79 de arii de protecţie specială avifaunistică (SPA), 86 de situri de importanta comunitară (SCI), şi 100 de arii naturale protejate  de interes national;</w:t>
      </w:r>
    </w:p>
    <w:p w:rsidR="004250D1" w:rsidRPr="00254B55" w:rsidRDefault="004250D1" w:rsidP="006B1DFF">
      <w:pPr>
        <w:widowControl w:val="0"/>
        <w:numPr>
          <w:ilvl w:val="0"/>
          <w:numId w:val="50"/>
        </w:numPr>
        <w:tabs>
          <w:tab w:val="left" w:pos="1021"/>
        </w:tabs>
        <w:spacing w:line="276" w:lineRule="auto"/>
        <w:jc w:val="both"/>
        <w:rPr>
          <w:rFonts w:ascii="Trebuchet MS" w:hAnsi="Trebuchet MS" w:cs="Arial"/>
          <w:sz w:val="22"/>
          <w:szCs w:val="22"/>
        </w:rPr>
      </w:pPr>
      <w:r w:rsidRPr="00254B55">
        <w:rPr>
          <w:rFonts w:ascii="Trebuchet MS" w:hAnsi="Trebuchet MS" w:cs="Arial"/>
          <w:sz w:val="22"/>
          <w:szCs w:val="22"/>
        </w:rPr>
        <w:t>Infrastructura afectată: aproximativ 700 km de cale ferată ar putea fi  afectată de inundaţii, 700 km de drum national/european; 1300 km de drum judeţean şi 1000 km de drum comunal;</w:t>
      </w:r>
    </w:p>
    <w:p w:rsidR="004250D1" w:rsidRPr="00254B55" w:rsidRDefault="004250D1" w:rsidP="006B1DFF">
      <w:pPr>
        <w:widowControl w:val="0"/>
        <w:numPr>
          <w:ilvl w:val="0"/>
          <w:numId w:val="50"/>
        </w:numPr>
        <w:tabs>
          <w:tab w:val="left" w:pos="1021"/>
        </w:tabs>
        <w:spacing w:line="276" w:lineRule="auto"/>
        <w:jc w:val="both"/>
        <w:rPr>
          <w:rFonts w:ascii="Trebuchet MS" w:hAnsi="Trebuchet MS" w:cs="Arial"/>
          <w:sz w:val="22"/>
          <w:szCs w:val="22"/>
        </w:rPr>
      </w:pPr>
      <w:r w:rsidRPr="00254B55">
        <w:rPr>
          <w:rFonts w:ascii="Trebuchet MS" w:hAnsi="Trebuchet MS" w:cs="Arial"/>
          <w:sz w:val="22"/>
          <w:szCs w:val="22"/>
        </w:rPr>
        <w:t>Patrimoniului cultural poate fi afectat de efectele negative ale inundaţiilor. În acest sens pentru România au fost luate în considerare bisericile, monumentele şi muzeele aflate în interiorul zonelor inundabile, rezultând astfel cca. 293 de biserici, 13 muzee şi 15 monumente culturale.</w:t>
      </w:r>
    </w:p>
    <w:p w:rsidR="00AE762B" w:rsidRPr="00254B55" w:rsidRDefault="00AE762B" w:rsidP="006B1DFF">
      <w:pPr>
        <w:pStyle w:val="ListParagraph"/>
        <w:spacing w:line="276" w:lineRule="auto"/>
        <w:ind w:left="1440"/>
        <w:jc w:val="both"/>
        <w:rPr>
          <w:rFonts w:ascii="Trebuchet MS" w:hAnsi="Trebuchet MS" w:cs="Arial"/>
          <w:sz w:val="22"/>
          <w:szCs w:val="22"/>
          <w:lang w:val="pt-BR"/>
        </w:rPr>
      </w:pPr>
    </w:p>
    <w:p w:rsidR="00254B55" w:rsidRDefault="00254B55" w:rsidP="00E77B12">
      <w:pPr>
        <w:jc w:val="both"/>
        <w:rPr>
          <w:rFonts w:ascii="Trebuchet MS" w:hAnsi="Trebuchet MS"/>
          <w:b/>
        </w:rPr>
      </w:pPr>
    </w:p>
    <w:p w:rsidR="00254B55" w:rsidRDefault="00254B55" w:rsidP="00E77B12">
      <w:pPr>
        <w:jc w:val="both"/>
        <w:rPr>
          <w:rFonts w:ascii="Trebuchet MS" w:hAnsi="Trebuchet MS"/>
          <w:b/>
        </w:rPr>
      </w:pPr>
    </w:p>
    <w:p w:rsidR="00254B55" w:rsidRDefault="00254B55" w:rsidP="00E77B12">
      <w:pPr>
        <w:jc w:val="both"/>
        <w:rPr>
          <w:rFonts w:ascii="Trebuchet MS" w:hAnsi="Trebuchet MS"/>
          <w:b/>
        </w:rPr>
      </w:pPr>
    </w:p>
    <w:p w:rsidR="00254B55" w:rsidRDefault="00254B55" w:rsidP="00E77B12">
      <w:pPr>
        <w:jc w:val="both"/>
        <w:rPr>
          <w:rFonts w:ascii="Trebuchet MS" w:hAnsi="Trebuchet MS"/>
          <w:b/>
        </w:rPr>
      </w:pPr>
    </w:p>
    <w:p w:rsidR="00254B55" w:rsidRDefault="00254B55" w:rsidP="00E77B12">
      <w:pPr>
        <w:jc w:val="both"/>
        <w:rPr>
          <w:rFonts w:ascii="Trebuchet MS" w:hAnsi="Trebuchet MS"/>
          <w:b/>
        </w:rPr>
      </w:pPr>
    </w:p>
    <w:p w:rsidR="00254B55" w:rsidRDefault="00254B55" w:rsidP="00E77B12">
      <w:pPr>
        <w:jc w:val="both"/>
        <w:rPr>
          <w:rFonts w:ascii="Trebuchet MS" w:hAnsi="Trebuchet MS"/>
          <w:b/>
        </w:rPr>
      </w:pPr>
    </w:p>
    <w:p w:rsidR="00254B55" w:rsidRDefault="00254B55" w:rsidP="00E77B12">
      <w:pPr>
        <w:jc w:val="both"/>
        <w:rPr>
          <w:rFonts w:ascii="Trebuchet MS" w:hAnsi="Trebuchet MS"/>
          <w:b/>
        </w:rPr>
      </w:pPr>
    </w:p>
    <w:p w:rsidR="00E77B12" w:rsidRPr="005D58EA" w:rsidRDefault="00E77B12" w:rsidP="00E77B12">
      <w:pPr>
        <w:jc w:val="both"/>
        <w:rPr>
          <w:rFonts w:ascii="Trebuchet MS" w:hAnsi="Trebuchet MS"/>
          <w:b/>
        </w:rPr>
      </w:pPr>
      <w:r w:rsidRPr="005D58EA">
        <w:rPr>
          <w:rFonts w:ascii="Trebuchet MS" w:hAnsi="Trebuchet MS"/>
          <w:b/>
        </w:rPr>
        <w:t>II.1.3. UTILIZAREA ȘI GESTIONAREA EFICIENTĂ A RESURSELOR DE APĂ</w:t>
      </w:r>
    </w:p>
    <w:p w:rsidR="00E77B12" w:rsidRPr="005D58EA" w:rsidRDefault="00E77B12" w:rsidP="00E77B12">
      <w:pPr>
        <w:pStyle w:val="1bullet"/>
        <w:numPr>
          <w:ilvl w:val="0"/>
          <w:numId w:val="0"/>
        </w:numPr>
        <w:spacing w:line="240" w:lineRule="auto"/>
        <w:ind w:firstLine="720"/>
        <w:rPr>
          <w:rFonts w:ascii="Trebuchet MS" w:eastAsia="Calibri" w:hAnsi="Trebuchet MS" w:cs="Arial"/>
          <w:sz w:val="22"/>
          <w:szCs w:val="22"/>
        </w:rPr>
      </w:pPr>
    </w:p>
    <w:p w:rsidR="00E77B12" w:rsidRPr="00254B55" w:rsidRDefault="00E77B12" w:rsidP="00E77B12">
      <w:pPr>
        <w:pStyle w:val="1bullet"/>
        <w:numPr>
          <w:ilvl w:val="0"/>
          <w:numId w:val="0"/>
        </w:numPr>
        <w:spacing w:line="240" w:lineRule="auto"/>
        <w:ind w:firstLine="720"/>
        <w:rPr>
          <w:rFonts w:ascii="Trebuchet MS" w:eastAsia="Calibri" w:hAnsi="Trebuchet MS" w:cs="Arial"/>
          <w:sz w:val="22"/>
          <w:szCs w:val="22"/>
        </w:rPr>
      </w:pPr>
      <w:r w:rsidRPr="00254B55">
        <w:rPr>
          <w:rFonts w:ascii="Trebuchet MS" w:eastAsia="Calibri" w:hAnsi="Trebuchet MS" w:cs="Arial"/>
          <w:sz w:val="22"/>
          <w:szCs w:val="22"/>
        </w:rPr>
        <w:t>Regimul hidrologic al râurilor României este direct influențat de precipitații, relief, soluri, vegetație și structura geologică, adică de mediul în care se formează, fapt deosebit de bine conturat în cadrul țării noastre. În afară de zonalitatea verticală a climei, o mare influență asupra regimului hidrologic o are zonalitatea climatică orizontală, în special regimul precipitațiilor și temperaturii aerului.</w:t>
      </w:r>
    </w:p>
    <w:p w:rsidR="00E77B12" w:rsidRPr="00254B55" w:rsidRDefault="00E77B12" w:rsidP="00E77B12">
      <w:pPr>
        <w:pStyle w:val="1bullet"/>
        <w:numPr>
          <w:ilvl w:val="0"/>
          <w:numId w:val="0"/>
        </w:numPr>
        <w:spacing w:line="240" w:lineRule="auto"/>
        <w:ind w:firstLine="720"/>
        <w:rPr>
          <w:rFonts w:ascii="Trebuchet MS" w:eastAsia="Calibri" w:hAnsi="Trebuchet MS" w:cs="Arial"/>
          <w:sz w:val="22"/>
          <w:szCs w:val="22"/>
        </w:rPr>
      </w:pPr>
      <w:r w:rsidRPr="00254B55">
        <w:rPr>
          <w:rFonts w:ascii="Trebuchet MS" w:eastAsia="Calibri" w:hAnsi="Trebuchet MS" w:cs="Arial"/>
          <w:sz w:val="22"/>
          <w:szCs w:val="22"/>
        </w:rPr>
        <w:t>Până în prezent studiile au arătat, de exemplu, că frecvența inundațiilor este mai mare în lunile de primăvară, martie-aprilie, și în cele de vară, iulie-august. Resursa de apă este mai redusă în lunile aprilie și septembrie și în acest caz eforturile de gestionare a acesteia trebuie orientate către asigurarea disponibilului de apă la sursă. O problemă actuală o reprezintă precipitațiile scurte de mare intensitate care conduc la creșterea numărului de hazarde de inundații de tip viituri rapide (flash flood).</w:t>
      </w:r>
    </w:p>
    <w:p w:rsidR="00E77B12" w:rsidRPr="00254B55" w:rsidRDefault="00E77B12" w:rsidP="00E77B12">
      <w:pPr>
        <w:pStyle w:val="1bullet"/>
        <w:numPr>
          <w:ilvl w:val="0"/>
          <w:numId w:val="0"/>
        </w:numPr>
        <w:spacing w:line="240" w:lineRule="auto"/>
        <w:ind w:firstLine="720"/>
        <w:rPr>
          <w:rFonts w:ascii="Trebuchet MS" w:eastAsia="Calibri" w:hAnsi="Trebuchet MS" w:cs="Arial"/>
          <w:sz w:val="22"/>
          <w:szCs w:val="22"/>
        </w:rPr>
      </w:pPr>
      <w:r w:rsidRPr="00254B55">
        <w:rPr>
          <w:rFonts w:ascii="Trebuchet MS" w:eastAsia="Calibri" w:hAnsi="Trebuchet MS" w:cs="Arial"/>
          <w:sz w:val="22"/>
          <w:szCs w:val="22"/>
        </w:rPr>
        <w:t>România este caracterizată printr-o distribuție neuniformă în spațiu a resurselor de apă ale râurilor, cele mai bogate fiind bazinele hidrografice cu suprafeţe relativ mici, dar cu altitudini mari, iar cele mai sărace în resursele de apă sunt bazinele afluenților direcți ai fluviului Dunărea și ai Litoralului. În ceea ce privește distribuția în timp, resursele de apă ale râurilor au mari variații sezoniere.</w:t>
      </w:r>
    </w:p>
    <w:p w:rsidR="00E77B12" w:rsidRPr="00254B55" w:rsidRDefault="00E77B12" w:rsidP="00E77B12">
      <w:pPr>
        <w:pStyle w:val="1text0"/>
        <w:spacing w:before="0" w:after="0" w:line="240" w:lineRule="auto"/>
        <w:ind w:firstLine="720"/>
        <w:rPr>
          <w:rFonts w:ascii="Trebuchet MS" w:eastAsia="Calibri" w:hAnsi="Trebuchet MS" w:cs="Arial"/>
          <w:sz w:val="22"/>
          <w:szCs w:val="22"/>
        </w:rPr>
      </w:pPr>
      <w:r w:rsidRPr="00254B55">
        <w:rPr>
          <w:rFonts w:ascii="Trebuchet MS" w:eastAsia="Calibri" w:hAnsi="Trebuchet MS" w:cs="Arial"/>
          <w:sz w:val="22"/>
          <w:szCs w:val="22"/>
        </w:rPr>
        <w:t>În ceea ce privește resursa de apă subterană acviferele capabile să asigure debite importante pentru alimentarea cu apă a populației sunt cele acumulate în formațiunile cuaternare din luncile inundabile, terasele și conurile aluviale ale râurilor.</w:t>
      </w:r>
    </w:p>
    <w:p w:rsidR="00E77B12" w:rsidRPr="00254B55" w:rsidRDefault="00E77B12" w:rsidP="00E77B12">
      <w:pPr>
        <w:pStyle w:val="1bullet"/>
        <w:numPr>
          <w:ilvl w:val="0"/>
          <w:numId w:val="0"/>
        </w:numPr>
        <w:spacing w:line="240" w:lineRule="auto"/>
        <w:ind w:firstLine="720"/>
        <w:rPr>
          <w:rFonts w:ascii="Trebuchet MS" w:eastAsia="Calibri" w:hAnsi="Trebuchet MS" w:cs="Arial"/>
          <w:sz w:val="22"/>
          <w:szCs w:val="22"/>
        </w:rPr>
      </w:pPr>
      <w:r w:rsidRPr="00254B55">
        <w:rPr>
          <w:rFonts w:ascii="Trebuchet MS" w:hAnsi="Trebuchet MS" w:cs="Arial"/>
          <w:sz w:val="22"/>
          <w:szCs w:val="22"/>
        </w:rPr>
        <w:t>Având în vedere caracterul limitat al resursei de apă subterană, direct dependentă de precipitații și de volumele exploatate, în general, apa freatică este utilizată pentru irigații și industrie iar pentru alimentarea populației sunt utilizate izvoare și apa subterană din acviferul de adâncime. Există zone unde acviferul freatic este folosit pentru alimentarea populației dar în procent scăzut. În situația în care resursa disponibilă este depășită de debitul anual captat pe termen lung, nivelul apelor subterane este supus modificărilor antropogenice care ar putea conduce la supraexploatare.</w:t>
      </w:r>
    </w:p>
    <w:p w:rsidR="00E77B12" w:rsidRPr="00254B55" w:rsidRDefault="00E77B12" w:rsidP="00E77B12">
      <w:pPr>
        <w:pStyle w:val="1bullet"/>
        <w:numPr>
          <w:ilvl w:val="0"/>
          <w:numId w:val="0"/>
        </w:numPr>
        <w:spacing w:line="240" w:lineRule="auto"/>
        <w:ind w:firstLine="720"/>
        <w:rPr>
          <w:rFonts w:ascii="Trebuchet MS" w:hAnsi="Trebuchet MS" w:cs="Arial"/>
          <w:sz w:val="22"/>
          <w:szCs w:val="22"/>
        </w:rPr>
      </w:pPr>
      <w:r w:rsidRPr="00254B55">
        <w:rPr>
          <w:rFonts w:ascii="Trebuchet MS" w:hAnsi="Trebuchet MS" w:cs="Arial"/>
          <w:sz w:val="22"/>
          <w:szCs w:val="22"/>
        </w:rPr>
        <w:t>Caracterul limitat și vulnerabil al resurselor de apă precum și indispensabilitatea resurselor de apă subliniază necesitatea valorificării și protecției acestora împotriva epuizării și degradării.</w:t>
      </w:r>
    </w:p>
    <w:p w:rsidR="00E77B12" w:rsidRPr="00254B55" w:rsidRDefault="00E77B12" w:rsidP="00E77B12">
      <w:pPr>
        <w:pStyle w:val="1bullet"/>
        <w:numPr>
          <w:ilvl w:val="0"/>
          <w:numId w:val="0"/>
        </w:numPr>
        <w:spacing w:line="240" w:lineRule="auto"/>
        <w:ind w:firstLine="720"/>
        <w:rPr>
          <w:rFonts w:ascii="Trebuchet MS" w:eastAsia="Calibri" w:hAnsi="Trebuchet MS" w:cs="Arial"/>
          <w:sz w:val="22"/>
          <w:szCs w:val="22"/>
        </w:rPr>
      </w:pPr>
      <w:r w:rsidRPr="00254B55">
        <w:rPr>
          <w:rFonts w:ascii="Trebuchet MS" w:hAnsi="Trebuchet MS" w:cs="Arial"/>
          <w:sz w:val="22"/>
          <w:szCs w:val="22"/>
        </w:rPr>
        <w:t>Schimbările climatice reprezintă unul din principalii factori cu impact major asupra resursei de apă atât din punct de vedere cantitativ cât și calitativ.</w:t>
      </w:r>
    </w:p>
    <w:p w:rsidR="00E77B12" w:rsidRPr="00254B55" w:rsidRDefault="00E77B12" w:rsidP="00E77B12">
      <w:pPr>
        <w:pStyle w:val="1text0"/>
        <w:spacing w:before="0" w:after="0" w:line="240" w:lineRule="auto"/>
        <w:ind w:firstLine="720"/>
        <w:rPr>
          <w:rFonts w:ascii="Trebuchet MS" w:eastAsia="Calibri" w:hAnsi="Trebuchet MS" w:cs="Arial"/>
          <w:sz w:val="22"/>
          <w:szCs w:val="22"/>
        </w:rPr>
      </w:pPr>
      <w:r w:rsidRPr="00254B55">
        <w:rPr>
          <w:rFonts w:ascii="Trebuchet MS" w:eastAsia="Calibri" w:hAnsi="Trebuchet MS" w:cs="Arial"/>
          <w:sz w:val="22"/>
          <w:szCs w:val="22"/>
        </w:rPr>
        <w:t>Pentru a asigura disponibilul de apă la sursă în România ținând cont de distribuția (variabilitatea) în spațiu și timp a resurselor de apă, caracterul limitat al resurselor de apă, variația regimului de curgere, caracterul torențial al bazinelor hidrografice, variația spațio-temporală a calității apelor și schimbările climatice trebuie întreprinse următoarele măsuri:</w:t>
      </w:r>
    </w:p>
    <w:p w:rsidR="00E77B12" w:rsidRPr="00254B55" w:rsidRDefault="00E77B12" w:rsidP="00E77B12">
      <w:pPr>
        <w:pStyle w:val="1bullet"/>
        <w:spacing w:line="240" w:lineRule="auto"/>
        <w:ind w:left="450" w:hanging="450"/>
        <w:rPr>
          <w:rFonts w:ascii="Trebuchet MS" w:eastAsia="Calibri" w:hAnsi="Trebuchet MS" w:cs="Arial"/>
          <w:sz w:val="22"/>
          <w:szCs w:val="22"/>
          <w:lang w:val="fr-FR"/>
        </w:rPr>
      </w:pPr>
      <w:r w:rsidRPr="00254B55">
        <w:rPr>
          <w:rFonts w:ascii="Trebuchet MS" w:hAnsi="Trebuchet MS" w:cs="Arial"/>
          <w:b/>
          <w:sz w:val="22"/>
          <w:szCs w:val="22"/>
        </w:rPr>
        <w:t>Măsuri de adaptare pentru asigurarea disponibilului de apă la sursă</w:t>
      </w:r>
      <w:r w:rsidRPr="00254B55">
        <w:rPr>
          <w:rFonts w:ascii="Trebuchet MS" w:hAnsi="Trebuchet MS" w:cs="Arial"/>
          <w:sz w:val="22"/>
          <w:szCs w:val="22"/>
        </w:rPr>
        <w:t>:</w:t>
      </w:r>
    </w:p>
    <w:p w:rsidR="00E77B12" w:rsidRPr="00254B55" w:rsidRDefault="00E77B12" w:rsidP="004F134E">
      <w:pPr>
        <w:pStyle w:val="1bullet"/>
        <w:numPr>
          <w:ilvl w:val="0"/>
          <w:numId w:val="78"/>
        </w:numPr>
        <w:spacing w:line="240" w:lineRule="auto"/>
        <w:ind w:left="900" w:hanging="450"/>
        <w:rPr>
          <w:rFonts w:ascii="Trebuchet MS" w:eastAsia="Calibri" w:hAnsi="Trebuchet MS" w:cs="Arial"/>
          <w:sz w:val="22"/>
          <w:szCs w:val="22"/>
          <w:lang w:val="fr-FR"/>
        </w:rPr>
      </w:pPr>
      <w:r w:rsidRPr="00254B55">
        <w:rPr>
          <w:rFonts w:ascii="Trebuchet MS" w:hAnsi="Trebuchet MS" w:cs="Arial"/>
          <w:sz w:val="22"/>
          <w:szCs w:val="22"/>
        </w:rPr>
        <w:t>realizarea de noi infrastructuri de transformare a resurselor hidrologice în resurse socioeconomice: noi lacuri de acumulare, noi derivații interbazinale și altele asemenea;</w:t>
      </w:r>
    </w:p>
    <w:p w:rsidR="00E77B12" w:rsidRPr="00254B55" w:rsidRDefault="00E77B12" w:rsidP="004F134E">
      <w:pPr>
        <w:pStyle w:val="1bullet"/>
        <w:numPr>
          <w:ilvl w:val="0"/>
          <w:numId w:val="78"/>
        </w:numPr>
        <w:spacing w:line="240" w:lineRule="auto"/>
        <w:ind w:left="900" w:hanging="450"/>
        <w:rPr>
          <w:rFonts w:ascii="Trebuchet MS" w:eastAsia="Calibri" w:hAnsi="Trebuchet MS" w:cs="Arial"/>
          <w:sz w:val="22"/>
          <w:szCs w:val="22"/>
          <w:lang w:val="fr-FR"/>
        </w:rPr>
      </w:pPr>
      <w:r w:rsidRPr="00254B55">
        <w:rPr>
          <w:rFonts w:ascii="Trebuchet MS" w:hAnsi="Trebuchet MS" w:cs="Arial"/>
          <w:sz w:val="22"/>
          <w:szCs w:val="22"/>
        </w:rPr>
        <w:t>modificarea infrastructurilor existente pentru a putea regulariza debitele a căror distribuție în timp se modifică ca urmare a schimbărilor climatice: reechiparea cu noi uvraje și altele asemenea;</w:t>
      </w:r>
    </w:p>
    <w:p w:rsidR="00E77B12" w:rsidRPr="00254B55" w:rsidRDefault="00E77B12" w:rsidP="004F134E">
      <w:pPr>
        <w:pStyle w:val="1bullet"/>
        <w:numPr>
          <w:ilvl w:val="0"/>
          <w:numId w:val="78"/>
        </w:numPr>
        <w:spacing w:line="240" w:lineRule="auto"/>
        <w:ind w:left="900" w:hanging="450"/>
        <w:rPr>
          <w:rFonts w:ascii="Trebuchet MS" w:eastAsia="Calibri" w:hAnsi="Trebuchet MS" w:cs="Arial"/>
          <w:sz w:val="22"/>
          <w:szCs w:val="22"/>
          <w:lang w:val="en-US"/>
        </w:rPr>
      </w:pPr>
      <w:r w:rsidRPr="00254B55">
        <w:rPr>
          <w:rFonts w:ascii="Trebuchet MS" w:hAnsi="Trebuchet MS" w:cs="Arial"/>
          <w:sz w:val="22"/>
          <w:szCs w:val="22"/>
        </w:rPr>
        <w:t>proiectarea și implementarea unor soluții pentru colectarea și utilizarea apei din precipitații;</w:t>
      </w:r>
    </w:p>
    <w:p w:rsidR="00E77B12" w:rsidRPr="00254B55" w:rsidRDefault="00E77B12" w:rsidP="004F134E">
      <w:pPr>
        <w:pStyle w:val="1bullet"/>
        <w:numPr>
          <w:ilvl w:val="0"/>
          <w:numId w:val="78"/>
        </w:numPr>
        <w:spacing w:line="240" w:lineRule="auto"/>
        <w:ind w:left="900" w:hanging="450"/>
        <w:rPr>
          <w:rFonts w:ascii="Trebuchet MS" w:eastAsia="Calibri" w:hAnsi="Trebuchet MS" w:cs="Arial"/>
          <w:sz w:val="22"/>
          <w:szCs w:val="22"/>
          <w:lang w:val="en-US"/>
        </w:rPr>
      </w:pPr>
      <w:r w:rsidRPr="00254B55">
        <w:rPr>
          <w:rFonts w:ascii="Trebuchet MS" w:hAnsi="Trebuchet MS" w:cs="Arial"/>
          <w:sz w:val="22"/>
          <w:szCs w:val="22"/>
        </w:rPr>
        <w:t xml:space="preserve">realizarea de poldere pentru atenuarea viiturilor: acumulări nepermanente laterale cursurilor de apă. </w:t>
      </w:r>
    </w:p>
    <w:p w:rsidR="00E77B12" w:rsidRPr="00254B55" w:rsidRDefault="00E77B12" w:rsidP="00E77B12">
      <w:pPr>
        <w:pStyle w:val="1bullet"/>
        <w:spacing w:line="240" w:lineRule="auto"/>
        <w:ind w:left="450" w:hanging="450"/>
        <w:rPr>
          <w:rFonts w:ascii="Trebuchet MS" w:hAnsi="Trebuchet MS" w:cs="Arial"/>
          <w:b/>
          <w:sz w:val="22"/>
          <w:szCs w:val="22"/>
        </w:rPr>
      </w:pPr>
      <w:r w:rsidRPr="00254B55">
        <w:rPr>
          <w:rFonts w:ascii="Trebuchet MS" w:hAnsi="Trebuchet MS" w:cs="Arial"/>
          <w:b/>
          <w:sz w:val="22"/>
          <w:szCs w:val="22"/>
        </w:rPr>
        <w:t xml:space="preserve">Măsuri de adaptare la folosințele de apă / utilizatori: </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utilizarea eficientă și conservarea apei prin reabilitarea instalațiilor de transport și de distribuție a apei și prin modificări tehnologice: promovarea de tehnologii cu consumuri reduse de apă;</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modificări în stilul de viață al oamenilor: reducerea cerințelor de apă, utilizarea pentru anumite activități a apei recirculate și altele asemenea;</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creșterea gradului de recirculare a apei pentru nevoi industriale;</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 xml:space="preserve">modificarea tipurilor de culturi agricole prin utilizarea acelora adaptate la cerințe mai reduse de apă; </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elaborarea și implementarea unor sisteme de prețuri și tarife pentru apă în funcție de folosința de sezon și de resursa disponibilă</w:t>
      </w:r>
      <w:r w:rsidRPr="00254B55">
        <w:rPr>
          <w:rFonts w:ascii="Trebuchet MS" w:hAnsi="Trebuchet MS" w:cs="Arial"/>
          <w:sz w:val="22"/>
          <w:szCs w:val="22"/>
          <w:lang w:val="fr-FR"/>
        </w:rPr>
        <w:t>;</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 xml:space="preserve">utilizarea pentru anumite destinații/folosințe a apelor de calitate inferioară; </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 xml:space="preserve">îmbunătățirea legislației de mediu. </w:t>
      </w:r>
    </w:p>
    <w:p w:rsidR="00E77B12" w:rsidRPr="00254B55" w:rsidRDefault="00E77B12" w:rsidP="00E77B12">
      <w:pPr>
        <w:pStyle w:val="1bullet"/>
        <w:spacing w:line="240" w:lineRule="auto"/>
        <w:ind w:left="450" w:hanging="450"/>
        <w:rPr>
          <w:rFonts w:ascii="Trebuchet MS" w:hAnsi="Trebuchet MS" w:cs="Arial"/>
          <w:b/>
          <w:sz w:val="22"/>
          <w:szCs w:val="22"/>
        </w:rPr>
      </w:pPr>
      <w:r w:rsidRPr="00254B55">
        <w:rPr>
          <w:rFonts w:ascii="Trebuchet MS" w:hAnsi="Trebuchet MS" w:cs="Arial"/>
          <w:b/>
          <w:sz w:val="22"/>
          <w:szCs w:val="22"/>
        </w:rPr>
        <w:t>Măsuri care trebuie întreprinse la nivelul bazinului hidrografic:</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actualizarea schemelor directoare de amenajare și de management, astfel încât să se ia în considerare efectele schimbărilor climatice: scăderea disponibilului la sursă, creșterea cerinței de apă;</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aplicarea principiilor de management integrat al apei pentru cantitate, calitate și ecositeme sănătoase;</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introducerea chiar de la proiectare în lacurile de acumulare care se vor construi, a unor volume de rezervă care să se utilizeze doar în situații excepționale sau realizarea unor lacuri de acumulare cu regim special de exploatare pentru a suplimenta resursele de apă disponibile în situații critice;</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transferuri inter-bazinale de apă pentru a compensa deficitele de apă în anumite bazine;</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stabilirea unor obiective privind calitatea apei și aplicarea unor criterii de calitate a acesteia în scopul prevenirii, controlării și reducerii impactului transfrontalier, coordonarea reglementărilor și emiterii avizelor;</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îmbunătățirea tratării apei reziduale și menajere;</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armonizarea reglementărilor privind limitarea emisiilor de substanțe periculoase în apă;</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identificarea zonelor cu risc potențial la inundații, deficit de apă/secetă.</w:t>
      </w:r>
    </w:p>
    <w:p w:rsidR="00E77B12" w:rsidRPr="00254B55" w:rsidRDefault="00E77B12" w:rsidP="00E77B12">
      <w:pPr>
        <w:pStyle w:val="1bullet"/>
        <w:spacing w:line="240" w:lineRule="auto"/>
        <w:ind w:left="450" w:hanging="450"/>
        <w:rPr>
          <w:rFonts w:ascii="Trebuchet MS" w:eastAsia="Calibri" w:hAnsi="Trebuchet MS" w:cs="Arial"/>
          <w:b/>
          <w:sz w:val="22"/>
          <w:szCs w:val="22"/>
          <w:lang w:val="fr-FR"/>
        </w:rPr>
      </w:pPr>
      <w:r w:rsidRPr="00254B55">
        <w:rPr>
          <w:rFonts w:ascii="Trebuchet MS" w:hAnsi="Trebuchet MS" w:cs="Arial"/>
          <w:b/>
          <w:sz w:val="22"/>
          <w:szCs w:val="22"/>
        </w:rPr>
        <w:t xml:space="preserve">Măsuri care trebuie întreprinse pentru managementul riscului la inundații: </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alegerea unor lucrări de protecție împotriva inundațiilor la nivel local destinate unor localități și structuri socio-economice în locul lucrărilor de protecție împotriva inundațiilor ample, de mari dimensiuni;</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alegerea unor soluții tehnice care să conducă la încetinirea și diminuarea inundațiilor pe măsură ce se produc, în locul supraînălțării digurilor existente sau construirii de noi diguri;</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folosirea celor mai noi metode și tehnologii pentru reabilitarea/construirea digurilor și efectuarea lucrărilor de protecție în corelare cu planurile teritoriale de amenajare urbanistică;</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color w:val="000000"/>
          <w:sz w:val="22"/>
          <w:szCs w:val="22"/>
        </w:rPr>
        <w:t xml:space="preserve">planurile de management al riscului la inundații trebuie revizuite periodic și, dacă este cazul, trebuie actualizate, </w:t>
      </w:r>
      <w:r w:rsidRPr="00254B55">
        <w:rPr>
          <w:rFonts w:ascii="Trebuchet MS" w:hAnsi="Trebuchet MS" w:cs="Arial"/>
          <w:sz w:val="22"/>
          <w:szCs w:val="22"/>
        </w:rPr>
        <w:t>luând în considerare efectele posibile ale schimbărilor climatice asupra apariției inundațiilor;</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creșterea gradului de conștientizare privind riscul de inundații în rândul populației expuse, măsuri adecvate înainte și după producerea acestora, încheierea de contracte de asigurare și altele asemenea;</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 xml:space="preserve">îmbunătățirea capacității de răspuns a autorităților administrației publice locale cu atribuții în managementul situațiilor de urgență generate de inundații, accidente la construcții hidrotehnice și poluări accidentale. </w:t>
      </w:r>
    </w:p>
    <w:p w:rsidR="00E77B12" w:rsidRPr="00254B55" w:rsidRDefault="00E77B12" w:rsidP="00E77B12">
      <w:pPr>
        <w:pStyle w:val="1bullet"/>
        <w:spacing w:line="240" w:lineRule="auto"/>
        <w:ind w:left="450" w:hanging="450"/>
        <w:rPr>
          <w:rFonts w:ascii="Trebuchet MS" w:hAnsi="Trebuchet MS" w:cs="Arial"/>
          <w:b/>
          <w:sz w:val="22"/>
          <w:szCs w:val="22"/>
        </w:rPr>
      </w:pPr>
      <w:r w:rsidRPr="00254B55">
        <w:rPr>
          <w:rFonts w:ascii="Trebuchet MS" w:hAnsi="Trebuchet MS" w:cs="Arial"/>
          <w:b/>
          <w:sz w:val="22"/>
          <w:szCs w:val="22"/>
        </w:rPr>
        <w:t>Măsurile care trebuie întreprinse pentru a combate seceta / deficitul de apă se vor lua în funcție de fazele de apariție a acesteia / acestuia:</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servicii de monitorizare și avertizare privind scăderea debitelor/secetă la nivel național;</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diminuarea scurgerilor în rețelele de distribuție a apei;</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 xml:space="preserve">măsuri de economisire și folosire eficientă a apei: irigații, industrie; </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cooperarea cu alte țări vizând schimbul de experiență în combaterea secetei;</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planuri de aprovizionare prioritară cu apă a populației și animalelor/ierarhizarea restricțiilor de folosire a apei în perioade deficitare;</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stabilirea de metodologii pentru pragurile de secetă și cartografierea secetei;</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mărirea capacității de depozitare a apei;</w:t>
      </w:r>
    </w:p>
    <w:p w:rsidR="00E77B12" w:rsidRPr="00254B55" w:rsidRDefault="00E77B12" w:rsidP="004F134E">
      <w:pPr>
        <w:pStyle w:val="1bullet"/>
        <w:numPr>
          <w:ilvl w:val="0"/>
          <w:numId w:val="78"/>
        </w:numPr>
        <w:spacing w:line="240" w:lineRule="auto"/>
        <w:ind w:left="900" w:hanging="450"/>
        <w:rPr>
          <w:rFonts w:ascii="Trebuchet MS" w:hAnsi="Trebuchet MS" w:cs="Arial"/>
          <w:sz w:val="22"/>
          <w:szCs w:val="22"/>
        </w:rPr>
      </w:pPr>
      <w:r w:rsidRPr="00254B55">
        <w:rPr>
          <w:rFonts w:ascii="Trebuchet MS" w:hAnsi="Trebuchet MS" w:cs="Arial"/>
          <w:sz w:val="22"/>
          <w:szCs w:val="22"/>
        </w:rPr>
        <w:t>asigurarea calității apei pe timp de secetă.</w:t>
      </w:r>
    </w:p>
    <w:p w:rsidR="00E77B12" w:rsidRPr="00254B55" w:rsidRDefault="00E77B12" w:rsidP="00E77B12">
      <w:pPr>
        <w:pStyle w:val="1bullet"/>
        <w:numPr>
          <w:ilvl w:val="0"/>
          <w:numId w:val="0"/>
        </w:numPr>
        <w:spacing w:line="240" w:lineRule="auto"/>
        <w:ind w:firstLine="720"/>
        <w:rPr>
          <w:rFonts w:ascii="Trebuchet MS" w:eastAsia="Calibri" w:hAnsi="Trebuchet MS" w:cs="Arial"/>
          <w:sz w:val="22"/>
          <w:szCs w:val="22"/>
        </w:rPr>
      </w:pPr>
      <w:r w:rsidRPr="00254B55">
        <w:rPr>
          <w:rFonts w:ascii="Trebuchet MS" w:eastAsia="Calibri" w:hAnsi="Trebuchet MS" w:cs="Arial"/>
          <w:sz w:val="22"/>
          <w:szCs w:val="22"/>
        </w:rPr>
        <w:t>În ultima perioadă de timp se observă o variație descrescătoare a volumelor de apă prelevate. Această variație nu exprimă doar cerința efectivă de apă, ci poate exprima existența anumitor restricții în aprovizionarea cu apă, precum și efectele introducerii contorizării consumului de apă, reducerii pierderilor de apă pe rețelele de distribuție, etc.</w:t>
      </w:r>
    </w:p>
    <w:p w:rsidR="00E77B12" w:rsidRPr="00254B55" w:rsidRDefault="00E77B12" w:rsidP="00E77B12">
      <w:pPr>
        <w:pStyle w:val="1bullet"/>
        <w:numPr>
          <w:ilvl w:val="0"/>
          <w:numId w:val="0"/>
        </w:numPr>
        <w:spacing w:line="240" w:lineRule="auto"/>
        <w:ind w:firstLine="720"/>
        <w:rPr>
          <w:rFonts w:ascii="Trebuchet MS" w:eastAsia="Calibri" w:hAnsi="Trebuchet MS" w:cs="Arial"/>
          <w:sz w:val="22"/>
          <w:szCs w:val="22"/>
        </w:rPr>
      </w:pPr>
      <w:r w:rsidRPr="00254B55">
        <w:rPr>
          <w:rFonts w:ascii="Trebuchet MS" w:eastAsia="Calibri" w:hAnsi="Trebuchet MS" w:cs="Arial"/>
          <w:sz w:val="22"/>
          <w:szCs w:val="22"/>
        </w:rPr>
        <w:t>Utilizarea și gestionarea eficientă a resurselor de apă implică implementarea unor schimbări de comportament atât al producătorilor de bunuri și servicii de gospodărire a apelor, cât și al utilizatorilor, al populației față de resursele de apă și față de mediu.</w:t>
      </w:r>
    </w:p>
    <w:p w:rsidR="00E77B12" w:rsidRPr="00254B55" w:rsidRDefault="00E77B12" w:rsidP="00E77B12">
      <w:pPr>
        <w:jc w:val="both"/>
        <w:rPr>
          <w:rFonts w:ascii="Trebuchet MS" w:hAnsi="Trebuchet MS"/>
          <w:sz w:val="22"/>
          <w:szCs w:val="22"/>
        </w:rPr>
      </w:pPr>
    </w:p>
    <w:p w:rsidR="00E77B12" w:rsidRPr="00254B55" w:rsidRDefault="00E77B12" w:rsidP="00E77B12">
      <w:pPr>
        <w:jc w:val="both"/>
        <w:rPr>
          <w:rFonts w:ascii="Trebuchet MS" w:hAnsi="Trebuchet MS"/>
          <w:b/>
          <w:sz w:val="22"/>
          <w:szCs w:val="22"/>
        </w:rPr>
      </w:pPr>
    </w:p>
    <w:p w:rsidR="00AE762B" w:rsidRPr="00E9287F" w:rsidRDefault="00AE762B" w:rsidP="002E5B22">
      <w:pPr>
        <w:pStyle w:val="Default"/>
        <w:jc w:val="both"/>
        <w:rPr>
          <w:rFonts w:ascii="Trebuchet MS" w:hAnsi="Trebuchet MS"/>
          <w:b/>
          <w:lang w:val="ro-RO"/>
        </w:rPr>
      </w:pPr>
      <w:r w:rsidRPr="00E9287F">
        <w:rPr>
          <w:rFonts w:ascii="Trebuchet MS" w:hAnsi="Trebuchet MS"/>
          <w:b/>
          <w:lang w:val="ro-RO"/>
        </w:rPr>
        <w:t>II.2 Calitatea apei</w:t>
      </w:r>
    </w:p>
    <w:p w:rsidR="00AE762B" w:rsidRPr="00E9287F" w:rsidRDefault="00AE762B" w:rsidP="002E5B22">
      <w:pPr>
        <w:pStyle w:val="Default"/>
        <w:jc w:val="both"/>
        <w:rPr>
          <w:rFonts w:ascii="Trebuchet MS" w:hAnsi="Trebuchet MS"/>
          <w:b/>
          <w:lang w:val="ro-RO"/>
        </w:rPr>
      </w:pPr>
    </w:p>
    <w:p w:rsidR="00AE762B" w:rsidRPr="00E9287F" w:rsidRDefault="00AE762B" w:rsidP="003509F2">
      <w:pPr>
        <w:autoSpaceDE w:val="0"/>
        <w:autoSpaceDN w:val="0"/>
        <w:adjustRightInd w:val="0"/>
        <w:jc w:val="both"/>
        <w:rPr>
          <w:rFonts w:ascii="Trebuchet MS" w:hAnsi="Trebuchet MS" w:cs="Arial"/>
          <w:b/>
          <w:bCs/>
          <w:i/>
          <w:iCs/>
          <w:lang w:val="it-IT"/>
        </w:rPr>
      </w:pPr>
      <w:r w:rsidRPr="00E9287F">
        <w:rPr>
          <w:rFonts w:ascii="Trebuchet MS" w:hAnsi="Trebuchet MS" w:cs="Arial"/>
          <w:b/>
          <w:bCs/>
          <w:iCs/>
          <w:color w:val="FF0000"/>
          <w:lang w:val="it-IT"/>
        </w:rPr>
        <w:t xml:space="preserve">   </w:t>
      </w:r>
      <w:r w:rsidRPr="00E9287F">
        <w:rPr>
          <w:rFonts w:ascii="Trebuchet MS" w:hAnsi="Trebuchet MS" w:cs="Arial"/>
          <w:b/>
          <w:bCs/>
          <w:iCs/>
          <w:lang w:val="it-IT"/>
        </w:rPr>
        <w:t>II.</w:t>
      </w:r>
      <w:r w:rsidRPr="00E9287F">
        <w:rPr>
          <w:rFonts w:ascii="Trebuchet MS" w:hAnsi="Trebuchet MS" w:cs="Arial"/>
          <w:b/>
          <w:bCs/>
          <w:i/>
          <w:iCs/>
          <w:lang w:val="it-IT"/>
        </w:rPr>
        <w:t>2.1 Calitatea apei: stare şi consecinţe</w:t>
      </w:r>
    </w:p>
    <w:p w:rsidR="00AE762B" w:rsidRPr="00E9287F" w:rsidRDefault="00AE762B" w:rsidP="003509F2">
      <w:pPr>
        <w:autoSpaceDE w:val="0"/>
        <w:autoSpaceDN w:val="0"/>
        <w:adjustRightInd w:val="0"/>
        <w:jc w:val="both"/>
        <w:rPr>
          <w:rFonts w:ascii="Trebuchet MS" w:hAnsi="Trebuchet MS" w:cs="Arial"/>
          <w:b/>
          <w:bCs/>
          <w:i/>
          <w:iCs/>
          <w:lang w:val="it-IT"/>
        </w:rPr>
      </w:pPr>
    </w:p>
    <w:p w:rsidR="00AE762B" w:rsidRPr="00E9287F" w:rsidRDefault="00AE762B" w:rsidP="003509F2">
      <w:pPr>
        <w:autoSpaceDE w:val="0"/>
        <w:autoSpaceDN w:val="0"/>
        <w:adjustRightInd w:val="0"/>
        <w:jc w:val="both"/>
        <w:rPr>
          <w:rFonts w:ascii="Trebuchet MS" w:hAnsi="Trebuchet MS" w:cs="Arial"/>
          <w:b/>
          <w:bCs/>
          <w:i/>
          <w:iCs/>
          <w:lang w:val="it-IT"/>
        </w:rPr>
      </w:pPr>
    </w:p>
    <w:p w:rsidR="00AE762B" w:rsidRPr="00E9287F" w:rsidRDefault="00AE762B" w:rsidP="003509F2">
      <w:pPr>
        <w:autoSpaceDE w:val="0"/>
        <w:autoSpaceDN w:val="0"/>
        <w:adjustRightInd w:val="0"/>
        <w:rPr>
          <w:rFonts w:ascii="Trebuchet MS" w:hAnsi="Trebuchet MS" w:cs="Arial"/>
          <w:lang w:val="it-IT"/>
        </w:rPr>
      </w:pPr>
      <w:r w:rsidRPr="00E9287F">
        <w:rPr>
          <w:rFonts w:ascii="Trebuchet MS" w:hAnsi="Trebuchet MS" w:cs="Arial"/>
          <w:b/>
          <w:bCs/>
          <w:iCs/>
          <w:lang w:val="it-IT"/>
        </w:rPr>
        <w:t xml:space="preserve">   II.2.1.1 Calitatea apei cursurilor de apă</w:t>
      </w:r>
    </w:p>
    <w:p w:rsidR="00AE762B" w:rsidRPr="00254B55" w:rsidRDefault="00AE762B" w:rsidP="003509F2">
      <w:pPr>
        <w:pStyle w:val="Default"/>
        <w:rPr>
          <w:rFonts w:ascii="Trebuchet MS" w:hAnsi="Trebuchet MS"/>
          <w:sz w:val="22"/>
          <w:szCs w:val="22"/>
          <w:lang w:val="it-IT"/>
        </w:rPr>
      </w:pPr>
      <w:r w:rsidRPr="00254B55">
        <w:rPr>
          <w:rFonts w:ascii="Trebuchet MS" w:hAnsi="Trebuchet MS"/>
          <w:b/>
          <w:bCs/>
          <w:sz w:val="22"/>
          <w:szCs w:val="22"/>
          <w:lang w:val="it-IT"/>
        </w:rPr>
        <w:t>COD INDICATOR</w:t>
      </w:r>
      <w:r w:rsidRPr="00254B55">
        <w:rPr>
          <w:rFonts w:ascii="Trebuchet MS" w:hAnsi="Trebuchet MS"/>
          <w:sz w:val="22"/>
          <w:szCs w:val="22"/>
          <w:lang w:val="it-IT"/>
        </w:rPr>
        <w:t xml:space="preserve"> </w:t>
      </w:r>
    </w:p>
    <w:p w:rsidR="00AE762B" w:rsidRPr="00254B55" w:rsidRDefault="00AE762B" w:rsidP="003509F2">
      <w:pPr>
        <w:pStyle w:val="Default"/>
        <w:rPr>
          <w:rFonts w:ascii="Trebuchet MS" w:hAnsi="Trebuchet MS"/>
          <w:sz w:val="22"/>
          <w:szCs w:val="22"/>
          <w:lang w:val="it-IT"/>
        </w:rPr>
      </w:pPr>
      <w:r w:rsidRPr="00254B55">
        <w:rPr>
          <w:rFonts w:ascii="Trebuchet MS" w:hAnsi="Trebuchet MS"/>
          <w:sz w:val="22"/>
          <w:szCs w:val="22"/>
          <w:lang w:val="it-IT"/>
        </w:rPr>
        <w:t xml:space="preserve">Cod indicator România: </w:t>
      </w:r>
      <w:r w:rsidRPr="00254B55">
        <w:rPr>
          <w:rFonts w:ascii="Trebuchet MS" w:hAnsi="Trebuchet MS"/>
          <w:b/>
          <w:bCs/>
          <w:sz w:val="22"/>
          <w:szCs w:val="22"/>
          <w:lang w:val="it-IT"/>
        </w:rPr>
        <w:t>RO 67</w:t>
      </w:r>
    </w:p>
    <w:p w:rsidR="00AE762B" w:rsidRPr="00254B55" w:rsidRDefault="00AE762B" w:rsidP="003509F2">
      <w:pPr>
        <w:pStyle w:val="Default"/>
        <w:rPr>
          <w:rFonts w:ascii="Trebuchet MS" w:hAnsi="Trebuchet MS"/>
          <w:sz w:val="22"/>
          <w:szCs w:val="22"/>
          <w:lang w:val="it-IT"/>
        </w:rPr>
      </w:pPr>
      <w:r w:rsidRPr="00254B55">
        <w:rPr>
          <w:rFonts w:ascii="Trebuchet MS" w:hAnsi="Trebuchet MS"/>
          <w:sz w:val="22"/>
          <w:szCs w:val="22"/>
          <w:lang w:val="it-IT"/>
        </w:rPr>
        <w:t xml:space="preserve">Cod indicator AEM: </w:t>
      </w:r>
      <w:r w:rsidRPr="00254B55">
        <w:rPr>
          <w:rFonts w:ascii="Trebuchet MS" w:hAnsi="Trebuchet MS"/>
          <w:b/>
          <w:bCs/>
          <w:sz w:val="22"/>
          <w:szCs w:val="22"/>
          <w:lang w:val="it-IT"/>
        </w:rPr>
        <w:t xml:space="preserve">WEC 04 </w:t>
      </w:r>
    </w:p>
    <w:p w:rsidR="00AE762B" w:rsidRPr="00254B55" w:rsidRDefault="00AE762B" w:rsidP="003509F2">
      <w:pPr>
        <w:pStyle w:val="Default"/>
        <w:rPr>
          <w:rFonts w:ascii="Trebuchet MS" w:hAnsi="Trebuchet MS"/>
          <w:sz w:val="22"/>
          <w:szCs w:val="22"/>
          <w:lang w:val="it-IT"/>
        </w:rPr>
      </w:pPr>
      <w:r w:rsidRPr="00254B55">
        <w:rPr>
          <w:rFonts w:ascii="Trebuchet MS" w:hAnsi="Trebuchet MS"/>
          <w:b/>
          <w:bCs/>
          <w:sz w:val="22"/>
          <w:szCs w:val="22"/>
          <w:lang w:val="it-IT"/>
        </w:rPr>
        <w:t xml:space="preserve">DENUMIRE </w:t>
      </w:r>
    </w:p>
    <w:p w:rsidR="00AE762B" w:rsidRPr="00254B55" w:rsidRDefault="00AE762B" w:rsidP="003509F2">
      <w:pPr>
        <w:autoSpaceDE w:val="0"/>
        <w:autoSpaceDN w:val="0"/>
        <w:adjustRightInd w:val="0"/>
        <w:rPr>
          <w:rFonts w:ascii="Trebuchet MS" w:hAnsi="Trebuchet MS" w:cs="Arial,Bold"/>
          <w:sz w:val="22"/>
          <w:szCs w:val="22"/>
          <w:lang w:val="it-IT"/>
        </w:rPr>
      </w:pPr>
      <w:r w:rsidRPr="00254B55">
        <w:rPr>
          <w:rFonts w:ascii="Trebuchet MS" w:hAnsi="Trebuchet MS" w:cs="Arial,Bold"/>
          <w:b/>
          <w:bCs/>
          <w:sz w:val="22"/>
          <w:szCs w:val="22"/>
          <w:lang w:val="it-IT"/>
        </w:rPr>
        <w:t>SCHEME DE CLASIFICARE A CURSURILOR DE APĂ</w:t>
      </w:r>
    </w:p>
    <w:p w:rsidR="00AE762B" w:rsidRPr="00254B55" w:rsidRDefault="00AE762B" w:rsidP="003509F2">
      <w:pPr>
        <w:pStyle w:val="Default"/>
        <w:rPr>
          <w:rFonts w:ascii="Trebuchet MS" w:hAnsi="Trebuchet MS"/>
          <w:sz w:val="22"/>
          <w:szCs w:val="22"/>
          <w:lang w:val="it-IT"/>
        </w:rPr>
      </w:pPr>
      <w:r w:rsidRPr="00254B55">
        <w:rPr>
          <w:rFonts w:ascii="Trebuchet MS" w:hAnsi="Trebuchet MS"/>
          <w:b/>
          <w:bCs/>
          <w:sz w:val="22"/>
          <w:szCs w:val="22"/>
          <w:lang w:val="it-IT"/>
        </w:rPr>
        <w:t xml:space="preserve">DEFINIŢIE </w:t>
      </w:r>
    </w:p>
    <w:p w:rsidR="00AE762B" w:rsidRPr="00254B55" w:rsidRDefault="00AE762B" w:rsidP="003509F2">
      <w:pPr>
        <w:autoSpaceDE w:val="0"/>
        <w:autoSpaceDN w:val="0"/>
        <w:adjustRightInd w:val="0"/>
        <w:rPr>
          <w:rFonts w:ascii="Trebuchet MS" w:hAnsi="Trebuchet MS" w:cs="Arial"/>
          <w:sz w:val="22"/>
          <w:szCs w:val="22"/>
          <w:lang w:val="it-IT"/>
        </w:rPr>
      </w:pPr>
      <w:r w:rsidRPr="00254B55">
        <w:rPr>
          <w:rFonts w:ascii="Trebuchet MS" w:hAnsi="Trebuchet MS" w:cs="Arial"/>
          <w:sz w:val="22"/>
          <w:szCs w:val="22"/>
          <w:lang w:val="it-IT"/>
        </w:rPr>
        <w:t>Schemele de clasificare a cursurilor de apă sunt concepute pentru a oferi o indicaţie privind gradul de poluare.</w:t>
      </w:r>
    </w:p>
    <w:p w:rsidR="00AE762B" w:rsidRPr="00254B55" w:rsidRDefault="00AE762B" w:rsidP="002A0870">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Clasificarea stării ecologice a râurilor naturale se face în 5 clase ecologice:</w:t>
      </w:r>
    </w:p>
    <w:p w:rsidR="00AE762B" w:rsidRPr="00254B55" w:rsidRDefault="00AE762B" w:rsidP="002A0870">
      <w:pPr>
        <w:autoSpaceDE w:val="0"/>
        <w:autoSpaceDN w:val="0"/>
        <w:adjustRightInd w:val="0"/>
        <w:rPr>
          <w:rFonts w:eastAsia="Times New Roman"/>
          <w:color w:val="000000"/>
          <w:sz w:val="22"/>
          <w:szCs w:val="22"/>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2052"/>
      </w:tblGrid>
      <w:tr w:rsidR="00AE762B" w:rsidRPr="00254B55" w:rsidTr="00A50F2F">
        <w:tc>
          <w:tcPr>
            <w:tcW w:w="2088" w:type="dxa"/>
          </w:tcPr>
          <w:p w:rsidR="00AE762B" w:rsidRPr="00254B55" w:rsidRDefault="00AE762B" w:rsidP="00A50F2F">
            <w:pPr>
              <w:autoSpaceDE w:val="0"/>
              <w:autoSpaceDN w:val="0"/>
              <w:adjustRightInd w:val="0"/>
              <w:rPr>
                <w:rFonts w:ascii="Trebuchet MS" w:hAnsi="Trebuchet MS" w:cs="Arial"/>
                <w:b/>
                <w:color w:val="000000"/>
                <w:sz w:val="22"/>
                <w:szCs w:val="22"/>
              </w:rPr>
            </w:pPr>
            <w:r w:rsidRPr="00254B55">
              <w:rPr>
                <w:rFonts w:ascii="Trebuchet MS" w:hAnsi="Trebuchet MS" w:cs="Arial"/>
                <w:b/>
                <w:color w:val="000000"/>
                <w:sz w:val="22"/>
                <w:szCs w:val="22"/>
              </w:rPr>
              <w:t>Stare ecologică</w:t>
            </w:r>
          </w:p>
        </w:tc>
        <w:tc>
          <w:tcPr>
            <w:tcW w:w="2052" w:type="dxa"/>
          </w:tcPr>
          <w:p w:rsidR="00AE762B" w:rsidRPr="00254B55" w:rsidRDefault="00AE762B" w:rsidP="00A50F2F">
            <w:pPr>
              <w:autoSpaceDE w:val="0"/>
              <w:autoSpaceDN w:val="0"/>
              <w:adjustRightInd w:val="0"/>
              <w:rPr>
                <w:rFonts w:ascii="Trebuchet MS" w:hAnsi="Trebuchet MS" w:cs="Arial"/>
                <w:b/>
                <w:color w:val="000000"/>
                <w:sz w:val="22"/>
                <w:szCs w:val="22"/>
              </w:rPr>
            </w:pPr>
            <w:r w:rsidRPr="00254B55">
              <w:rPr>
                <w:rFonts w:ascii="Trebuchet MS" w:hAnsi="Trebuchet MS" w:cs="Arial"/>
                <w:b/>
                <w:color w:val="000000"/>
                <w:sz w:val="22"/>
                <w:szCs w:val="22"/>
              </w:rPr>
              <w:t>Cod de culori</w:t>
            </w:r>
          </w:p>
        </w:tc>
      </w:tr>
      <w:tr w:rsidR="00AE762B" w:rsidRPr="00254B55" w:rsidTr="00A50F2F">
        <w:tc>
          <w:tcPr>
            <w:tcW w:w="208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Foarte bună</w:t>
            </w:r>
          </w:p>
        </w:tc>
        <w:tc>
          <w:tcPr>
            <w:tcW w:w="2052" w:type="dxa"/>
            <w:shd w:val="clear" w:color="auto" w:fill="0000FF"/>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r w:rsidR="00AE762B" w:rsidRPr="00254B55" w:rsidTr="00A50F2F">
        <w:tc>
          <w:tcPr>
            <w:tcW w:w="208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Bună</w:t>
            </w:r>
          </w:p>
        </w:tc>
        <w:tc>
          <w:tcPr>
            <w:tcW w:w="2052" w:type="dxa"/>
            <w:shd w:val="clear" w:color="auto" w:fill="008000"/>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r w:rsidR="00AE762B" w:rsidRPr="00254B55" w:rsidTr="00A50F2F">
        <w:tc>
          <w:tcPr>
            <w:tcW w:w="208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Moderată</w:t>
            </w:r>
          </w:p>
        </w:tc>
        <w:tc>
          <w:tcPr>
            <w:tcW w:w="2052" w:type="dxa"/>
            <w:shd w:val="clear" w:color="auto" w:fill="FFFF00"/>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r w:rsidR="00AE762B" w:rsidRPr="00254B55" w:rsidTr="00A50F2F">
        <w:tc>
          <w:tcPr>
            <w:tcW w:w="208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Slabă</w:t>
            </w:r>
          </w:p>
        </w:tc>
        <w:tc>
          <w:tcPr>
            <w:tcW w:w="2052" w:type="dxa"/>
            <w:shd w:val="clear" w:color="auto" w:fill="F79646"/>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r w:rsidR="00AE762B" w:rsidRPr="00254B55" w:rsidTr="00A50F2F">
        <w:tc>
          <w:tcPr>
            <w:tcW w:w="208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Proastă</w:t>
            </w:r>
          </w:p>
        </w:tc>
        <w:tc>
          <w:tcPr>
            <w:tcW w:w="2052" w:type="dxa"/>
            <w:shd w:val="clear" w:color="auto" w:fill="FF0000"/>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bl>
    <w:p w:rsidR="00AE762B" w:rsidRPr="00254B55" w:rsidRDefault="00AE762B" w:rsidP="002A0870">
      <w:pPr>
        <w:autoSpaceDE w:val="0"/>
        <w:autoSpaceDN w:val="0"/>
        <w:adjustRightInd w:val="0"/>
        <w:rPr>
          <w:rFonts w:eastAsia="Times New Roman"/>
          <w:b/>
          <w:bCs/>
          <w:i/>
          <w:iCs/>
          <w:color w:val="000000"/>
          <w:sz w:val="22"/>
          <w:szCs w:val="22"/>
        </w:rPr>
      </w:pPr>
    </w:p>
    <w:p w:rsidR="00AE762B" w:rsidRPr="00254B55" w:rsidRDefault="00AE762B" w:rsidP="002A0870">
      <w:pPr>
        <w:autoSpaceDE w:val="0"/>
        <w:autoSpaceDN w:val="0"/>
        <w:adjustRightInd w:val="0"/>
        <w:rPr>
          <w:rFonts w:ascii="Arial" w:hAnsi="Arial" w:cs="Arial"/>
          <w:color w:val="000000"/>
          <w:sz w:val="22"/>
          <w:szCs w:val="22"/>
        </w:rPr>
      </w:pPr>
    </w:p>
    <w:p w:rsidR="00AE762B" w:rsidRPr="00254B55" w:rsidRDefault="00AE762B" w:rsidP="002A0870">
      <w:pPr>
        <w:autoSpaceDE w:val="0"/>
        <w:autoSpaceDN w:val="0"/>
        <w:adjustRightInd w:val="0"/>
        <w:rPr>
          <w:rFonts w:ascii="Trebuchet MS" w:hAnsi="Trebuchet MS" w:cs="Arial"/>
          <w:color w:val="000000"/>
          <w:sz w:val="22"/>
          <w:szCs w:val="22"/>
          <w:lang w:val="it-IT"/>
        </w:rPr>
      </w:pPr>
      <w:r w:rsidRPr="00254B55">
        <w:rPr>
          <w:rFonts w:ascii="Trebuchet MS" w:hAnsi="Trebuchet MS" w:cs="Arial"/>
          <w:color w:val="000000"/>
          <w:sz w:val="22"/>
          <w:szCs w:val="22"/>
          <w:lang w:val="it-IT"/>
        </w:rPr>
        <w:t>Clasificarea potenţialului ecologic a râurilor puternic modificate şi artificiale se face în 3 clase ecologice:</w:t>
      </w:r>
    </w:p>
    <w:p w:rsidR="00AE762B" w:rsidRPr="00254B55" w:rsidRDefault="00AE762B" w:rsidP="002A0870">
      <w:pPr>
        <w:autoSpaceDE w:val="0"/>
        <w:autoSpaceDN w:val="0"/>
        <w:adjustRightInd w:val="0"/>
        <w:rPr>
          <w:rFonts w:ascii="Trebuchet MS" w:eastAsia="Times New Roman" w:hAnsi="Trebuchet MS"/>
          <w:color w:val="000000"/>
          <w:sz w:val="22"/>
          <w:szCs w:val="22"/>
          <w:lang w:val="it-IT"/>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8"/>
        <w:gridCol w:w="2052"/>
      </w:tblGrid>
      <w:tr w:rsidR="00AE762B" w:rsidRPr="00254B55" w:rsidTr="00A50F2F">
        <w:tc>
          <w:tcPr>
            <w:tcW w:w="2178" w:type="dxa"/>
          </w:tcPr>
          <w:p w:rsidR="00AE762B" w:rsidRPr="00254B55" w:rsidRDefault="00AE762B" w:rsidP="00A50F2F">
            <w:pPr>
              <w:autoSpaceDE w:val="0"/>
              <w:autoSpaceDN w:val="0"/>
              <w:adjustRightInd w:val="0"/>
              <w:rPr>
                <w:rFonts w:ascii="Trebuchet MS" w:hAnsi="Trebuchet MS" w:cs="Arial"/>
                <w:b/>
                <w:color w:val="000000"/>
                <w:sz w:val="22"/>
                <w:szCs w:val="22"/>
              </w:rPr>
            </w:pPr>
            <w:r w:rsidRPr="00254B55">
              <w:rPr>
                <w:rFonts w:ascii="Trebuchet MS" w:hAnsi="Trebuchet MS" w:cs="Arial"/>
                <w:b/>
                <w:color w:val="000000"/>
                <w:sz w:val="22"/>
                <w:szCs w:val="22"/>
              </w:rPr>
              <w:t>Potenţial ecologic</w:t>
            </w:r>
          </w:p>
        </w:tc>
        <w:tc>
          <w:tcPr>
            <w:tcW w:w="2052" w:type="dxa"/>
          </w:tcPr>
          <w:p w:rsidR="00AE762B" w:rsidRPr="00254B55" w:rsidRDefault="00AE762B" w:rsidP="00A50F2F">
            <w:pPr>
              <w:autoSpaceDE w:val="0"/>
              <w:autoSpaceDN w:val="0"/>
              <w:adjustRightInd w:val="0"/>
              <w:rPr>
                <w:rFonts w:ascii="Trebuchet MS" w:hAnsi="Trebuchet MS" w:cs="Arial"/>
                <w:b/>
                <w:color w:val="000000"/>
                <w:sz w:val="22"/>
                <w:szCs w:val="22"/>
              </w:rPr>
            </w:pPr>
            <w:r w:rsidRPr="00254B55">
              <w:rPr>
                <w:rFonts w:ascii="Trebuchet MS" w:hAnsi="Trebuchet MS" w:cs="Arial"/>
                <w:b/>
                <w:color w:val="000000"/>
                <w:sz w:val="22"/>
                <w:szCs w:val="22"/>
              </w:rPr>
              <w:t>Cod de culori</w:t>
            </w:r>
          </w:p>
        </w:tc>
      </w:tr>
      <w:tr w:rsidR="00AE762B" w:rsidRPr="00254B55" w:rsidTr="00A50F2F">
        <w:tc>
          <w:tcPr>
            <w:tcW w:w="217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Maxim</w:t>
            </w:r>
          </w:p>
        </w:tc>
        <w:tc>
          <w:tcPr>
            <w:tcW w:w="2052" w:type="dxa"/>
            <w:shd w:val="clear" w:color="auto" w:fill="0000FF"/>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r w:rsidR="00AE762B" w:rsidRPr="00254B55" w:rsidTr="00A50F2F">
        <w:tc>
          <w:tcPr>
            <w:tcW w:w="217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Bun</w:t>
            </w:r>
          </w:p>
        </w:tc>
        <w:tc>
          <w:tcPr>
            <w:tcW w:w="2052" w:type="dxa"/>
            <w:shd w:val="clear" w:color="auto" w:fill="008000"/>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r w:rsidR="00AE762B" w:rsidRPr="00254B55" w:rsidTr="00A50F2F">
        <w:tc>
          <w:tcPr>
            <w:tcW w:w="2178" w:type="dxa"/>
          </w:tcPr>
          <w:p w:rsidR="00AE762B" w:rsidRPr="00254B55" w:rsidRDefault="00AE762B" w:rsidP="00A50F2F">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Moderat</w:t>
            </w:r>
          </w:p>
        </w:tc>
        <w:tc>
          <w:tcPr>
            <w:tcW w:w="2052" w:type="dxa"/>
            <w:shd w:val="clear" w:color="auto" w:fill="FFFF00"/>
          </w:tcPr>
          <w:p w:rsidR="00AE762B" w:rsidRPr="00254B55" w:rsidRDefault="00AE762B" w:rsidP="00A50F2F">
            <w:pPr>
              <w:autoSpaceDE w:val="0"/>
              <w:autoSpaceDN w:val="0"/>
              <w:adjustRightInd w:val="0"/>
              <w:rPr>
                <w:rFonts w:ascii="Trebuchet MS" w:eastAsia="Times New Roman" w:hAnsi="Trebuchet MS"/>
                <w:b/>
                <w:bCs/>
                <w:i/>
                <w:iCs/>
                <w:color w:val="000000"/>
                <w:sz w:val="22"/>
                <w:szCs w:val="22"/>
              </w:rPr>
            </w:pPr>
          </w:p>
        </w:tc>
      </w:tr>
    </w:tbl>
    <w:p w:rsidR="00AE762B" w:rsidRPr="00254B55" w:rsidRDefault="00AE762B" w:rsidP="002A0870">
      <w:pPr>
        <w:autoSpaceDE w:val="0"/>
        <w:autoSpaceDN w:val="0"/>
        <w:adjustRightInd w:val="0"/>
        <w:rPr>
          <w:rFonts w:ascii="Trebuchet MS" w:eastAsia="Times New Roman" w:hAnsi="Trebuchet MS"/>
          <w:color w:val="000000"/>
          <w:sz w:val="22"/>
          <w:szCs w:val="22"/>
        </w:rPr>
      </w:pPr>
    </w:p>
    <w:p w:rsidR="00AE762B" w:rsidRPr="00254B55" w:rsidRDefault="00AE762B" w:rsidP="002A0870">
      <w:pPr>
        <w:autoSpaceDE w:val="0"/>
        <w:autoSpaceDN w:val="0"/>
        <w:adjustRightInd w:val="0"/>
        <w:rPr>
          <w:rFonts w:ascii="Trebuchet MS" w:eastAsia="Times New Roman" w:hAnsi="Trebuchet MS"/>
          <w:b/>
          <w:bCs/>
          <w:i/>
          <w:iCs/>
          <w:color w:val="000000"/>
          <w:sz w:val="22"/>
          <w:szCs w:val="22"/>
        </w:rPr>
      </w:pPr>
    </w:p>
    <w:p w:rsidR="00AE762B" w:rsidRPr="00254B55" w:rsidRDefault="00AE762B" w:rsidP="002A0870">
      <w:pPr>
        <w:jc w:val="both"/>
        <w:rPr>
          <w:rFonts w:ascii="Trebuchet MS" w:hAnsi="Trebuchet MS" w:cs="Arial"/>
          <w:color w:val="000000"/>
          <w:sz w:val="22"/>
          <w:szCs w:val="22"/>
        </w:rPr>
      </w:pPr>
      <w:r w:rsidRPr="00254B55">
        <w:rPr>
          <w:rFonts w:ascii="Trebuchet MS" w:hAnsi="Trebuchet MS" w:cs="Arial"/>
          <w:bCs/>
          <w:color w:val="000000"/>
          <w:sz w:val="22"/>
          <w:szCs w:val="22"/>
        </w:rPr>
        <w:t xml:space="preserve">            Starea ecologică/potenţialul ecologic</w:t>
      </w:r>
      <w:r w:rsidRPr="00254B55">
        <w:rPr>
          <w:rFonts w:ascii="Trebuchet MS" w:hAnsi="Trebuchet MS" w:cs="Arial"/>
          <w:color w:val="000000"/>
          <w:sz w:val="22"/>
          <w:szCs w:val="22"/>
        </w:rPr>
        <w:t xml:space="preserve"> caracterizat pe baza principiului celei mai defavorabile situaţii,  au fost evaluate prin utilizarea sistemelor de clasificare conforme cu prevederile Directivei Cadru Apă  ( Metodologiei preliminare de evaluare globală a stării/potenţialului ecologic al apelor de suprafaţă), luând în considerare   :</w:t>
      </w:r>
    </w:p>
    <w:p w:rsidR="00AE762B" w:rsidRPr="00254B55" w:rsidRDefault="00AE762B" w:rsidP="00EA3EB1">
      <w:pPr>
        <w:numPr>
          <w:ilvl w:val="0"/>
          <w:numId w:val="3"/>
        </w:numPr>
        <w:ind w:left="360"/>
        <w:jc w:val="both"/>
        <w:rPr>
          <w:rFonts w:ascii="Trebuchet MS" w:hAnsi="Trebuchet MS" w:cs="Arial"/>
          <w:i/>
          <w:color w:val="000000"/>
          <w:sz w:val="22"/>
          <w:szCs w:val="22"/>
          <w:lang w:val="it-IT"/>
        </w:rPr>
      </w:pPr>
      <w:r w:rsidRPr="00254B55">
        <w:rPr>
          <w:rFonts w:ascii="Trebuchet MS" w:hAnsi="Trebuchet MS" w:cs="Arial"/>
          <w:b/>
          <w:i/>
          <w:color w:val="000000"/>
          <w:sz w:val="22"/>
          <w:szCs w:val="22"/>
          <w:lang w:val="it-IT"/>
        </w:rPr>
        <w:t>Elementele biologice</w:t>
      </w:r>
      <w:r w:rsidRPr="00254B55">
        <w:rPr>
          <w:rFonts w:ascii="Trebuchet MS" w:hAnsi="Trebuchet MS" w:cs="Arial"/>
          <w:i/>
          <w:color w:val="000000"/>
          <w:sz w:val="22"/>
          <w:szCs w:val="22"/>
          <w:lang w:val="it-IT"/>
        </w:rPr>
        <w:t xml:space="preserve"> :</w:t>
      </w:r>
    </w:p>
    <w:p w:rsidR="00AE762B" w:rsidRPr="00254B55" w:rsidRDefault="00AE762B" w:rsidP="00EA3EB1">
      <w:pPr>
        <w:numPr>
          <w:ilvl w:val="0"/>
          <w:numId w:val="5"/>
        </w:numPr>
        <w:ind w:left="1356"/>
        <w:jc w:val="both"/>
        <w:rPr>
          <w:rFonts w:ascii="Trebuchet MS" w:hAnsi="Trebuchet MS" w:cs="Arial"/>
          <w:i/>
          <w:color w:val="000000"/>
          <w:sz w:val="22"/>
          <w:szCs w:val="22"/>
          <w:lang w:val="it-IT"/>
        </w:rPr>
      </w:pPr>
      <w:r w:rsidRPr="00254B55">
        <w:rPr>
          <w:rFonts w:ascii="Trebuchet MS" w:hAnsi="Trebuchet MS" w:cs="Arial"/>
          <w:i/>
          <w:color w:val="000000"/>
          <w:sz w:val="22"/>
          <w:szCs w:val="22"/>
          <w:lang w:val="it-IT"/>
        </w:rPr>
        <w:t xml:space="preserve">fitoplancton </w:t>
      </w:r>
    </w:p>
    <w:p w:rsidR="00AE762B" w:rsidRPr="00254B55" w:rsidRDefault="00AE762B" w:rsidP="00EA3EB1">
      <w:pPr>
        <w:numPr>
          <w:ilvl w:val="0"/>
          <w:numId w:val="5"/>
        </w:numPr>
        <w:ind w:left="1356"/>
        <w:jc w:val="both"/>
        <w:rPr>
          <w:rFonts w:ascii="Trebuchet MS" w:hAnsi="Trebuchet MS" w:cs="Arial"/>
          <w:i/>
          <w:color w:val="000000"/>
          <w:sz w:val="22"/>
          <w:szCs w:val="22"/>
          <w:lang w:val="it-IT"/>
        </w:rPr>
      </w:pPr>
      <w:r w:rsidRPr="00254B55">
        <w:rPr>
          <w:rFonts w:ascii="Trebuchet MS" w:hAnsi="Trebuchet MS" w:cs="Arial"/>
          <w:i/>
          <w:color w:val="000000"/>
          <w:sz w:val="22"/>
          <w:szCs w:val="22"/>
          <w:lang w:val="it-IT"/>
        </w:rPr>
        <w:t>fitobentos</w:t>
      </w:r>
    </w:p>
    <w:p w:rsidR="00AE762B" w:rsidRPr="00254B55" w:rsidRDefault="00AE762B" w:rsidP="00EA3EB1">
      <w:pPr>
        <w:numPr>
          <w:ilvl w:val="0"/>
          <w:numId w:val="5"/>
        </w:numPr>
        <w:ind w:left="1356"/>
        <w:jc w:val="both"/>
        <w:rPr>
          <w:rFonts w:ascii="Trebuchet MS" w:hAnsi="Trebuchet MS" w:cs="Arial"/>
          <w:i/>
          <w:color w:val="000000"/>
          <w:sz w:val="22"/>
          <w:szCs w:val="22"/>
          <w:lang w:val="it-IT"/>
        </w:rPr>
      </w:pPr>
      <w:r w:rsidRPr="00254B55">
        <w:rPr>
          <w:rFonts w:ascii="Trebuchet MS" w:hAnsi="Trebuchet MS" w:cs="Arial"/>
          <w:i/>
          <w:color w:val="000000"/>
          <w:sz w:val="22"/>
          <w:szCs w:val="22"/>
          <w:lang w:val="it-IT"/>
        </w:rPr>
        <w:t>macronevertebrate bentice</w:t>
      </w:r>
    </w:p>
    <w:p w:rsidR="00AE762B" w:rsidRPr="00254B55" w:rsidRDefault="00AE762B" w:rsidP="00EA3EB1">
      <w:pPr>
        <w:numPr>
          <w:ilvl w:val="0"/>
          <w:numId w:val="5"/>
        </w:numPr>
        <w:ind w:left="1356"/>
        <w:jc w:val="both"/>
        <w:rPr>
          <w:rFonts w:ascii="Trebuchet MS" w:hAnsi="Trebuchet MS" w:cs="Arial"/>
          <w:i/>
          <w:color w:val="000000"/>
          <w:sz w:val="22"/>
          <w:szCs w:val="22"/>
          <w:lang w:val="it-IT"/>
        </w:rPr>
      </w:pPr>
      <w:r w:rsidRPr="00254B55">
        <w:rPr>
          <w:rFonts w:ascii="Trebuchet MS" w:hAnsi="Trebuchet MS" w:cs="Arial"/>
          <w:i/>
          <w:color w:val="000000"/>
          <w:sz w:val="22"/>
          <w:szCs w:val="22"/>
          <w:lang w:val="it-IT"/>
        </w:rPr>
        <w:t>fauna piscicolă</w:t>
      </w:r>
    </w:p>
    <w:p w:rsidR="00AE762B" w:rsidRPr="00254B55" w:rsidRDefault="00AE762B" w:rsidP="002A0870">
      <w:pPr>
        <w:ind w:left="1356"/>
        <w:jc w:val="both"/>
        <w:rPr>
          <w:rFonts w:ascii="Trebuchet MS" w:hAnsi="Trebuchet MS" w:cs="Arial"/>
          <w:i/>
          <w:color w:val="000000"/>
          <w:sz w:val="22"/>
          <w:szCs w:val="22"/>
          <w:lang w:val="it-IT"/>
        </w:rPr>
      </w:pPr>
    </w:p>
    <w:p w:rsidR="00AE762B" w:rsidRPr="00254B55" w:rsidRDefault="00AE762B" w:rsidP="002A0870">
      <w:pPr>
        <w:jc w:val="both"/>
        <w:rPr>
          <w:rFonts w:ascii="Trebuchet MS" w:hAnsi="Trebuchet MS" w:cs="Arial"/>
          <w:i/>
          <w:color w:val="000000"/>
          <w:sz w:val="22"/>
          <w:szCs w:val="22"/>
          <w:lang w:val="it-IT"/>
        </w:rPr>
      </w:pPr>
    </w:p>
    <w:p w:rsidR="00AE762B" w:rsidRPr="00254B55" w:rsidRDefault="00AE762B" w:rsidP="00EA3EB1">
      <w:pPr>
        <w:numPr>
          <w:ilvl w:val="0"/>
          <w:numId w:val="3"/>
        </w:numPr>
        <w:spacing w:line="276" w:lineRule="auto"/>
        <w:ind w:left="360"/>
        <w:jc w:val="both"/>
        <w:rPr>
          <w:rFonts w:ascii="Trebuchet MS" w:hAnsi="Trebuchet MS" w:cs="Arial"/>
          <w:i/>
          <w:color w:val="000000"/>
          <w:sz w:val="22"/>
          <w:szCs w:val="22"/>
          <w:lang w:val="it-IT"/>
        </w:rPr>
      </w:pPr>
      <w:r w:rsidRPr="00254B55">
        <w:rPr>
          <w:rFonts w:ascii="Trebuchet MS" w:hAnsi="Trebuchet MS" w:cs="Arial"/>
          <w:b/>
          <w:i/>
          <w:color w:val="000000"/>
          <w:sz w:val="22"/>
          <w:szCs w:val="22"/>
          <w:lang w:val="it-IT"/>
        </w:rPr>
        <w:t xml:space="preserve">Elementele fizico-chimice generale suport </w:t>
      </w:r>
      <w:r w:rsidRPr="00254B55">
        <w:rPr>
          <w:rFonts w:ascii="Trebuchet MS" w:hAnsi="Trebuchet MS" w:cs="Arial"/>
          <w:i/>
          <w:color w:val="000000"/>
          <w:sz w:val="22"/>
          <w:szCs w:val="22"/>
          <w:lang w:val="it-IT"/>
        </w:rPr>
        <w:t>:</w:t>
      </w:r>
    </w:p>
    <w:p w:rsidR="00AE762B" w:rsidRPr="00254B55" w:rsidRDefault="00AE762B" w:rsidP="00EA3EB1">
      <w:pPr>
        <w:numPr>
          <w:ilvl w:val="0"/>
          <w:numId w:val="4"/>
        </w:numPr>
        <w:tabs>
          <w:tab w:val="clear" w:pos="1789"/>
          <w:tab w:val="num" w:pos="529"/>
        </w:tabs>
        <w:spacing w:line="276" w:lineRule="auto"/>
        <w:ind w:left="1369"/>
        <w:jc w:val="both"/>
        <w:rPr>
          <w:rFonts w:ascii="Trebuchet MS" w:hAnsi="Trebuchet MS" w:cs="Arial"/>
          <w:b/>
          <w:color w:val="000000"/>
          <w:sz w:val="22"/>
          <w:szCs w:val="22"/>
        </w:rPr>
      </w:pPr>
      <w:r w:rsidRPr="00254B55">
        <w:rPr>
          <w:rFonts w:ascii="Trebuchet MS" w:hAnsi="Trebuchet MS" w:cs="Arial"/>
          <w:color w:val="000000"/>
          <w:sz w:val="22"/>
          <w:szCs w:val="22"/>
        </w:rPr>
        <w:t xml:space="preserve">Condiţii termice </w:t>
      </w:r>
      <w:r w:rsidRPr="00254B55">
        <w:rPr>
          <w:rFonts w:ascii="Trebuchet MS" w:hAnsi="Trebuchet MS" w:cs="Arial"/>
          <w:b/>
          <w:color w:val="000000"/>
          <w:sz w:val="22"/>
          <w:szCs w:val="22"/>
        </w:rPr>
        <w:t>(</w:t>
      </w:r>
      <w:r w:rsidRPr="00254B55">
        <w:rPr>
          <w:rFonts w:ascii="Trebuchet MS" w:hAnsi="Trebuchet MS" w:cs="Arial"/>
          <w:b/>
          <w:color w:val="000000"/>
          <w:sz w:val="22"/>
          <w:szCs w:val="22"/>
          <w:lang w:val="it-IT"/>
        </w:rPr>
        <w:t>temperatura apei)</w:t>
      </w:r>
    </w:p>
    <w:p w:rsidR="00AE762B" w:rsidRPr="00254B55" w:rsidRDefault="00AE762B" w:rsidP="00EA3EB1">
      <w:pPr>
        <w:numPr>
          <w:ilvl w:val="0"/>
          <w:numId w:val="4"/>
        </w:numPr>
        <w:tabs>
          <w:tab w:val="clear" w:pos="1789"/>
          <w:tab w:val="num" w:pos="529"/>
        </w:tabs>
        <w:spacing w:line="276" w:lineRule="auto"/>
        <w:ind w:left="1369"/>
        <w:jc w:val="both"/>
        <w:rPr>
          <w:rFonts w:ascii="Trebuchet MS" w:hAnsi="Trebuchet MS" w:cs="Arial"/>
          <w:color w:val="000000"/>
          <w:sz w:val="22"/>
          <w:szCs w:val="22"/>
        </w:rPr>
      </w:pPr>
      <w:r w:rsidRPr="00254B55">
        <w:rPr>
          <w:rFonts w:ascii="Trebuchet MS" w:hAnsi="Trebuchet MS" w:cs="Arial"/>
          <w:color w:val="000000"/>
          <w:sz w:val="22"/>
          <w:szCs w:val="22"/>
        </w:rPr>
        <w:t xml:space="preserve">Condiţii de oxigenare </w:t>
      </w:r>
      <w:r w:rsidRPr="00254B55">
        <w:rPr>
          <w:rFonts w:ascii="Trebuchet MS" w:hAnsi="Trebuchet MS" w:cs="Arial"/>
          <w:b/>
          <w:color w:val="000000"/>
          <w:sz w:val="22"/>
          <w:szCs w:val="22"/>
          <w:lang w:val="it-IT"/>
        </w:rPr>
        <w:t>(oxigen dizolvat</w:t>
      </w:r>
      <w:r w:rsidRPr="00254B55">
        <w:rPr>
          <w:rFonts w:ascii="Trebuchet MS" w:hAnsi="Trebuchet MS" w:cs="Arial"/>
          <w:b/>
          <w:color w:val="000000"/>
          <w:sz w:val="22"/>
          <w:szCs w:val="22"/>
          <w:lang w:val="pt-BR"/>
        </w:rPr>
        <w:t xml:space="preserve"> ,CBO</w:t>
      </w:r>
      <w:r w:rsidRPr="00254B55">
        <w:rPr>
          <w:rFonts w:ascii="Trebuchet MS" w:hAnsi="Trebuchet MS" w:cs="Arial"/>
          <w:b/>
          <w:color w:val="000000"/>
          <w:sz w:val="22"/>
          <w:szCs w:val="22"/>
          <w:vertAlign w:val="subscript"/>
          <w:lang w:val="pt-BR"/>
        </w:rPr>
        <w:t>5</w:t>
      </w:r>
      <w:r w:rsidRPr="00254B55">
        <w:rPr>
          <w:rFonts w:ascii="Trebuchet MS" w:hAnsi="Trebuchet MS" w:cs="Arial"/>
          <w:b/>
          <w:color w:val="000000"/>
          <w:sz w:val="22"/>
          <w:szCs w:val="22"/>
          <w:lang w:val="pt-BR"/>
        </w:rPr>
        <w:t>,CCO-Cr</w:t>
      </w:r>
      <w:r w:rsidRPr="00254B55">
        <w:rPr>
          <w:rFonts w:ascii="Trebuchet MS" w:hAnsi="Trebuchet MS" w:cs="Arial"/>
          <w:b/>
          <w:color w:val="000000"/>
          <w:sz w:val="22"/>
          <w:szCs w:val="22"/>
          <w:lang w:val="it-IT"/>
        </w:rPr>
        <w:t>)</w:t>
      </w:r>
    </w:p>
    <w:p w:rsidR="00AE762B" w:rsidRPr="00254B55" w:rsidRDefault="00AE762B" w:rsidP="00EA3EB1">
      <w:pPr>
        <w:numPr>
          <w:ilvl w:val="0"/>
          <w:numId w:val="4"/>
        </w:numPr>
        <w:tabs>
          <w:tab w:val="clear" w:pos="1789"/>
          <w:tab w:val="num" w:pos="529"/>
        </w:tabs>
        <w:spacing w:line="276" w:lineRule="auto"/>
        <w:ind w:left="1369"/>
        <w:jc w:val="both"/>
        <w:rPr>
          <w:rFonts w:ascii="Trebuchet MS" w:hAnsi="Trebuchet MS" w:cs="Arial"/>
          <w:color w:val="000000"/>
          <w:sz w:val="22"/>
          <w:szCs w:val="22"/>
        </w:rPr>
      </w:pPr>
      <w:r w:rsidRPr="00254B55">
        <w:rPr>
          <w:rFonts w:ascii="Trebuchet MS" w:hAnsi="Trebuchet MS" w:cs="Arial"/>
          <w:color w:val="000000"/>
          <w:sz w:val="22"/>
          <w:szCs w:val="22"/>
        </w:rPr>
        <w:t xml:space="preserve">Starea acidifierii </w:t>
      </w:r>
      <w:r w:rsidRPr="00254B55">
        <w:rPr>
          <w:rFonts w:ascii="Trebuchet MS" w:hAnsi="Trebuchet MS" w:cs="Arial"/>
          <w:b/>
          <w:color w:val="000000"/>
          <w:sz w:val="22"/>
          <w:szCs w:val="22"/>
          <w:lang w:val="it-IT"/>
        </w:rPr>
        <w:t>( pH )</w:t>
      </w:r>
    </w:p>
    <w:p w:rsidR="00AE762B" w:rsidRPr="00254B55" w:rsidRDefault="00AE762B" w:rsidP="00EA3EB1">
      <w:pPr>
        <w:numPr>
          <w:ilvl w:val="0"/>
          <w:numId w:val="4"/>
        </w:numPr>
        <w:tabs>
          <w:tab w:val="clear" w:pos="1789"/>
          <w:tab w:val="num" w:pos="529"/>
        </w:tabs>
        <w:spacing w:line="276" w:lineRule="auto"/>
        <w:ind w:left="1369"/>
        <w:jc w:val="both"/>
        <w:rPr>
          <w:rFonts w:ascii="Trebuchet MS" w:hAnsi="Trebuchet MS" w:cs="Arial"/>
          <w:color w:val="000000"/>
          <w:sz w:val="22"/>
          <w:szCs w:val="22"/>
          <w:lang w:val="pt-BR"/>
        </w:rPr>
      </w:pPr>
      <w:r w:rsidRPr="00254B55">
        <w:rPr>
          <w:rFonts w:ascii="Trebuchet MS" w:hAnsi="Trebuchet MS" w:cs="Arial"/>
          <w:color w:val="000000"/>
          <w:sz w:val="22"/>
          <w:szCs w:val="22"/>
          <w:lang w:val="pt-BR"/>
        </w:rPr>
        <w:t xml:space="preserve">Nutrienţi </w:t>
      </w:r>
      <w:r w:rsidRPr="00254B55">
        <w:rPr>
          <w:rFonts w:ascii="Trebuchet MS" w:hAnsi="Trebuchet MS" w:cs="Arial"/>
          <w:b/>
          <w:color w:val="000000"/>
          <w:sz w:val="22"/>
          <w:szCs w:val="22"/>
          <w:lang w:val="pt-BR"/>
        </w:rPr>
        <w:t xml:space="preserve">( </w:t>
      </w:r>
      <w:r w:rsidRPr="00254B55">
        <w:rPr>
          <w:rFonts w:ascii="Trebuchet MS" w:hAnsi="Trebuchet MS" w:cs="Arial"/>
          <w:b/>
          <w:bCs/>
          <w:color w:val="000000"/>
          <w:sz w:val="22"/>
          <w:szCs w:val="22"/>
          <w:lang w:val="pt-BR"/>
        </w:rPr>
        <w:t>N-NH</w:t>
      </w:r>
      <w:r w:rsidRPr="00254B55">
        <w:rPr>
          <w:rFonts w:ascii="Trebuchet MS" w:hAnsi="Trebuchet MS" w:cs="Arial"/>
          <w:b/>
          <w:bCs/>
          <w:color w:val="000000"/>
          <w:sz w:val="22"/>
          <w:szCs w:val="22"/>
          <w:vertAlign w:val="subscript"/>
          <w:lang w:val="pt-BR"/>
        </w:rPr>
        <w:t>4</w:t>
      </w:r>
      <w:r w:rsidRPr="00254B55">
        <w:rPr>
          <w:rFonts w:ascii="Trebuchet MS" w:hAnsi="Trebuchet MS" w:cs="Arial"/>
          <w:b/>
          <w:bCs/>
          <w:color w:val="000000"/>
          <w:sz w:val="22"/>
          <w:szCs w:val="22"/>
          <w:lang w:val="pt-BR"/>
        </w:rPr>
        <w:t>, N-NO</w:t>
      </w:r>
      <w:r w:rsidRPr="00254B55">
        <w:rPr>
          <w:rFonts w:ascii="Trebuchet MS" w:hAnsi="Trebuchet MS" w:cs="Arial"/>
          <w:b/>
          <w:bCs/>
          <w:color w:val="000000"/>
          <w:sz w:val="22"/>
          <w:szCs w:val="22"/>
          <w:vertAlign w:val="subscript"/>
          <w:lang w:val="pt-BR"/>
        </w:rPr>
        <w:t>2</w:t>
      </w:r>
      <w:r w:rsidRPr="00254B55">
        <w:rPr>
          <w:rFonts w:ascii="Trebuchet MS" w:hAnsi="Trebuchet MS" w:cs="Arial"/>
          <w:b/>
          <w:bCs/>
          <w:color w:val="000000"/>
          <w:sz w:val="22"/>
          <w:szCs w:val="22"/>
          <w:lang w:val="pt-BR"/>
        </w:rPr>
        <w:t>, N-NO</w:t>
      </w:r>
      <w:r w:rsidRPr="00254B55">
        <w:rPr>
          <w:rFonts w:ascii="Trebuchet MS" w:hAnsi="Trebuchet MS" w:cs="Arial"/>
          <w:b/>
          <w:bCs/>
          <w:color w:val="000000"/>
          <w:sz w:val="22"/>
          <w:szCs w:val="22"/>
          <w:vertAlign w:val="subscript"/>
          <w:lang w:val="pt-BR"/>
        </w:rPr>
        <w:t>3</w:t>
      </w:r>
      <w:r w:rsidRPr="00254B55">
        <w:rPr>
          <w:rFonts w:ascii="Trebuchet MS" w:hAnsi="Trebuchet MS" w:cs="Arial"/>
          <w:b/>
          <w:bCs/>
          <w:color w:val="000000"/>
          <w:sz w:val="22"/>
          <w:szCs w:val="22"/>
          <w:lang w:val="pt-BR"/>
        </w:rPr>
        <w:t>, N</w:t>
      </w:r>
      <w:r w:rsidRPr="00254B55">
        <w:rPr>
          <w:rFonts w:ascii="Trebuchet MS" w:hAnsi="Trebuchet MS" w:cs="Arial"/>
          <w:b/>
          <w:bCs/>
          <w:color w:val="000000"/>
          <w:sz w:val="22"/>
          <w:szCs w:val="22"/>
          <w:vertAlign w:val="subscript"/>
          <w:lang w:val="pt-BR"/>
        </w:rPr>
        <w:t>total</w:t>
      </w:r>
      <w:r w:rsidRPr="00254B55">
        <w:rPr>
          <w:rFonts w:ascii="Trebuchet MS" w:hAnsi="Trebuchet MS" w:cs="Arial"/>
          <w:b/>
          <w:bCs/>
          <w:color w:val="000000"/>
          <w:sz w:val="22"/>
          <w:szCs w:val="22"/>
          <w:lang w:val="pt-BR"/>
        </w:rPr>
        <w:t xml:space="preserve"> P-PO</w:t>
      </w:r>
      <w:r w:rsidRPr="00254B55">
        <w:rPr>
          <w:rFonts w:ascii="Trebuchet MS" w:hAnsi="Trebuchet MS" w:cs="Arial"/>
          <w:b/>
          <w:bCs/>
          <w:color w:val="000000"/>
          <w:sz w:val="22"/>
          <w:szCs w:val="22"/>
          <w:vertAlign w:val="subscript"/>
          <w:lang w:val="pt-BR"/>
        </w:rPr>
        <w:t>4</w:t>
      </w:r>
      <w:r w:rsidRPr="00254B55">
        <w:rPr>
          <w:rFonts w:ascii="Trebuchet MS" w:hAnsi="Trebuchet MS" w:cs="Arial"/>
          <w:b/>
          <w:bCs/>
          <w:color w:val="000000"/>
          <w:sz w:val="22"/>
          <w:szCs w:val="22"/>
          <w:lang w:val="pt-BR"/>
        </w:rPr>
        <w:t>, P</w:t>
      </w:r>
      <w:r w:rsidRPr="00254B55">
        <w:rPr>
          <w:rFonts w:ascii="Trebuchet MS" w:hAnsi="Trebuchet MS" w:cs="Arial"/>
          <w:b/>
          <w:bCs/>
          <w:color w:val="000000"/>
          <w:sz w:val="22"/>
          <w:szCs w:val="22"/>
          <w:vertAlign w:val="subscript"/>
          <w:lang w:val="pt-BR"/>
        </w:rPr>
        <w:t xml:space="preserve">total </w:t>
      </w:r>
      <w:r w:rsidRPr="00254B55">
        <w:rPr>
          <w:rFonts w:ascii="Trebuchet MS" w:hAnsi="Trebuchet MS" w:cs="Arial"/>
          <w:b/>
          <w:bCs/>
          <w:color w:val="000000"/>
          <w:sz w:val="22"/>
          <w:szCs w:val="22"/>
          <w:lang w:val="pt-BR"/>
        </w:rPr>
        <w:t>)</w:t>
      </w:r>
    </w:p>
    <w:p w:rsidR="00AE762B" w:rsidRPr="00254B55" w:rsidRDefault="00AE762B" w:rsidP="00EA3EB1">
      <w:pPr>
        <w:numPr>
          <w:ilvl w:val="0"/>
          <w:numId w:val="4"/>
        </w:numPr>
        <w:tabs>
          <w:tab w:val="clear" w:pos="1789"/>
          <w:tab w:val="num" w:pos="949"/>
        </w:tabs>
        <w:spacing w:line="276" w:lineRule="auto"/>
        <w:ind w:left="1369"/>
        <w:jc w:val="both"/>
        <w:rPr>
          <w:rFonts w:ascii="Trebuchet MS" w:hAnsi="Trebuchet MS" w:cs="Arial"/>
          <w:color w:val="000000"/>
          <w:sz w:val="22"/>
          <w:szCs w:val="22"/>
        </w:rPr>
      </w:pPr>
      <w:r w:rsidRPr="00254B55">
        <w:rPr>
          <w:rFonts w:ascii="Trebuchet MS" w:hAnsi="Trebuchet MS" w:cs="Arial"/>
          <w:bCs/>
          <w:color w:val="000000"/>
          <w:sz w:val="22"/>
          <w:szCs w:val="22"/>
        </w:rPr>
        <w:t xml:space="preserve">Condiţii salinitate </w:t>
      </w:r>
      <w:r w:rsidRPr="00254B55">
        <w:rPr>
          <w:rFonts w:ascii="Trebuchet MS" w:hAnsi="Trebuchet MS" w:cs="Arial"/>
          <w:b/>
          <w:bCs/>
          <w:color w:val="000000"/>
          <w:sz w:val="22"/>
          <w:szCs w:val="22"/>
        </w:rPr>
        <w:t xml:space="preserve">( </w:t>
      </w:r>
      <w:r w:rsidRPr="00254B55">
        <w:rPr>
          <w:rFonts w:ascii="Trebuchet MS" w:hAnsi="Trebuchet MS" w:cs="Arial"/>
          <w:b/>
          <w:color w:val="000000"/>
          <w:sz w:val="22"/>
          <w:szCs w:val="22"/>
        </w:rPr>
        <w:t>conductivitate )</w:t>
      </w:r>
    </w:p>
    <w:p w:rsidR="00AE762B" w:rsidRPr="00254B55" w:rsidRDefault="00AE762B" w:rsidP="00EA3EB1">
      <w:pPr>
        <w:numPr>
          <w:ilvl w:val="0"/>
          <w:numId w:val="3"/>
        </w:numPr>
        <w:spacing w:line="276" w:lineRule="auto"/>
        <w:ind w:left="360"/>
        <w:jc w:val="both"/>
        <w:rPr>
          <w:rFonts w:ascii="Trebuchet MS" w:hAnsi="Trebuchet MS" w:cs="Arial"/>
          <w:color w:val="000000"/>
          <w:sz w:val="22"/>
          <w:szCs w:val="22"/>
        </w:rPr>
      </w:pPr>
      <w:r w:rsidRPr="00254B55">
        <w:rPr>
          <w:rFonts w:ascii="Trebuchet MS" w:hAnsi="Trebuchet MS" w:cs="Arial"/>
          <w:b/>
          <w:i/>
          <w:color w:val="000000"/>
          <w:sz w:val="22"/>
          <w:szCs w:val="22"/>
        </w:rPr>
        <w:t>Poluanţii specifici</w:t>
      </w:r>
      <w:r w:rsidRPr="00254B55">
        <w:rPr>
          <w:rFonts w:ascii="Trebuchet MS" w:hAnsi="Trebuchet MS" w:cs="Arial"/>
          <w:color w:val="000000"/>
          <w:sz w:val="22"/>
          <w:szCs w:val="22"/>
        </w:rPr>
        <w:t xml:space="preserve"> - alte substanţe identificate ca fiind evacuate în cantităţi importante în corpurile de apă</w:t>
      </w:r>
      <w:r w:rsidRPr="00254B55">
        <w:rPr>
          <w:rFonts w:ascii="Trebuchet MS" w:hAnsi="Trebuchet MS" w:cs="Arial"/>
          <w:b/>
          <w:color w:val="000000"/>
          <w:sz w:val="22"/>
          <w:szCs w:val="22"/>
        </w:rPr>
        <w:t xml:space="preserve"> ( Zn, Cu, As, Cr, toluen</w:t>
      </w:r>
      <w:r w:rsidRPr="00254B55">
        <w:rPr>
          <w:rFonts w:ascii="Trebuchet MS" w:hAnsi="Trebuchet MS" w:cs="Arial"/>
          <w:color w:val="000000"/>
          <w:sz w:val="22"/>
          <w:szCs w:val="22"/>
        </w:rPr>
        <w:t>,</w:t>
      </w:r>
      <w:r w:rsidRPr="00254B55">
        <w:rPr>
          <w:rFonts w:ascii="Trebuchet MS" w:hAnsi="Trebuchet MS" w:cs="Arial"/>
          <w:b/>
          <w:color w:val="000000"/>
          <w:sz w:val="22"/>
          <w:szCs w:val="22"/>
        </w:rPr>
        <w:t xml:space="preserve">  xilen, fenoli, PCB).</w:t>
      </w:r>
    </w:p>
    <w:p w:rsidR="00AE762B" w:rsidRPr="00086D29" w:rsidRDefault="00AE762B" w:rsidP="002A0870">
      <w:pPr>
        <w:ind w:left="360"/>
        <w:jc w:val="both"/>
        <w:rPr>
          <w:rFonts w:ascii="Arial" w:hAnsi="Arial" w:cs="Arial"/>
          <w:color w:val="000000"/>
        </w:rPr>
      </w:pPr>
    </w:p>
    <w:p w:rsidR="000A4B52" w:rsidRPr="002D139E" w:rsidRDefault="000A4B52" w:rsidP="000A4B52">
      <w:pPr>
        <w:spacing w:line="300" w:lineRule="auto"/>
        <w:ind w:firstLine="708"/>
        <w:rPr>
          <w:rFonts w:ascii="Trebuchet MS" w:hAnsi="Trebuchet MS" w:cs="Arial"/>
          <w:b/>
        </w:rPr>
      </w:pPr>
      <w:r w:rsidRPr="002D139E">
        <w:rPr>
          <w:rFonts w:ascii="Trebuchet MS" w:hAnsi="Trebuchet MS" w:cs="Arial"/>
          <w:b/>
        </w:rPr>
        <w:t xml:space="preserve">II.2.1.1. Calitatea apei cursurilor de apă </w:t>
      </w:r>
    </w:p>
    <w:p w:rsidR="000A4B52" w:rsidRDefault="000A4B52" w:rsidP="000A4B52">
      <w:pPr>
        <w:spacing w:line="25" w:lineRule="atLeast"/>
        <w:ind w:right="-285"/>
        <w:jc w:val="center"/>
        <w:rPr>
          <w:rFonts w:ascii="Trebuchet MS" w:hAnsi="Trebuchet MS" w:cs="Arial"/>
          <w:b/>
          <w:color w:val="000000" w:themeColor="text1"/>
          <w:highlight w:val="green"/>
        </w:rPr>
      </w:pPr>
    </w:p>
    <w:p w:rsidR="000A4B52" w:rsidRPr="00B2176E" w:rsidRDefault="000A4B52" w:rsidP="00E9287F">
      <w:pPr>
        <w:ind w:right="-285"/>
        <w:jc w:val="center"/>
        <w:rPr>
          <w:rFonts w:ascii="Trebuchet MS" w:hAnsi="Trebuchet MS" w:cs="Arial"/>
          <w:b/>
          <w:color w:val="000000" w:themeColor="text1"/>
        </w:rPr>
      </w:pPr>
      <w:r w:rsidRPr="00B2176E">
        <w:rPr>
          <w:rFonts w:ascii="Trebuchet MS" w:hAnsi="Trebuchet MS" w:cs="Arial"/>
          <w:b/>
          <w:color w:val="000000" w:themeColor="text1"/>
          <w:highlight w:val="green"/>
        </w:rPr>
        <w:t>Indicator WEC 04. Scheme de clasificare a cursurilor de apă RO 67</w:t>
      </w:r>
    </w:p>
    <w:p w:rsidR="000A4B52" w:rsidRPr="00254B55" w:rsidRDefault="000A4B52" w:rsidP="00E9287F">
      <w:pPr>
        <w:ind w:right="-285"/>
        <w:jc w:val="both"/>
        <w:rPr>
          <w:rFonts w:ascii="Trebuchet MS" w:hAnsi="Trebuchet MS" w:cs="Arial"/>
          <w:b/>
          <w:color w:val="000000" w:themeColor="text1"/>
          <w:sz w:val="22"/>
          <w:szCs w:val="22"/>
        </w:rPr>
      </w:pPr>
      <w:r w:rsidRPr="00254B55">
        <w:rPr>
          <w:rFonts w:ascii="Trebuchet MS" w:hAnsi="Trebuchet MS" w:cs="Arial"/>
          <w:b/>
          <w:color w:val="000000" w:themeColor="text1"/>
          <w:sz w:val="22"/>
          <w:szCs w:val="22"/>
        </w:rPr>
        <w:t xml:space="preserve">II.2.1.1.1 STAREA ECOLOGICĂ / POTENȚIALUL ECOLOGIC AL CURSURILOR DE APĂ MONITORIZATE (corpuri de apă naturale, puternic modificate, artificiale - râuri) PE SPAȚII / BAZINE HIDROGRAFICE ȘI LA NIVEL NAȚIONAL </w:t>
      </w:r>
    </w:p>
    <w:p w:rsidR="000A4B52" w:rsidRPr="00254B55" w:rsidRDefault="000A4B52" w:rsidP="00E9287F">
      <w:pPr>
        <w:jc w:val="both"/>
        <w:rPr>
          <w:rFonts w:ascii="Trebuchet MS" w:hAnsi="Trebuchet MS" w:cs="Arial"/>
          <w:b/>
          <w:i/>
          <w:color w:val="000000" w:themeColor="text1"/>
          <w:sz w:val="22"/>
          <w:szCs w:val="22"/>
        </w:rPr>
      </w:pPr>
      <w:r w:rsidRPr="00254B55">
        <w:rPr>
          <w:rFonts w:ascii="Trebuchet MS" w:hAnsi="Trebuchet MS" w:cs="Arial"/>
          <w:b/>
          <w:i/>
          <w:color w:val="000000" w:themeColor="text1"/>
          <w:sz w:val="22"/>
          <w:szCs w:val="22"/>
        </w:rPr>
        <w:t>Evaluarea stării ecologice / potențialului ecologic al cursurilor de apă monitorizate (corpuri de apă naturale, puternic modificate, artificiale - râuri) pe spații / bazine hidrografice în anul 2023 (km)</w:t>
      </w:r>
    </w:p>
    <w:p w:rsidR="000A4B52" w:rsidRPr="00254B55" w:rsidRDefault="000A4B52" w:rsidP="000A4B52">
      <w:pPr>
        <w:spacing w:line="25" w:lineRule="atLeast"/>
        <w:jc w:val="both"/>
        <w:rPr>
          <w:rFonts w:ascii="Trebuchet MS" w:hAnsi="Trebuchet MS" w:cs="Arial"/>
          <w:b/>
          <w:i/>
          <w:color w:val="000000" w:themeColor="text1"/>
          <w:sz w:val="22"/>
          <w:szCs w:val="22"/>
        </w:rPr>
      </w:pPr>
    </w:p>
    <w:p w:rsidR="000A4B52" w:rsidRPr="0020084D" w:rsidRDefault="000A4B52" w:rsidP="000A4B52">
      <w:pPr>
        <w:spacing w:line="25" w:lineRule="atLeast"/>
        <w:jc w:val="both"/>
        <w:rPr>
          <w:rFonts w:ascii="Trebuchet MS" w:hAnsi="Trebuchet MS" w:cs="Arial"/>
          <w:b/>
          <w:i/>
          <w:color w:val="000000" w:themeColor="text1"/>
          <w:sz w:val="20"/>
          <w:szCs w:val="20"/>
        </w:rPr>
      </w:pPr>
      <w:r w:rsidRPr="0020084D">
        <w:rPr>
          <w:rFonts w:ascii="Trebuchet MS" w:hAnsi="Trebuchet MS" w:cs="Arial"/>
          <w:b/>
          <w:i/>
          <w:color w:val="000000" w:themeColor="text1"/>
          <w:sz w:val="20"/>
          <w:szCs w:val="20"/>
        </w:rPr>
        <w:t>Figura II.2.1.1.1 Starea ecologică / potențialul ecologic al cursurilor de apă monitorizate (corpuri de apă naturale, puternic modificate, artificiale - râuri) pe spații / bazine hidrografice în anul 2023 (km)</w:t>
      </w:r>
    </w:p>
    <w:p w:rsidR="000A4B52" w:rsidRPr="00B2176E" w:rsidRDefault="000A4B52" w:rsidP="000A4B52">
      <w:pPr>
        <w:spacing w:line="25" w:lineRule="atLeast"/>
        <w:jc w:val="center"/>
        <w:rPr>
          <w:rFonts w:ascii="Trebuchet MS" w:hAnsi="Trebuchet MS" w:cs="Arial"/>
          <w:b/>
          <w:i/>
          <w:color w:val="FF0000"/>
        </w:rPr>
      </w:pPr>
      <w:r>
        <w:rPr>
          <w:noProof/>
          <w:lang w:val="en-US"/>
        </w:rPr>
        <w:drawing>
          <wp:inline distT="0" distB="0" distL="0" distR="0" wp14:anchorId="2DDDEE96" wp14:editId="3616C2B1">
            <wp:extent cx="6734175" cy="3524250"/>
            <wp:effectExtent l="0" t="0" r="9525" b="0"/>
            <wp:docPr id="1349278121"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0A4B52" w:rsidRPr="003A03C7" w:rsidRDefault="000A4B52" w:rsidP="000A4B52">
      <w:pPr>
        <w:spacing w:line="25" w:lineRule="atLeast"/>
        <w:ind w:firstLine="708"/>
        <w:jc w:val="both"/>
        <w:rPr>
          <w:rFonts w:ascii="Trebuchet MS" w:hAnsi="Trebuchet MS" w:cs="Arial"/>
          <w:b/>
          <w:color w:val="000000" w:themeColor="text1"/>
          <w:sz w:val="20"/>
          <w:szCs w:val="20"/>
        </w:rPr>
      </w:pPr>
      <w:r w:rsidRPr="003A03C7">
        <w:rPr>
          <w:rFonts w:ascii="Trebuchet MS" w:hAnsi="Trebuchet MS" w:cs="Arial"/>
          <w:b/>
          <w:color w:val="000000" w:themeColor="text1"/>
          <w:sz w:val="20"/>
          <w:szCs w:val="20"/>
        </w:rPr>
        <w:t>*SE - stare ecologică / potenţial ecologic</w:t>
      </w:r>
    </w:p>
    <w:p w:rsidR="000A4B52" w:rsidRPr="0020084D" w:rsidRDefault="000A4B52" w:rsidP="000A4B52">
      <w:pPr>
        <w:jc w:val="both"/>
        <w:rPr>
          <w:rFonts w:ascii="Trebuchet MS" w:hAnsi="Trebuchet MS" w:cs="Arial"/>
          <w:i/>
          <w:iCs/>
          <w:sz w:val="20"/>
          <w:szCs w:val="20"/>
          <w:lang w:eastAsia="ro-RO"/>
        </w:rPr>
      </w:pPr>
      <w:r w:rsidRPr="0020084D">
        <w:rPr>
          <w:rFonts w:ascii="Trebuchet MS" w:hAnsi="Trebuchet MS" w:cs="Arial"/>
          <w:i/>
          <w:iCs/>
          <w:sz w:val="20"/>
          <w:szCs w:val="20"/>
          <w:lang w:eastAsia="ro-RO"/>
        </w:rPr>
        <w:t>(Sursa: Administraţia Naţională “Apele Române”, Sinteza calităţii apelor din România în anul 2023)</w:t>
      </w:r>
    </w:p>
    <w:p w:rsidR="000A4B52" w:rsidRDefault="000A4B52" w:rsidP="000A4B52">
      <w:pPr>
        <w:spacing w:line="25" w:lineRule="atLeast"/>
        <w:jc w:val="both"/>
        <w:rPr>
          <w:rFonts w:ascii="Trebuchet MS" w:hAnsi="Trebuchet MS" w:cs="Arial"/>
          <w:b/>
          <w:i/>
          <w:color w:val="000000" w:themeColor="text1"/>
        </w:rPr>
      </w:pPr>
    </w:p>
    <w:p w:rsidR="000A4B52" w:rsidRPr="00B2176E" w:rsidRDefault="000A4B52" w:rsidP="000A4B52">
      <w:pPr>
        <w:spacing w:line="25" w:lineRule="atLeast"/>
        <w:jc w:val="both"/>
        <w:rPr>
          <w:rFonts w:ascii="Trebuchet MS" w:hAnsi="Trebuchet MS" w:cs="Arial"/>
          <w:b/>
          <w:color w:val="000000" w:themeColor="text1"/>
        </w:rPr>
      </w:pPr>
    </w:p>
    <w:p w:rsidR="000A4B52" w:rsidRPr="00B2176E" w:rsidRDefault="000A4B52" w:rsidP="000A4B52">
      <w:pPr>
        <w:spacing w:line="25" w:lineRule="atLeast"/>
        <w:jc w:val="both"/>
        <w:rPr>
          <w:rFonts w:ascii="Trebuchet MS" w:hAnsi="Trebuchet MS" w:cs="Arial"/>
          <w:b/>
          <w:color w:val="FF0000"/>
        </w:rPr>
      </w:pPr>
    </w:p>
    <w:p w:rsidR="000A4B52" w:rsidRPr="00254B55" w:rsidRDefault="000A4B52" w:rsidP="000A4B52">
      <w:pPr>
        <w:spacing w:line="25" w:lineRule="atLeast"/>
        <w:jc w:val="both"/>
        <w:rPr>
          <w:rFonts w:ascii="Trebuchet MS" w:hAnsi="Trebuchet MS" w:cs="Arial"/>
          <w:b/>
          <w:i/>
          <w:color w:val="000000" w:themeColor="text1"/>
          <w:sz w:val="22"/>
          <w:szCs w:val="22"/>
        </w:rPr>
      </w:pPr>
      <w:r w:rsidRPr="00254B55">
        <w:rPr>
          <w:rFonts w:ascii="Trebuchet MS" w:hAnsi="Trebuchet MS" w:cs="Arial"/>
          <w:b/>
          <w:i/>
          <w:color w:val="000000" w:themeColor="text1"/>
          <w:sz w:val="22"/>
          <w:szCs w:val="22"/>
        </w:rPr>
        <w:t>Evaluarea stării ecologice / potențialului ecologic al cursurilor de apă monitorizate (corpuri de apă naturale, puternic modificate, artificiale - râuri) pe spații / bazine hidrografice în anul 2023 (%)</w:t>
      </w:r>
    </w:p>
    <w:p w:rsidR="000A4B52" w:rsidRPr="00254B55" w:rsidRDefault="000A4B52" w:rsidP="000A4B52">
      <w:pPr>
        <w:spacing w:line="25" w:lineRule="atLeast"/>
        <w:jc w:val="both"/>
        <w:rPr>
          <w:rFonts w:ascii="Trebuchet MS" w:hAnsi="Trebuchet MS" w:cs="Arial"/>
          <w:b/>
          <w:i/>
          <w:color w:val="000000" w:themeColor="text1"/>
          <w:sz w:val="22"/>
          <w:szCs w:val="22"/>
        </w:rPr>
      </w:pPr>
    </w:p>
    <w:p w:rsidR="000A4B52" w:rsidRPr="0020084D" w:rsidRDefault="000A4B52" w:rsidP="000A4B52">
      <w:pPr>
        <w:spacing w:line="25" w:lineRule="atLeast"/>
        <w:jc w:val="both"/>
        <w:rPr>
          <w:rFonts w:ascii="Trebuchet MS" w:hAnsi="Trebuchet MS" w:cs="Arial"/>
          <w:b/>
          <w:i/>
          <w:color w:val="000000" w:themeColor="text1"/>
          <w:sz w:val="20"/>
          <w:szCs w:val="20"/>
        </w:rPr>
      </w:pPr>
      <w:r w:rsidRPr="0020084D">
        <w:rPr>
          <w:rFonts w:ascii="Trebuchet MS" w:hAnsi="Trebuchet MS" w:cs="Arial"/>
          <w:b/>
          <w:i/>
          <w:color w:val="000000" w:themeColor="text1"/>
          <w:sz w:val="20"/>
          <w:szCs w:val="20"/>
        </w:rPr>
        <w:t>Figura II.2.1.1.2 Starea ecologică / potențialul ecologic al cursurilor de apă monitorizate (corpuri de apă naturale, puternic modificate, artificiale - râuri) pe spații / bazine hidrografice în anul 2023 (%)</w:t>
      </w:r>
    </w:p>
    <w:p w:rsidR="000A4B52" w:rsidRPr="00B2176E" w:rsidRDefault="000A4B52" w:rsidP="000A4B52">
      <w:pPr>
        <w:spacing w:line="25" w:lineRule="atLeast"/>
        <w:jc w:val="both"/>
        <w:rPr>
          <w:rFonts w:ascii="Trebuchet MS" w:hAnsi="Trebuchet MS" w:cs="Arial"/>
          <w:b/>
          <w:i/>
          <w:color w:val="FF0000"/>
        </w:rPr>
      </w:pPr>
      <w:r>
        <w:rPr>
          <w:noProof/>
          <w:lang w:val="en-US"/>
        </w:rPr>
        <w:drawing>
          <wp:inline distT="0" distB="0" distL="0" distR="0" wp14:anchorId="2237BDBE" wp14:editId="4F76F9C4">
            <wp:extent cx="6462395" cy="3509963"/>
            <wp:effectExtent l="0" t="0" r="14605" b="14605"/>
            <wp:docPr id="2005120572"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A4B52" w:rsidRPr="0020084D" w:rsidRDefault="000A4B52" w:rsidP="000A4B52">
      <w:pPr>
        <w:ind w:left="900" w:hanging="192"/>
        <w:jc w:val="both"/>
        <w:rPr>
          <w:rFonts w:ascii="Trebuchet MS" w:hAnsi="Trebuchet MS" w:cs="Arial"/>
          <w:i/>
          <w:iCs/>
          <w:sz w:val="20"/>
          <w:szCs w:val="20"/>
          <w:lang w:eastAsia="ro-RO"/>
        </w:rPr>
      </w:pPr>
      <w:r w:rsidRPr="0020084D">
        <w:rPr>
          <w:rFonts w:ascii="Trebuchet MS" w:hAnsi="Trebuchet MS" w:cs="Arial"/>
          <w:i/>
          <w:iCs/>
          <w:sz w:val="20"/>
          <w:szCs w:val="20"/>
          <w:lang w:eastAsia="ro-RO"/>
        </w:rPr>
        <w:t>(Sursa: Administraţia Naţională “Apele Române”, Sinteza calităţii apelor din România în anul 2023)</w:t>
      </w:r>
    </w:p>
    <w:p w:rsidR="000A4B52" w:rsidRPr="00254B55" w:rsidRDefault="000A4B52" w:rsidP="000A4B52">
      <w:pPr>
        <w:spacing w:line="25" w:lineRule="atLeast"/>
        <w:jc w:val="both"/>
        <w:rPr>
          <w:rFonts w:ascii="Trebuchet MS" w:hAnsi="Trebuchet MS" w:cs="Arial"/>
          <w:b/>
          <w:i/>
          <w:color w:val="000000" w:themeColor="text1"/>
          <w:sz w:val="22"/>
          <w:szCs w:val="22"/>
        </w:rPr>
      </w:pPr>
      <w:r w:rsidRPr="00254B55">
        <w:rPr>
          <w:rFonts w:ascii="Trebuchet MS" w:hAnsi="Trebuchet MS" w:cs="Arial"/>
          <w:b/>
          <w:i/>
          <w:color w:val="000000" w:themeColor="text1"/>
          <w:sz w:val="22"/>
          <w:szCs w:val="22"/>
        </w:rPr>
        <w:t>Evaluarea stării ecologice / potențialului ecologic al cursurilor de apă monitorizate (corpuri de apă naturale, puternic modificate, artificiale - râuri) la nivel național în anul 2023</w:t>
      </w:r>
    </w:p>
    <w:p w:rsidR="000A4B52" w:rsidRPr="0020084D" w:rsidRDefault="000A4B52" w:rsidP="000A4B52">
      <w:pPr>
        <w:spacing w:line="25" w:lineRule="atLeast"/>
        <w:jc w:val="both"/>
        <w:rPr>
          <w:rFonts w:ascii="Trebuchet MS" w:hAnsi="Trebuchet MS" w:cs="Arial"/>
          <w:b/>
          <w:i/>
          <w:color w:val="000000" w:themeColor="text1"/>
          <w:sz w:val="20"/>
          <w:szCs w:val="20"/>
        </w:rPr>
      </w:pPr>
      <w:r w:rsidRPr="0020084D">
        <w:rPr>
          <w:rFonts w:ascii="Trebuchet MS" w:hAnsi="Trebuchet MS" w:cs="Arial"/>
          <w:b/>
          <w:i/>
          <w:color w:val="000000" w:themeColor="text1"/>
          <w:sz w:val="20"/>
          <w:szCs w:val="20"/>
        </w:rPr>
        <w:t>Tabel II.2.1.1.1 Evaluarea stării ecologice / potențialului ecologic al cursurilor de apă monitorizate (corpuri de apă naturale, puternic modificate, artificiale - râuri) la nivel național în anul 2023</w:t>
      </w:r>
    </w:p>
    <w:tbl>
      <w:tblPr>
        <w:tblW w:w="5210" w:type="dxa"/>
        <w:jc w:val="center"/>
        <w:tblLayout w:type="fixed"/>
        <w:tblLook w:val="04A0" w:firstRow="1" w:lastRow="0" w:firstColumn="1" w:lastColumn="0" w:noHBand="0" w:noVBand="1"/>
      </w:tblPr>
      <w:tblGrid>
        <w:gridCol w:w="3770"/>
        <w:gridCol w:w="1440"/>
      </w:tblGrid>
      <w:tr w:rsidR="000A4B52" w:rsidRPr="00B2176E" w:rsidTr="00E13AA6">
        <w:trPr>
          <w:trHeight w:val="471"/>
          <w:jc w:val="center"/>
        </w:trPr>
        <w:tc>
          <w:tcPr>
            <w:tcW w:w="3770" w:type="dxa"/>
            <w:tcBorders>
              <w:top w:val="single" w:sz="8" w:space="0" w:color="auto"/>
              <w:left w:val="single" w:sz="8" w:space="0" w:color="auto"/>
              <w:bottom w:val="single" w:sz="4" w:space="0" w:color="auto"/>
              <w:right w:val="single" w:sz="4" w:space="0" w:color="auto"/>
            </w:tcBorders>
            <w:shd w:val="clear" w:color="auto" w:fill="00B0F0"/>
            <w:vAlign w:val="center"/>
            <w:hideMark/>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 xml:space="preserve">Stare ecologică / Potenţial ecologic </w:t>
            </w:r>
          </w:p>
        </w:tc>
        <w:tc>
          <w:tcPr>
            <w:tcW w:w="1440" w:type="dxa"/>
            <w:tcBorders>
              <w:top w:val="single" w:sz="8" w:space="0" w:color="auto"/>
              <w:left w:val="nil"/>
              <w:bottom w:val="nil"/>
              <w:right w:val="single" w:sz="8" w:space="0" w:color="auto"/>
            </w:tcBorders>
            <w:shd w:val="clear" w:color="auto" w:fill="00B0F0"/>
            <w:vAlign w:val="center"/>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202</w:t>
            </w:r>
            <w:r>
              <w:rPr>
                <w:rFonts w:ascii="Trebuchet MS" w:eastAsia="Times New Roman" w:hAnsi="Trebuchet MS" w:cs="Arial"/>
                <w:b/>
                <w:bCs/>
                <w:lang w:eastAsia="ro-RO"/>
              </w:rPr>
              <w:t>3</w:t>
            </w:r>
          </w:p>
        </w:tc>
      </w:tr>
      <w:tr w:rsidR="000A4B52" w:rsidRPr="00B2176E" w:rsidTr="00E13AA6">
        <w:trPr>
          <w:trHeight w:val="471"/>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 xml:space="preserve">Foarte Bună și Bună (%) / </w:t>
            </w:r>
            <w:r w:rsidRPr="00B2176E">
              <w:rPr>
                <w:rFonts w:ascii="Trebuchet MS" w:eastAsia="Times New Roman" w:hAnsi="Trebuchet MS" w:cs="Arial"/>
                <w:b/>
                <w:bCs/>
                <w:lang w:eastAsia="ro-RO"/>
              </w:rPr>
              <w:br/>
              <w:t>Maxim şi Bun (%)</w:t>
            </w:r>
          </w:p>
        </w:tc>
        <w:tc>
          <w:tcPr>
            <w:tcW w:w="1440" w:type="dxa"/>
            <w:tcBorders>
              <w:top w:val="single" w:sz="4" w:space="0" w:color="auto"/>
              <w:left w:val="nil"/>
              <w:bottom w:val="single" w:sz="4" w:space="0" w:color="auto"/>
              <w:right w:val="single" w:sz="8" w:space="0" w:color="auto"/>
            </w:tcBorders>
            <w:vAlign w:val="center"/>
          </w:tcPr>
          <w:p w:rsidR="000A4B52" w:rsidRPr="00B2176E" w:rsidRDefault="000A4B52" w:rsidP="00E13AA6">
            <w:pPr>
              <w:spacing w:line="25" w:lineRule="atLeast"/>
              <w:jc w:val="center"/>
              <w:rPr>
                <w:rFonts w:ascii="Trebuchet MS" w:eastAsia="Times New Roman" w:hAnsi="Trebuchet MS" w:cs="Arial"/>
                <w:b/>
                <w:lang w:eastAsia="ro-RO"/>
              </w:rPr>
            </w:pPr>
            <w:r>
              <w:rPr>
                <w:rFonts w:ascii="Trebuchet MS" w:eastAsia="Times New Roman" w:hAnsi="Trebuchet MS" w:cs="Arial"/>
                <w:b/>
                <w:lang w:eastAsia="ro-RO"/>
              </w:rPr>
              <w:t>29</w:t>
            </w:r>
            <w:r w:rsidRPr="00B2176E">
              <w:rPr>
                <w:rFonts w:ascii="Trebuchet MS" w:eastAsia="Times New Roman" w:hAnsi="Trebuchet MS" w:cs="Arial"/>
                <w:b/>
                <w:lang w:eastAsia="ro-RO"/>
              </w:rPr>
              <w:t>,</w:t>
            </w:r>
            <w:r>
              <w:rPr>
                <w:rFonts w:ascii="Trebuchet MS" w:eastAsia="Times New Roman" w:hAnsi="Trebuchet MS" w:cs="Arial"/>
                <w:b/>
                <w:lang w:eastAsia="ro-RO"/>
              </w:rPr>
              <w:t>90</w:t>
            </w:r>
          </w:p>
        </w:tc>
      </w:tr>
      <w:tr w:rsidR="000A4B52" w:rsidRPr="00B2176E" w:rsidTr="00E13AA6">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Moderată (%) / Moderat (%)</w:t>
            </w:r>
          </w:p>
        </w:tc>
        <w:tc>
          <w:tcPr>
            <w:tcW w:w="1440" w:type="dxa"/>
            <w:tcBorders>
              <w:top w:val="nil"/>
              <w:left w:val="nil"/>
              <w:bottom w:val="single" w:sz="4" w:space="0" w:color="auto"/>
              <w:right w:val="single" w:sz="8" w:space="0" w:color="auto"/>
            </w:tcBorders>
            <w:vAlign w:val="center"/>
          </w:tcPr>
          <w:p w:rsidR="000A4B52" w:rsidRPr="00B2176E" w:rsidRDefault="000A4B52" w:rsidP="00E13AA6">
            <w:pPr>
              <w:spacing w:line="25" w:lineRule="atLeast"/>
              <w:jc w:val="center"/>
              <w:rPr>
                <w:rFonts w:ascii="Trebuchet MS" w:eastAsia="Times New Roman" w:hAnsi="Trebuchet MS" w:cs="Arial"/>
                <w:b/>
                <w:lang w:eastAsia="ro-RO"/>
              </w:rPr>
            </w:pPr>
            <w:r w:rsidRPr="00B2176E">
              <w:rPr>
                <w:rFonts w:ascii="Trebuchet MS" w:eastAsia="Times New Roman" w:hAnsi="Trebuchet MS" w:cs="Arial"/>
                <w:b/>
                <w:lang w:eastAsia="ro-RO"/>
              </w:rPr>
              <w:t>5</w:t>
            </w:r>
            <w:r>
              <w:rPr>
                <w:rFonts w:ascii="Trebuchet MS" w:eastAsia="Times New Roman" w:hAnsi="Trebuchet MS" w:cs="Arial"/>
                <w:b/>
                <w:lang w:eastAsia="ro-RO"/>
              </w:rPr>
              <w:t>8</w:t>
            </w:r>
            <w:r w:rsidRPr="00B2176E">
              <w:rPr>
                <w:rFonts w:ascii="Trebuchet MS" w:eastAsia="Times New Roman" w:hAnsi="Trebuchet MS" w:cs="Arial"/>
                <w:b/>
                <w:lang w:eastAsia="ro-RO"/>
              </w:rPr>
              <w:t>,</w:t>
            </w:r>
            <w:r>
              <w:rPr>
                <w:rFonts w:ascii="Trebuchet MS" w:eastAsia="Times New Roman" w:hAnsi="Trebuchet MS" w:cs="Arial"/>
                <w:b/>
                <w:lang w:eastAsia="ro-RO"/>
              </w:rPr>
              <w:t>10</w:t>
            </w:r>
          </w:p>
        </w:tc>
      </w:tr>
      <w:tr w:rsidR="000A4B52" w:rsidRPr="00B2176E" w:rsidTr="00E13AA6">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Slabă (%)</w:t>
            </w:r>
          </w:p>
        </w:tc>
        <w:tc>
          <w:tcPr>
            <w:tcW w:w="1440" w:type="dxa"/>
            <w:tcBorders>
              <w:top w:val="nil"/>
              <w:left w:val="nil"/>
              <w:bottom w:val="single" w:sz="4" w:space="0" w:color="auto"/>
              <w:right w:val="single" w:sz="8" w:space="0" w:color="auto"/>
            </w:tcBorders>
            <w:vAlign w:val="center"/>
          </w:tcPr>
          <w:p w:rsidR="000A4B52" w:rsidRPr="00B2176E" w:rsidRDefault="000A4B52" w:rsidP="00E13AA6">
            <w:pPr>
              <w:spacing w:line="25" w:lineRule="atLeast"/>
              <w:jc w:val="center"/>
              <w:rPr>
                <w:rFonts w:ascii="Trebuchet MS" w:eastAsia="Times New Roman" w:hAnsi="Trebuchet MS" w:cs="Arial"/>
                <w:b/>
                <w:lang w:eastAsia="ro-RO"/>
              </w:rPr>
            </w:pPr>
            <w:r>
              <w:rPr>
                <w:rFonts w:ascii="Trebuchet MS" w:eastAsia="Times New Roman" w:hAnsi="Trebuchet MS" w:cs="Arial"/>
                <w:b/>
                <w:lang w:eastAsia="ro-RO"/>
              </w:rPr>
              <w:t>9</w:t>
            </w:r>
            <w:r w:rsidRPr="00B2176E">
              <w:rPr>
                <w:rFonts w:ascii="Trebuchet MS" w:eastAsia="Times New Roman" w:hAnsi="Trebuchet MS" w:cs="Arial"/>
                <w:b/>
                <w:lang w:eastAsia="ro-RO"/>
              </w:rPr>
              <w:t>,</w:t>
            </w:r>
            <w:r>
              <w:rPr>
                <w:rFonts w:ascii="Trebuchet MS" w:eastAsia="Times New Roman" w:hAnsi="Trebuchet MS" w:cs="Arial"/>
                <w:b/>
                <w:lang w:eastAsia="ro-RO"/>
              </w:rPr>
              <w:t>85</w:t>
            </w:r>
          </w:p>
        </w:tc>
      </w:tr>
      <w:tr w:rsidR="000A4B52" w:rsidRPr="00B2176E" w:rsidTr="00E13AA6">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Proastă (%)</w:t>
            </w:r>
          </w:p>
        </w:tc>
        <w:tc>
          <w:tcPr>
            <w:tcW w:w="1440" w:type="dxa"/>
            <w:tcBorders>
              <w:top w:val="nil"/>
              <w:left w:val="nil"/>
              <w:bottom w:val="single" w:sz="4" w:space="0" w:color="auto"/>
              <w:right w:val="single" w:sz="8" w:space="0" w:color="auto"/>
            </w:tcBorders>
            <w:vAlign w:val="center"/>
          </w:tcPr>
          <w:p w:rsidR="000A4B52" w:rsidRPr="00B2176E" w:rsidRDefault="000A4B52" w:rsidP="00E13AA6">
            <w:pPr>
              <w:spacing w:line="25" w:lineRule="atLeast"/>
              <w:jc w:val="center"/>
              <w:rPr>
                <w:rFonts w:ascii="Trebuchet MS" w:eastAsia="Times New Roman" w:hAnsi="Trebuchet MS" w:cs="Arial"/>
                <w:b/>
                <w:lang w:eastAsia="ro-RO"/>
              </w:rPr>
            </w:pPr>
            <w:r>
              <w:rPr>
                <w:rFonts w:ascii="Trebuchet MS" w:eastAsia="Times New Roman" w:hAnsi="Trebuchet MS" w:cs="Arial"/>
                <w:b/>
                <w:lang w:eastAsia="ro-RO"/>
              </w:rPr>
              <w:t>2</w:t>
            </w:r>
            <w:r w:rsidRPr="00B2176E">
              <w:rPr>
                <w:rFonts w:ascii="Trebuchet MS" w:eastAsia="Times New Roman" w:hAnsi="Trebuchet MS" w:cs="Arial"/>
                <w:b/>
                <w:lang w:eastAsia="ro-RO"/>
              </w:rPr>
              <w:t>,</w:t>
            </w:r>
            <w:r>
              <w:rPr>
                <w:rFonts w:ascii="Trebuchet MS" w:eastAsia="Times New Roman" w:hAnsi="Trebuchet MS" w:cs="Arial"/>
                <w:b/>
                <w:lang w:eastAsia="ro-RO"/>
              </w:rPr>
              <w:t>15</w:t>
            </w:r>
          </w:p>
        </w:tc>
      </w:tr>
      <w:tr w:rsidR="000A4B52" w:rsidRPr="00B2176E" w:rsidTr="00E13AA6">
        <w:trPr>
          <w:trHeight w:val="277"/>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SE inferioară stării bune (%)</w:t>
            </w:r>
          </w:p>
        </w:tc>
        <w:tc>
          <w:tcPr>
            <w:tcW w:w="1440" w:type="dxa"/>
            <w:tcBorders>
              <w:top w:val="nil"/>
              <w:left w:val="nil"/>
              <w:bottom w:val="single" w:sz="4" w:space="0" w:color="auto"/>
              <w:right w:val="single" w:sz="8" w:space="0" w:color="auto"/>
            </w:tcBorders>
            <w:vAlign w:val="center"/>
          </w:tcPr>
          <w:p w:rsidR="000A4B52" w:rsidRPr="00B2176E" w:rsidRDefault="000A4B52" w:rsidP="00E13AA6">
            <w:pPr>
              <w:spacing w:line="25" w:lineRule="atLeast"/>
              <w:jc w:val="center"/>
              <w:rPr>
                <w:rFonts w:ascii="Trebuchet MS" w:eastAsia="Times New Roman" w:hAnsi="Trebuchet MS" w:cs="Arial"/>
                <w:b/>
                <w:lang w:eastAsia="ro-RO"/>
              </w:rPr>
            </w:pPr>
            <w:r>
              <w:rPr>
                <w:rFonts w:ascii="Trebuchet MS" w:eastAsia="Times New Roman" w:hAnsi="Trebuchet MS" w:cs="Arial"/>
                <w:b/>
                <w:lang w:eastAsia="ro-RO"/>
              </w:rPr>
              <w:t>70</w:t>
            </w:r>
            <w:r w:rsidRPr="00B2176E">
              <w:rPr>
                <w:rFonts w:ascii="Trebuchet MS" w:eastAsia="Times New Roman" w:hAnsi="Trebuchet MS" w:cs="Arial"/>
                <w:b/>
                <w:lang w:eastAsia="ro-RO"/>
              </w:rPr>
              <w:t>,</w:t>
            </w:r>
            <w:r>
              <w:rPr>
                <w:rFonts w:ascii="Trebuchet MS" w:eastAsia="Times New Roman" w:hAnsi="Trebuchet MS" w:cs="Arial"/>
                <w:b/>
                <w:lang w:eastAsia="ro-RO"/>
              </w:rPr>
              <w:t>10</w:t>
            </w:r>
          </w:p>
        </w:tc>
      </w:tr>
      <w:tr w:rsidR="000A4B52" w:rsidRPr="00B2176E" w:rsidTr="00E13AA6">
        <w:trPr>
          <w:trHeight w:val="471"/>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0A4B52" w:rsidRPr="00B2176E" w:rsidRDefault="000A4B52" w:rsidP="00E13AA6">
            <w:pPr>
              <w:spacing w:line="25" w:lineRule="atLeast"/>
              <w:jc w:val="center"/>
              <w:rPr>
                <w:rFonts w:ascii="Trebuchet MS" w:eastAsia="Times New Roman" w:hAnsi="Trebuchet MS" w:cs="Arial"/>
                <w:b/>
                <w:bCs/>
                <w:lang w:eastAsia="ro-RO"/>
              </w:rPr>
            </w:pPr>
            <w:r w:rsidRPr="00B2176E">
              <w:rPr>
                <w:rFonts w:ascii="Trebuchet MS" w:eastAsia="Times New Roman" w:hAnsi="Trebuchet MS" w:cs="Arial"/>
                <w:b/>
                <w:bCs/>
                <w:lang w:eastAsia="ro-RO"/>
              </w:rPr>
              <w:t>Lungime rețea de râu monitorizată (km)</w:t>
            </w:r>
          </w:p>
        </w:tc>
        <w:tc>
          <w:tcPr>
            <w:tcW w:w="1440" w:type="dxa"/>
            <w:tcBorders>
              <w:top w:val="nil"/>
              <w:left w:val="nil"/>
              <w:bottom w:val="single" w:sz="4" w:space="0" w:color="auto"/>
              <w:right w:val="single" w:sz="8" w:space="0" w:color="auto"/>
            </w:tcBorders>
            <w:vAlign w:val="center"/>
          </w:tcPr>
          <w:p w:rsidR="000A4B52" w:rsidRPr="00B2176E" w:rsidRDefault="000A4B52" w:rsidP="00E13AA6">
            <w:pPr>
              <w:spacing w:line="25" w:lineRule="atLeast"/>
              <w:jc w:val="center"/>
              <w:rPr>
                <w:rFonts w:ascii="Trebuchet MS" w:eastAsia="Times New Roman" w:hAnsi="Trebuchet MS" w:cs="Arial"/>
                <w:b/>
                <w:lang w:eastAsia="ro-RO"/>
              </w:rPr>
            </w:pPr>
            <w:r>
              <w:rPr>
                <w:rFonts w:ascii="Trebuchet MS" w:eastAsia="Times New Roman" w:hAnsi="Trebuchet MS" w:cs="Arial"/>
                <w:b/>
                <w:lang w:eastAsia="ro-RO"/>
              </w:rPr>
              <w:t>40650,995</w:t>
            </w:r>
          </w:p>
        </w:tc>
      </w:tr>
      <w:tr w:rsidR="000A4B52" w:rsidRPr="0020084D" w:rsidTr="00E13AA6">
        <w:trPr>
          <w:trHeight w:val="485"/>
          <w:jc w:val="center"/>
        </w:trPr>
        <w:tc>
          <w:tcPr>
            <w:tcW w:w="3770" w:type="dxa"/>
            <w:tcBorders>
              <w:top w:val="nil"/>
              <w:left w:val="single" w:sz="8" w:space="0" w:color="auto"/>
              <w:bottom w:val="single" w:sz="8" w:space="0" w:color="auto"/>
              <w:right w:val="single" w:sz="4" w:space="0" w:color="auto"/>
            </w:tcBorders>
            <w:shd w:val="clear" w:color="auto" w:fill="auto"/>
            <w:vAlign w:val="center"/>
            <w:hideMark/>
          </w:tcPr>
          <w:p w:rsidR="000A4B52" w:rsidRPr="0020084D" w:rsidRDefault="000A4B52" w:rsidP="00E13AA6">
            <w:pPr>
              <w:spacing w:line="25" w:lineRule="atLeast"/>
              <w:jc w:val="center"/>
              <w:rPr>
                <w:rFonts w:ascii="Trebuchet MS" w:eastAsia="Times New Roman" w:hAnsi="Trebuchet MS" w:cs="Arial"/>
                <w:b/>
                <w:bCs/>
                <w:lang w:eastAsia="ro-RO"/>
              </w:rPr>
            </w:pPr>
            <w:r w:rsidRPr="0020084D">
              <w:rPr>
                <w:rFonts w:ascii="Trebuchet MS" w:eastAsia="Times New Roman" w:hAnsi="Trebuchet MS" w:cs="Arial"/>
                <w:b/>
                <w:bCs/>
                <w:lang w:eastAsia="ro-RO"/>
              </w:rPr>
              <w:t>Numărul secțiunilor de monitorizare</w:t>
            </w:r>
          </w:p>
        </w:tc>
        <w:tc>
          <w:tcPr>
            <w:tcW w:w="1440" w:type="dxa"/>
            <w:tcBorders>
              <w:top w:val="nil"/>
              <w:left w:val="nil"/>
              <w:bottom w:val="single" w:sz="8" w:space="0" w:color="auto"/>
              <w:right w:val="single" w:sz="8" w:space="0" w:color="auto"/>
            </w:tcBorders>
            <w:vAlign w:val="center"/>
          </w:tcPr>
          <w:p w:rsidR="000A4B52" w:rsidRPr="0020084D" w:rsidRDefault="000A4B52" w:rsidP="00E13AA6">
            <w:pPr>
              <w:spacing w:line="25" w:lineRule="atLeast"/>
              <w:jc w:val="center"/>
              <w:rPr>
                <w:rFonts w:ascii="Trebuchet MS" w:eastAsia="Times New Roman" w:hAnsi="Trebuchet MS" w:cs="Arial"/>
                <w:b/>
                <w:lang w:eastAsia="ro-RO"/>
              </w:rPr>
            </w:pPr>
            <w:r w:rsidRPr="0020084D">
              <w:rPr>
                <w:rFonts w:ascii="Trebuchet MS" w:eastAsia="Times New Roman" w:hAnsi="Trebuchet MS" w:cs="Arial"/>
                <w:b/>
                <w:lang w:eastAsia="ro-RO"/>
              </w:rPr>
              <w:t>1215</w:t>
            </w:r>
          </w:p>
        </w:tc>
      </w:tr>
    </w:tbl>
    <w:p w:rsidR="000A4B52" w:rsidRPr="0020084D" w:rsidRDefault="000A4B52" w:rsidP="000A4B52">
      <w:pPr>
        <w:ind w:left="900" w:hanging="192"/>
        <w:jc w:val="both"/>
        <w:rPr>
          <w:rFonts w:ascii="Trebuchet MS" w:hAnsi="Trebuchet MS" w:cs="Arial"/>
          <w:i/>
          <w:iCs/>
          <w:sz w:val="20"/>
          <w:szCs w:val="20"/>
          <w:lang w:eastAsia="ro-RO"/>
        </w:rPr>
      </w:pPr>
      <w:r w:rsidRPr="0020084D">
        <w:rPr>
          <w:rFonts w:ascii="Trebuchet MS" w:hAnsi="Trebuchet MS" w:cs="Arial"/>
          <w:i/>
          <w:iCs/>
          <w:sz w:val="20"/>
          <w:szCs w:val="20"/>
          <w:lang w:eastAsia="ro-RO"/>
        </w:rPr>
        <w:t>(Sursa: Administraţia Naţională “Apele Române”, Sinteza calităţii apelor din România în anul 2023)</w:t>
      </w:r>
    </w:p>
    <w:p w:rsidR="000A4B52" w:rsidRPr="0020084D" w:rsidRDefault="000A4B52" w:rsidP="000A4B52">
      <w:pPr>
        <w:spacing w:line="25" w:lineRule="atLeast"/>
        <w:jc w:val="both"/>
        <w:rPr>
          <w:rFonts w:ascii="Trebuchet MS" w:hAnsi="Trebuchet MS" w:cs="Arial"/>
          <w:b/>
          <w:i/>
          <w:color w:val="000000" w:themeColor="text1"/>
          <w:sz w:val="20"/>
          <w:szCs w:val="20"/>
        </w:rPr>
      </w:pPr>
      <w:r w:rsidRPr="0020084D">
        <w:rPr>
          <w:rFonts w:ascii="Trebuchet MS" w:hAnsi="Trebuchet MS" w:cs="Arial"/>
          <w:b/>
          <w:i/>
          <w:color w:val="000000" w:themeColor="text1"/>
          <w:sz w:val="20"/>
          <w:szCs w:val="20"/>
        </w:rPr>
        <w:t>Figura II.2.1.1.3  Evoluția stării ecologice / potențialului ecologic al cursurilor de apă monitorizate (corpuri de apă naturale, puternic modificate, artificiale - râuri) pe spații / bazine hidrografice în anii 2021- 2023 (Km)</w:t>
      </w:r>
    </w:p>
    <w:p w:rsidR="000A4B52" w:rsidRPr="00B2176E" w:rsidRDefault="000A4B52" w:rsidP="000A4B52">
      <w:pPr>
        <w:spacing w:line="25" w:lineRule="atLeast"/>
        <w:rPr>
          <w:rFonts w:ascii="Trebuchet MS" w:hAnsi="Trebuchet MS" w:cs="Arial"/>
          <w:b/>
          <w:color w:val="FF0000"/>
        </w:rPr>
      </w:pPr>
      <w:r>
        <w:rPr>
          <w:noProof/>
          <w:lang w:val="en-US"/>
        </w:rPr>
        <w:drawing>
          <wp:inline distT="0" distB="0" distL="0" distR="0" wp14:anchorId="40DFFCDA" wp14:editId="6BF413E1">
            <wp:extent cx="5939790" cy="3586480"/>
            <wp:effectExtent l="0" t="0" r="3810" b="13970"/>
            <wp:docPr id="135829935"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197476EB-61E5-47BA-3099-F85577788A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A4B52" w:rsidRPr="00B2176E" w:rsidRDefault="000A4B52" w:rsidP="000A4B52">
      <w:pPr>
        <w:spacing w:line="25" w:lineRule="atLeast"/>
        <w:rPr>
          <w:rFonts w:ascii="Trebuchet MS" w:hAnsi="Trebuchet MS" w:cs="Arial"/>
          <w:b/>
          <w:color w:val="FF0000"/>
        </w:rPr>
      </w:pPr>
    </w:p>
    <w:p w:rsidR="000A4B52" w:rsidRPr="0020084D" w:rsidRDefault="000A4B52" w:rsidP="000A4B52">
      <w:pPr>
        <w:spacing w:line="25" w:lineRule="atLeast"/>
        <w:jc w:val="both"/>
        <w:rPr>
          <w:rFonts w:ascii="Trebuchet MS" w:hAnsi="Trebuchet MS" w:cs="Arial"/>
          <w:b/>
          <w:i/>
          <w:color w:val="000000" w:themeColor="text1"/>
          <w:sz w:val="20"/>
          <w:szCs w:val="20"/>
        </w:rPr>
      </w:pPr>
      <w:r w:rsidRPr="0020084D">
        <w:rPr>
          <w:rFonts w:ascii="Trebuchet MS" w:hAnsi="Trebuchet MS" w:cs="Arial"/>
          <w:b/>
          <w:i/>
          <w:color w:val="000000" w:themeColor="text1"/>
          <w:sz w:val="20"/>
          <w:szCs w:val="20"/>
        </w:rPr>
        <w:t>Figura II.2.1.1.</w:t>
      </w:r>
      <w:r>
        <w:rPr>
          <w:rFonts w:ascii="Trebuchet MS" w:hAnsi="Trebuchet MS" w:cs="Arial"/>
          <w:b/>
          <w:i/>
          <w:color w:val="000000" w:themeColor="text1"/>
          <w:sz w:val="20"/>
          <w:szCs w:val="20"/>
        </w:rPr>
        <w:t>4</w:t>
      </w:r>
      <w:r w:rsidRPr="0020084D">
        <w:rPr>
          <w:rFonts w:ascii="Trebuchet MS" w:hAnsi="Trebuchet MS" w:cs="Arial"/>
          <w:b/>
          <w:i/>
          <w:color w:val="000000" w:themeColor="text1"/>
          <w:sz w:val="20"/>
          <w:szCs w:val="20"/>
        </w:rPr>
        <w:t xml:space="preserve"> Evoluția stării ecologice / potențialului ecologic al cursurilor de apă monitorizate (corpuri de apă naturale, puternic modificate, artificiale - râuri) pe spații / bazine hidrografice în anii 2021- 2023 (%)</w:t>
      </w:r>
    </w:p>
    <w:p w:rsidR="000A4B52" w:rsidRPr="00B2176E" w:rsidRDefault="000A4B52" w:rsidP="000A4B52">
      <w:pPr>
        <w:spacing w:line="25" w:lineRule="atLeast"/>
        <w:rPr>
          <w:rFonts w:ascii="Trebuchet MS" w:hAnsi="Trebuchet MS" w:cs="Arial"/>
          <w:b/>
          <w:color w:val="FF0000"/>
        </w:rPr>
      </w:pPr>
      <w:r>
        <w:rPr>
          <w:noProof/>
          <w:lang w:val="en-US"/>
        </w:rPr>
        <w:drawing>
          <wp:inline distT="0" distB="0" distL="0" distR="0" wp14:anchorId="0DAB9308" wp14:editId="0A3449CA">
            <wp:extent cx="5884071" cy="3669508"/>
            <wp:effectExtent l="0" t="0" r="2540" b="7620"/>
            <wp:docPr id="960346292"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3931893C-DCF9-5419-62EB-2EDBEDA081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0A4B52" w:rsidRPr="002D139E" w:rsidRDefault="000A4B52" w:rsidP="000A4B52">
      <w:pPr>
        <w:spacing w:line="300" w:lineRule="auto"/>
        <w:ind w:right="-285"/>
        <w:jc w:val="center"/>
        <w:rPr>
          <w:rFonts w:ascii="Trebuchet MS" w:hAnsi="Trebuchet MS" w:cs="Arial"/>
          <w:b/>
          <w:highlight w:val="green"/>
        </w:rPr>
      </w:pPr>
    </w:p>
    <w:p w:rsidR="000A4B52" w:rsidRDefault="000A4B52" w:rsidP="000A4B52">
      <w:pPr>
        <w:spacing w:line="300" w:lineRule="auto"/>
        <w:ind w:right="-285"/>
        <w:jc w:val="center"/>
        <w:rPr>
          <w:rFonts w:ascii="Trebuchet MS" w:hAnsi="Trebuchet MS" w:cs="Arial"/>
          <w:b/>
          <w:highlight w:val="green"/>
        </w:rPr>
      </w:pPr>
    </w:p>
    <w:p w:rsidR="000A4B52" w:rsidRDefault="000A4B52" w:rsidP="000A4B52">
      <w:pPr>
        <w:spacing w:line="300" w:lineRule="auto"/>
        <w:ind w:right="-285"/>
        <w:jc w:val="center"/>
        <w:rPr>
          <w:rFonts w:ascii="Trebuchet MS" w:hAnsi="Trebuchet MS" w:cs="Arial"/>
          <w:b/>
          <w:highlight w:val="green"/>
        </w:rPr>
      </w:pPr>
    </w:p>
    <w:p w:rsidR="000A4B52" w:rsidRPr="002D139E" w:rsidRDefault="000A4B52" w:rsidP="000A4B52">
      <w:pPr>
        <w:spacing w:line="300" w:lineRule="auto"/>
        <w:ind w:right="-285"/>
        <w:jc w:val="center"/>
        <w:rPr>
          <w:rFonts w:ascii="Trebuchet MS" w:hAnsi="Trebuchet MS" w:cs="Arial"/>
          <w:b/>
        </w:rPr>
      </w:pPr>
      <w:r w:rsidRPr="002D139E">
        <w:rPr>
          <w:rFonts w:ascii="Trebuchet MS" w:hAnsi="Trebuchet MS" w:cs="Arial"/>
          <w:b/>
          <w:highlight w:val="green"/>
        </w:rPr>
        <w:t xml:space="preserve">Indicator VHS 02. </w:t>
      </w:r>
      <w:r w:rsidRPr="002D139E">
        <w:rPr>
          <w:rFonts w:ascii="Trebuchet MS" w:hAnsi="Trebuchet MS" w:cs="Arial"/>
          <w:b/>
          <w:highlight w:val="green"/>
          <w:shd w:val="clear" w:color="auto" w:fill="A9EB3D"/>
        </w:rPr>
        <w:t>Substanțele periculoase din cursurile de apă RO 65</w:t>
      </w:r>
      <w:r w:rsidRPr="002D139E">
        <w:rPr>
          <w:rFonts w:ascii="Trebuchet MS" w:hAnsi="Trebuchet MS" w:cs="Arial"/>
          <w:b/>
          <w:shd w:val="clear" w:color="auto" w:fill="A9EB3D"/>
        </w:rPr>
        <w:t xml:space="preserve"> </w:t>
      </w:r>
    </w:p>
    <w:p w:rsidR="000A4B52" w:rsidRPr="00983D5F" w:rsidRDefault="000A4B52" w:rsidP="000A4B52">
      <w:pPr>
        <w:spacing w:line="300" w:lineRule="auto"/>
        <w:rPr>
          <w:rFonts w:ascii="Trebuchet MS" w:hAnsi="Trebuchet MS" w:cs="Arial"/>
          <w:b/>
          <w:color w:val="FF0000"/>
        </w:rPr>
      </w:pPr>
    </w:p>
    <w:p w:rsidR="000A4B52" w:rsidRPr="00254B55" w:rsidRDefault="000A4B52" w:rsidP="002C4177">
      <w:pPr>
        <w:ind w:firstLine="708"/>
        <w:jc w:val="both"/>
        <w:rPr>
          <w:rFonts w:ascii="Trebuchet MS" w:hAnsi="Trebuchet MS" w:cs="Arial"/>
          <w:b/>
          <w:i/>
          <w:sz w:val="22"/>
          <w:szCs w:val="22"/>
        </w:rPr>
      </w:pPr>
      <w:r w:rsidRPr="00254B55">
        <w:rPr>
          <w:rFonts w:ascii="Trebuchet MS" w:hAnsi="Trebuchet MS" w:cs="Arial"/>
          <w:b/>
          <w:i/>
          <w:sz w:val="22"/>
          <w:szCs w:val="22"/>
        </w:rPr>
        <w:t xml:space="preserve">Pentru acest indicator s-a avut în vedere raportarea </w:t>
      </w:r>
      <w:r w:rsidRPr="00254B55">
        <w:rPr>
          <w:rFonts w:ascii="Trebuchet MS" w:hAnsi="Trebuchet MS" w:cs="Arial"/>
          <w:b/>
          <w:i/>
          <w:sz w:val="22"/>
          <w:szCs w:val="22"/>
          <w:u w:val="single"/>
        </w:rPr>
        <w:t>substanțelor prioritare</w:t>
      </w:r>
      <w:r w:rsidRPr="00254B55">
        <w:rPr>
          <w:rFonts w:ascii="Trebuchet MS" w:hAnsi="Trebuchet MS" w:cs="Arial"/>
          <w:b/>
          <w:i/>
          <w:sz w:val="22"/>
          <w:szCs w:val="22"/>
        </w:rPr>
        <w:t xml:space="preserve"> din HG 570/2016 care stau la baza evaluării stării chimice a apelor de suprafață (mediul de investigare APĂ şi mediul de investigare BIOTA). </w:t>
      </w:r>
    </w:p>
    <w:p w:rsidR="000A4B52" w:rsidRPr="00254B55" w:rsidRDefault="000A4B52" w:rsidP="002C4177">
      <w:pPr>
        <w:ind w:firstLine="708"/>
        <w:jc w:val="both"/>
        <w:rPr>
          <w:rFonts w:ascii="Trebuchet MS" w:hAnsi="Trebuchet MS" w:cs="Arial"/>
          <w:b/>
          <w:i/>
          <w:sz w:val="22"/>
          <w:szCs w:val="22"/>
        </w:rPr>
      </w:pPr>
      <w:r w:rsidRPr="00254B55">
        <w:rPr>
          <w:rFonts w:ascii="Trebuchet MS" w:hAnsi="Trebuchet MS" w:cs="Arial"/>
          <w:sz w:val="22"/>
          <w:szCs w:val="22"/>
        </w:rPr>
        <w:t>Evaluarea stării chimice are în vedere conformarea față de standardele de calitate a mediului stabilite pentru valoarea mediei aritmetice (</w:t>
      </w:r>
      <w:r w:rsidRPr="00254B55">
        <w:rPr>
          <w:rFonts w:ascii="Trebuchet MS" w:hAnsi="Trebuchet MS" w:cs="Arial"/>
          <w:b/>
          <w:sz w:val="22"/>
          <w:szCs w:val="22"/>
        </w:rPr>
        <w:t>SCM-MA</w:t>
      </w:r>
      <w:r w:rsidRPr="00254B55">
        <w:rPr>
          <w:rFonts w:ascii="Trebuchet MS" w:hAnsi="Trebuchet MS" w:cs="Arial"/>
          <w:sz w:val="22"/>
          <w:szCs w:val="22"/>
        </w:rPr>
        <w:t>), cât şi pentru valoarea concentrației maxime admisibile (</w:t>
      </w:r>
      <w:r w:rsidRPr="00254B55">
        <w:rPr>
          <w:rFonts w:ascii="Trebuchet MS" w:hAnsi="Trebuchet MS" w:cs="Arial"/>
          <w:b/>
          <w:sz w:val="22"/>
          <w:szCs w:val="22"/>
        </w:rPr>
        <w:t>SCM-CMA</w:t>
      </w:r>
      <w:r w:rsidRPr="00254B55">
        <w:rPr>
          <w:rFonts w:ascii="Trebuchet MS" w:hAnsi="Trebuchet MS" w:cs="Arial"/>
          <w:sz w:val="22"/>
          <w:szCs w:val="22"/>
        </w:rPr>
        <w:t xml:space="preserve">) pentru </w:t>
      </w:r>
      <w:r w:rsidRPr="00254B55">
        <w:rPr>
          <w:rFonts w:ascii="Trebuchet MS" w:hAnsi="Trebuchet MS" w:cs="Arial"/>
          <w:b/>
          <w:noProof/>
          <w:sz w:val="22"/>
          <w:szCs w:val="22"/>
        </w:rPr>
        <w:t xml:space="preserve">mediul de investigare APĂ, </w:t>
      </w:r>
      <w:r w:rsidRPr="00254B55">
        <w:rPr>
          <w:rFonts w:ascii="Trebuchet MS" w:hAnsi="Trebuchet MS" w:cs="Arial"/>
          <w:noProof/>
          <w:sz w:val="22"/>
          <w:szCs w:val="22"/>
        </w:rPr>
        <w:t>precum şi</w:t>
      </w:r>
      <w:r w:rsidRPr="00254B55">
        <w:rPr>
          <w:rFonts w:ascii="Trebuchet MS" w:hAnsi="Trebuchet MS" w:cs="Arial"/>
          <w:b/>
          <w:noProof/>
          <w:sz w:val="22"/>
          <w:szCs w:val="22"/>
        </w:rPr>
        <w:t xml:space="preserve"> </w:t>
      </w:r>
      <w:r w:rsidRPr="00254B55">
        <w:rPr>
          <w:rFonts w:ascii="Trebuchet MS" w:hAnsi="Trebuchet MS" w:cs="Arial"/>
          <w:sz w:val="22"/>
          <w:szCs w:val="22"/>
        </w:rPr>
        <w:t xml:space="preserve">conformarea față de standardele de calitate stabilite pentru </w:t>
      </w:r>
      <w:r w:rsidRPr="00254B55">
        <w:rPr>
          <w:rFonts w:ascii="Trebuchet MS" w:hAnsi="Trebuchet MS" w:cs="Arial"/>
          <w:b/>
          <w:sz w:val="22"/>
          <w:szCs w:val="22"/>
        </w:rPr>
        <w:t>mediul de investigare BIOTA</w:t>
      </w:r>
      <w:r w:rsidRPr="00254B55">
        <w:rPr>
          <w:rFonts w:ascii="Trebuchet MS" w:hAnsi="Trebuchet MS" w:cs="Arial"/>
          <w:sz w:val="22"/>
          <w:szCs w:val="22"/>
        </w:rPr>
        <w:t xml:space="preserve"> (</w:t>
      </w:r>
      <w:r w:rsidRPr="00254B55">
        <w:rPr>
          <w:rFonts w:ascii="Trebuchet MS" w:hAnsi="Trebuchet MS" w:cs="Arial"/>
          <w:b/>
          <w:sz w:val="22"/>
          <w:szCs w:val="22"/>
        </w:rPr>
        <w:t>SCM Biota</w:t>
      </w:r>
      <w:r w:rsidRPr="00254B55">
        <w:rPr>
          <w:rFonts w:ascii="Trebuchet MS" w:hAnsi="Trebuchet MS" w:cs="Arial"/>
          <w:sz w:val="22"/>
          <w:szCs w:val="22"/>
        </w:rPr>
        <w:t>)</w:t>
      </w:r>
      <w:r w:rsidRPr="00254B55">
        <w:rPr>
          <w:rFonts w:ascii="Trebuchet MS" w:hAnsi="Trebuchet MS" w:cs="Arial"/>
          <w:b/>
          <w:i/>
          <w:sz w:val="22"/>
          <w:szCs w:val="22"/>
        </w:rPr>
        <w:t xml:space="preserve"> </w:t>
      </w:r>
      <w:r w:rsidRPr="00254B55">
        <w:rPr>
          <w:rFonts w:ascii="Trebuchet MS" w:hAnsi="Trebuchet MS" w:cs="Arial"/>
          <w:b/>
          <w:i/>
          <w:sz w:val="22"/>
          <w:szCs w:val="22"/>
          <w:u w:val="single"/>
        </w:rPr>
        <w:t>(conform H.G. 570/2016)</w:t>
      </w:r>
      <w:r w:rsidRPr="00254B55">
        <w:rPr>
          <w:rFonts w:ascii="Trebuchet MS" w:hAnsi="Trebuchet MS" w:cs="Arial"/>
          <w:b/>
          <w:i/>
          <w:sz w:val="22"/>
          <w:szCs w:val="22"/>
        </w:rPr>
        <w:t>.</w:t>
      </w:r>
    </w:p>
    <w:p w:rsidR="000A4B52" w:rsidRPr="00254B55" w:rsidRDefault="000A4B52" w:rsidP="002C4177">
      <w:pPr>
        <w:jc w:val="both"/>
        <w:rPr>
          <w:rFonts w:ascii="Trebuchet MS" w:hAnsi="Trebuchet MS" w:cs="Arial"/>
          <w:b/>
          <w:i/>
          <w:color w:val="FF0000"/>
          <w:sz w:val="22"/>
          <w:szCs w:val="22"/>
          <w:u w:val="single"/>
        </w:rPr>
      </w:pPr>
    </w:p>
    <w:p w:rsidR="000A4B52" w:rsidRPr="00254B55" w:rsidRDefault="000A4B52" w:rsidP="002C4177">
      <w:pPr>
        <w:jc w:val="both"/>
        <w:rPr>
          <w:rFonts w:ascii="Trebuchet MS" w:hAnsi="Trebuchet MS" w:cs="Arial"/>
          <w:b/>
          <w:i/>
          <w:sz w:val="22"/>
          <w:szCs w:val="22"/>
        </w:rPr>
      </w:pPr>
      <w:r w:rsidRPr="00254B55">
        <w:rPr>
          <w:rFonts w:ascii="Trebuchet MS" w:hAnsi="Trebuchet MS" w:cs="Arial"/>
          <w:b/>
          <w:i/>
          <w:sz w:val="22"/>
          <w:szCs w:val="22"/>
        </w:rPr>
        <w:t>Distribuția numărului de substanțe prioritare monitorizate în cursurile de apă pe spații/bazine hidrografice în anul 2023</w:t>
      </w:r>
    </w:p>
    <w:p w:rsidR="000A4B52" w:rsidRPr="00254B55" w:rsidRDefault="000A4B52" w:rsidP="002C4177">
      <w:pPr>
        <w:jc w:val="both"/>
        <w:rPr>
          <w:rFonts w:ascii="Trebuchet MS" w:hAnsi="Trebuchet MS" w:cs="Arial"/>
          <w:b/>
          <w:i/>
          <w:sz w:val="22"/>
          <w:szCs w:val="22"/>
        </w:rPr>
      </w:pPr>
    </w:p>
    <w:p w:rsidR="000A4B52" w:rsidRPr="00254B55" w:rsidRDefault="000A4B52" w:rsidP="002C4177">
      <w:pPr>
        <w:jc w:val="both"/>
        <w:rPr>
          <w:rFonts w:ascii="Trebuchet MS" w:hAnsi="Trebuchet MS" w:cs="Arial"/>
          <w:b/>
          <w:i/>
          <w:sz w:val="22"/>
          <w:szCs w:val="22"/>
          <w:u w:val="single"/>
        </w:rPr>
      </w:pPr>
      <w:r w:rsidRPr="00254B55">
        <w:rPr>
          <w:rFonts w:ascii="Trebuchet MS" w:hAnsi="Trebuchet MS" w:cs="Arial"/>
          <w:b/>
          <w:i/>
          <w:sz w:val="22"/>
          <w:szCs w:val="22"/>
        </w:rPr>
        <w:t xml:space="preserve">Tabelul II.2.1.1.2 Substanțe prioritare monitorizate în cursurile de apă pe spații / bazine hidrografice în anul 2023 (nr.) – </w:t>
      </w:r>
      <w:r w:rsidRPr="00254B55">
        <w:rPr>
          <w:rFonts w:ascii="Trebuchet MS" w:hAnsi="Trebuchet MS" w:cs="Arial"/>
          <w:b/>
          <w:i/>
          <w:sz w:val="22"/>
          <w:szCs w:val="22"/>
          <w:u w:val="single"/>
        </w:rPr>
        <w:t>mediul de investigare APĂ şi mediul de investigare BIOTA</w:t>
      </w:r>
    </w:p>
    <w:tbl>
      <w:tblPr>
        <w:tblW w:w="977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340"/>
        <w:gridCol w:w="1485"/>
        <w:gridCol w:w="1560"/>
        <w:gridCol w:w="1134"/>
        <w:gridCol w:w="1559"/>
        <w:gridCol w:w="1134"/>
        <w:gridCol w:w="1564"/>
      </w:tblGrid>
      <w:tr w:rsidR="000A4B52" w:rsidRPr="00254B55" w:rsidTr="00E13AA6">
        <w:trPr>
          <w:trHeight w:val="300"/>
          <w:jc w:val="center"/>
        </w:trPr>
        <w:tc>
          <w:tcPr>
            <w:tcW w:w="1340" w:type="dxa"/>
            <w:vMerge w:val="restart"/>
            <w:shd w:val="clear" w:color="auto" w:fill="auto"/>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Spaţiu / Bazin hidrografic</w:t>
            </w:r>
          </w:p>
        </w:tc>
        <w:tc>
          <w:tcPr>
            <w:tcW w:w="1485" w:type="dxa"/>
            <w:vMerge w:val="restart"/>
            <w:shd w:val="clear" w:color="auto" w:fill="auto"/>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Lungime monitorizată (Km)</w:t>
            </w:r>
          </w:p>
        </w:tc>
        <w:tc>
          <w:tcPr>
            <w:tcW w:w="1560" w:type="dxa"/>
            <w:vMerge w:val="restart"/>
            <w:shd w:val="clear" w:color="auto" w:fill="auto"/>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Secțiuni monitorizate (nr.)</w:t>
            </w:r>
          </w:p>
        </w:tc>
        <w:tc>
          <w:tcPr>
            <w:tcW w:w="2693" w:type="dxa"/>
            <w:gridSpan w:val="2"/>
            <w:shd w:val="clear" w:color="auto" w:fill="auto"/>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Substanțe prioritare APA</w:t>
            </w:r>
          </w:p>
        </w:tc>
        <w:tc>
          <w:tcPr>
            <w:tcW w:w="2698" w:type="dxa"/>
            <w:gridSpan w:val="2"/>
            <w:shd w:val="clear" w:color="auto" w:fill="auto"/>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Substanțe prioritare BIOTA</w:t>
            </w:r>
          </w:p>
        </w:tc>
      </w:tr>
      <w:tr w:rsidR="000A4B52" w:rsidRPr="00254B55" w:rsidTr="00E13AA6">
        <w:trPr>
          <w:trHeight w:val="590"/>
          <w:jc w:val="center"/>
        </w:trPr>
        <w:tc>
          <w:tcPr>
            <w:tcW w:w="1340" w:type="dxa"/>
            <w:vMerge/>
            <w:vAlign w:val="center"/>
            <w:hideMark/>
          </w:tcPr>
          <w:p w:rsidR="000A4B52" w:rsidRPr="00254B55" w:rsidRDefault="000A4B52" w:rsidP="00E13AA6">
            <w:pPr>
              <w:rPr>
                <w:rFonts w:ascii="Trebuchet MS" w:eastAsia="Times New Roman" w:hAnsi="Trebuchet MS" w:cs="Calibri"/>
                <w:b/>
                <w:bCs/>
                <w:sz w:val="22"/>
                <w:szCs w:val="22"/>
                <w:lang w:eastAsia="ro-RO"/>
              </w:rPr>
            </w:pPr>
          </w:p>
        </w:tc>
        <w:tc>
          <w:tcPr>
            <w:tcW w:w="1485" w:type="dxa"/>
            <w:vMerge/>
            <w:vAlign w:val="center"/>
            <w:hideMark/>
          </w:tcPr>
          <w:p w:rsidR="000A4B52" w:rsidRPr="00254B55" w:rsidRDefault="000A4B52" w:rsidP="00E13AA6">
            <w:pPr>
              <w:rPr>
                <w:rFonts w:ascii="Trebuchet MS" w:eastAsia="Times New Roman" w:hAnsi="Trebuchet MS" w:cs="Calibri"/>
                <w:b/>
                <w:bCs/>
                <w:sz w:val="22"/>
                <w:szCs w:val="22"/>
                <w:lang w:eastAsia="ro-RO"/>
              </w:rPr>
            </w:pPr>
          </w:p>
        </w:tc>
        <w:tc>
          <w:tcPr>
            <w:tcW w:w="1560" w:type="dxa"/>
            <w:vMerge/>
            <w:vAlign w:val="center"/>
            <w:hideMark/>
          </w:tcPr>
          <w:p w:rsidR="000A4B52" w:rsidRPr="00254B55" w:rsidRDefault="000A4B52" w:rsidP="00E13AA6">
            <w:pPr>
              <w:rPr>
                <w:rFonts w:ascii="Trebuchet MS" w:eastAsia="Times New Roman" w:hAnsi="Trebuchet MS" w:cs="Calibri"/>
                <w:b/>
                <w:bCs/>
                <w:sz w:val="22"/>
                <w:szCs w:val="22"/>
                <w:lang w:eastAsia="ro-RO"/>
              </w:rPr>
            </w:pPr>
          </w:p>
        </w:tc>
        <w:tc>
          <w:tcPr>
            <w:tcW w:w="1134" w:type="dxa"/>
            <w:shd w:val="clear" w:color="auto" w:fill="auto"/>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Metale prioritare (nr.)</w:t>
            </w:r>
          </w:p>
        </w:tc>
        <w:tc>
          <w:tcPr>
            <w:tcW w:w="1559" w:type="dxa"/>
            <w:shd w:val="clear" w:color="auto" w:fill="auto"/>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Micropoluanţi organici (nr.)</w:t>
            </w:r>
          </w:p>
        </w:tc>
        <w:tc>
          <w:tcPr>
            <w:tcW w:w="1134" w:type="dxa"/>
            <w:shd w:val="clear" w:color="auto" w:fill="auto"/>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Metale prioritare (nr.)</w:t>
            </w:r>
          </w:p>
        </w:tc>
        <w:tc>
          <w:tcPr>
            <w:tcW w:w="1564" w:type="dxa"/>
            <w:shd w:val="clear" w:color="auto" w:fill="auto"/>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Micropoluanţi organici (nr.)</w:t>
            </w:r>
          </w:p>
        </w:tc>
      </w:tr>
      <w:tr w:rsidR="000A4B52" w:rsidRPr="00254B55" w:rsidTr="00E13AA6">
        <w:trPr>
          <w:trHeight w:val="300"/>
          <w:jc w:val="center"/>
        </w:trPr>
        <w:tc>
          <w:tcPr>
            <w:tcW w:w="1340" w:type="dxa"/>
            <w:shd w:val="clear" w:color="auto" w:fill="auto"/>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Someș-Tisa</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4450,889</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132</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37</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Crișuri</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1648,464</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76</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37</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6</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Mureș</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3075,185</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88</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38</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5</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Banat</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2391,323</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62</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37</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5</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Jiu</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2848,300</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79</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5</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Olt</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2613,233</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75</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36</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Argeș-Vedea</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814,275</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32</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5</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Buzău-Ialomița</w:t>
            </w:r>
          </w:p>
        </w:tc>
        <w:tc>
          <w:tcPr>
            <w:tcW w:w="1485"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1104,000</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47</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0</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0</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Siret</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1852,275</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28</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5</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Prut- Bârlad</w:t>
            </w:r>
          </w:p>
        </w:tc>
        <w:tc>
          <w:tcPr>
            <w:tcW w:w="1485"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2182,915</w:t>
            </w:r>
          </w:p>
        </w:tc>
        <w:tc>
          <w:tcPr>
            <w:tcW w:w="156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46</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7</w:t>
            </w:r>
          </w:p>
        </w:tc>
      </w:tr>
      <w:tr w:rsidR="000A4B52" w:rsidRPr="00254B55" w:rsidTr="00E13AA6">
        <w:trPr>
          <w:trHeight w:val="300"/>
          <w:jc w:val="center"/>
        </w:trPr>
        <w:tc>
          <w:tcPr>
            <w:tcW w:w="1340"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Dobrogea - Litoral</w:t>
            </w:r>
          </w:p>
        </w:tc>
        <w:tc>
          <w:tcPr>
            <w:tcW w:w="1485"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1064,002</w:t>
            </w:r>
          </w:p>
        </w:tc>
        <w:tc>
          <w:tcPr>
            <w:tcW w:w="1560"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56</w:t>
            </w:r>
          </w:p>
        </w:tc>
        <w:tc>
          <w:tcPr>
            <w:tcW w:w="1134"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559" w:type="dxa"/>
            <w:shd w:val="clear" w:color="000000" w:fill="FFFFFF"/>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c>
          <w:tcPr>
            <w:tcW w:w="113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0</w:t>
            </w:r>
          </w:p>
        </w:tc>
        <w:tc>
          <w:tcPr>
            <w:tcW w:w="1564" w:type="dxa"/>
            <w:shd w:val="clear" w:color="auto" w:fill="auto"/>
            <w:noWrap/>
            <w:vAlign w:val="center"/>
            <w:hideMark/>
          </w:tcPr>
          <w:p w:rsidR="000A4B52" w:rsidRPr="00254B55" w:rsidRDefault="000A4B52" w:rsidP="00E13AA6">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0</w:t>
            </w:r>
          </w:p>
        </w:tc>
      </w:tr>
      <w:tr w:rsidR="000A4B52" w:rsidRPr="00254B55" w:rsidTr="00E13AA6">
        <w:trPr>
          <w:trHeight w:val="300"/>
          <w:jc w:val="center"/>
        </w:trPr>
        <w:tc>
          <w:tcPr>
            <w:tcW w:w="1340" w:type="dxa"/>
            <w:shd w:val="clear" w:color="auto" w:fill="00B0F0"/>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Total</w:t>
            </w:r>
          </w:p>
        </w:tc>
        <w:tc>
          <w:tcPr>
            <w:tcW w:w="1485" w:type="dxa"/>
            <w:shd w:val="clear" w:color="auto" w:fill="00B0F0"/>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24044,861</w:t>
            </w:r>
          </w:p>
        </w:tc>
        <w:tc>
          <w:tcPr>
            <w:tcW w:w="1560" w:type="dxa"/>
            <w:shd w:val="clear" w:color="auto" w:fill="00B0F0"/>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721</w:t>
            </w:r>
          </w:p>
        </w:tc>
        <w:tc>
          <w:tcPr>
            <w:tcW w:w="1134" w:type="dxa"/>
            <w:shd w:val="clear" w:color="auto" w:fill="00B0F0"/>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3</w:t>
            </w:r>
          </w:p>
        </w:tc>
        <w:tc>
          <w:tcPr>
            <w:tcW w:w="1559" w:type="dxa"/>
            <w:shd w:val="clear" w:color="auto" w:fill="00B0F0"/>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40</w:t>
            </w:r>
          </w:p>
        </w:tc>
        <w:tc>
          <w:tcPr>
            <w:tcW w:w="1134" w:type="dxa"/>
            <w:shd w:val="clear" w:color="auto" w:fill="00B0F0"/>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1</w:t>
            </w:r>
          </w:p>
        </w:tc>
        <w:tc>
          <w:tcPr>
            <w:tcW w:w="1564" w:type="dxa"/>
            <w:shd w:val="clear" w:color="auto" w:fill="00B0F0"/>
            <w:noWrap/>
            <w:vAlign w:val="center"/>
            <w:hideMark/>
          </w:tcPr>
          <w:p w:rsidR="000A4B52" w:rsidRPr="00254B55" w:rsidRDefault="000A4B52" w:rsidP="00E13AA6">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7</w:t>
            </w:r>
          </w:p>
        </w:tc>
      </w:tr>
    </w:tbl>
    <w:p w:rsidR="000A4B52" w:rsidRPr="00254B55" w:rsidRDefault="000A4B52" w:rsidP="000A4B52">
      <w:pPr>
        <w:spacing w:line="300" w:lineRule="auto"/>
        <w:ind w:left="900" w:hanging="900"/>
        <w:jc w:val="both"/>
        <w:rPr>
          <w:rFonts w:ascii="Trebuchet MS" w:hAnsi="Trebuchet MS" w:cs="Arial"/>
          <w:i/>
          <w:iCs/>
          <w:sz w:val="22"/>
          <w:szCs w:val="22"/>
          <w:lang w:eastAsia="ro-RO"/>
        </w:rPr>
      </w:pPr>
      <w:r w:rsidRPr="00254B55">
        <w:rPr>
          <w:rFonts w:ascii="Trebuchet MS" w:hAnsi="Trebuchet MS" w:cs="Arial"/>
          <w:i/>
          <w:iCs/>
          <w:sz w:val="22"/>
          <w:szCs w:val="22"/>
          <w:lang w:eastAsia="ro-RO"/>
        </w:rPr>
        <w:t>(Sursa: Administraţia Naţională “Apele Române”, Sinteza calităţii apelor din România în anul 2023)</w:t>
      </w:r>
    </w:p>
    <w:p w:rsidR="000A4B52" w:rsidRPr="00254B55" w:rsidRDefault="000A4B52" w:rsidP="000A4B52">
      <w:pPr>
        <w:spacing w:line="300" w:lineRule="auto"/>
        <w:jc w:val="both"/>
        <w:rPr>
          <w:rFonts w:ascii="Trebuchet MS" w:hAnsi="Trebuchet MS" w:cs="Arial"/>
          <w:b/>
          <w:i/>
          <w:color w:val="FF0000"/>
          <w:sz w:val="22"/>
          <w:szCs w:val="22"/>
          <w:u w:val="single"/>
        </w:rPr>
      </w:pPr>
    </w:p>
    <w:p w:rsidR="000A4B52" w:rsidRPr="00254B55" w:rsidRDefault="000A4B52" w:rsidP="000A4B52">
      <w:pPr>
        <w:spacing w:line="300" w:lineRule="auto"/>
        <w:jc w:val="both"/>
        <w:rPr>
          <w:rFonts w:ascii="Trebuchet MS" w:hAnsi="Trebuchet MS" w:cs="Arial"/>
          <w:b/>
          <w:i/>
          <w:color w:val="FF0000"/>
          <w:sz w:val="22"/>
          <w:szCs w:val="22"/>
          <w:u w:val="single"/>
        </w:rPr>
      </w:pPr>
    </w:p>
    <w:p w:rsidR="000A4B52" w:rsidRPr="00254B55" w:rsidRDefault="000A4B52" w:rsidP="000A4B52">
      <w:pPr>
        <w:spacing w:line="300" w:lineRule="auto"/>
        <w:jc w:val="both"/>
        <w:rPr>
          <w:rFonts w:ascii="Trebuchet MS" w:hAnsi="Trebuchet MS" w:cs="Arial"/>
          <w:b/>
          <w:i/>
          <w:sz w:val="22"/>
          <w:szCs w:val="22"/>
        </w:rPr>
      </w:pPr>
    </w:p>
    <w:p w:rsidR="000A4B52" w:rsidRPr="00254B55" w:rsidRDefault="000A4B52" w:rsidP="000A4B52">
      <w:pPr>
        <w:spacing w:line="300" w:lineRule="auto"/>
        <w:jc w:val="both"/>
        <w:rPr>
          <w:rFonts w:ascii="Trebuchet MS" w:hAnsi="Trebuchet MS" w:cs="Arial"/>
          <w:b/>
          <w:i/>
          <w:sz w:val="22"/>
          <w:szCs w:val="22"/>
        </w:rPr>
      </w:pPr>
    </w:p>
    <w:p w:rsidR="000A4B52" w:rsidRDefault="000A4B52" w:rsidP="000A4B52">
      <w:pPr>
        <w:spacing w:line="300" w:lineRule="auto"/>
        <w:jc w:val="both"/>
        <w:rPr>
          <w:rFonts w:ascii="Trebuchet MS" w:hAnsi="Trebuchet MS" w:cs="Arial"/>
          <w:b/>
          <w:i/>
          <w:sz w:val="22"/>
          <w:szCs w:val="22"/>
        </w:rPr>
      </w:pPr>
    </w:p>
    <w:p w:rsidR="00254B55" w:rsidRDefault="00254B55" w:rsidP="000A4B52">
      <w:pPr>
        <w:spacing w:line="300" w:lineRule="auto"/>
        <w:jc w:val="both"/>
        <w:rPr>
          <w:rFonts w:ascii="Trebuchet MS" w:hAnsi="Trebuchet MS" w:cs="Arial"/>
          <w:b/>
          <w:i/>
          <w:sz w:val="22"/>
          <w:szCs w:val="22"/>
        </w:rPr>
      </w:pPr>
    </w:p>
    <w:p w:rsidR="00254B55" w:rsidRPr="00254B55" w:rsidRDefault="00254B55" w:rsidP="000A4B52">
      <w:pPr>
        <w:spacing w:line="300" w:lineRule="auto"/>
        <w:jc w:val="both"/>
        <w:rPr>
          <w:rFonts w:ascii="Trebuchet MS" w:hAnsi="Trebuchet MS" w:cs="Arial"/>
          <w:b/>
          <w:i/>
          <w:sz w:val="22"/>
          <w:szCs w:val="22"/>
        </w:rPr>
      </w:pPr>
    </w:p>
    <w:p w:rsidR="000A4B52" w:rsidRPr="00254B55" w:rsidRDefault="000A4B52" w:rsidP="000A4B52">
      <w:pPr>
        <w:spacing w:line="300" w:lineRule="auto"/>
        <w:jc w:val="both"/>
        <w:rPr>
          <w:rFonts w:ascii="Trebuchet MS" w:hAnsi="Trebuchet MS" w:cs="Arial"/>
          <w:b/>
          <w:i/>
          <w:sz w:val="22"/>
          <w:szCs w:val="22"/>
        </w:rPr>
      </w:pPr>
    </w:p>
    <w:p w:rsidR="000A4B52" w:rsidRPr="00254B55" w:rsidRDefault="000A4B52" w:rsidP="000A4B52">
      <w:pPr>
        <w:spacing w:line="300" w:lineRule="auto"/>
        <w:jc w:val="both"/>
        <w:rPr>
          <w:rFonts w:ascii="Trebuchet MS" w:hAnsi="Trebuchet MS" w:cs="Arial"/>
          <w:b/>
          <w:i/>
          <w:sz w:val="22"/>
          <w:szCs w:val="22"/>
          <w:u w:val="single"/>
        </w:rPr>
      </w:pPr>
      <w:r w:rsidRPr="00254B55">
        <w:rPr>
          <w:rFonts w:ascii="Trebuchet MS" w:hAnsi="Trebuchet MS" w:cs="Arial"/>
          <w:b/>
          <w:i/>
          <w:sz w:val="22"/>
          <w:szCs w:val="22"/>
        </w:rPr>
        <w:t xml:space="preserve">Figura II.2.1.1.5 Substanțe prioritare monitorizate în cursurile de apă pe spații/bazine hidrografice în anul 2023 (nr.) – </w:t>
      </w:r>
      <w:r w:rsidRPr="00254B55">
        <w:rPr>
          <w:rFonts w:ascii="Trebuchet MS" w:hAnsi="Trebuchet MS" w:cs="Arial"/>
          <w:b/>
          <w:i/>
          <w:sz w:val="22"/>
          <w:szCs w:val="22"/>
          <w:u w:val="single"/>
        </w:rPr>
        <w:t>mediul de investigare APĂ</w:t>
      </w:r>
    </w:p>
    <w:p w:rsidR="000A4B52" w:rsidRPr="00907858" w:rsidRDefault="000A4B52" w:rsidP="000A4B52">
      <w:pPr>
        <w:spacing w:line="300" w:lineRule="auto"/>
        <w:jc w:val="both"/>
        <w:rPr>
          <w:rFonts w:ascii="Trebuchet MS" w:hAnsi="Trebuchet MS" w:cs="Arial"/>
          <w:b/>
          <w:i/>
          <w:u w:val="single"/>
        </w:rPr>
      </w:pPr>
      <w:r>
        <w:rPr>
          <w:noProof/>
          <w:lang w:val="en-US"/>
        </w:rPr>
        <w:drawing>
          <wp:inline distT="0" distB="0" distL="0" distR="0" wp14:anchorId="6FF619FA" wp14:editId="4F4F83A1">
            <wp:extent cx="6461090" cy="2964264"/>
            <wp:effectExtent l="0" t="0" r="16510" b="7620"/>
            <wp:docPr id="1330813192"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6176F1AC-217D-405B-AAF8-3F7778625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0A4B52" w:rsidRDefault="000A4B52" w:rsidP="000A4B52">
      <w:pPr>
        <w:spacing w:line="300" w:lineRule="auto"/>
        <w:ind w:left="900" w:hanging="900"/>
        <w:jc w:val="both"/>
        <w:rPr>
          <w:rFonts w:ascii="Trebuchet MS" w:hAnsi="Trebuchet MS" w:cs="Arial"/>
          <w:i/>
          <w:iCs/>
          <w:lang w:eastAsia="ro-RO"/>
        </w:rPr>
      </w:pPr>
      <w:r w:rsidRPr="00834A58">
        <w:rPr>
          <w:rFonts w:ascii="Trebuchet MS" w:hAnsi="Trebuchet MS" w:cs="Arial"/>
          <w:i/>
          <w:iCs/>
          <w:lang w:eastAsia="ro-RO"/>
        </w:rPr>
        <w:t>(Sursa: Administraţia Naţională “Apele Române”, Sinteza calităţii apelor din România în anul 2023)</w:t>
      </w:r>
    </w:p>
    <w:p w:rsidR="000A4B52" w:rsidRPr="00254B55" w:rsidRDefault="000A4B52" w:rsidP="000A4B52">
      <w:pPr>
        <w:spacing w:line="300" w:lineRule="auto"/>
        <w:ind w:left="900" w:hanging="900"/>
        <w:jc w:val="both"/>
        <w:rPr>
          <w:rFonts w:ascii="Trebuchet MS" w:hAnsi="Trebuchet MS" w:cs="Arial"/>
          <w:i/>
          <w:iCs/>
          <w:sz w:val="22"/>
          <w:szCs w:val="22"/>
          <w:lang w:eastAsia="ro-RO"/>
        </w:rPr>
      </w:pPr>
    </w:p>
    <w:p w:rsidR="000A4B52" w:rsidRPr="00254B55" w:rsidRDefault="000A4B52" w:rsidP="000A4B52">
      <w:pPr>
        <w:spacing w:line="300" w:lineRule="auto"/>
        <w:jc w:val="both"/>
        <w:rPr>
          <w:rFonts w:ascii="Trebuchet MS" w:hAnsi="Trebuchet MS" w:cs="Arial"/>
          <w:b/>
          <w:i/>
          <w:sz w:val="22"/>
          <w:szCs w:val="22"/>
          <w:u w:val="single"/>
        </w:rPr>
      </w:pPr>
      <w:r w:rsidRPr="00254B55">
        <w:rPr>
          <w:rFonts w:ascii="Trebuchet MS" w:hAnsi="Trebuchet MS" w:cs="Arial"/>
          <w:b/>
          <w:i/>
          <w:sz w:val="22"/>
          <w:szCs w:val="22"/>
        </w:rPr>
        <w:t xml:space="preserve">Figura II.2.1.1.6 Substanțe prioritare monitorizate în cursurile de apă pe spații / bazine hidrografice în anul 2023 (nr.) – </w:t>
      </w:r>
      <w:r w:rsidRPr="00254B55">
        <w:rPr>
          <w:rFonts w:ascii="Trebuchet MS" w:hAnsi="Trebuchet MS" w:cs="Arial"/>
          <w:b/>
          <w:i/>
          <w:sz w:val="22"/>
          <w:szCs w:val="22"/>
          <w:u w:val="single"/>
        </w:rPr>
        <w:t>mediul de investigare BIOTA</w:t>
      </w:r>
    </w:p>
    <w:p w:rsidR="000A4B52" w:rsidRPr="00983D5F" w:rsidRDefault="000A4B52" w:rsidP="000A4B52">
      <w:pPr>
        <w:spacing w:line="300" w:lineRule="auto"/>
        <w:rPr>
          <w:rFonts w:ascii="Trebuchet MS" w:hAnsi="Trebuchet MS" w:cs="Arial"/>
          <w:b/>
          <w:i/>
          <w:color w:val="FF0000"/>
        </w:rPr>
      </w:pPr>
      <w:r>
        <w:rPr>
          <w:noProof/>
          <w:lang w:val="en-US"/>
        </w:rPr>
        <w:drawing>
          <wp:inline distT="0" distB="0" distL="0" distR="0" wp14:anchorId="3879A269" wp14:editId="2D5877B4">
            <wp:extent cx="6481187" cy="2602523"/>
            <wp:effectExtent l="0" t="0" r="15240" b="7620"/>
            <wp:docPr id="16104611"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3FD4E4C0-F8C2-470D-9260-AABC28C04F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0A4B52" w:rsidRPr="009A297F" w:rsidRDefault="000A4B52" w:rsidP="000A4B52">
      <w:pPr>
        <w:spacing w:line="300" w:lineRule="auto"/>
        <w:ind w:left="900" w:hanging="900"/>
        <w:jc w:val="both"/>
        <w:rPr>
          <w:rFonts w:ascii="Trebuchet MS" w:hAnsi="Trebuchet MS" w:cs="Arial"/>
          <w:i/>
          <w:iCs/>
          <w:lang w:eastAsia="ro-RO"/>
        </w:rPr>
      </w:pPr>
      <w:r w:rsidRPr="009A297F">
        <w:rPr>
          <w:rFonts w:ascii="Trebuchet MS" w:hAnsi="Trebuchet MS" w:cs="Arial"/>
          <w:i/>
          <w:iCs/>
          <w:lang w:eastAsia="ro-RO"/>
        </w:rPr>
        <w:t>(Sursa: Administraţia Naţională “Apele Române”, Sinteza calităţii apelor din România în anul 2023)</w:t>
      </w:r>
    </w:p>
    <w:p w:rsidR="000A4B52" w:rsidRDefault="000A4B52" w:rsidP="000A4B52">
      <w:pPr>
        <w:spacing w:line="300" w:lineRule="auto"/>
        <w:rPr>
          <w:rFonts w:ascii="Trebuchet MS" w:hAnsi="Trebuchet MS" w:cs="Arial"/>
          <w:b/>
          <w:i/>
        </w:rPr>
      </w:pPr>
    </w:p>
    <w:p w:rsidR="002C4177" w:rsidRDefault="002C4177" w:rsidP="000A4B52">
      <w:pPr>
        <w:spacing w:line="300" w:lineRule="auto"/>
        <w:rPr>
          <w:rFonts w:ascii="Trebuchet MS" w:hAnsi="Trebuchet MS" w:cs="Arial"/>
          <w:b/>
          <w:i/>
        </w:rPr>
      </w:pPr>
    </w:p>
    <w:p w:rsidR="00254B55" w:rsidRDefault="00254B55" w:rsidP="000A4B52">
      <w:pPr>
        <w:spacing w:line="300" w:lineRule="auto"/>
        <w:rPr>
          <w:rFonts w:ascii="Trebuchet MS" w:hAnsi="Trebuchet MS" w:cs="Arial"/>
          <w:b/>
          <w:i/>
        </w:rPr>
      </w:pPr>
    </w:p>
    <w:p w:rsidR="00254B55" w:rsidRDefault="00254B55" w:rsidP="000A4B52">
      <w:pPr>
        <w:spacing w:line="300" w:lineRule="auto"/>
        <w:rPr>
          <w:rFonts w:ascii="Trebuchet MS" w:hAnsi="Trebuchet MS" w:cs="Arial"/>
          <w:b/>
          <w:i/>
        </w:rPr>
      </w:pPr>
    </w:p>
    <w:p w:rsidR="00254B55" w:rsidRDefault="00254B55" w:rsidP="000A4B52">
      <w:pPr>
        <w:spacing w:line="300" w:lineRule="auto"/>
        <w:rPr>
          <w:rFonts w:ascii="Trebuchet MS" w:hAnsi="Trebuchet MS" w:cs="Arial"/>
          <w:b/>
          <w:i/>
        </w:rPr>
      </w:pPr>
    </w:p>
    <w:p w:rsidR="000A4B52" w:rsidRPr="00254B55" w:rsidRDefault="000A4B52" w:rsidP="000A4B52">
      <w:pPr>
        <w:spacing w:line="300" w:lineRule="auto"/>
        <w:rPr>
          <w:rFonts w:ascii="Trebuchet MS" w:hAnsi="Trebuchet MS" w:cs="Arial"/>
          <w:b/>
          <w:sz w:val="22"/>
          <w:szCs w:val="22"/>
        </w:rPr>
      </w:pPr>
      <w:r w:rsidRPr="00254B55">
        <w:rPr>
          <w:rFonts w:ascii="Trebuchet MS" w:hAnsi="Trebuchet MS" w:cs="Arial"/>
          <w:b/>
          <w:i/>
          <w:sz w:val="22"/>
          <w:szCs w:val="22"/>
        </w:rPr>
        <w:t>Tabelul II.2.1.1.3 Ponderea secțiunilor de monitorizare cu concentrație mai mare decât SCM (%) în perioada 2015 - 2023</w:t>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1014"/>
        <w:gridCol w:w="992"/>
        <w:gridCol w:w="1134"/>
        <w:gridCol w:w="992"/>
        <w:gridCol w:w="992"/>
        <w:gridCol w:w="992"/>
        <w:gridCol w:w="993"/>
        <w:gridCol w:w="992"/>
        <w:gridCol w:w="993"/>
      </w:tblGrid>
      <w:tr w:rsidR="000A4B52" w:rsidRPr="00942610" w:rsidTr="00E13AA6">
        <w:trPr>
          <w:trHeight w:val="176"/>
          <w:jc w:val="center"/>
        </w:trPr>
        <w:tc>
          <w:tcPr>
            <w:tcW w:w="2100" w:type="dxa"/>
            <w:shd w:val="clear" w:color="auto" w:fill="00B0F0"/>
            <w:noWrap/>
            <w:vAlign w:val="center"/>
            <w:hideMark/>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Anul</w:t>
            </w:r>
          </w:p>
        </w:tc>
        <w:tc>
          <w:tcPr>
            <w:tcW w:w="1014" w:type="dxa"/>
            <w:shd w:val="clear" w:color="auto" w:fill="00B0F0"/>
            <w:vAlign w:val="center"/>
            <w:hideMark/>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2015</w:t>
            </w:r>
          </w:p>
        </w:tc>
        <w:tc>
          <w:tcPr>
            <w:tcW w:w="992" w:type="dxa"/>
            <w:shd w:val="clear" w:color="auto" w:fill="00B0F0"/>
            <w:vAlign w:val="center"/>
            <w:hideMark/>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2016</w:t>
            </w:r>
          </w:p>
        </w:tc>
        <w:tc>
          <w:tcPr>
            <w:tcW w:w="1134" w:type="dxa"/>
            <w:shd w:val="clear" w:color="auto" w:fill="00B0F0"/>
            <w:noWrap/>
            <w:vAlign w:val="center"/>
            <w:hideMark/>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2017</w:t>
            </w:r>
          </w:p>
        </w:tc>
        <w:tc>
          <w:tcPr>
            <w:tcW w:w="992" w:type="dxa"/>
            <w:shd w:val="clear" w:color="auto" w:fill="00B0F0"/>
            <w:noWrap/>
            <w:vAlign w:val="center"/>
            <w:hideMark/>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2018</w:t>
            </w:r>
          </w:p>
        </w:tc>
        <w:tc>
          <w:tcPr>
            <w:tcW w:w="992" w:type="dxa"/>
            <w:shd w:val="clear" w:color="auto" w:fill="00B0F0"/>
            <w:noWrap/>
            <w:vAlign w:val="center"/>
            <w:hideMark/>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2019</w:t>
            </w:r>
          </w:p>
        </w:tc>
        <w:tc>
          <w:tcPr>
            <w:tcW w:w="992" w:type="dxa"/>
            <w:shd w:val="clear" w:color="auto" w:fill="00B0F0"/>
            <w:noWrap/>
            <w:vAlign w:val="center"/>
            <w:hideMark/>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2020</w:t>
            </w:r>
          </w:p>
        </w:tc>
        <w:tc>
          <w:tcPr>
            <w:tcW w:w="993" w:type="dxa"/>
            <w:tcBorders>
              <w:right w:val="single" w:sz="8" w:space="0" w:color="auto"/>
            </w:tcBorders>
            <w:shd w:val="clear" w:color="auto" w:fill="00B0F0"/>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2021</w:t>
            </w:r>
          </w:p>
        </w:tc>
        <w:tc>
          <w:tcPr>
            <w:tcW w:w="992" w:type="dxa"/>
            <w:tcBorders>
              <w:top w:val="single" w:sz="8" w:space="0" w:color="auto"/>
              <w:left w:val="single" w:sz="8" w:space="0" w:color="auto"/>
              <w:bottom w:val="single" w:sz="8" w:space="0" w:color="auto"/>
              <w:right w:val="single" w:sz="8" w:space="0" w:color="auto"/>
            </w:tcBorders>
            <w:shd w:val="clear" w:color="auto" w:fill="00B0F0"/>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2022</w:t>
            </w:r>
          </w:p>
        </w:tc>
        <w:tc>
          <w:tcPr>
            <w:tcW w:w="993" w:type="dxa"/>
            <w:tcBorders>
              <w:top w:val="single" w:sz="8" w:space="0" w:color="auto"/>
              <w:left w:val="single" w:sz="8" w:space="0" w:color="auto"/>
              <w:bottom w:val="single" w:sz="8" w:space="0" w:color="auto"/>
              <w:right w:val="single" w:sz="8" w:space="0" w:color="auto"/>
            </w:tcBorders>
            <w:shd w:val="clear" w:color="auto" w:fill="00B0F0"/>
          </w:tcPr>
          <w:p w:rsidR="000A4B52" w:rsidRPr="00942610" w:rsidRDefault="000A4B52" w:rsidP="00E13AA6">
            <w:pPr>
              <w:spacing w:line="300" w:lineRule="auto"/>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2023</w:t>
            </w:r>
          </w:p>
        </w:tc>
      </w:tr>
      <w:tr w:rsidR="000A4B52" w:rsidRPr="00942610" w:rsidTr="00E13AA6">
        <w:trPr>
          <w:trHeight w:val="317"/>
          <w:jc w:val="center"/>
        </w:trPr>
        <w:tc>
          <w:tcPr>
            <w:tcW w:w="2100" w:type="dxa"/>
            <w:shd w:val="clear" w:color="000000" w:fill="FFFFFF"/>
            <w:vAlign w:val="center"/>
            <w:hideMark/>
          </w:tcPr>
          <w:p w:rsidR="000A4B52" w:rsidRPr="00942610" w:rsidRDefault="000A4B52" w:rsidP="00E13AA6">
            <w:pPr>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Substanțe prioritare monitorizate (nr.)</w:t>
            </w:r>
          </w:p>
        </w:tc>
        <w:tc>
          <w:tcPr>
            <w:tcW w:w="1014" w:type="dxa"/>
            <w:shd w:val="clear" w:color="000000" w:fill="FFFFFF"/>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36</w:t>
            </w:r>
          </w:p>
        </w:tc>
        <w:tc>
          <w:tcPr>
            <w:tcW w:w="992" w:type="dxa"/>
            <w:shd w:val="clear" w:color="000000" w:fill="FFFFFF"/>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42</w:t>
            </w:r>
          </w:p>
        </w:tc>
        <w:tc>
          <w:tcPr>
            <w:tcW w:w="1134"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33</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35</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42</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42</w:t>
            </w:r>
          </w:p>
        </w:tc>
        <w:tc>
          <w:tcPr>
            <w:tcW w:w="993" w:type="dxa"/>
            <w:tcBorders>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41</w:t>
            </w:r>
          </w:p>
        </w:tc>
        <w:tc>
          <w:tcPr>
            <w:tcW w:w="992" w:type="dxa"/>
            <w:tcBorders>
              <w:top w:val="single" w:sz="8" w:space="0" w:color="auto"/>
              <w:left w:val="single" w:sz="8" w:space="0" w:color="auto"/>
              <w:bottom w:val="single" w:sz="8" w:space="0" w:color="auto"/>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42</w:t>
            </w:r>
          </w:p>
        </w:tc>
        <w:tc>
          <w:tcPr>
            <w:tcW w:w="993" w:type="dxa"/>
            <w:tcBorders>
              <w:top w:val="single" w:sz="8" w:space="0" w:color="auto"/>
              <w:left w:val="single" w:sz="8" w:space="0" w:color="auto"/>
              <w:bottom w:val="single" w:sz="8" w:space="0" w:color="auto"/>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43</w:t>
            </w:r>
          </w:p>
        </w:tc>
      </w:tr>
      <w:tr w:rsidR="000A4B52" w:rsidRPr="00942610" w:rsidTr="00E13AA6">
        <w:trPr>
          <w:trHeight w:val="317"/>
          <w:jc w:val="center"/>
        </w:trPr>
        <w:tc>
          <w:tcPr>
            <w:tcW w:w="2100" w:type="dxa"/>
            <w:shd w:val="clear" w:color="000000" w:fill="FFFFFF"/>
            <w:vAlign w:val="center"/>
            <w:hideMark/>
          </w:tcPr>
          <w:p w:rsidR="000A4B52" w:rsidRPr="00942610" w:rsidRDefault="000A4B52" w:rsidP="00E13AA6">
            <w:pPr>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Secțiuni de monitorizare (nr.)</w:t>
            </w:r>
          </w:p>
        </w:tc>
        <w:tc>
          <w:tcPr>
            <w:tcW w:w="1014" w:type="dxa"/>
            <w:shd w:val="clear" w:color="000000" w:fill="FFFFFF"/>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435</w:t>
            </w:r>
          </w:p>
        </w:tc>
        <w:tc>
          <w:tcPr>
            <w:tcW w:w="992" w:type="dxa"/>
            <w:shd w:val="clear" w:color="000000" w:fill="FFFFFF"/>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392</w:t>
            </w:r>
          </w:p>
        </w:tc>
        <w:tc>
          <w:tcPr>
            <w:tcW w:w="1134"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385</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615</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611</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628</w:t>
            </w:r>
          </w:p>
        </w:tc>
        <w:tc>
          <w:tcPr>
            <w:tcW w:w="993" w:type="dxa"/>
            <w:tcBorders>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623</w:t>
            </w:r>
          </w:p>
        </w:tc>
        <w:tc>
          <w:tcPr>
            <w:tcW w:w="992" w:type="dxa"/>
            <w:tcBorders>
              <w:top w:val="single" w:sz="8" w:space="0" w:color="auto"/>
              <w:left w:val="single" w:sz="8" w:space="0" w:color="auto"/>
              <w:bottom w:val="single" w:sz="8" w:space="0" w:color="auto"/>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683</w:t>
            </w:r>
          </w:p>
        </w:tc>
        <w:tc>
          <w:tcPr>
            <w:tcW w:w="993" w:type="dxa"/>
            <w:tcBorders>
              <w:top w:val="single" w:sz="8" w:space="0" w:color="auto"/>
              <w:left w:val="single" w:sz="8" w:space="0" w:color="auto"/>
              <w:bottom w:val="single" w:sz="8" w:space="0" w:color="auto"/>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721</w:t>
            </w:r>
          </w:p>
        </w:tc>
      </w:tr>
      <w:tr w:rsidR="000A4B52" w:rsidRPr="00942610" w:rsidTr="00E13AA6">
        <w:trPr>
          <w:trHeight w:val="491"/>
          <w:jc w:val="center"/>
        </w:trPr>
        <w:tc>
          <w:tcPr>
            <w:tcW w:w="2100" w:type="dxa"/>
            <w:shd w:val="clear" w:color="000000" w:fill="FFFFFF"/>
            <w:vAlign w:val="center"/>
            <w:hideMark/>
          </w:tcPr>
          <w:p w:rsidR="000A4B52" w:rsidRPr="00942610" w:rsidRDefault="000A4B52" w:rsidP="00E13AA6">
            <w:pPr>
              <w:jc w:val="center"/>
              <w:rPr>
                <w:rFonts w:ascii="Trebuchet MS" w:eastAsia="Times New Roman" w:hAnsi="Trebuchet MS" w:cs="Arial"/>
                <w:b/>
                <w:bCs/>
                <w:sz w:val="20"/>
                <w:szCs w:val="20"/>
                <w:lang w:eastAsia="ro-RO"/>
              </w:rPr>
            </w:pPr>
            <w:r w:rsidRPr="00942610">
              <w:rPr>
                <w:rFonts w:ascii="Trebuchet MS" w:eastAsia="Times New Roman" w:hAnsi="Trebuchet MS" w:cs="Arial"/>
                <w:b/>
                <w:bCs/>
                <w:sz w:val="20"/>
                <w:szCs w:val="20"/>
                <w:lang w:eastAsia="ro-RO"/>
              </w:rPr>
              <w:t>Ponderea secțiunilor cu  concentrație mai mare dec</w:t>
            </w:r>
            <w:r>
              <w:rPr>
                <w:rFonts w:ascii="Trebuchet MS" w:eastAsia="Times New Roman" w:hAnsi="Trebuchet MS" w:cs="Arial"/>
                <w:b/>
                <w:bCs/>
                <w:sz w:val="20"/>
                <w:szCs w:val="20"/>
                <w:lang w:eastAsia="ro-RO"/>
              </w:rPr>
              <w:t>â</w:t>
            </w:r>
            <w:r w:rsidRPr="00942610">
              <w:rPr>
                <w:rFonts w:ascii="Trebuchet MS" w:eastAsia="Times New Roman" w:hAnsi="Trebuchet MS" w:cs="Arial"/>
                <w:b/>
                <w:bCs/>
                <w:sz w:val="20"/>
                <w:szCs w:val="20"/>
                <w:lang w:eastAsia="ro-RO"/>
              </w:rPr>
              <w:t>t SCM (%)</w:t>
            </w:r>
          </w:p>
        </w:tc>
        <w:tc>
          <w:tcPr>
            <w:tcW w:w="1014" w:type="dxa"/>
            <w:shd w:val="clear" w:color="000000" w:fill="FFFFFF"/>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3,44</w:t>
            </w:r>
          </w:p>
        </w:tc>
        <w:tc>
          <w:tcPr>
            <w:tcW w:w="992" w:type="dxa"/>
            <w:shd w:val="clear" w:color="000000" w:fill="FFFFFF"/>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3,82</w:t>
            </w:r>
          </w:p>
        </w:tc>
        <w:tc>
          <w:tcPr>
            <w:tcW w:w="1134"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5,71</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6,67</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4,75</w:t>
            </w:r>
          </w:p>
        </w:tc>
        <w:tc>
          <w:tcPr>
            <w:tcW w:w="992" w:type="dxa"/>
            <w:shd w:val="clear" w:color="000000" w:fill="FFFFFF"/>
            <w:noWrap/>
            <w:vAlign w:val="center"/>
            <w:hideMark/>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7,64</w:t>
            </w:r>
          </w:p>
        </w:tc>
        <w:tc>
          <w:tcPr>
            <w:tcW w:w="993" w:type="dxa"/>
            <w:tcBorders>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7,70</w:t>
            </w:r>
          </w:p>
        </w:tc>
        <w:tc>
          <w:tcPr>
            <w:tcW w:w="992" w:type="dxa"/>
            <w:tcBorders>
              <w:top w:val="single" w:sz="8" w:space="0" w:color="auto"/>
              <w:left w:val="single" w:sz="8" w:space="0" w:color="auto"/>
              <w:bottom w:val="single" w:sz="8" w:space="0" w:color="auto"/>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5,71</w:t>
            </w:r>
          </w:p>
        </w:tc>
        <w:tc>
          <w:tcPr>
            <w:tcW w:w="993" w:type="dxa"/>
            <w:tcBorders>
              <w:top w:val="single" w:sz="8" w:space="0" w:color="auto"/>
              <w:left w:val="single" w:sz="8" w:space="0" w:color="auto"/>
              <w:bottom w:val="single" w:sz="8" w:space="0" w:color="auto"/>
              <w:right w:val="single" w:sz="8" w:space="0" w:color="auto"/>
            </w:tcBorders>
            <w:shd w:val="clear" w:color="000000" w:fill="FFFFFF"/>
            <w:vAlign w:val="center"/>
          </w:tcPr>
          <w:p w:rsidR="000A4B52" w:rsidRPr="00942610" w:rsidRDefault="000A4B52" w:rsidP="00E13AA6">
            <w:pPr>
              <w:spacing w:line="300" w:lineRule="auto"/>
              <w:jc w:val="center"/>
              <w:rPr>
                <w:rFonts w:ascii="Trebuchet MS" w:eastAsia="Times New Roman" w:hAnsi="Trebuchet MS" w:cs="Arial"/>
                <w:sz w:val="20"/>
                <w:szCs w:val="20"/>
                <w:lang w:eastAsia="ro-RO"/>
              </w:rPr>
            </w:pPr>
            <w:r w:rsidRPr="00942610">
              <w:rPr>
                <w:rFonts w:ascii="Trebuchet MS" w:eastAsia="Times New Roman" w:hAnsi="Trebuchet MS" w:cs="Arial"/>
                <w:sz w:val="20"/>
                <w:szCs w:val="20"/>
                <w:lang w:eastAsia="ro-RO"/>
              </w:rPr>
              <w:t>6,38</w:t>
            </w:r>
          </w:p>
        </w:tc>
      </w:tr>
    </w:tbl>
    <w:p w:rsidR="000A4B52" w:rsidRPr="00187A6E" w:rsidRDefault="000A4B52" w:rsidP="000A4B52">
      <w:pPr>
        <w:spacing w:line="300" w:lineRule="auto"/>
        <w:ind w:left="900" w:hanging="900"/>
        <w:jc w:val="both"/>
        <w:rPr>
          <w:rFonts w:ascii="Trebuchet MS" w:hAnsi="Trebuchet MS" w:cs="Arial"/>
          <w:i/>
          <w:iCs/>
          <w:lang w:eastAsia="ro-RO"/>
        </w:rPr>
      </w:pPr>
      <w:r w:rsidRPr="00187A6E">
        <w:rPr>
          <w:rFonts w:ascii="Trebuchet MS" w:hAnsi="Trebuchet MS" w:cs="Arial"/>
          <w:i/>
          <w:iCs/>
          <w:lang w:eastAsia="ro-RO"/>
        </w:rPr>
        <w:t>(Sursa: Administraţia Naţională “Apele Române”, Sinteza calităţii apelor din România în anul 2023)</w:t>
      </w:r>
    </w:p>
    <w:p w:rsidR="000A4B52" w:rsidRPr="00F26585" w:rsidRDefault="000A4B52" w:rsidP="000A4B52">
      <w:pPr>
        <w:rPr>
          <w:rFonts w:ascii="Trebuchet MS" w:hAnsi="Trebuchet MS"/>
          <w:color w:val="FF0000"/>
        </w:rPr>
      </w:pPr>
    </w:p>
    <w:p w:rsidR="000A4B52" w:rsidRPr="00F26585" w:rsidRDefault="000A4B52" w:rsidP="000A4B52">
      <w:pPr>
        <w:jc w:val="center"/>
        <w:rPr>
          <w:rFonts w:ascii="Trebuchet MS" w:hAnsi="Trebuchet MS"/>
          <w:b/>
          <w:highlight w:val="green"/>
        </w:rPr>
      </w:pPr>
      <w:r w:rsidRPr="00F26585">
        <w:rPr>
          <w:rFonts w:ascii="Trebuchet MS" w:hAnsi="Trebuchet MS"/>
          <w:b/>
          <w:highlight w:val="green"/>
        </w:rPr>
        <w:t xml:space="preserve">INDICATOR CSI 19. SUBSTANȚELE CONSUMATOARE DE OXIGEN DIN RÂURI </w:t>
      </w:r>
    </w:p>
    <w:p w:rsidR="000A4B52" w:rsidRPr="00F26585" w:rsidRDefault="000A4B52" w:rsidP="000A4B52">
      <w:pPr>
        <w:jc w:val="center"/>
        <w:rPr>
          <w:rFonts w:ascii="Trebuchet MS" w:hAnsi="Trebuchet MS"/>
          <w:b/>
        </w:rPr>
      </w:pPr>
      <w:r w:rsidRPr="00F26585">
        <w:rPr>
          <w:rFonts w:ascii="Trebuchet MS" w:hAnsi="Trebuchet MS"/>
          <w:b/>
          <w:highlight w:val="green"/>
        </w:rPr>
        <w:t>(RO 19)</w:t>
      </w:r>
    </w:p>
    <w:p w:rsidR="000A4B52" w:rsidRDefault="000A4B52" w:rsidP="000A4B52">
      <w:pPr>
        <w:autoSpaceDE w:val="0"/>
        <w:autoSpaceDN w:val="0"/>
        <w:adjustRightInd w:val="0"/>
        <w:ind w:firstLine="708"/>
        <w:jc w:val="both"/>
        <w:outlineLvl w:val="0"/>
        <w:rPr>
          <w:rFonts w:asciiTheme="minorBidi" w:hAnsiTheme="minorBidi"/>
          <w:bCs/>
        </w:rPr>
      </w:pPr>
    </w:p>
    <w:p w:rsidR="000A4B52" w:rsidRPr="00254B55" w:rsidRDefault="000A4B52" w:rsidP="002C4177">
      <w:pPr>
        <w:autoSpaceDE w:val="0"/>
        <w:autoSpaceDN w:val="0"/>
        <w:adjustRightInd w:val="0"/>
        <w:ind w:left="284" w:firstLine="424"/>
        <w:jc w:val="both"/>
        <w:outlineLvl w:val="0"/>
        <w:rPr>
          <w:rFonts w:ascii="Trebuchet MS" w:hAnsi="Trebuchet MS"/>
          <w:bCs/>
          <w:sz w:val="22"/>
          <w:szCs w:val="22"/>
        </w:rPr>
      </w:pPr>
      <w:r w:rsidRPr="00254B55">
        <w:rPr>
          <w:rFonts w:ascii="Trebuchet MS" w:hAnsi="Trebuchet MS"/>
          <w:bCs/>
          <w:sz w:val="22"/>
          <w:szCs w:val="22"/>
        </w:rPr>
        <w:t>Evacuări de substanţe organice şi nutrienţi în resursele de apă de la aglomerările umane, la nivel național.</w:t>
      </w:r>
    </w:p>
    <w:p w:rsidR="002C4177" w:rsidRPr="00254B55" w:rsidRDefault="000A4B52" w:rsidP="002C4177">
      <w:pPr>
        <w:autoSpaceDE w:val="0"/>
        <w:autoSpaceDN w:val="0"/>
        <w:adjustRightInd w:val="0"/>
        <w:ind w:left="284"/>
        <w:jc w:val="both"/>
        <w:outlineLvl w:val="0"/>
        <w:rPr>
          <w:rFonts w:ascii="Trebuchet MS" w:hAnsi="Trebuchet MS"/>
          <w:b/>
          <w:bCs/>
          <w:sz w:val="22"/>
          <w:szCs w:val="22"/>
        </w:rPr>
      </w:pPr>
      <w:r w:rsidRPr="00254B55">
        <w:rPr>
          <w:rFonts w:ascii="Trebuchet MS" w:hAnsi="Trebuchet MS" w:cs="Arial"/>
          <w:b/>
          <w:i/>
          <w:sz w:val="22"/>
          <w:szCs w:val="22"/>
        </w:rPr>
        <w:t xml:space="preserve">Tabelul II.2.1.1.4. </w:t>
      </w:r>
      <w:r w:rsidRPr="00254B55">
        <w:rPr>
          <w:rFonts w:ascii="Trebuchet MS" w:hAnsi="Trebuchet MS"/>
          <w:b/>
          <w:bCs/>
          <w:sz w:val="22"/>
          <w:szCs w:val="22"/>
        </w:rPr>
        <w:t>Cantități de poluanți evacuați în apele uzate (tone/an) în anul 2023</w:t>
      </w:r>
    </w:p>
    <w:tbl>
      <w:tblPr>
        <w:tblStyle w:val="TableGrid"/>
        <w:tblpPr w:leftFromText="180" w:rightFromText="180" w:vertAnchor="text" w:horzAnchor="page" w:tblpXSpec="center" w:tblpY="147"/>
        <w:tblW w:w="7645" w:type="dxa"/>
        <w:tblLook w:val="04A0" w:firstRow="1" w:lastRow="0" w:firstColumn="1" w:lastColumn="0" w:noHBand="0" w:noVBand="1"/>
      </w:tblPr>
      <w:tblGrid>
        <w:gridCol w:w="2425"/>
        <w:gridCol w:w="1260"/>
        <w:gridCol w:w="1350"/>
        <w:gridCol w:w="1350"/>
        <w:gridCol w:w="1260"/>
      </w:tblGrid>
      <w:tr w:rsidR="000A4B52" w:rsidRPr="00A530D9" w:rsidTr="00E13AA6">
        <w:trPr>
          <w:trHeight w:val="435"/>
        </w:trPr>
        <w:tc>
          <w:tcPr>
            <w:tcW w:w="2425" w:type="dxa"/>
            <w:vMerge w:val="restart"/>
            <w:shd w:val="clear" w:color="auto" w:fill="00B0F0"/>
            <w:vAlign w:val="center"/>
            <w:hideMark/>
          </w:tcPr>
          <w:p w:rsidR="000A4B52" w:rsidRPr="00A530D9" w:rsidRDefault="000A4B52" w:rsidP="00E13AA6">
            <w:pPr>
              <w:ind w:right="-113"/>
              <w:jc w:val="center"/>
              <w:rPr>
                <w:rFonts w:ascii="Trebuchet MS" w:hAnsi="Trebuchet MS"/>
                <w:b/>
                <w:bCs/>
              </w:rPr>
            </w:pPr>
            <w:r w:rsidRPr="00A530D9">
              <w:rPr>
                <w:rFonts w:ascii="Trebuchet MS" w:hAnsi="Trebuchet MS"/>
                <w:b/>
                <w:bCs/>
              </w:rPr>
              <w:t>Categorie aglomerări</w:t>
            </w:r>
          </w:p>
          <w:p w:rsidR="000A4B52" w:rsidRPr="00A530D9" w:rsidRDefault="000A4B52" w:rsidP="00E13AA6">
            <w:pPr>
              <w:ind w:right="-113"/>
              <w:jc w:val="center"/>
              <w:rPr>
                <w:rFonts w:ascii="Trebuchet MS" w:hAnsi="Trebuchet MS"/>
                <w:b/>
                <w:bCs/>
              </w:rPr>
            </w:pPr>
            <w:r w:rsidRPr="00A530D9">
              <w:rPr>
                <w:rFonts w:ascii="Trebuchet MS" w:hAnsi="Trebuchet MS"/>
                <w:b/>
                <w:bCs/>
              </w:rPr>
              <w:t>umane</w:t>
            </w:r>
          </w:p>
        </w:tc>
        <w:tc>
          <w:tcPr>
            <w:tcW w:w="5220" w:type="dxa"/>
            <w:gridSpan w:val="4"/>
            <w:shd w:val="clear" w:color="auto" w:fill="00B0F0"/>
            <w:noWrap/>
            <w:hideMark/>
          </w:tcPr>
          <w:p w:rsidR="000A4B52" w:rsidRPr="00A530D9" w:rsidRDefault="000A4B52" w:rsidP="00E13AA6">
            <w:pPr>
              <w:ind w:right="-113"/>
              <w:jc w:val="center"/>
              <w:rPr>
                <w:rFonts w:ascii="Trebuchet MS" w:hAnsi="Trebuchet MS"/>
                <w:b/>
                <w:bCs/>
              </w:rPr>
            </w:pPr>
            <w:r w:rsidRPr="00A530D9">
              <w:rPr>
                <w:rFonts w:ascii="Trebuchet MS" w:hAnsi="Trebuchet MS"/>
                <w:b/>
                <w:bCs/>
              </w:rPr>
              <w:t>Cantități de poluanți evacuați în apele uzate (tone/an)</w:t>
            </w:r>
          </w:p>
        </w:tc>
      </w:tr>
      <w:tr w:rsidR="000A4B52" w:rsidRPr="00A530D9" w:rsidTr="00E13AA6">
        <w:trPr>
          <w:trHeight w:val="363"/>
        </w:trPr>
        <w:tc>
          <w:tcPr>
            <w:tcW w:w="2425" w:type="dxa"/>
            <w:vMerge/>
            <w:shd w:val="clear" w:color="auto" w:fill="00B0F0"/>
            <w:hideMark/>
          </w:tcPr>
          <w:p w:rsidR="000A4B52" w:rsidRPr="00A530D9" w:rsidRDefault="000A4B52" w:rsidP="00E13AA6">
            <w:pPr>
              <w:ind w:right="-113"/>
              <w:rPr>
                <w:rFonts w:ascii="Trebuchet MS" w:hAnsi="Trebuchet MS"/>
                <w:b/>
                <w:bCs/>
              </w:rPr>
            </w:pPr>
          </w:p>
        </w:tc>
        <w:tc>
          <w:tcPr>
            <w:tcW w:w="1260" w:type="dxa"/>
            <w:shd w:val="clear" w:color="auto" w:fill="00B0F0"/>
            <w:hideMark/>
          </w:tcPr>
          <w:p w:rsidR="000A4B52" w:rsidRPr="00A530D9" w:rsidRDefault="000A4B52" w:rsidP="00E13AA6">
            <w:pPr>
              <w:ind w:right="-113"/>
              <w:jc w:val="center"/>
              <w:rPr>
                <w:rFonts w:ascii="Trebuchet MS" w:hAnsi="Trebuchet MS"/>
                <w:b/>
                <w:bCs/>
              </w:rPr>
            </w:pPr>
            <w:r w:rsidRPr="00A530D9">
              <w:rPr>
                <w:rFonts w:ascii="Trebuchet MS" w:hAnsi="Trebuchet MS"/>
                <w:b/>
                <w:bCs/>
              </w:rPr>
              <w:t>CBO5</w:t>
            </w:r>
          </w:p>
        </w:tc>
        <w:tc>
          <w:tcPr>
            <w:tcW w:w="1350" w:type="dxa"/>
            <w:shd w:val="clear" w:color="auto" w:fill="00B0F0"/>
            <w:hideMark/>
          </w:tcPr>
          <w:p w:rsidR="000A4B52" w:rsidRPr="00A530D9" w:rsidRDefault="000A4B52" w:rsidP="00E13AA6">
            <w:pPr>
              <w:ind w:right="-113"/>
              <w:jc w:val="center"/>
              <w:rPr>
                <w:rFonts w:ascii="Trebuchet MS" w:hAnsi="Trebuchet MS"/>
                <w:b/>
                <w:bCs/>
              </w:rPr>
            </w:pPr>
            <w:r w:rsidRPr="00A530D9">
              <w:rPr>
                <w:rFonts w:ascii="Trebuchet MS" w:hAnsi="Trebuchet MS"/>
                <w:b/>
                <w:bCs/>
              </w:rPr>
              <w:t>CCO-Cr</w:t>
            </w:r>
          </w:p>
        </w:tc>
        <w:tc>
          <w:tcPr>
            <w:tcW w:w="1350" w:type="dxa"/>
            <w:shd w:val="clear" w:color="auto" w:fill="00B0F0"/>
            <w:hideMark/>
          </w:tcPr>
          <w:p w:rsidR="000A4B52" w:rsidRPr="00A530D9" w:rsidRDefault="000A4B52" w:rsidP="00E13AA6">
            <w:pPr>
              <w:ind w:right="-113"/>
              <w:jc w:val="center"/>
              <w:rPr>
                <w:rFonts w:ascii="Trebuchet MS" w:hAnsi="Trebuchet MS"/>
                <w:b/>
                <w:bCs/>
              </w:rPr>
            </w:pPr>
            <w:r w:rsidRPr="00A530D9">
              <w:rPr>
                <w:rFonts w:ascii="Trebuchet MS" w:hAnsi="Trebuchet MS"/>
                <w:b/>
                <w:bCs/>
              </w:rPr>
              <w:t>N total</w:t>
            </w:r>
          </w:p>
        </w:tc>
        <w:tc>
          <w:tcPr>
            <w:tcW w:w="1260" w:type="dxa"/>
            <w:shd w:val="clear" w:color="auto" w:fill="00B0F0"/>
            <w:hideMark/>
          </w:tcPr>
          <w:p w:rsidR="000A4B52" w:rsidRPr="00A530D9" w:rsidRDefault="000A4B52" w:rsidP="00E13AA6">
            <w:pPr>
              <w:ind w:right="-113"/>
              <w:jc w:val="center"/>
              <w:rPr>
                <w:rFonts w:ascii="Trebuchet MS" w:hAnsi="Trebuchet MS"/>
                <w:b/>
                <w:bCs/>
              </w:rPr>
            </w:pPr>
            <w:r w:rsidRPr="00A530D9">
              <w:rPr>
                <w:rFonts w:ascii="Trebuchet MS" w:hAnsi="Trebuchet MS"/>
                <w:b/>
                <w:bCs/>
              </w:rPr>
              <w:t>P total</w:t>
            </w:r>
          </w:p>
        </w:tc>
      </w:tr>
      <w:tr w:rsidR="000A4B52" w:rsidRPr="00A530D9" w:rsidTr="00E13AA6">
        <w:trPr>
          <w:trHeight w:val="365"/>
        </w:trPr>
        <w:tc>
          <w:tcPr>
            <w:tcW w:w="2425" w:type="dxa"/>
            <w:noWrap/>
            <w:vAlign w:val="center"/>
            <w:hideMark/>
          </w:tcPr>
          <w:p w:rsidR="000A4B52" w:rsidRPr="00A530D9" w:rsidRDefault="000A4B52" w:rsidP="00E13AA6">
            <w:pPr>
              <w:jc w:val="center"/>
              <w:rPr>
                <w:rFonts w:ascii="Trebuchet MS" w:hAnsi="Trebuchet MS"/>
              </w:rPr>
            </w:pPr>
            <w:r w:rsidRPr="00A530D9">
              <w:rPr>
                <w:rFonts w:ascii="Trebuchet MS" w:hAnsi="Trebuchet MS"/>
              </w:rPr>
              <w:t>&gt; 100 000 l.e.</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11929</w:t>
            </w:r>
            <w:r>
              <w:rPr>
                <w:rFonts w:ascii="Trebuchet MS" w:hAnsi="Trebuchet MS"/>
              </w:rPr>
              <w:t>,</w:t>
            </w:r>
            <w:r w:rsidRPr="00A530D9">
              <w:rPr>
                <w:rFonts w:ascii="Trebuchet MS" w:hAnsi="Trebuchet MS"/>
              </w:rPr>
              <w:t>95</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34975</w:t>
            </w:r>
            <w:r>
              <w:rPr>
                <w:rFonts w:ascii="Trebuchet MS" w:hAnsi="Trebuchet MS"/>
              </w:rPr>
              <w:t>,</w:t>
            </w:r>
            <w:r w:rsidRPr="00A530D9">
              <w:rPr>
                <w:rFonts w:ascii="Trebuchet MS" w:hAnsi="Trebuchet MS"/>
              </w:rPr>
              <w:t>36</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7986</w:t>
            </w:r>
            <w:r>
              <w:rPr>
                <w:rFonts w:ascii="Trebuchet MS" w:hAnsi="Trebuchet MS"/>
              </w:rPr>
              <w:t>,</w:t>
            </w:r>
            <w:r w:rsidRPr="00A530D9">
              <w:rPr>
                <w:rFonts w:ascii="Trebuchet MS" w:hAnsi="Trebuchet MS"/>
              </w:rPr>
              <w:t>04</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727</w:t>
            </w:r>
            <w:r>
              <w:rPr>
                <w:rFonts w:ascii="Trebuchet MS" w:hAnsi="Trebuchet MS"/>
              </w:rPr>
              <w:t>,</w:t>
            </w:r>
            <w:r w:rsidRPr="00A530D9">
              <w:rPr>
                <w:rFonts w:ascii="Trebuchet MS" w:hAnsi="Trebuchet MS"/>
              </w:rPr>
              <w:t>27</w:t>
            </w:r>
          </w:p>
        </w:tc>
      </w:tr>
      <w:tr w:rsidR="000A4B52" w:rsidRPr="00A530D9" w:rsidTr="00E13AA6">
        <w:trPr>
          <w:trHeight w:val="464"/>
        </w:trPr>
        <w:tc>
          <w:tcPr>
            <w:tcW w:w="2425" w:type="dxa"/>
            <w:noWrap/>
            <w:vAlign w:val="center"/>
            <w:hideMark/>
          </w:tcPr>
          <w:p w:rsidR="000A4B52" w:rsidRPr="00A530D9" w:rsidRDefault="000A4B52" w:rsidP="00E13AA6">
            <w:pPr>
              <w:jc w:val="center"/>
              <w:rPr>
                <w:rFonts w:ascii="Trebuchet MS" w:hAnsi="Trebuchet MS"/>
              </w:rPr>
            </w:pPr>
            <w:r w:rsidRPr="00A530D9">
              <w:rPr>
                <w:rFonts w:ascii="Trebuchet MS" w:hAnsi="Trebuchet MS"/>
              </w:rPr>
              <w:t>10 000 - 100 000 l.e.</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3162</w:t>
            </w:r>
            <w:r>
              <w:rPr>
                <w:rFonts w:ascii="Trebuchet MS" w:hAnsi="Trebuchet MS"/>
              </w:rPr>
              <w:t>,</w:t>
            </w:r>
            <w:r w:rsidRPr="00A530D9">
              <w:rPr>
                <w:rFonts w:ascii="Trebuchet MS" w:hAnsi="Trebuchet MS"/>
              </w:rPr>
              <w:t>93</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10345</w:t>
            </w:r>
            <w:r>
              <w:rPr>
                <w:rFonts w:ascii="Trebuchet MS" w:hAnsi="Trebuchet MS"/>
              </w:rPr>
              <w:t>,</w:t>
            </w:r>
            <w:r w:rsidRPr="00A530D9">
              <w:rPr>
                <w:rFonts w:ascii="Trebuchet MS" w:hAnsi="Trebuchet MS"/>
              </w:rPr>
              <w:t>30</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2549</w:t>
            </w:r>
            <w:r>
              <w:rPr>
                <w:rFonts w:ascii="Trebuchet MS" w:hAnsi="Trebuchet MS"/>
              </w:rPr>
              <w:t>,</w:t>
            </w:r>
            <w:r w:rsidRPr="00A530D9">
              <w:rPr>
                <w:rFonts w:ascii="Trebuchet MS" w:hAnsi="Trebuchet MS"/>
              </w:rPr>
              <w:t>99</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286</w:t>
            </w:r>
            <w:r>
              <w:rPr>
                <w:rFonts w:ascii="Trebuchet MS" w:hAnsi="Trebuchet MS"/>
              </w:rPr>
              <w:t>,</w:t>
            </w:r>
            <w:r w:rsidRPr="00A530D9">
              <w:rPr>
                <w:rFonts w:ascii="Trebuchet MS" w:hAnsi="Trebuchet MS"/>
              </w:rPr>
              <w:t>62</w:t>
            </w:r>
          </w:p>
        </w:tc>
      </w:tr>
      <w:tr w:rsidR="000A4B52" w:rsidRPr="00A530D9" w:rsidTr="00E13AA6">
        <w:trPr>
          <w:trHeight w:val="464"/>
        </w:trPr>
        <w:tc>
          <w:tcPr>
            <w:tcW w:w="2425" w:type="dxa"/>
            <w:noWrap/>
            <w:vAlign w:val="center"/>
            <w:hideMark/>
          </w:tcPr>
          <w:p w:rsidR="000A4B52" w:rsidRPr="00A530D9" w:rsidRDefault="000A4B52" w:rsidP="00E13AA6">
            <w:pPr>
              <w:jc w:val="center"/>
              <w:rPr>
                <w:rFonts w:ascii="Trebuchet MS" w:hAnsi="Trebuchet MS"/>
              </w:rPr>
            </w:pPr>
            <w:r w:rsidRPr="00A530D9">
              <w:rPr>
                <w:rFonts w:ascii="Trebuchet MS" w:hAnsi="Trebuchet MS"/>
              </w:rPr>
              <w:t>2 000 - 10 000 l.e.</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2142</w:t>
            </w:r>
            <w:r>
              <w:rPr>
                <w:rFonts w:ascii="Trebuchet MS" w:hAnsi="Trebuchet MS"/>
              </w:rPr>
              <w:t>,</w:t>
            </w:r>
            <w:r w:rsidRPr="00A530D9">
              <w:rPr>
                <w:rFonts w:ascii="Trebuchet MS" w:hAnsi="Trebuchet MS"/>
              </w:rPr>
              <w:t>18</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5962</w:t>
            </w:r>
            <w:r>
              <w:rPr>
                <w:rFonts w:ascii="Trebuchet MS" w:hAnsi="Trebuchet MS"/>
              </w:rPr>
              <w:t>,</w:t>
            </w:r>
            <w:r w:rsidRPr="00A530D9">
              <w:rPr>
                <w:rFonts w:ascii="Trebuchet MS" w:hAnsi="Trebuchet MS"/>
              </w:rPr>
              <w:t>14</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280</w:t>
            </w:r>
            <w:r>
              <w:rPr>
                <w:rFonts w:ascii="Trebuchet MS" w:hAnsi="Trebuchet MS"/>
              </w:rPr>
              <w:t>,</w:t>
            </w:r>
            <w:r w:rsidRPr="00A530D9">
              <w:rPr>
                <w:rFonts w:ascii="Trebuchet MS" w:hAnsi="Trebuchet MS"/>
              </w:rPr>
              <w:t>89</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37</w:t>
            </w:r>
            <w:r>
              <w:rPr>
                <w:rFonts w:ascii="Trebuchet MS" w:hAnsi="Trebuchet MS"/>
              </w:rPr>
              <w:t>,</w:t>
            </w:r>
            <w:r w:rsidRPr="00A530D9">
              <w:rPr>
                <w:rFonts w:ascii="Trebuchet MS" w:hAnsi="Trebuchet MS"/>
              </w:rPr>
              <w:t>45</w:t>
            </w:r>
          </w:p>
        </w:tc>
      </w:tr>
      <w:tr w:rsidR="000A4B52" w:rsidRPr="00A530D9" w:rsidTr="00E13AA6">
        <w:trPr>
          <w:trHeight w:val="464"/>
        </w:trPr>
        <w:tc>
          <w:tcPr>
            <w:tcW w:w="2425" w:type="dxa"/>
            <w:noWrap/>
            <w:vAlign w:val="center"/>
            <w:hideMark/>
          </w:tcPr>
          <w:p w:rsidR="000A4B52" w:rsidRPr="00A530D9" w:rsidRDefault="000A4B52" w:rsidP="00E13AA6">
            <w:pPr>
              <w:jc w:val="center"/>
              <w:rPr>
                <w:rFonts w:ascii="Trebuchet MS" w:hAnsi="Trebuchet MS"/>
              </w:rPr>
            </w:pPr>
            <w:r w:rsidRPr="00A530D9">
              <w:rPr>
                <w:rFonts w:ascii="Trebuchet MS" w:hAnsi="Trebuchet MS"/>
              </w:rPr>
              <w:t>&lt; 2 000 l.e.</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2454</w:t>
            </w:r>
            <w:r>
              <w:rPr>
                <w:rFonts w:ascii="Trebuchet MS" w:hAnsi="Trebuchet MS"/>
              </w:rPr>
              <w:t>,</w:t>
            </w:r>
            <w:r w:rsidRPr="00A530D9">
              <w:rPr>
                <w:rFonts w:ascii="Trebuchet MS" w:hAnsi="Trebuchet MS"/>
              </w:rPr>
              <w:t>36</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6658</w:t>
            </w:r>
            <w:r>
              <w:rPr>
                <w:rFonts w:ascii="Trebuchet MS" w:hAnsi="Trebuchet MS"/>
              </w:rPr>
              <w:t>,</w:t>
            </w:r>
            <w:r w:rsidRPr="00A530D9">
              <w:rPr>
                <w:rFonts w:ascii="Trebuchet MS" w:hAnsi="Trebuchet MS"/>
              </w:rPr>
              <w:t>42</w:t>
            </w:r>
          </w:p>
        </w:tc>
        <w:tc>
          <w:tcPr>
            <w:tcW w:w="1350" w:type="dxa"/>
            <w:noWrap/>
            <w:vAlign w:val="center"/>
          </w:tcPr>
          <w:p w:rsidR="000A4B52" w:rsidRPr="00A530D9" w:rsidRDefault="000A4B52" w:rsidP="00E13AA6">
            <w:pPr>
              <w:jc w:val="center"/>
              <w:rPr>
                <w:rFonts w:ascii="Trebuchet MS" w:hAnsi="Trebuchet MS"/>
              </w:rPr>
            </w:pPr>
            <w:r w:rsidRPr="00A530D9">
              <w:rPr>
                <w:rFonts w:ascii="Trebuchet MS" w:hAnsi="Trebuchet MS"/>
              </w:rPr>
              <w:t>12</w:t>
            </w:r>
            <w:r>
              <w:rPr>
                <w:rFonts w:ascii="Trebuchet MS" w:hAnsi="Trebuchet MS"/>
              </w:rPr>
              <w:t>,</w:t>
            </w:r>
            <w:r w:rsidRPr="00A530D9">
              <w:rPr>
                <w:rFonts w:ascii="Trebuchet MS" w:hAnsi="Trebuchet MS"/>
              </w:rPr>
              <w:t>14</w:t>
            </w:r>
          </w:p>
        </w:tc>
        <w:tc>
          <w:tcPr>
            <w:tcW w:w="1260" w:type="dxa"/>
            <w:noWrap/>
            <w:vAlign w:val="center"/>
          </w:tcPr>
          <w:p w:rsidR="000A4B52" w:rsidRPr="00A530D9" w:rsidRDefault="000A4B52" w:rsidP="00E13AA6">
            <w:pPr>
              <w:jc w:val="center"/>
              <w:rPr>
                <w:rFonts w:ascii="Trebuchet MS" w:hAnsi="Trebuchet MS"/>
              </w:rPr>
            </w:pPr>
            <w:r w:rsidRPr="00A530D9">
              <w:rPr>
                <w:rFonts w:ascii="Trebuchet MS" w:hAnsi="Trebuchet MS"/>
              </w:rPr>
              <w:t>2</w:t>
            </w:r>
            <w:r>
              <w:rPr>
                <w:rFonts w:ascii="Trebuchet MS" w:hAnsi="Trebuchet MS"/>
              </w:rPr>
              <w:t>,</w:t>
            </w:r>
            <w:r w:rsidRPr="00A530D9">
              <w:rPr>
                <w:rFonts w:ascii="Trebuchet MS" w:hAnsi="Trebuchet MS"/>
              </w:rPr>
              <w:t>50</w:t>
            </w:r>
          </w:p>
        </w:tc>
      </w:tr>
    </w:tbl>
    <w:p w:rsidR="000A4B52" w:rsidRPr="00A530D9" w:rsidRDefault="000A4B52" w:rsidP="000A4B52">
      <w:pPr>
        <w:rPr>
          <w:rFonts w:ascii="Trebuchet MS" w:hAnsi="Trebuchet MS"/>
        </w:rPr>
      </w:pPr>
    </w:p>
    <w:p w:rsidR="000A4B52" w:rsidRPr="00A530D9" w:rsidRDefault="000A4B52" w:rsidP="000A4B52">
      <w:pPr>
        <w:rPr>
          <w:rFonts w:ascii="Trebuchet MS" w:hAnsi="Trebuchet MS"/>
        </w:rPr>
      </w:pPr>
    </w:p>
    <w:p w:rsidR="000A4B52" w:rsidRPr="00A530D9" w:rsidRDefault="000A4B52" w:rsidP="000A4B52">
      <w:pPr>
        <w:rPr>
          <w:rFonts w:ascii="Trebuchet MS" w:hAnsi="Trebuchet MS"/>
        </w:rPr>
      </w:pPr>
    </w:p>
    <w:p w:rsidR="000A4B52" w:rsidRPr="00A530D9" w:rsidRDefault="000A4B52" w:rsidP="000A4B52">
      <w:pPr>
        <w:rPr>
          <w:rFonts w:ascii="Trebuchet MS" w:hAnsi="Trebuchet MS"/>
        </w:rPr>
      </w:pPr>
    </w:p>
    <w:p w:rsidR="000A4B52" w:rsidRPr="00A530D9" w:rsidRDefault="000A4B52" w:rsidP="000A4B52">
      <w:pPr>
        <w:rPr>
          <w:rFonts w:ascii="Trebuchet MS" w:hAnsi="Trebuchet MS"/>
        </w:rPr>
      </w:pPr>
    </w:p>
    <w:p w:rsidR="000A4B52" w:rsidRPr="00A530D9" w:rsidRDefault="000A4B52" w:rsidP="000A4B52">
      <w:pPr>
        <w:rPr>
          <w:rFonts w:ascii="Trebuchet MS" w:hAnsi="Trebuchet MS"/>
        </w:rPr>
      </w:pPr>
    </w:p>
    <w:p w:rsidR="000A4B52" w:rsidRPr="00A530D9" w:rsidRDefault="000A4B52" w:rsidP="000A4B52">
      <w:pPr>
        <w:rPr>
          <w:rFonts w:ascii="Trebuchet MS" w:hAnsi="Trebuchet MS"/>
        </w:rPr>
      </w:pPr>
    </w:p>
    <w:p w:rsidR="002C4177" w:rsidRDefault="002C4177" w:rsidP="000A4B52">
      <w:pPr>
        <w:spacing w:line="300" w:lineRule="auto"/>
        <w:jc w:val="both"/>
        <w:rPr>
          <w:rFonts w:ascii="Trebuchet MS" w:hAnsi="Trebuchet MS"/>
        </w:rPr>
      </w:pPr>
    </w:p>
    <w:p w:rsidR="002C4177" w:rsidRDefault="002C4177" w:rsidP="000A4B52">
      <w:pPr>
        <w:spacing w:line="300" w:lineRule="auto"/>
        <w:jc w:val="both"/>
        <w:rPr>
          <w:rFonts w:ascii="Trebuchet MS" w:hAnsi="Trebuchet MS"/>
        </w:rPr>
      </w:pPr>
    </w:p>
    <w:p w:rsidR="002C4177" w:rsidRDefault="002C4177" w:rsidP="000A4B52">
      <w:pPr>
        <w:spacing w:line="300" w:lineRule="auto"/>
        <w:jc w:val="both"/>
        <w:rPr>
          <w:rFonts w:ascii="Trebuchet MS" w:hAnsi="Trebuchet MS"/>
        </w:rPr>
      </w:pPr>
    </w:p>
    <w:p w:rsidR="000A4B52" w:rsidRPr="002C4177" w:rsidRDefault="000A4B52" w:rsidP="000A4B52">
      <w:pPr>
        <w:spacing w:line="300" w:lineRule="auto"/>
        <w:jc w:val="both"/>
        <w:rPr>
          <w:rFonts w:ascii="Trebuchet MS" w:hAnsi="Trebuchet MS"/>
        </w:rPr>
      </w:pPr>
      <w:r w:rsidRPr="003013EA">
        <w:rPr>
          <w:rFonts w:ascii="Trebuchet MS" w:hAnsi="Trebuchet MS"/>
        </w:rPr>
        <w:t xml:space="preserve">(Sursa: </w:t>
      </w:r>
      <w:r w:rsidRPr="002C4177">
        <w:rPr>
          <w:rFonts w:ascii="Trebuchet MS" w:hAnsi="Trebuchet MS"/>
        </w:rPr>
        <w:t xml:space="preserve">Administraţia Naţională “Apele Române”, </w:t>
      </w:r>
      <w:r w:rsidRPr="002C4177">
        <w:rPr>
          <w:rFonts w:ascii="Trebuchet MS" w:hAnsi="Trebuchet MS"/>
          <w:i/>
        </w:rPr>
        <w:t>Sinteza calităţii apelor din România în anul 2023</w:t>
      </w:r>
      <w:r w:rsidRPr="002C4177">
        <w:rPr>
          <w:rFonts w:ascii="Trebuchet MS" w:hAnsi="Trebuchet MS"/>
        </w:rPr>
        <w:t>)</w:t>
      </w:r>
    </w:p>
    <w:p w:rsidR="00AE762B" w:rsidRPr="002C4177" w:rsidRDefault="00AE762B" w:rsidP="002A0870">
      <w:pPr>
        <w:autoSpaceDE w:val="0"/>
        <w:autoSpaceDN w:val="0"/>
        <w:adjustRightInd w:val="0"/>
        <w:rPr>
          <w:rFonts w:ascii="Trebuchet MS" w:eastAsia="Times New Roman" w:hAnsi="Trebuchet MS"/>
          <w:color w:val="000000"/>
          <w:sz w:val="20"/>
          <w:szCs w:val="20"/>
        </w:rPr>
      </w:pPr>
    </w:p>
    <w:p w:rsidR="00AE762B" w:rsidRPr="00254B55" w:rsidRDefault="00AE762B" w:rsidP="00166813">
      <w:pPr>
        <w:pStyle w:val="Default"/>
        <w:rPr>
          <w:rFonts w:ascii="Trebuchet MS" w:hAnsi="Trebuchet MS"/>
          <w:sz w:val="22"/>
          <w:szCs w:val="22"/>
          <w:lang w:val="en-GB"/>
        </w:rPr>
      </w:pPr>
      <w:r w:rsidRPr="00254B55">
        <w:rPr>
          <w:rFonts w:ascii="Trebuchet MS" w:hAnsi="Trebuchet MS"/>
          <w:b/>
          <w:bCs/>
          <w:sz w:val="22"/>
          <w:szCs w:val="22"/>
          <w:lang w:val="en-GB"/>
        </w:rPr>
        <w:t>COD INDICATOR</w:t>
      </w:r>
      <w:r w:rsidRPr="00254B55">
        <w:rPr>
          <w:rFonts w:ascii="Trebuchet MS" w:hAnsi="Trebuchet MS"/>
          <w:sz w:val="22"/>
          <w:szCs w:val="22"/>
          <w:lang w:val="en-GB"/>
        </w:rPr>
        <w:t xml:space="preserve"> </w:t>
      </w:r>
    </w:p>
    <w:p w:rsidR="00AE762B" w:rsidRPr="00254B55" w:rsidRDefault="00AE762B" w:rsidP="00166813">
      <w:pPr>
        <w:pStyle w:val="Default"/>
        <w:rPr>
          <w:rFonts w:ascii="Trebuchet MS" w:hAnsi="Trebuchet MS"/>
          <w:sz w:val="22"/>
          <w:szCs w:val="22"/>
          <w:lang w:val="en-GB"/>
        </w:rPr>
      </w:pPr>
      <w:r w:rsidRPr="00254B55">
        <w:rPr>
          <w:rFonts w:ascii="Trebuchet MS" w:hAnsi="Trebuchet MS"/>
          <w:sz w:val="22"/>
          <w:szCs w:val="22"/>
          <w:lang w:val="en-GB"/>
        </w:rPr>
        <w:t xml:space="preserve">Cod indicator România: </w:t>
      </w:r>
      <w:r w:rsidRPr="00254B55">
        <w:rPr>
          <w:rFonts w:ascii="Trebuchet MS" w:hAnsi="Trebuchet MS"/>
          <w:b/>
          <w:bCs/>
          <w:sz w:val="22"/>
          <w:szCs w:val="22"/>
          <w:lang w:val="en-GB"/>
        </w:rPr>
        <w:t>RO 20</w:t>
      </w:r>
    </w:p>
    <w:p w:rsidR="00AE762B" w:rsidRPr="00254B55" w:rsidRDefault="00AE762B" w:rsidP="00166813">
      <w:pPr>
        <w:pStyle w:val="Default"/>
        <w:rPr>
          <w:rFonts w:ascii="Trebuchet MS" w:hAnsi="Trebuchet MS"/>
          <w:sz w:val="22"/>
          <w:szCs w:val="22"/>
          <w:lang w:val="en-GB"/>
        </w:rPr>
      </w:pPr>
      <w:r w:rsidRPr="00254B55">
        <w:rPr>
          <w:rFonts w:ascii="Trebuchet MS" w:hAnsi="Trebuchet MS"/>
          <w:sz w:val="22"/>
          <w:szCs w:val="22"/>
          <w:lang w:val="en-GB"/>
        </w:rPr>
        <w:t xml:space="preserve">Cod indicator AEM: </w:t>
      </w:r>
      <w:r w:rsidRPr="00254B55">
        <w:rPr>
          <w:rFonts w:ascii="Trebuchet MS" w:hAnsi="Trebuchet MS"/>
          <w:b/>
          <w:bCs/>
          <w:sz w:val="22"/>
          <w:szCs w:val="22"/>
          <w:lang w:val="en-GB"/>
        </w:rPr>
        <w:t xml:space="preserve">CSI 20 </w:t>
      </w:r>
    </w:p>
    <w:p w:rsidR="00AE762B" w:rsidRPr="00254B55" w:rsidRDefault="00AE762B" w:rsidP="00166813">
      <w:pPr>
        <w:pStyle w:val="Default"/>
        <w:rPr>
          <w:rFonts w:ascii="Trebuchet MS" w:hAnsi="Trebuchet MS"/>
          <w:sz w:val="22"/>
          <w:szCs w:val="22"/>
          <w:lang w:val="en-GB"/>
        </w:rPr>
      </w:pPr>
      <w:r w:rsidRPr="00254B55">
        <w:rPr>
          <w:rFonts w:ascii="Trebuchet MS" w:hAnsi="Trebuchet MS"/>
          <w:b/>
          <w:bCs/>
          <w:sz w:val="22"/>
          <w:szCs w:val="22"/>
          <w:lang w:val="en-GB"/>
        </w:rPr>
        <w:t xml:space="preserve">DENUMIRE </w:t>
      </w:r>
    </w:p>
    <w:p w:rsidR="00AE762B" w:rsidRPr="00254B55" w:rsidRDefault="00AE762B" w:rsidP="00166813">
      <w:pPr>
        <w:autoSpaceDE w:val="0"/>
        <w:autoSpaceDN w:val="0"/>
        <w:adjustRightInd w:val="0"/>
        <w:rPr>
          <w:rFonts w:ascii="Trebuchet MS" w:hAnsi="Trebuchet MS" w:cs="Arial"/>
          <w:b/>
          <w:bCs/>
          <w:color w:val="000000"/>
          <w:sz w:val="22"/>
          <w:szCs w:val="22"/>
        </w:rPr>
      </w:pPr>
      <w:r w:rsidRPr="00254B55">
        <w:rPr>
          <w:rFonts w:ascii="Trebuchet MS" w:hAnsi="Trebuchet MS" w:cs="Arial"/>
          <w:b/>
          <w:bCs/>
          <w:color w:val="000000"/>
          <w:sz w:val="22"/>
          <w:szCs w:val="22"/>
        </w:rPr>
        <w:t>NUTRIENŢI ÎN APĂ</w:t>
      </w:r>
    </w:p>
    <w:p w:rsidR="00AE762B" w:rsidRPr="00254B55" w:rsidRDefault="00AE762B" w:rsidP="00166813">
      <w:pPr>
        <w:pStyle w:val="Default"/>
        <w:rPr>
          <w:rFonts w:ascii="Trebuchet MS" w:hAnsi="Trebuchet MS"/>
          <w:sz w:val="22"/>
          <w:szCs w:val="22"/>
          <w:lang w:val="en-GB"/>
        </w:rPr>
      </w:pPr>
      <w:r w:rsidRPr="00254B55">
        <w:rPr>
          <w:rFonts w:ascii="Trebuchet MS" w:hAnsi="Trebuchet MS"/>
          <w:b/>
          <w:bCs/>
          <w:sz w:val="22"/>
          <w:szCs w:val="22"/>
          <w:lang w:val="en-GB"/>
        </w:rPr>
        <w:t xml:space="preserve">DEFINIŢIE </w:t>
      </w:r>
    </w:p>
    <w:p w:rsidR="00AE762B" w:rsidRPr="00254B55" w:rsidRDefault="00AE762B" w:rsidP="002A0870">
      <w:pPr>
        <w:autoSpaceDE w:val="0"/>
        <w:autoSpaceDN w:val="0"/>
        <w:adjustRightInd w:val="0"/>
        <w:rPr>
          <w:rFonts w:ascii="Trebuchet MS" w:hAnsi="Trebuchet MS" w:cs="Arial"/>
          <w:color w:val="000000"/>
          <w:sz w:val="22"/>
          <w:szCs w:val="22"/>
        </w:rPr>
      </w:pPr>
      <w:r w:rsidRPr="00254B55">
        <w:rPr>
          <w:rFonts w:ascii="Trebuchet MS" w:hAnsi="Trebuchet MS" w:cs="Arial"/>
          <w:color w:val="000000"/>
          <w:sz w:val="22"/>
          <w:szCs w:val="22"/>
        </w:rPr>
        <w:t>Indicator global al poluării cu substanţe nutritive a corpurilor de apă. Indicatorul cuantifică ortofosfaţii solubili şi azotaţii prezenţi în râuri, si este utilizat pentru a evidenţia variaţiile geografice ale concentraţiilor de nutrienţi şi evoluţia lor în timp .</w:t>
      </w:r>
    </w:p>
    <w:p w:rsidR="00AE762B" w:rsidRPr="00254B55" w:rsidRDefault="00AE762B" w:rsidP="002A0870">
      <w:pPr>
        <w:autoSpaceDE w:val="0"/>
        <w:autoSpaceDN w:val="0"/>
        <w:adjustRightInd w:val="0"/>
        <w:rPr>
          <w:rFonts w:ascii="Trebuchet MS" w:hAnsi="Trebuchet MS" w:cs="Arial"/>
          <w:color w:val="000000"/>
          <w:sz w:val="22"/>
          <w:szCs w:val="22"/>
        </w:rPr>
      </w:pPr>
    </w:p>
    <w:p w:rsidR="00AE762B" w:rsidRDefault="00AE762B" w:rsidP="002A0870">
      <w:pPr>
        <w:autoSpaceDE w:val="0"/>
        <w:autoSpaceDN w:val="0"/>
        <w:adjustRightInd w:val="0"/>
        <w:rPr>
          <w:rFonts w:ascii="Trebuchet MS" w:hAnsi="Trebuchet MS" w:cs="Arial"/>
          <w:color w:val="000000"/>
          <w:sz w:val="22"/>
          <w:szCs w:val="22"/>
        </w:rPr>
      </w:pPr>
    </w:p>
    <w:p w:rsidR="00254B55" w:rsidRPr="00254B55" w:rsidRDefault="00254B55" w:rsidP="002A0870">
      <w:pPr>
        <w:autoSpaceDE w:val="0"/>
        <w:autoSpaceDN w:val="0"/>
        <w:adjustRightInd w:val="0"/>
        <w:rPr>
          <w:rFonts w:ascii="Trebuchet MS" w:hAnsi="Trebuchet MS" w:cs="Arial"/>
          <w:color w:val="000000"/>
          <w:sz w:val="22"/>
          <w:szCs w:val="22"/>
        </w:rPr>
      </w:pPr>
    </w:p>
    <w:p w:rsidR="00AE762B" w:rsidRPr="00254B55" w:rsidRDefault="00AE762B" w:rsidP="002A0870">
      <w:pPr>
        <w:autoSpaceDE w:val="0"/>
        <w:autoSpaceDN w:val="0"/>
        <w:adjustRightInd w:val="0"/>
        <w:rPr>
          <w:rFonts w:ascii="Trebuchet MS" w:hAnsi="Trebuchet MS" w:cs="Arial"/>
          <w:b/>
          <w:bCs/>
          <w:color w:val="000000"/>
          <w:sz w:val="22"/>
          <w:szCs w:val="22"/>
        </w:rPr>
      </w:pPr>
      <w:r w:rsidRPr="00254B55">
        <w:rPr>
          <w:rFonts w:ascii="Trebuchet MS" w:hAnsi="Trebuchet MS" w:cs="Arial"/>
          <w:color w:val="000000"/>
          <w:sz w:val="22"/>
          <w:szCs w:val="22"/>
        </w:rPr>
        <w:t>NU DETINEM DATE</w:t>
      </w:r>
    </w:p>
    <w:p w:rsidR="00AE762B" w:rsidRPr="00EA0908" w:rsidRDefault="00AE762B" w:rsidP="0009051B">
      <w:pPr>
        <w:autoSpaceDE w:val="0"/>
        <w:autoSpaceDN w:val="0"/>
        <w:adjustRightInd w:val="0"/>
        <w:rPr>
          <w:rFonts w:ascii="Trebuchet MS" w:hAnsi="Trebuchet MS" w:cs="Arial"/>
          <w:b/>
          <w:bCs/>
          <w:iCs/>
          <w:lang w:val="it-IT"/>
        </w:rPr>
      </w:pPr>
      <w:r w:rsidRPr="00EA0908">
        <w:rPr>
          <w:rFonts w:ascii="Trebuchet MS" w:hAnsi="Trebuchet MS" w:cs="Arial"/>
          <w:b/>
          <w:bCs/>
          <w:iCs/>
          <w:lang w:val="it-IT"/>
        </w:rPr>
        <w:t>II.2.1.2 Calitatea apei lacurilor</w:t>
      </w:r>
    </w:p>
    <w:p w:rsidR="00AE762B" w:rsidRPr="00EA0908" w:rsidRDefault="00AE762B" w:rsidP="0009051B">
      <w:pPr>
        <w:autoSpaceDE w:val="0"/>
        <w:autoSpaceDN w:val="0"/>
        <w:adjustRightInd w:val="0"/>
        <w:rPr>
          <w:rFonts w:ascii="Trebuchet MS" w:hAnsi="Trebuchet MS" w:cs="Arial"/>
          <w:color w:val="000000"/>
          <w:lang w:val="it-IT"/>
        </w:rPr>
      </w:pPr>
    </w:p>
    <w:p w:rsidR="00A55D93" w:rsidRPr="00EA0908" w:rsidRDefault="00A55D93" w:rsidP="00A55D93">
      <w:pPr>
        <w:spacing w:line="300" w:lineRule="auto"/>
        <w:jc w:val="center"/>
        <w:rPr>
          <w:rFonts w:ascii="Trebuchet MS" w:hAnsi="Trebuchet MS" w:cs="Arial"/>
          <w:b/>
          <w:color w:val="FF0000"/>
          <w:highlight w:val="green"/>
        </w:rPr>
      </w:pPr>
    </w:p>
    <w:p w:rsidR="00A55D93" w:rsidRPr="00EA0908" w:rsidRDefault="00A55D93" w:rsidP="00A55D93">
      <w:pPr>
        <w:spacing w:line="300" w:lineRule="auto"/>
        <w:jc w:val="center"/>
        <w:rPr>
          <w:rFonts w:ascii="Trebuchet MS" w:hAnsi="Trebuchet MS" w:cs="Arial"/>
          <w:b/>
        </w:rPr>
      </w:pPr>
      <w:r w:rsidRPr="00EA0908">
        <w:rPr>
          <w:rFonts w:ascii="Trebuchet MS" w:hAnsi="Trebuchet MS" w:cs="Arial"/>
          <w:b/>
          <w:highlight w:val="green"/>
        </w:rPr>
        <w:t>Indicator VHS 03.  Substanțele periculoase din lacuri RO 66</w:t>
      </w:r>
    </w:p>
    <w:p w:rsidR="00A55D93" w:rsidRPr="00EA0908" w:rsidRDefault="00A55D93" w:rsidP="00A55D93">
      <w:pPr>
        <w:spacing w:line="300" w:lineRule="auto"/>
        <w:jc w:val="both"/>
        <w:rPr>
          <w:rFonts w:ascii="Trebuchet MS" w:hAnsi="Trebuchet MS" w:cs="Arial"/>
          <w:b/>
          <w:i/>
          <w:color w:val="FF0000"/>
        </w:rPr>
      </w:pPr>
    </w:p>
    <w:p w:rsidR="00A55D93" w:rsidRPr="00254B55" w:rsidRDefault="00A55D93" w:rsidP="00EA0908">
      <w:pPr>
        <w:jc w:val="both"/>
        <w:rPr>
          <w:rFonts w:ascii="Trebuchet MS" w:hAnsi="Trebuchet MS" w:cs="Arial"/>
          <w:b/>
          <w:i/>
          <w:sz w:val="22"/>
          <w:szCs w:val="22"/>
          <w:u w:val="single"/>
        </w:rPr>
      </w:pPr>
      <w:r w:rsidRPr="00254B55">
        <w:rPr>
          <w:rFonts w:ascii="Trebuchet MS" w:hAnsi="Trebuchet MS" w:cs="Arial"/>
          <w:b/>
          <w:i/>
          <w:sz w:val="22"/>
          <w:szCs w:val="22"/>
        </w:rPr>
        <w:t xml:space="preserve">Pentru acest indicator s-a avut în vedere raportarea </w:t>
      </w:r>
      <w:r w:rsidRPr="00254B55">
        <w:rPr>
          <w:rFonts w:ascii="Trebuchet MS" w:hAnsi="Trebuchet MS" w:cs="Arial"/>
          <w:b/>
          <w:i/>
          <w:sz w:val="22"/>
          <w:szCs w:val="22"/>
          <w:u w:val="single"/>
        </w:rPr>
        <w:t>substanțelor prioritare</w:t>
      </w:r>
      <w:r w:rsidRPr="00254B55">
        <w:rPr>
          <w:rFonts w:ascii="Trebuchet MS" w:hAnsi="Trebuchet MS" w:cs="Arial"/>
          <w:b/>
          <w:i/>
          <w:sz w:val="22"/>
          <w:szCs w:val="22"/>
        </w:rPr>
        <w:t xml:space="preserve"> din HG 570/2016 care stau la baza evaluării stării chimice a apelor de suprafață (mediul de investigare APĂ). De asemenea, </w:t>
      </w:r>
      <w:r w:rsidRPr="00254B55">
        <w:rPr>
          <w:rFonts w:ascii="Trebuchet MS" w:hAnsi="Trebuchet MS" w:cs="Arial"/>
          <w:b/>
          <w:i/>
          <w:sz w:val="22"/>
          <w:szCs w:val="22"/>
          <w:u w:val="single"/>
        </w:rPr>
        <w:t xml:space="preserve">prin depășiri față de SCM se înțelege atât depășirile față de SCM-MA, </w:t>
      </w:r>
      <w:r w:rsidRPr="00254B55">
        <w:rPr>
          <w:rFonts w:ascii="Trebuchet MS" w:hAnsi="Trebuchet MS" w:cs="Arial"/>
          <w:b/>
          <w:sz w:val="22"/>
          <w:szCs w:val="22"/>
          <w:u w:val="single"/>
        </w:rPr>
        <w:t xml:space="preserve">valoarea mediei aritmetice, </w:t>
      </w:r>
      <w:r w:rsidRPr="00254B55">
        <w:rPr>
          <w:rFonts w:ascii="Trebuchet MS" w:hAnsi="Trebuchet MS" w:cs="Arial"/>
          <w:b/>
          <w:i/>
          <w:sz w:val="22"/>
          <w:szCs w:val="22"/>
          <w:u w:val="single"/>
        </w:rPr>
        <w:t xml:space="preserve">cât și față de SCM-CMA, </w:t>
      </w:r>
      <w:r w:rsidRPr="00254B55">
        <w:rPr>
          <w:rFonts w:ascii="Trebuchet MS" w:hAnsi="Trebuchet MS" w:cs="Arial"/>
          <w:b/>
          <w:sz w:val="22"/>
          <w:szCs w:val="22"/>
          <w:u w:val="single"/>
        </w:rPr>
        <w:t>valoarea concentrației maxime admisibile</w:t>
      </w:r>
      <w:r w:rsidRPr="00254B55">
        <w:rPr>
          <w:rFonts w:ascii="Trebuchet MS" w:hAnsi="Trebuchet MS" w:cs="Arial"/>
          <w:b/>
          <w:i/>
          <w:sz w:val="22"/>
          <w:szCs w:val="22"/>
          <w:u w:val="single"/>
        </w:rPr>
        <w:t xml:space="preserve"> (conform H.G. 570/2016).</w:t>
      </w:r>
    </w:p>
    <w:p w:rsidR="00A55D93" w:rsidRPr="00254B55" w:rsidRDefault="00A55D93" w:rsidP="00EA0908">
      <w:pPr>
        <w:rPr>
          <w:rFonts w:ascii="Trebuchet MS" w:hAnsi="Trebuchet MS" w:cs="Arial"/>
          <w:color w:val="FF0000"/>
          <w:sz w:val="22"/>
          <w:szCs w:val="22"/>
        </w:rPr>
      </w:pPr>
    </w:p>
    <w:p w:rsidR="00A55D93" w:rsidRPr="00254B55" w:rsidRDefault="00A55D93" w:rsidP="00EA0908">
      <w:pPr>
        <w:jc w:val="both"/>
        <w:rPr>
          <w:rFonts w:ascii="Trebuchet MS" w:hAnsi="Trebuchet MS" w:cs="Arial"/>
          <w:b/>
          <w:i/>
          <w:sz w:val="22"/>
          <w:szCs w:val="22"/>
        </w:rPr>
      </w:pPr>
      <w:r w:rsidRPr="00254B55">
        <w:rPr>
          <w:rFonts w:ascii="Trebuchet MS" w:hAnsi="Trebuchet MS" w:cs="Arial"/>
          <w:b/>
          <w:i/>
          <w:sz w:val="22"/>
          <w:szCs w:val="22"/>
        </w:rPr>
        <w:t>Distribuția numărului de substanțe prioritare monitorizate în lacuri (lacuri naturale, puternic modificate și artificiale) pe spații/bazine hidrografice în anul 2023</w:t>
      </w:r>
    </w:p>
    <w:p w:rsidR="00A55D93" w:rsidRPr="00254B55" w:rsidRDefault="00A55D93" w:rsidP="00EA0908">
      <w:pPr>
        <w:jc w:val="both"/>
        <w:rPr>
          <w:rFonts w:ascii="Trebuchet MS" w:hAnsi="Trebuchet MS" w:cs="Arial"/>
          <w:b/>
          <w:i/>
          <w:sz w:val="22"/>
          <w:szCs w:val="22"/>
        </w:rPr>
      </w:pPr>
    </w:p>
    <w:p w:rsidR="00A55D93" w:rsidRPr="00254B55" w:rsidRDefault="00A55D93" w:rsidP="00EA0908">
      <w:pPr>
        <w:jc w:val="both"/>
        <w:rPr>
          <w:rFonts w:ascii="Trebuchet MS" w:hAnsi="Trebuchet MS" w:cs="Arial"/>
          <w:b/>
          <w:i/>
          <w:sz w:val="22"/>
          <w:szCs w:val="22"/>
          <w:u w:val="single"/>
        </w:rPr>
      </w:pPr>
      <w:r w:rsidRPr="00254B55">
        <w:rPr>
          <w:rFonts w:ascii="Trebuchet MS" w:hAnsi="Trebuchet MS" w:cs="Arial"/>
          <w:b/>
          <w:i/>
          <w:sz w:val="22"/>
          <w:szCs w:val="22"/>
        </w:rPr>
        <w:t xml:space="preserve">Tabelul II.2.1.2.1 Distribuția substanțelor prioritare monitorizate în lacuri (lacuri naturale, puternic  modificate și artificiale) pe spații/bazine hidrografice în anul 2023 – </w:t>
      </w:r>
      <w:r w:rsidRPr="00254B55">
        <w:rPr>
          <w:rFonts w:ascii="Trebuchet MS" w:hAnsi="Trebuchet MS" w:cs="Arial"/>
          <w:b/>
          <w:i/>
          <w:sz w:val="22"/>
          <w:szCs w:val="22"/>
          <w:u w:val="single"/>
        </w:rPr>
        <w:t>mediul de investigare APĂ</w:t>
      </w:r>
    </w:p>
    <w:tbl>
      <w:tblPr>
        <w:tblW w:w="737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097"/>
        <w:gridCol w:w="1600"/>
        <w:gridCol w:w="1820"/>
        <w:gridCol w:w="1860"/>
      </w:tblGrid>
      <w:tr w:rsidR="00A55D93" w:rsidRPr="00254B55" w:rsidTr="00E13AA6">
        <w:trPr>
          <w:trHeight w:val="300"/>
          <w:jc w:val="center"/>
        </w:trPr>
        <w:tc>
          <w:tcPr>
            <w:tcW w:w="2097" w:type="dxa"/>
            <w:vMerge w:val="restart"/>
            <w:shd w:val="clear" w:color="auto" w:fill="auto"/>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Spaţiu / Bazin hidrografic</w:t>
            </w:r>
          </w:p>
        </w:tc>
        <w:tc>
          <w:tcPr>
            <w:tcW w:w="1600" w:type="dxa"/>
            <w:vMerge w:val="restart"/>
            <w:shd w:val="clear" w:color="auto" w:fill="auto"/>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Secțiuni monitorizate (nr.)</w:t>
            </w:r>
          </w:p>
        </w:tc>
        <w:tc>
          <w:tcPr>
            <w:tcW w:w="3680" w:type="dxa"/>
            <w:gridSpan w:val="2"/>
            <w:shd w:val="clear" w:color="auto" w:fill="auto"/>
            <w:noWrap/>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Substanțe prioritare APĂ</w:t>
            </w:r>
          </w:p>
        </w:tc>
      </w:tr>
      <w:tr w:rsidR="00A55D93" w:rsidRPr="00254B55" w:rsidTr="00E13AA6">
        <w:trPr>
          <w:trHeight w:val="783"/>
          <w:jc w:val="center"/>
        </w:trPr>
        <w:tc>
          <w:tcPr>
            <w:tcW w:w="2097" w:type="dxa"/>
            <w:vMerge/>
            <w:vAlign w:val="center"/>
            <w:hideMark/>
          </w:tcPr>
          <w:p w:rsidR="00A55D93" w:rsidRPr="00254B55" w:rsidRDefault="00A55D93" w:rsidP="00EA0908">
            <w:pPr>
              <w:rPr>
                <w:rFonts w:ascii="Trebuchet MS" w:eastAsia="Times New Roman" w:hAnsi="Trebuchet MS" w:cs="Calibri"/>
                <w:b/>
                <w:bCs/>
                <w:sz w:val="22"/>
                <w:szCs w:val="22"/>
                <w:lang w:eastAsia="ro-RO"/>
              </w:rPr>
            </w:pPr>
          </w:p>
        </w:tc>
        <w:tc>
          <w:tcPr>
            <w:tcW w:w="1600" w:type="dxa"/>
            <w:vMerge/>
            <w:vAlign w:val="center"/>
            <w:hideMark/>
          </w:tcPr>
          <w:p w:rsidR="00A55D93" w:rsidRPr="00254B55" w:rsidRDefault="00A55D93" w:rsidP="00EA0908">
            <w:pPr>
              <w:rPr>
                <w:rFonts w:ascii="Trebuchet MS" w:eastAsia="Times New Roman" w:hAnsi="Trebuchet MS" w:cs="Calibri"/>
                <w:b/>
                <w:bCs/>
                <w:sz w:val="22"/>
                <w:szCs w:val="22"/>
                <w:lang w:eastAsia="ro-RO"/>
              </w:rPr>
            </w:pPr>
          </w:p>
        </w:tc>
        <w:tc>
          <w:tcPr>
            <w:tcW w:w="1820" w:type="dxa"/>
            <w:shd w:val="clear" w:color="auto" w:fill="auto"/>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Metale prioritare (nr.)</w:t>
            </w:r>
          </w:p>
        </w:tc>
        <w:tc>
          <w:tcPr>
            <w:tcW w:w="1860" w:type="dxa"/>
            <w:shd w:val="clear" w:color="auto" w:fill="auto"/>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Micropoluanţi organici (nr.)</w:t>
            </w:r>
          </w:p>
        </w:tc>
      </w:tr>
      <w:tr w:rsidR="00A55D93" w:rsidRPr="00254B55" w:rsidTr="00E13AA6">
        <w:trPr>
          <w:trHeight w:val="288"/>
          <w:jc w:val="center"/>
        </w:trPr>
        <w:tc>
          <w:tcPr>
            <w:tcW w:w="2097" w:type="dxa"/>
            <w:shd w:val="clear" w:color="auto" w:fill="auto"/>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Someș-Tisa</w:t>
            </w:r>
          </w:p>
        </w:tc>
        <w:tc>
          <w:tcPr>
            <w:tcW w:w="1600"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5</w:t>
            </w:r>
          </w:p>
        </w:tc>
        <w:tc>
          <w:tcPr>
            <w:tcW w:w="1820"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35</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Crișuri</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0</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0</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0</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Mureș</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2</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36</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Banat</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35</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Jiu</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7</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38</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Olt</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14</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37</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Argeș-Vedea</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Buzău-Ialomița</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Siret</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8</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r>
      <w:tr w:rsidR="00A55D93" w:rsidRPr="00254B55" w:rsidTr="00E13AA6">
        <w:trPr>
          <w:trHeight w:val="288"/>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Prut- Bârlad</w:t>
            </w:r>
          </w:p>
        </w:tc>
        <w:tc>
          <w:tcPr>
            <w:tcW w:w="1600"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24</w:t>
            </w:r>
          </w:p>
        </w:tc>
        <w:tc>
          <w:tcPr>
            <w:tcW w:w="1820"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40</w:t>
            </w:r>
          </w:p>
        </w:tc>
      </w:tr>
      <w:tr w:rsidR="00A55D93" w:rsidRPr="00254B55" w:rsidTr="00E13AA6">
        <w:trPr>
          <w:trHeight w:val="300"/>
          <w:jc w:val="center"/>
        </w:trPr>
        <w:tc>
          <w:tcPr>
            <w:tcW w:w="2097" w:type="dxa"/>
            <w:shd w:val="clear" w:color="auto" w:fill="auto"/>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Dobrogea - Litoral*</w:t>
            </w:r>
          </w:p>
        </w:tc>
        <w:tc>
          <w:tcPr>
            <w:tcW w:w="160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15</w:t>
            </w:r>
          </w:p>
        </w:tc>
        <w:tc>
          <w:tcPr>
            <w:tcW w:w="182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w:t>
            </w:r>
          </w:p>
        </w:tc>
        <w:tc>
          <w:tcPr>
            <w:tcW w:w="1860" w:type="dxa"/>
            <w:shd w:val="clear" w:color="000000" w:fill="FFFFFF"/>
            <w:noWrap/>
            <w:vAlign w:val="center"/>
            <w:hideMark/>
          </w:tcPr>
          <w:p w:rsidR="00A55D93" w:rsidRPr="00254B55" w:rsidRDefault="00A55D93" w:rsidP="00EA0908">
            <w:pPr>
              <w:jc w:val="center"/>
              <w:rPr>
                <w:rFonts w:ascii="Trebuchet MS" w:eastAsia="Times New Roman" w:hAnsi="Trebuchet MS" w:cs="Calibri"/>
                <w:sz w:val="22"/>
                <w:szCs w:val="22"/>
                <w:lang w:eastAsia="ro-RO"/>
              </w:rPr>
            </w:pPr>
            <w:r w:rsidRPr="00254B55">
              <w:rPr>
                <w:rFonts w:ascii="Trebuchet MS" w:eastAsia="Times New Roman" w:hAnsi="Trebuchet MS" w:cs="Calibri"/>
                <w:sz w:val="22"/>
                <w:szCs w:val="22"/>
                <w:lang w:eastAsia="ro-RO"/>
              </w:rPr>
              <w:t>38</w:t>
            </w:r>
          </w:p>
        </w:tc>
      </w:tr>
      <w:tr w:rsidR="00A55D93" w:rsidRPr="00254B55" w:rsidTr="00E13AA6">
        <w:trPr>
          <w:trHeight w:val="300"/>
          <w:jc w:val="center"/>
        </w:trPr>
        <w:tc>
          <w:tcPr>
            <w:tcW w:w="2097" w:type="dxa"/>
            <w:shd w:val="clear" w:color="auto" w:fill="00B0F0"/>
            <w:noWrap/>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Total</w:t>
            </w:r>
          </w:p>
        </w:tc>
        <w:tc>
          <w:tcPr>
            <w:tcW w:w="1600" w:type="dxa"/>
            <w:shd w:val="clear" w:color="auto" w:fill="00B0F0"/>
            <w:noWrap/>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84</w:t>
            </w:r>
          </w:p>
        </w:tc>
        <w:tc>
          <w:tcPr>
            <w:tcW w:w="1820" w:type="dxa"/>
            <w:shd w:val="clear" w:color="auto" w:fill="00B0F0"/>
            <w:noWrap/>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3</w:t>
            </w:r>
          </w:p>
        </w:tc>
        <w:tc>
          <w:tcPr>
            <w:tcW w:w="1860" w:type="dxa"/>
            <w:shd w:val="clear" w:color="auto" w:fill="00B0F0"/>
            <w:noWrap/>
            <w:vAlign w:val="center"/>
            <w:hideMark/>
          </w:tcPr>
          <w:p w:rsidR="00A55D93" w:rsidRPr="00254B55" w:rsidRDefault="00A55D93" w:rsidP="00EA0908">
            <w:pPr>
              <w:jc w:val="center"/>
              <w:rPr>
                <w:rFonts w:ascii="Trebuchet MS" w:eastAsia="Times New Roman" w:hAnsi="Trebuchet MS" w:cs="Calibri"/>
                <w:b/>
                <w:bCs/>
                <w:sz w:val="22"/>
                <w:szCs w:val="22"/>
                <w:lang w:eastAsia="ro-RO"/>
              </w:rPr>
            </w:pPr>
            <w:r w:rsidRPr="00254B55">
              <w:rPr>
                <w:rFonts w:ascii="Trebuchet MS" w:eastAsia="Times New Roman" w:hAnsi="Trebuchet MS" w:cs="Calibri"/>
                <w:b/>
                <w:bCs/>
                <w:sz w:val="22"/>
                <w:szCs w:val="22"/>
                <w:lang w:eastAsia="ro-RO"/>
              </w:rPr>
              <w:t>40</w:t>
            </w:r>
          </w:p>
        </w:tc>
      </w:tr>
    </w:tbl>
    <w:p w:rsidR="00A55D93" w:rsidRPr="00254B55" w:rsidRDefault="00A55D93" w:rsidP="00EA0908">
      <w:pPr>
        <w:jc w:val="both"/>
        <w:rPr>
          <w:rFonts w:ascii="Trebuchet MS" w:hAnsi="Trebuchet MS" w:cs="Arial"/>
          <w:b/>
          <w:i/>
          <w:sz w:val="22"/>
          <w:szCs w:val="22"/>
        </w:rPr>
      </w:pPr>
      <w:r w:rsidRPr="00254B55">
        <w:rPr>
          <w:rFonts w:ascii="Trebuchet MS" w:hAnsi="Trebuchet MS" w:cs="Arial"/>
          <w:b/>
          <w:i/>
          <w:sz w:val="22"/>
          <w:szCs w:val="22"/>
        </w:rPr>
        <w:tab/>
      </w:r>
      <w:r w:rsidRPr="00254B55">
        <w:rPr>
          <w:rFonts w:ascii="Trebuchet MS" w:hAnsi="Trebuchet MS" w:cs="Arial"/>
          <w:b/>
          <w:i/>
          <w:sz w:val="22"/>
          <w:szCs w:val="22"/>
        </w:rPr>
        <w:tab/>
        <w:t>*include și lacul tranzitoriu lacustru Sinoe</w:t>
      </w:r>
    </w:p>
    <w:p w:rsidR="00A55D93" w:rsidRPr="00254B55" w:rsidRDefault="00A55D93" w:rsidP="00EA0908">
      <w:pPr>
        <w:ind w:left="900" w:hanging="900"/>
        <w:jc w:val="both"/>
        <w:rPr>
          <w:rFonts w:ascii="Trebuchet MS" w:hAnsi="Trebuchet MS" w:cs="Arial"/>
          <w:i/>
          <w:iCs/>
          <w:color w:val="FF0000"/>
          <w:sz w:val="22"/>
          <w:szCs w:val="22"/>
          <w:lang w:eastAsia="ro-RO"/>
        </w:rPr>
      </w:pPr>
      <w:bookmarkStart w:id="127" w:name="_Hlk138677499"/>
      <w:r w:rsidRPr="00254B55">
        <w:rPr>
          <w:rFonts w:ascii="Trebuchet MS" w:hAnsi="Trebuchet MS" w:cs="Arial"/>
          <w:i/>
          <w:iCs/>
          <w:sz w:val="22"/>
          <w:szCs w:val="22"/>
          <w:lang w:eastAsia="ro-RO"/>
        </w:rPr>
        <w:t>(Sursa: Administraţia Naţională “Apele Române”, Sinteza calităţii apelor din România în anul 2023)</w:t>
      </w:r>
    </w:p>
    <w:bookmarkEnd w:id="127"/>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A55D93">
      <w:pPr>
        <w:spacing w:line="300" w:lineRule="auto"/>
        <w:jc w:val="both"/>
        <w:rPr>
          <w:rFonts w:ascii="Trebuchet MS" w:hAnsi="Trebuchet MS" w:cs="Arial"/>
          <w:b/>
          <w:i/>
          <w:color w:val="FF0000"/>
          <w:sz w:val="22"/>
          <w:szCs w:val="22"/>
          <w:u w:val="single"/>
        </w:rPr>
      </w:pPr>
    </w:p>
    <w:p w:rsidR="00A55D93" w:rsidRPr="00254B55" w:rsidRDefault="00A55D93" w:rsidP="00EA0908">
      <w:pPr>
        <w:jc w:val="both"/>
        <w:rPr>
          <w:rFonts w:ascii="Trebuchet MS" w:hAnsi="Trebuchet MS" w:cs="Arial"/>
          <w:b/>
          <w:i/>
          <w:sz w:val="22"/>
          <w:szCs w:val="22"/>
          <w:u w:val="single"/>
        </w:rPr>
      </w:pPr>
      <w:r w:rsidRPr="00254B55">
        <w:rPr>
          <w:rFonts w:ascii="Trebuchet MS" w:hAnsi="Trebuchet MS" w:cs="Arial"/>
          <w:b/>
          <w:i/>
          <w:sz w:val="22"/>
          <w:szCs w:val="22"/>
        </w:rPr>
        <w:t xml:space="preserve">Figura II.2.1.2.1 Distribuția substanțelor prioritare monitorizate în lacuri (lacuri naturale, puternic modificate și artificiale) pe spații/bazine hidrografice în anul 2023 – </w:t>
      </w:r>
      <w:r w:rsidRPr="00254B55">
        <w:rPr>
          <w:rFonts w:ascii="Trebuchet MS" w:hAnsi="Trebuchet MS" w:cs="Arial"/>
          <w:b/>
          <w:i/>
          <w:sz w:val="22"/>
          <w:szCs w:val="22"/>
          <w:u w:val="single"/>
        </w:rPr>
        <w:t>mediul de investigare APĂ</w:t>
      </w:r>
    </w:p>
    <w:p w:rsidR="00A55D93" w:rsidRPr="00051F70" w:rsidRDefault="00A55D93" w:rsidP="00A55D93">
      <w:pPr>
        <w:spacing w:line="300" w:lineRule="auto"/>
        <w:jc w:val="both"/>
        <w:rPr>
          <w:rFonts w:ascii="Trebuchet MS" w:hAnsi="Trebuchet MS" w:cs="Arial"/>
          <w:b/>
          <w:i/>
          <w:color w:val="FF0000"/>
          <w:u w:val="single"/>
        </w:rPr>
      </w:pPr>
      <w:r>
        <w:rPr>
          <w:noProof/>
          <w:lang w:val="en-US"/>
        </w:rPr>
        <w:drawing>
          <wp:inline distT="0" distB="0" distL="0" distR="0" wp14:anchorId="6BAA0A22" wp14:editId="7553984F">
            <wp:extent cx="6271260" cy="3154680"/>
            <wp:effectExtent l="0" t="0" r="15240" b="7620"/>
            <wp:docPr id="61398691"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89269FCE-C235-4651-B3B8-20199E9296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55D93" w:rsidRPr="00565A74" w:rsidRDefault="00A55D93" w:rsidP="00A55D93">
      <w:pPr>
        <w:spacing w:line="300" w:lineRule="auto"/>
        <w:ind w:left="900" w:hanging="900"/>
        <w:jc w:val="both"/>
        <w:rPr>
          <w:rFonts w:ascii="Trebuchet MS" w:hAnsi="Trebuchet MS" w:cs="Arial"/>
          <w:i/>
          <w:iCs/>
          <w:sz w:val="20"/>
          <w:szCs w:val="20"/>
          <w:lang w:eastAsia="ro-RO"/>
        </w:rPr>
      </w:pPr>
      <w:r w:rsidRPr="00565A74">
        <w:rPr>
          <w:rFonts w:ascii="Trebuchet MS" w:hAnsi="Trebuchet MS" w:cs="Arial"/>
          <w:i/>
          <w:iCs/>
          <w:sz w:val="20"/>
          <w:szCs w:val="20"/>
          <w:lang w:eastAsia="ro-RO"/>
        </w:rPr>
        <w:t>(Sursa: Administraţia Naţională “Apele Române”, Sinteza calităţii apelor din România în anul 2023)</w:t>
      </w:r>
    </w:p>
    <w:p w:rsidR="00A55D93" w:rsidRPr="00254B55" w:rsidRDefault="00A55D93" w:rsidP="00EA0908">
      <w:pPr>
        <w:jc w:val="both"/>
        <w:rPr>
          <w:rFonts w:ascii="Trebuchet MS" w:hAnsi="Trebuchet MS" w:cs="Arial"/>
          <w:b/>
          <w:i/>
          <w:color w:val="FF0000"/>
          <w:sz w:val="22"/>
          <w:szCs w:val="22"/>
          <w:u w:val="single"/>
        </w:rPr>
      </w:pPr>
    </w:p>
    <w:p w:rsidR="00A55D93" w:rsidRPr="00254B55" w:rsidRDefault="00A55D93" w:rsidP="00EA0908">
      <w:pPr>
        <w:jc w:val="both"/>
        <w:rPr>
          <w:rFonts w:ascii="Trebuchet MS" w:hAnsi="Trebuchet MS" w:cs="Arial"/>
          <w:i/>
          <w:sz w:val="22"/>
          <w:szCs w:val="22"/>
          <w:lang w:val="fr-FR"/>
        </w:rPr>
      </w:pPr>
      <w:r w:rsidRPr="00254B55">
        <w:rPr>
          <w:rFonts w:ascii="Trebuchet MS" w:hAnsi="Trebuchet MS" w:cs="Arial"/>
          <w:b/>
          <w:i/>
          <w:sz w:val="22"/>
          <w:szCs w:val="22"/>
        </w:rPr>
        <w:t xml:space="preserve">Tabelul II.2.1.2.2 Ponderea secțiunilor de monitorizare a substanțelor prioritare cu concentrații mai mari decât SCM (%) în anul 2023 pe spații/bazine hidrografice – </w:t>
      </w:r>
      <w:r w:rsidRPr="00254B55">
        <w:rPr>
          <w:rFonts w:ascii="Trebuchet MS" w:hAnsi="Trebuchet MS" w:cs="Arial"/>
          <w:b/>
          <w:i/>
          <w:sz w:val="22"/>
          <w:szCs w:val="22"/>
          <w:u w:val="single"/>
        </w:rPr>
        <w:t>mediul de investigare APĂ</w:t>
      </w:r>
    </w:p>
    <w:tbl>
      <w:tblPr>
        <w:tblW w:w="920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45"/>
        <w:gridCol w:w="1710"/>
        <w:gridCol w:w="2700"/>
        <w:gridCol w:w="2554"/>
      </w:tblGrid>
      <w:tr w:rsidR="00A55D93" w:rsidRPr="009D6E8F" w:rsidTr="00E13AA6">
        <w:trPr>
          <w:trHeight w:val="1320"/>
          <w:jc w:val="center"/>
        </w:trPr>
        <w:tc>
          <w:tcPr>
            <w:tcW w:w="2245" w:type="dxa"/>
            <w:shd w:val="clear" w:color="000000" w:fill="FFFFFF"/>
            <w:vAlign w:val="center"/>
            <w:hideMark/>
          </w:tcPr>
          <w:p w:rsidR="00A55D93" w:rsidRPr="00EA0908" w:rsidRDefault="00A55D93" w:rsidP="00E13AA6">
            <w:pPr>
              <w:jc w:val="center"/>
              <w:rPr>
                <w:rFonts w:ascii="Trebuchet MS" w:eastAsia="Times New Roman" w:hAnsi="Trebuchet MS"/>
                <w:b/>
                <w:bCs/>
                <w:sz w:val="22"/>
                <w:szCs w:val="22"/>
                <w:lang w:eastAsia="ro-RO"/>
              </w:rPr>
            </w:pPr>
            <w:r w:rsidRPr="00EA0908">
              <w:rPr>
                <w:rFonts w:ascii="Trebuchet MS" w:eastAsia="Times New Roman" w:hAnsi="Trebuchet MS"/>
                <w:b/>
                <w:bCs/>
                <w:sz w:val="22"/>
                <w:szCs w:val="22"/>
                <w:lang w:eastAsia="ro-RO"/>
              </w:rPr>
              <w:t>Spațiu / Bazin hidrografic</w:t>
            </w:r>
          </w:p>
        </w:tc>
        <w:tc>
          <w:tcPr>
            <w:tcW w:w="1710" w:type="dxa"/>
            <w:shd w:val="clear" w:color="000000" w:fill="FFFFFF"/>
            <w:vAlign w:val="center"/>
            <w:hideMark/>
          </w:tcPr>
          <w:p w:rsidR="00A55D93" w:rsidRPr="00EA0908" w:rsidRDefault="00A55D93" w:rsidP="00E13AA6">
            <w:pPr>
              <w:jc w:val="center"/>
              <w:rPr>
                <w:rFonts w:ascii="Trebuchet MS" w:eastAsia="Times New Roman" w:hAnsi="Trebuchet MS"/>
                <w:b/>
                <w:bCs/>
                <w:sz w:val="22"/>
                <w:szCs w:val="22"/>
                <w:lang w:eastAsia="ro-RO"/>
              </w:rPr>
            </w:pPr>
            <w:r w:rsidRPr="00EA0908">
              <w:rPr>
                <w:rFonts w:ascii="Trebuchet MS" w:eastAsia="Times New Roman" w:hAnsi="Trebuchet MS"/>
                <w:b/>
                <w:bCs/>
                <w:sz w:val="22"/>
                <w:szCs w:val="22"/>
                <w:lang w:eastAsia="ro-RO"/>
              </w:rPr>
              <w:t>Secțiuni de monitorizare</w:t>
            </w:r>
            <w:r w:rsidRPr="00EA0908">
              <w:rPr>
                <w:rFonts w:ascii="Trebuchet MS" w:eastAsia="Times New Roman" w:hAnsi="Trebuchet MS"/>
                <w:b/>
                <w:bCs/>
                <w:sz w:val="22"/>
                <w:szCs w:val="22"/>
                <w:lang w:eastAsia="ro-RO"/>
              </w:rPr>
              <w:br/>
              <w:t>(nr.)</w:t>
            </w:r>
          </w:p>
        </w:tc>
        <w:tc>
          <w:tcPr>
            <w:tcW w:w="2700" w:type="dxa"/>
            <w:shd w:val="clear" w:color="000000" w:fill="FFFFFF"/>
            <w:vAlign w:val="center"/>
            <w:hideMark/>
          </w:tcPr>
          <w:p w:rsidR="00A55D93" w:rsidRPr="00EA0908" w:rsidRDefault="00A55D93" w:rsidP="00E13AA6">
            <w:pPr>
              <w:jc w:val="center"/>
              <w:rPr>
                <w:rFonts w:ascii="Trebuchet MS" w:eastAsia="Times New Roman" w:hAnsi="Trebuchet MS"/>
                <w:b/>
                <w:bCs/>
                <w:sz w:val="22"/>
                <w:szCs w:val="22"/>
                <w:lang w:eastAsia="ro-RO"/>
              </w:rPr>
            </w:pPr>
            <w:r w:rsidRPr="00EA0908">
              <w:rPr>
                <w:rFonts w:ascii="Trebuchet MS" w:eastAsia="Times New Roman" w:hAnsi="Trebuchet MS"/>
                <w:b/>
                <w:bCs/>
                <w:sz w:val="22"/>
                <w:szCs w:val="22"/>
                <w:lang w:eastAsia="ro-RO"/>
              </w:rPr>
              <w:t>Secțiuni de monitorizare cu concentrații mai mari decât SCM (nr.)</w:t>
            </w:r>
          </w:p>
        </w:tc>
        <w:tc>
          <w:tcPr>
            <w:tcW w:w="2554" w:type="dxa"/>
            <w:shd w:val="clear" w:color="000000" w:fill="FFFFFF"/>
            <w:vAlign w:val="center"/>
            <w:hideMark/>
          </w:tcPr>
          <w:p w:rsidR="00A55D93" w:rsidRPr="00EA0908" w:rsidRDefault="00A55D93" w:rsidP="00E13AA6">
            <w:pPr>
              <w:jc w:val="center"/>
              <w:rPr>
                <w:rFonts w:ascii="Trebuchet MS" w:eastAsia="Times New Roman" w:hAnsi="Trebuchet MS"/>
                <w:b/>
                <w:bCs/>
                <w:sz w:val="22"/>
                <w:szCs w:val="22"/>
                <w:lang w:eastAsia="ro-RO"/>
              </w:rPr>
            </w:pPr>
            <w:r w:rsidRPr="00EA0908">
              <w:rPr>
                <w:rFonts w:ascii="Trebuchet MS" w:eastAsia="Times New Roman" w:hAnsi="Trebuchet MS"/>
                <w:b/>
                <w:bCs/>
                <w:sz w:val="22"/>
                <w:szCs w:val="22"/>
                <w:lang w:eastAsia="ro-RO"/>
              </w:rPr>
              <w:t>Ponderea secțiunilor de monitorizare cu  concentrații mai mari decât SCM</w:t>
            </w:r>
            <w:r w:rsidRPr="00EA0908">
              <w:rPr>
                <w:rFonts w:ascii="Trebuchet MS" w:eastAsia="Times New Roman" w:hAnsi="Trebuchet MS"/>
                <w:b/>
                <w:bCs/>
                <w:sz w:val="22"/>
                <w:szCs w:val="22"/>
                <w:lang w:eastAsia="ro-RO"/>
              </w:rPr>
              <w:br/>
              <w:t xml:space="preserve"> (%)</w:t>
            </w:r>
          </w:p>
        </w:tc>
      </w:tr>
      <w:tr w:rsidR="00A55D93" w:rsidRPr="009D6E8F" w:rsidTr="00E13AA6">
        <w:trPr>
          <w:trHeight w:val="288"/>
          <w:jc w:val="center"/>
        </w:trPr>
        <w:tc>
          <w:tcPr>
            <w:tcW w:w="2245" w:type="dxa"/>
            <w:shd w:val="clear" w:color="auto" w:fill="auto"/>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Someș - Tisa</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5</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Crișuri</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0</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Mureș</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2</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Banat</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3</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Jiu</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7</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Olt</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14</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Argeș - Vedea</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3</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Buzău - Ialomița</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3</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Siret</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8</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Prut - Bârlad</w:t>
            </w:r>
          </w:p>
        </w:tc>
        <w:tc>
          <w:tcPr>
            <w:tcW w:w="1710"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24</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Dobrogea - Litoral*</w:t>
            </w:r>
          </w:p>
        </w:tc>
        <w:tc>
          <w:tcPr>
            <w:tcW w:w="1710" w:type="dxa"/>
            <w:shd w:val="clear" w:color="000000" w:fill="FFFFFF"/>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hAnsi="Trebuchet MS" w:cs="Calibri"/>
                <w:sz w:val="22"/>
                <w:szCs w:val="22"/>
              </w:rPr>
              <w:t>15</w:t>
            </w:r>
          </w:p>
        </w:tc>
        <w:tc>
          <w:tcPr>
            <w:tcW w:w="2700" w:type="dxa"/>
            <w:shd w:val="clear" w:color="auto" w:fill="auto"/>
            <w:noWrap/>
            <w:vAlign w:val="bottom"/>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c>
          <w:tcPr>
            <w:tcW w:w="2554" w:type="dxa"/>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sz w:val="22"/>
                <w:szCs w:val="22"/>
                <w:lang w:eastAsia="ro-RO"/>
              </w:rPr>
            </w:pPr>
            <w:r w:rsidRPr="00EA0908">
              <w:rPr>
                <w:rFonts w:ascii="Trebuchet MS" w:eastAsia="Times New Roman" w:hAnsi="Trebuchet MS"/>
                <w:sz w:val="22"/>
                <w:szCs w:val="22"/>
                <w:lang w:eastAsia="ro-RO"/>
              </w:rPr>
              <w:t>0</w:t>
            </w:r>
          </w:p>
        </w:tc>
      </w:tr>
      <w:tr w:rsidR="00A55D93" w:rsidRPr="009D6E8F" w:rsidTr="00E13AA6">
        <w:trPr>
          <w:trHeight w:val="288"/>
          <w:jc w:val="center"/>
        </w:trPr>
        <w:tc>
          <w:tcPr>
            <w:tcW w:w="2245" w:type="dxa"/>
            <w:shd w:val="clear" w:color="auto" w:fill="00B0F0"/>
            <w:noWrap/>
            <w:vAlign w:val="bottom"/>
            <w:hideMark/>
          </w:tcPr>
          <w:p w:rsidR="00A55D93" w:rsidRPr="00EA0908" w:rsidRDefault="00A55D93" w:rsidP="00E13AA6">
            <w:pPr>
              <w:spacing w:line="300" w:lineRule="auto"/>
              <w:jc w:val="center"/>
              <w:rPr>
                <w:rFonts w:ascii="Trebuchet MS" w:eastAsia="Times New Roman" w:hAnsi="Trebuchet MS"/>
                <w:b/>
                <w:bCs/>
                <w:sz w:val="22"/>
                <w:szCs w:val="22"/>
                <w:lang w:eastAsia="ro-RO"/>
              </w:rPr>
            </w:pPr>
            <w:r w:rsidRPr="00EA0908">
              <w:rPr>
                <w:rFonts w:ascii="Trebuchet MS" w:eastAsia="Times New Roman" w:hAnsi="Trebuchet MS"/>
                <w:b/>
                <w:bCs/>
                <w:sz w:val="22"/>
                <w:szCs w:val="22"/>
                <w:lang w:eastAsia="ro-RO"/>
              </w:rPr>
              <w:t>Total</w:t>
            </w:r>
          </w:p>
        </w:tc>
        <w:tc>
          <w:tcPr>
            <w:tcW w:w="1710" w:type="dxa"/>
            <w:shd w:val="clear" w:color="auto" w:fill="00B0F0"/>
            <w:noWrap/>
            <w:vAlign w:val="center"/>
            <w:hideMark/>
          </w:tcPr>
          <w:p w:rsidR="00A55D93" w:rsidRPr="00EA0908" w:rsidRDefault="00A55D93" w:rsidP="00E13AA6">
            <w:pPr>
              <w:spacing w:line="300" w:lineRule="auto"/>
              <w:jc w:val="center"/>
              <w:rPr>
                <w:rFonts w:ascii="Trebuchet MS" w:eastAsia="Times New Roman" w:hAnsi="Trebuchet MS"/>
                <w:b/>
                <w:bCs/>
                <w:sz w:val="22"/>
                <w:szCs w:val="22"/>
                <w:lang w:eastAsia="ro-RO"/>
              </w:rPr>
            </w:pPr>
            <w:r w:rsidRPr="00EA0908">
              <w:rPr>
                <w:rFonts w:ascii="Trebuchet MS" w:hAnsi="Trebuchet MS" w:cs="Calibri"/>
                <w:b/>
                <w:bCs/>
                <w:sz w:val="22"/>
                <w:szCs w:val="22"/>
              </w:rPr>
              <w:t>84</w:t>
            </w:r>
          </w:p>
        </w:tc>
        <w:tc>
          <w:tcPr>
            <w:tcW w:w="2700" w:type="dxa"/>
            <w:shd w:val="clear" w:color="auto" w:fill="00B0F0"/>
            <w:noWrap/>
            <w:vAlign w:val="bottom"/>
            <w:hideMark/>
          </w:tcPr>
          <w:p w:rsidR="00A55D93" w:rsidRPr="00EA0908" w:rsidRDefault="00A55D93" w:rsidP="00E13AA6">
            <w:pPr>
              <w:spacing w:line="300" w:lineRule="auto"/>
              <w:jc w:val="center"/>
              <w:rPr>
                <w:rFonts w:ascii="Trebuchet MS" w:eastAsia="Times New Roman" w:hAnsi="Trebuchet MS"/>
                <w:b/>
                <w:bCs/>
                <w:sz w:val="22"/>
                <w:szCs w:val="22"/>
                <w:lang w:eastAsia="ro-RO"/>
              </w:rPr>
            </w:pPr>
            <w:r w:rsidRPr="00EA0908">
              <w:rPr>
                <w:rFonts w:ascii="Trebuchet MS" w:eastAsia="Times New Roman" w:hAnsi="Trebuchet MS"/>
                <w:b/>
                <w:bCs/>
                <w:sz w:val="22"/>
                <w:szCs w:val="22"/>
                <w:lang w:eastAsia="ro-RO"/>
              </w:rPr>
              <w:t>0</w:t>
            </w:r>
          </w:p>
        </w:tc>
        <w:tc>
          <w:tcPr>
            <w:tcW w:w="2554" w:type="dxa"/>
            <w:shd w:val="clear" w:color="auto" w:fill="00B0F0"/>
            <w:noWrap/>
            <w:vAlign w:val="center"/>
            <w:hideMark/>
          </w:tcPr>
          <w:p w:rsidR="00A55D93" w:rsidRPr="00EA0908" w:rsidRDefault="00A55D93" w:rsidP="00E13AA6">
            <w:pPr>
              <w:spacing w:line="300" w:lineRule="auto"/>
              <w:jc w:val="center"/>
              <w:rPr>
                <w:rFonts w:ascii="Trebuchet MS" w:eastAsia="Times New Roman" w:hAnsi="Trebuchet MS"/>
                <w:b/>
                <w:bCs/>
                <w:sz w:val="22"/>
                <w:szCs w:val="22"/>
                <w:lang w:eastAsia="ro-RO"/>
              </w:rPr>
            </w:pPr>
            <w:r w:rsidRPr="00EA0908">
              <w:rPr>
                <w:rFonts w:ascii="Trebuchet MS" w:eastAsia="Times New Roman" w:hAnsi="Trebuchet MS"/>
                <w:b/>
                <w:bCs/>
                <w:sz w:val="22"/>
                <w:szCs w:val="22"/>
                <w:lang w:eastAsia="ro-RO"/>
              </w:rPr>
              <w:t>0,00</w:t>
            </w:r>
          </w:p>
        </w:tc>
      </w:tr>
    </w:tbl>
    <w:p w:rsidR="00A55D93" w:rsidRPr="00051F70" w:rsidRDefault="00A55D93" w:rsidP="00A55D93">
      <w:pPr>
        <w:spacing w:line="300" w:lineRule="auto"/>
        <w:ind w:firstLine="708"/>
        <w:jc w:val="both"/>
        <w:rPr>
          <w:rFonts w:ascii="Trebuchet MS" w:hAnsi="Trebuchet MS" w:cs="Arial"/>
          <w:b/>
          <w:i/>
          <w:lang w:val="fr-FR"/>
        </w:rPr>
      </w:pPr>
      <w:r w:rsidRPr="00051F70">
        <w:rPr>
          <w:rFonts w:ascii="Trebuchet MS" w:eastAsia="Times New Roman" w:hAnsi="Trebuchet MS" w:cs="Arial"/>
          <w:lang w:eastAsia="ro-RO"/>
        </w:rPr>
        <w:t>*include si lacul tranzitoriu lacustru Sinoe</w:t>
      </w:r>
    </w:p>
    <w:p w:rsidR="00A55D93" w:rsidRPr="00565A74" w:rsidRDefault="00A55D93" w:rsidP="00A55D93">
      <w:pPr>
        <w:spacing w:line="300" w:lineRule="auto"/>
        <w:ind w:left="900" w:hanging="900"/>
        <w:jc w:val="both"/>
        <w:rPr>
          <w:rFonts w:ascii="Trebuchet MS" w:hAnsi="Trebuchet MS" w:cs="Arial"/>
          <w:i/>
          <w:iCs/>
          <w:sz w:val="20"/>
          <w:szCs w:val="20"/>
          <w:lang w:eastAsia="ro-RO"/>
        </w:rPr>
      </w:pPr>
      <w:r w:rsidRPr="00565A74">
        <w:rPr>
          <w:rFonts w:ascii="Trebuchet MS" w:hAnsi="Trebuchet MS" w:cs="Arial"/>
          <w:i/>
          <w:iCs/>
          <w:sz w:val="20"/>
          <w:szCs w:val="20"/>
          <w:lang w:eastAsia="ro-RO"/>
        </w:rPr>
        <w:t>(Sursa: Administraţia Naţională “Apele Române”, Sinteza calităţii apelor din România în anul 2023)</w:t>
      </w:r>
    </w:p>
    <w:p w:rsidR="00A55D93" w:rsidRPr="00EA0908" w:rsidRDefault="00A55D93" w:rsidP="00A55D93">
      <w:pPr>
        <w:spacing w:line="300" w:lineRule="auto"/>
        <w:rPr>
          <w:rFonts w:ascii="Trebuchet MS" w:hAnsi="Trebuchet MS" w:cs="Arial"/>
          <w:b/>
        </w:rPr>
      </w:pPr>
      <w:r w:rsidRPr="00EA0908">
        <w:rPr>
          <w:rFonts w:ascii="Trebuchet MS" w:hAnsi="Trebuchet MS" w:cs="Arial"/>
          <w:b/>
        </w:rPr>
        <w:t>Evoluția secțiunilor de monitorizare cu concentrație mai mare decât SCM</w:t>
      </w:r>
    </w:p>
    <w:p w:rsidR="00254B55" w:rsidRDefault="00254B55" w:rsidP="00A55D93">
      <w:pPr>
        <w:spacing w:line="300" w:lineRule="auto"/>
        <w:jc w:val="both"/>
        <w:rPr>
          <w:rFonts w:ascii="Trebuchet MS" w:hAnsi="Trebuchet MS" w:cs="Arial"/>
          <w:b/>
          <w:i/>
          <w:sz w:val="22"/>
          <w:szCs w:val="22"/>
        </w:rPr>
      </w:pPr>
    </w:p>
    <w:p w:rsidR="00254B55" w:rsidRDefault="00254B55" w:rsidP="00A55D93">
      <w:pPr>
        <w:spacing w:line="300" w:lineRule="auto"/>
        <w:jc w:val="both"/>
        <w:rPr>
          <w:rFonts w:ascii="Trebuchet MS" w:hAnsi="Trebuchet MS" w:cs="Arial"/>
          <w:b/>
          <w:i/>
          <w:sz w:val="22"/>
          <w:szCs w:val="22"/>
        </w:rPr>
      </w:pPr>
    </w:p>
    <w:p w:rsidR="00A55D93" w:rsidRPr="00254B55" w:rsidRDefault="00A55D93" w:rsidP="00A55D93">
      <w:pPr>
        <w:spacing w:line="300" w:lineRule="auto"/>
        <w:jc w:val="both"/>
        <w:rPr>
          <w:rFonts w:ascii="Trebuchet MS" w:hAnsi="Trebuchet MS" w:cs="Arial"/>
          <w:b/>
          <w:i/>
          <w:sz w:val="22"/>
          <w:szCs w:val="22"/>
        </w:rPr>
      </w:pPr>
      <w:r w:rsidRPr="00254B55">
        <w:rPr>
          <w:rFonts w:ascii="Trebuchet MS" w:hAnsi="Trebuchet MS" w:cs="Arial"/>
          <w:b/>
          <w:i/>
          <w:sz w:val="22"/>
          <w:szCs w:val="22"/>
        </w:rPr>
        <w:t>Tabelul II.2.1.2.3 Ponderea secțiunilor de monitorizare cu concentrație mai mare decât SCM (%) în perioada 2015 - 2023</w:t>
      </w:r>
    </w:p>
    <w:tbl>
      <w:tblPr>
        <w:tblW w:w="10978" w:type="dxa"/>
        <w:tblInd w:w="-635" w:type="dxa"/>
        <w:tblLook w:val="04A0" w:firstRow="1" w:lastRow="0" w:firstColumn="1" w:lastColumn="0" w:noHBand="0" w:noVBand="1"/>
      </w:tblPr>
      <w:tblGrid>
        <w:gridCol w:w="2340"/>
        <w:gridCol w:w="842"/>
        <w:gridCol w:w="992"/>
        <w:gridCol w:w="851"/>
        <w:gridCol w:w="992"/>
        <w:gridCol w:w="992"/>
        <w:gridCol w:w="992"/>
        <w:gridCol w:w="993"/>
        <w:gridCol w:w="992"/>
        <w:gridCol w:w="992"/>
      </w:tblGrid>
      <w:tr w:rsidR="00A55D93" w:rsidRPr="00EA0908" w:rsidTr="00E13AA6">
        <w:trPr>
          <w:trHeight w:val="264"/>
        </w:trPr>
        <w:tc>
          <w:tcPr>
            <w:tcW w:w="2340"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Anul</w:t>
            </w:r>
          </w:p>
        </w:tc>
        <w:tc>
          <w:tcPr>
            <w:tcW w:w="842" w:type="dxa"/>
            <w:tcBorders>
              <w:top w:val="single" w:sz="4" w:space="0" w:color="auto"/>
              <w:left w:val="nil"/>
              <w:bottom w:val="single" w:sz="4" w:space="0" w:color="auto"/>
              <w:right w:val="single" w:sz="4" w:space="0" w:color="auto"/>
            </w:tcBorders>
            <w:shd w:val="clear" w:color="auto" w:fill="00B0F0"/>
            <w:vAlign w:val="center"/>
            <w:hideMark/>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2015</w:t>
            </w:r>
          </w:p>
        </w:tc>
        <w:tc>
          <w:tcPr>
            <w:tcW w:w="992" w:type="dxa"/>
            <w:tcBorders>
              <w:top w:val="single" w:sz="4" w:space="0" w:color="auto"/>
              <w:left w:val="nil"/>
              <w:bottom w:val="single" w:sz="4" w:space="0" w:color="auto"/>
              <w:right w:val="single" w:sz="4" w:space="0" w:color="auto"/>
            </w:tcBorders>
            <w:shd w:val="clear" w:color="auto" w:fill="00B0F0"/>
            <w:vAlign w:val="center"/>
            <w:hideMark/>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2016</w:t>
            </w:r>
          </w:p>
        </w:tc>
        <w:tc>
          <w:tcPr>
            <w:tcW w:w="851" w:type="dxa"/>
            <w:tcBorders>
              <w:top w:val="single" w:sz="4" w:space="0" w:color="auto"/>
              <w:left w:val="nil"/>
              <w:bottom w:val="single" w:sz="4" w:space="0" w:color="auto"/>
              <w:right w:val="single" w:sz="4" w:space="0" w:color="auto"/>
            </w:tcBorders>
            <w:shd w:val="clear" w:color="auto" w:fill="00B0F0"/>
            <w:noWrap/>
            <w:vAlign w:val="center"/>
            <w:hideMark/>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2017</w:t>
            </w:r>
          </w:p>
        </w:tc>
        <w:tc>
          <w:tcPr>
            <w:tcW w:w="992" w:type="dxa"/>
            <w:tcBorders>
              <w:top w:val="single" w:sz="4" w:space="0" w:color="auto"/>
              <w:left w:val="nil"/>
              <w:bottom w:val="single" w:sz="4" w:space="0" w:color="auto"/>
              <w:right w:val="single" w:sz="4" w:space="0" w:color="auto"/>
            </w:tcBorders>
            <w:shd w:val="clear" w:color="auto" w:fill="00B0F0"/>
            <w:noWrap/>
            <w:vAlign w:val="center"/>
            <w:hideMark/>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2018</w:t>
            </w:r>
          </w:p>
        </w:tc>
        <w:tc>
          <w:tcPr>
            <w:tcW w:w="992" w:type="dxa"/>
            <w:tcBorders>
              <w:top w:val="single" w:sz="4" w:space="0" w:color="auto"/>
              <w:left w:val="nil"/>
              <w:bottom w:val="single" w:sz="4" w:space="0" w:color="auto"/>
              <w:right w:val="single" w:sz="4" w:space="0" w:color="auto"/>
            </w:tcBorders>
            <w:shd w:val="clear" w:color="auto" w:fill="00B0F0"/>
            <w:noWrap/>
            <w:vAlign w:val="center"/>
            <w:hideMark/>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2019</w:t>
            </w:r>
          </w:p>
        </w:tc>
        <w:tc>
          <w:tcPr>
            <w:tcW w:w="992" w:type="dxa"/>
            <w:tcBorders>
              <w:top w:val="single" w:sz="4" w:space="0" w:color="auto"/>
              <w:left w:val="nil"/>
              <w:bottom w:val="single" w:sz="4" w:space="0" w:color="auto"/>
              <w:right w:val="single" w:sz="4" w:space="0" w:color="auto"/>
            </w:tcBorders>
            <w:shd w:val="clear" w:color="auto" w:fill="00B0F0"/>
            <w:noWrap/>
            <w:vAlign w:val="center"/>
            <w:hideMark/>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2020</w:t>
            </w:r>
          </w:p>
        </w:tc>
        <w:tc>
          <w:tcPr>
            <w:tcW w:w="993" w:type="dxa"/>
            <w:tcBorders>
              <w:top w:val="single" w:sz="4" w:space="0" w:color="auto"/>
              <w:left w:val="nil"/>
              <w:bottom w:val="single" w:sz="4" w:space="0" w:color="auto"/>
              <w:right w:val="single" w:sz="4" w:space="0" w:color="auto"/>
            </w:tcBorders>
            <w:shd w:val="clear" w:color="auto" w:fill="00B0F0"/>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2021</w:t>
            </w:r>
          </w:p>
        </w:tc>
        <w:tc>
          <w:tcPr>
            <w:tcW w:w="992" w:type="dxa"/>
            <w:tcBorders>
              <w:top w:val="single" w:sz="4" w:space="0" w:color="auto"/>
              <w:left w:val="nil"/>
              <w:bottom w:val="single" w:sz="4" w:space="0" w:color="auto"/>
              <w:right w:val="single" w:sz="4" w:space="0" w:color="auto"/>
            </w:tcBorders>
            <w:shd w:val="clear" w:color="auto" w:fill="00B0F0"/>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2022</w:t>
            </w:r>
          </w:p>
        </w:tc>
        <w:tc>
          <w:tcPr>
            <w:tcW w:w="992" w:type="dxa"/>
            <w:tcBorders>
              <w:top w:val="single" w:sz="4" w:space="0" w:color="auto"/>
              <w:left w:val="nil"/>
              <w:bottom w:val="single" w:sz="4" w:space="0" w:color="auto"/>
              <w:right w:val="single" w:sz="4" w:space="0" w:color="auto"/>
            </w:tcBorders>
            <w:shd w:val="clear" w:color="auto" w:fill="00B0F0"/>
          </w:tcPr>
          <w:p w:rsidR="00A55D93" w:rsidRPr="00EA0908" w:rsidRDefault="00A55D93" w:rsidP="00E13AA6">
            <w:pPr>
              <w:spacing w:line="300" w:lineRule="auto"/>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2023</w:t>
            </w:r>
          </w:p>
        </w:tc>
      </w:tr>
      <w:tr w:rsidR="00A55D93" w:rsidRPr="00EA0908" w:rsidTr="00E13AA6">
        <w:trPr>
          <w:trHeight w:val="484"/>
        </w:trPr>
        <w:tc>
          <w:tcPr>
            <w:tcW w:w="2340" w:type="dxa"/>
            <w:tcBorders>
              <w:top w:val="nil"/>
              <w:left w:val="single" w:sz="4" w:space="0" w:color="auto"/>
              <w:bottom w:val="single" w:sz="4" w:space="0" w:color="auto"/>
              <w:right w:val="single" w:sz="4" w:space="0" w:color="auto"/>
            </w:tcBorders>
            <w:shd w:val="clear" w:color="000000" w:fill="FFFFFF"/>
            <w:vAlign w:val="center"/>
            <w:hideMark/>
          </w:tcPr>
          <w:p w:rsidR="00A55D93" w:rsidRPr="00EA0908" w:rsidRDefault="00A55D93" w:rsidP="00E13AA6">
            <w:pPr>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Substanțe prioritare monitorizate (nr.)</w:t>
            </w:r>
          </w:p>
        </w:tc>
        <w:tc>
          <w:tcPr>
            <w:tcW w:w="842" w:type="dxa"/>
            <w:tcBorders>
              <w:top w:val="nil"/>
              <w:left w:val="nil"/>
              <w:bottom w:val="single" w:sz="4" w:space="0" w:color="auto"/>
              <w:right w:val="single" w:sz="4" w:space="0" w:color="auto"/>
            </w:tcBorders>
            <w:shd w:val="clear" w:color="000000" w:fill="FFFFFF"/>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31</w:t>
            </w:r>
          </w:p>
        </w:tc>
        <w:tc>
          <w:tcPr>
            <w:tcW w:w="992" w:type="dxa"/>
            <w:tcBorders>
              <w:top w:val="nil"/>
              <w:left w:val="nil"/>
              <w:bottom w:val="single" w:sz="4" w:space="0" w:color="auto"/>
              <w:right w:val="single" w:sz="4" w:space="0" w:color="auto"/>
            </w:tcBorders>
            <w:shd w:val="clear" w:color="000000" w:fill="FFFFFF"/>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37</w:t>
            </w:r>
          </w:p>
        </w:tc>
        <w:tc>
          <w:tcPr>
            <w:tcW w:w="851"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26</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18</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32</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32</w:t>
            </w:r>
          </w:p>
        </w:tc>
        <w:tc>
          <w:tcPr>
            <w:tcW w:w="993"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25</w:t>
            </w:r>
          </w:p>
        </w:tc>
        <w:tc>
          <w:tcPr>
            <w:tcW w:w="992"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32</w:t>
            </w:r>
          </w:p>
        </w:tc>
        <w:tc>
          <w:tcPr>
            <w:tcW w:w="992"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43</w:t>
            </w:r>
          </w:p>
        </w:tc>
      </w:tr>
      <w:tr w:rsidR="00A55D93" w:rsidRPr="00EA0908" w:rsidTr="00E13AA6">
        <w:trPr>
          <w:trHeight w:val="484"/>
        </w:trPr>
        <w:tc>
          <w:tcPr>
            <w:tcW w:w="2340" w:type="dxa"/>
            <w:tcBorders>
              <w:top w:val="nil"/>
              <w:left w:val="single" w:sz="4" w:space="0" w:color="auto"/>
              <w:bottom w:val="single" w:sz="4" w:space="0" w:color="auto"/>
              <w:right w:val="single" w:sz="4" w:space="0" w:color="auto"/>
            </w:tcBorders>
            <w:shd w:val="clear" w:color="000000" w:fill="FFFFFF"/>
            <w:vAlign w:val="center"/>
            <w:hideMark/>
          </w:tcPr>
          <w:p w:rsidR="00A55D93" w:rsidRPr="00EA0908" w:rsidRDefault="00A55D93" w:rsidP="00E13AA6">
            <w:pPr>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Secțiuni de monitorizare (nr.)</w:t>
            </w:r>
          </w:p>
        </w:tc>
        <w:tc>
          <w:tcPr>
            <w:tcW w:w="842" w:type="dxa"/>
            <w:tcBorders>
              <w:top w:val="nil"/>
              <w:left w:val="nil"/>
              <w:bottom w:val="single" w:sz="4" w:space="0" w:color="auto"/>
              <w:right w:val="single" w:sz="4" w:space="0" w:color="auto"/>
            </w:tcBorders>
            <w:shd w:val="clear" w:color="000000" w:fill="FFFFFF"/>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71</w:t>
            </w:r>
          </w:p>
        </w:tc>
        <w:tc>
          <w:tcPr>
            <w:tcW w:w="992" w:type="dxa"/>
            <w:tcBorders>
              <w:top w:val="nil"/>
              <w:left w:val="nil"/>
              <w:bottom w:val="single" w:sz="4" w:space="0" w:color="auto"/>
              <w:right w:val="single" w:sz="4" w:space="0" w:color="auto"/>
            </w:tcBorders>
            <w:shd w:val="clear" w:color="000000" w:fill="FFFFFF"/>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95</w:t>
            </w:r>
          </w:p>
        </w:tc>
        <w:tc>
          <w:tcPr>
            <w:tcW w:w="851"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55</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111</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107</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104</w:t>
            </w:r>
          </w:p>
        </w:tc>
        <w:tc>
          <w:tcPr>
            <w:tcW w:w="993"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110</w:t>
            </w:r>
          </w:p>
        </w:tc>
        <w:tc>
          <w:tcPr>
            <w:tcW w:w="992"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102</w:t>
            </w:r>
          </w:p>
        </w:tc>
        <w:tc>
          <w:tcPr>
            <w:tcW w:w="992"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84</w:t>
            </w:r>
          </w:p>
        </w:tc>
      </w:tr>
      <w:tr w:rsidR="00A55D93" w:rsidRPr="00EA0908" w:rsidTr="00E13AA6">
        <w:trPr>
          <w:trHeight w:val="727"/>
        </w:trPr>
        <w:tc>
          <w:tcPr>
            <w:tcW w:w="2340" w:type="dxa"/>
            <w:tcBorders>
              <w:top w:val="nil"/>
              <w:left w:val="single" w:sz="4" w:space="0" w:color="auto"/>
              <w:bottom w:val="single" w:sz="4" w:space="0" w:color="auto"/>
              <w:right w:val="single" w:sz="4" w:space="0" w:color="auto"/>
            </w:tcBorders>
            <w:shd w:val="clear" w:color="000000" w:fill="FFFFFF"/>
            <w:vAlign w:val="center"/>
            <w:hideMark/>
          </w:tcPr>
          <w:p w:rsidR="00A55D93" w:rsidRPr="00EA0908" w:rsidRDefault="00A55D93" w:rsidP="00E13AA6">
            <w:pPr>
              <w:jc w:val="center"/>
              <w:rPr>
                <w:rFonts w:ascii="Trebuchet MS" w:eastAsia="Times New Roman" w:hAnsi="Trebuchet MS" w:cs="Arial"/>
                <w:b/>
                <w:bCs/>
                <w:sz w:val="20"/>
                <w:szCs w:val="20"/>
                <w:lang w:eastAsia="ro-RO"/>
              </w:rPr>
            </w:pPr>
            <w:r w:rsidRPr="00EA0908">
              <w:rPr>
                <w:rFonts w:ascii="Trebuchet MS" w:eastAsia="Times New Roman" w:hAnsi="Trebuchet MS" w:cs="Arial"/>
                <w:b/>
                <w:bCs/>
                <w:sz w:val="20"/>
                <w:szCs w:val="20"/>
                <w:lang w:eastAsia="ro-RO"/>
              </w:rPr>
              <w:t>Ponderea secțiunilor cu  concentrație mai mare decat SCM (%)</w:t>
            </w:r>
          </w:p>
        </w:tc>
        <w:tc>
          <w:tcPr>
            <w:tcW w:w="842" w:type="dxa"/>
            <w:tcBorders>
              <w:top w:val="nil"/>
              <w:left w:val="nil"/>
              <w:bottom w:val="single" w:sz="4" w:space="0" w:color="auto"/>
              <w:right w:val="single" w:sz="4" w:space="0" w:color="auto"/>
            </w:tcBorders>
            <w:shd w:val="clear" w:color="000000" w:fill="FFFFFF"/>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2,81</w:t>
            </w:r>
          </w:p>
        </w:tc>
        <w:tc>
          <w:tcPr>
            <w:tcW w:w="992" w:type="dxa"/>
            <w:tcBorders>
              <w:top w:val="nil"/>
              <w:left w:val="nil"/>
              <w:bottom w:val="single" w:sz="4" w:space="0" w:color="auto"/>
              <w:right w:val="single" w:sz="4" w:space="0" w:color="auto"/>
            </w:tcBorders>
            <w:shd w:val="clear" w:color="000000" w:fill="FFFFFF"/>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3,15</w:t>
            </w:r>
          </w:p>
        </w:tc>
        <w:tc>
          <w:tcPr>
            <w:tcW w:w="851"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1,82</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0,90</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1,87</w:t>
            </w:r>
          </w:p>
        </w:tc>
        <w:tc>
          <w:tcPr>
            <w:tcW w:w="992" w:type="dxa"/>
            <w:tcBorders>
              <w:top w:val="nil"/>
              <w:left w:val="nil"/>
              <w:bottom w:val="single" w:sz="4" w:space="0" w:color="auto"/>
              <w:right w:val="single" w:sz="4" w:space="0" w:color="auto"/>
            </w:tcBorders>
            <w:shd w:val="clear" w:color="auto" w:fill="auto"/>
            <w:noWrap/>
            <w:vAlign w:val="center"/>
            <w:hideMark/>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2,88</w:t>
            </w:r>
          </w:p>
        </w:tc>
        <w:tc>
          <w:tcPr>
            <w:tcW w:w="993"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0,00</w:t>
            </w:r>
          </w:p>
        </w:tc>
        <w:tc>
          <w:tcPr>
            <w:tcW w:w="992"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0,00</w:t>
            </w:r>
          </w:p>
        </w:tc>
        <w:tc>
          <w:tcPr>
            <w:tcW w:w="992" w:type="dxa"/>
            <w:tcBorders>
              <w:top w:val="nil"/>
              <w:left w:val="nil"/>
              <w:bottom w:val="single" w:sz="4" w:space="0" w:color="auto"/>
              <w:right w:val="single" w:sz="4" w:space="0" w:color="auto"/>
            </w:tcBorders>
            <w:vAlign w:val="center"/>
          </w:tcPr>
          <w:p w:rsidR="00A55D93" w:rsidRPr="00EA0908" w:rsidRDefault="00A55D93" w:rsidP="00E13AA6">
            <w:pPr>
              <w:spacing w:line="300" w:lineRule="auto"/>
              <w:jc w:val="center"/>
              <w:rPr>
                <w:rFonts w:ascii="Trebuchet MS" w:eastAsia="Times New Roman" w:hAnsi="Trebuchet MS" w:cs="Arial"/>
                <w:sz w:val="20"/>
                <w:szCs w:val="20"/>
                <w:lang w:eastAsia="ro-RO"/>
              </w:rPr>
            </w:pPr>
            <w:r w:rsidRPr="00EA0908">
              <w:rPr>
                <w:rFonts w:ascii="Trebuchet MS" w:eastAsia="Times New Roman" w:hAnsi="Trebuchet MS" w:cs="Arial"/>
                <w:sz w:val="20"/>
                <w:szCs w:val="20"/>
                <w:lang w:eastAsia="ro-RO"/>
              </w:rPr>
              <w:t>0,00</w:t>
            </w:r>
          </w:p>
        </w:tc>
      </w:tr>
    </w:tbl>
    <w:p w:rsidR="00A55D93" w:rsidRPr="00EA0908" w:rsidRDefault="00A55D93" w:rsidP="00A55D93">
      <w:pPr>
        <w:spacing w:line="300" w:lineRule="auto"/>
        <w:ind w:left="900" w:hanging="900"/>
        <w:jc w:val="both"/>
        <w:rPr>
          <w:rFonts w:ascii="Trebuchet MS" w:hAnsi="Trebuchet MS" w:cs="Arial"/>
          <w:i/>
          <w:iCs/>
          <w:sz w:val="20"/>
          <w:szCs w:val="20"/>
          <w:lang w:eastAsia="ro-RO"/>
        </w:rPr>
      </w:pPr>
      <w:r w:rsidRPr="00EA0908">
        <w:rPr>
          <w:rFonts w:ascii="Trebuchet MS" w:hAnsi="Trebuchet MS" w:cs="Arial"/>
          <w:i/>
          <w:iCs/>
          <w:sz w:val="20"/>
          <w:szCs w:val="20"/>
          <w:lang w:eastAsia="ro-RO"/>
        </w:rPr>
        <w:t>(Sursa: Administraţia Naţională “Apele Române”, Sinteza calităţii apelor din România în anul 2023)</w:t>
      </w:r>
    </w:p>
    <w:p w:rsidR="00A55D93" w:rsidRPr="00EA0908" w:rsidRDefault="00A55D93" w:rsidP="00A55D93">
      <w:pPr>
        <w:spacing w:line="300" w:lineRule="auto"/>
        <w:jc w:val="both"/>
        <w:rPr>
          <w:rFonts w:ascii="Trebuchet MS" w:hAnsi="Trebuchet MS"/>
        </w:rPr>
      </w:pPr>
    </w:p>
    <w:p w:rsidR="00AE762B" w:rsidRPr="00EA0908" w:rsidRDefault="00AE762B" w:rsidP="0009051B">
      <w:pPr>
        <w:autoSpaceDE w:val="0"/>
        <w:autoSpaceDN w:val="0"/>
        <w:adjustRightInd w:val="0"/>
        <w:rPr>
          <w:rFonts w:ascii="Trebuchet MS" w:hAnsi="Trebuchet MS" w:cs="Arial"/>
          <w:b/>
          <w:bCs/>
          <w:color w:val="000000"/>
          <w:lang w:val="it-IT"/>
        </w:rPr>
      </w:pPr>
      <w:r w:rsidRPr="00EA0908">
        <w:rPr>
          <w:rFonts w:ascii="Trebuchet MS" w:hAnsi="Trebuchet MS" w:cs="Arial"/>
          <w:b/>
          <w:bCs/>
          <w:color w:val="000000"/>
          <w:lang w:val="it-IT"/>
        </w:rPr>
        <w:t>B.</w:t>
      </w:r>
      <w:r w:rsidRPr="00EA0908">
        <w:rPr>
          <w:rFonts w:ascii="Trebuchet MS" w:hAnsi="Trebuchet MS" w:cs="Arial"/>
          <w:b/>
          <w:bCs/>
          <w:color w:val="000000"/>
          <w:sz w:val="28"/>
          <w:lang w:val="it-IT"/>
        </w:rPr>
        <w:t xml:space="preserve"> </w:t>
      </w:r>
      <w:r w:rsidRPr="00EA0908">
        <w:rPr>
          <w:rFonts w:ascii="Trebuchet MS" w:hAnsi="Trebuchet MS" w:cs="Arial"/>
          <w:b/>
          <w:bCs/>
          <w:color w:val="000000"/>
          <w:lang w:val="it-IT"/>
        </w:rPr>
        <w:t>Alte date şi informaţii specifice</w:t>
      </w:r>
    </w:p>
    <w:p w:rsidR="00AE762B" w:rsidRPr="00EA0908" w:rsidRDefault="00AE762B" w:rsidP="0009051B">
      <w:pPr>
        <w:autoSpaceDE w:val="0"/>
        <w:autoSpaceDN w:val="0"/>
        <w:adjustRightInd w:val="0"/>
        <w:rPr>
          <w:rFonts w:ascii="Trebuchet MS" w:hAnsi="Trebuchet MS" w:cs="Arial"/>
          <w:b/>
          <w:bCs/>
          <w:color w:val="000000"/>
          <w:lang w:val="it-IT"/>
        </w:rPr>
      </w:pPr>
    </w:p>
    <w:p w:rsidR="00AE762B" w:rsidRPr="0059186B" w:rsidRDefault="00AE762B" w:rsidP="0009051B">
      <w:pPr>
        <w:autoSpaceDE w:val="0"/>
        <w:autoSpaceDN w:val="0"/>
        <w:adjustRightInd w:val="0"/>
        <w:rPr>
          <w:rFonts w:eastAsia="Times New Roman"/>
          <w:b/>
          <w:bCs/>
          <w:i/>
          <w:iCs/>
          <w:color w:val="000000"/>
          <w:sz w:val="28"/>
          <w:szCs w:val="28"/>
          <w:lang w:val="it-IT"/>
        </w:rPr>
      </w:pPr>
    </w:p>
    <w:p w:rsidR="000E466C" w:rsidRDefault="000E466C">
      <w:pPr>
        <w:rPr>
          <w:rFonts w:ascii="Arial" w:hAnsi="Arial" w:cs="Arial"/>
          <w:b/>
          <w:bCs/>
          <w:i/>
          <w:iCs/>
          <w:color w:val="000000"/>
          <w:lang w:val="it-IT"/>
        </w:rPr>
      </w:pPr>
      <w:r>
        <w:rPr>
          <w:rFonts w:ascii="Arial" w:hAnsi="Arial" w:cs="Arial"/>
          <w:b/>
          <w:bCs/>
          <w:i/>
          <w:iCs/>
          <w:color w:val="000000"/>
          <w:lang w:val="it-IT"/>
        </w:rPr>
        <w:br w:type="page"/>
      </w:r>
    </w:p>
    <w:p w:rsidR="00777989" w:rsidRPr="006259B4" w:rsidRDefault="00777989" w:rsidP="00EA0908">
      <w:pPr>
        <w:rPr>
          <w:rFonts w:ascii="Trebuchet MS" w:hAnsi="Trebuchet MS" w:cs="Arial"/>
          <w:b/>
          <w:i/>
          <w:u w:val="single"/>
          <w:lang w:val="en-US"/>
        </w:rPr>
      </w:pPr>
      <w:r w:rsidRPr="006259B4">
        <w:rPr>
          <w:rFonts w:ascii="Trebuchet MS" w:hAnsi="Trebuchet MS" w:cs="Arial"/>
          <w:b/>
          <w:i/>
          <w:u w:val="single"/>
          <w:lang w:val="en-US"/>
        </w:rPr>
        <w:t>II.2.1.3. Calitatea apelor subterane</w:t>
      </w:r>
    </w:p>
    <w:p w:rsidR="00777989" w:rsidRPr="006259B4" w:rsidRDefault="00777989" w:rsidP="00EA0908">
      <w:pPr>
        <w:jc w:val="both"/>
        <w:rPr>
          <w:rFonts w:ascii="Trebuchet MS" w:hAnsi="Trebuchet MS" w:cs="Arial"/>
          <w:b/>
          <w:lang w:val="en-US"/>
        </w:rPr>
      </w:pPr>
    </w:p>
    <w:p w:rsidR="00777989" w:rsidRPr="006259B4" w:rsidRDefault="00777989" w:rsidP="00EA0908">
      <w:pPr>
        <w:jc w:val="center"/>
        <w:rPr>
          <w:rFonts w:ascii="Trebuchet MS" w:hAnsi="Trebuchet MS" w:cs="Arial"/>
          <w:b/>
          <w:lang w:val="en-US"/>
        </w:rPr>
      </w:pPr>
      <w:r w:rsidRPr="006259B4">
        <w:rPr>
          <w:rFonts w:ascii="Trebuchet MS" w:hAnsi="Trebuchet MS" w:cs="Arial"/>
          <w:b/>
          <w:highlight w:val="green"/>
          <w:lang w:val="en-US"/>
        </w:rPr>
        <w:t>Indicator CSI 20. Nutrienţi în apă RO 20</w:t>
      </w:r>
    </w:p>
    <w:p w:rsidR="00777989" w:rsidRPr="006259B4" w:rsidRDefault="00777989" w:rsidP="00EA0908">
      <w:pPr>
        <w:jc w:val="both"/>
        <w:rPr>
          <w:rFonts w:ascii="Trebuchet MS" w:hAnsi="Trebuchet MS" w:cs="Arial"/>
          <w:b/>
          <w:i/>
          <w:lang w:val="en-US"/>
        </w:rPr>
      </w:pPr>
    </w:p>
    <w:p w:rsidR="00777989" w:rsidRPr="00254B55" w:rsidRDefault="00777989" w:rsidP="00EA0908">
      <w:pPr>
        <w:jc w:val="both"/>
        <w:rPr>
          <w:rFonts w:ascii="Trebuchet MS" w:hAnsi="Trebuchet MS" w:cs="Arial"/>
          <w:b/>
          <w:i/>
          <w:sz w:val="22"/>
          <w:szCs w:val="22"/>
          <w:lang w:val="en-US"/>
        </w:rPr>
      </w:pPr>
      <w:r w:rsidRPr="00254B55">
        <w:rPr>
          <w:rFonts w:ascii="Trebuchet MS" w:hAnsi="Trebuchet MS" w:cs="Arial"/>
          <w:b/>
          <w:i/>
          <w:sz w:val="22"/>
          <w:szCs w:val="22"/>
          <w:lang w:val="en-US"/>
        </w:rPr>
        <w:t>EVOLUȚIA NUMĂRULUI PUNCTELOR DE MONITORIZARE CU DEPĂȘIRI LA CONȚINUTUL DE NITRAȚI ÎN PERIOADA 2015 – 2023 (%)</w:t>
      </w:r>
    </w:p>
    <w:p w:rsidR="00777989" w:rsidRPr="00254B55" w:rsidRDefault="00777989" w:rsidP="00EA0908">
      <w:pPr>
        <w:rPr>
          <w:rFonts w:ascii="Trebuchet MS" w:hAnsi="Trebuchet MS" w:cs="Arial"/>
          <w:b/>
          <w:i/>
          <w:sz w:val="22"/>
          <w:szCs w:val="22"/>
        </w:rPr>
      </w:pPr>
    </w:p>
    <w:p w:rsidR="00777989" w:rsidRPr="00254B55" w:rsidRDefault="00777989" w:rsidP="00EA0908">
      <w:pPr>
        <w:jc w:val="both"/>
        <w:rPr>
          <w:rFonts w:ascii="Trebuchet MS" w:hAnsi="Trebuchet MS" w:cs="Arial"/>
          <w:b/>
          <w:i/>
          <w:sz w:val="22"/>
          <w:szCs w:val="22"/>
        </w:rPr>
      </w:pPr>
      <w:r w:rsidRPr="00254B55">
        <w:rPr>
          <w:rFonts w:ascii="Trebuchet MS" w:hAnsi="Trebuchet MS" w:cs="Arial"/>
          <w:b/>
          <w:i/>
          <w:sz w:val="22"/>
          <w:szCs w:val="22"/>
        </w:rPr>
        <w:t>Figura II.2.1.3.1 Evoluția punctelor de monitorizare cu depășiri ale concentrațiilor de nitrați  în  perioada 2015 - 2023 (%)</w:t>
      </w:r>
    </w:p>
    <w:p w:rsidR="00777989" w:rsidRPr="006259B4" w:rsidRDefault="00777989" w:rsidP="00777989">
      <w:pPr>
        <w:jc w:val="both"/>
        <w:rPr>
          <w:rFonts w:ascii="Trebuchet MS" w:hAnsi="Trebuchet MS" w:cs="Arial"/>
          <w:b/>
          <w:i/>
          <w:lang w:val="en-US"/>
        </w:rPr>
      </w:pPr>
      <w:r w:rsidRPr="006259B4">
        <w:rPr>
          <w:rFonts w:ascii="Trebuchet MS" w:hAnsi="Trebuchet MS"/>
          <w:noProof/>
          <w:lang w:val="en-US"/>
        </w:rPr>
        <w:drawing>
          <wp:inline distT="0" distB="0" distL="0" distR="0" wp14:anchorId="1FCE6019" wp14:editId="4B497446">
            <wp:extent cx="6315075" cy="2695575"/>
            <wp:effectExtent l="0" t="0" r="9525" b="9525"/>
            <wp:docPr id="705909127" name="Chart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777989" w:rsidRPr="00C65FA6" w:rsidRDefault="00777989" w:rsidP="00777989">
      <w:pPr>
        <w:rPr>
          <w:rFonts w:ascii="Trebuchet MS" w:hAnsi="Trebuchet MS" w:cs="Arial"/>
          <w:b/>
        </w:rPr>
      </w:pPr>
      <w:r w:rsidRPr="00C65FA6">
        <w:rPr>
          <w:rFonts w:ascii="Trebuchet MS" w:hAnsi="Trebuchet MS" w:cs="Arial"/>
          <w:i/>
          <w:iCs/>
          <w:sz w:val="20"/>
          <w:szCs w:val="20"/>
          <w:lang w:eastAsia="ro-RO"/>
        </w:rPr>
        <w:t>(Sursa: Administraţia Naţională “Apele Române”, Sinteza calităţii apelor din România în anul 2023)</w:t>
      </w:r>
    </w:p>
    <w:p w:rsidR="00777989" w:rsidRDefault="00777989" w:rsidP="00777989">
      <w:pPr>
        <w:jc w:val="center"/>
        <w:rPr>
          <w:rFonts w:ascii="Trebuchet MS" w:hAnsi="Trebuchet MS" w:cs="Arial"/>
          <w:b/>
          <w:highlight w:val="green"/>
        </w:rPr>
      </w:pPr>
    </w:p>
    <w:p w:rsidR="00777989" w:rsidRDefault="00777989" w:rsidP="00777989">
      <w:pPr>
        <w:jc w:val="center"/>
        <w:rPr>
          <w:rFonts w:ascii="Trebuchet MS" w:hAnsi="Trebuchet MS" w:cs="Arial"/>
          <w:b/>
        </w:rPr>
      </w:pPr>
      <w:r w:rsidRPr="006259B4">
        <w:rPr>
          <w:rFonts w:ascii="Trebuchet MS" w:hAnsi="Trebuchet MS" w:cs="Arial"/>
          <w:b/>
          <w:highlight w:val="green"/>
        </w:rPr>
        <w:t>Indicator VHS 01. Pesticidele din apele subterane RO 64</w:t>
      </w:r>
    </w:p>
    <w:p w:rsidR="00777989" w:rsidRPr="00254B55" w:rsidRDefault="00777989" w:rsidP="00777989">
      <w:pPr>
        <w:jc w:val="both"/>
        <w:rPr>
          <w:rFonts w:ascii="Trebuchet MS" w:hAnsi="Trebuchet MS" w:cs="Arial"/>
          <w:b/>
          <w:i/>
          <w:sz w:val="22"/>
          <w:szCs w:val="22"/>
        </w:rPr>
      </w:pPr>
      <w:r w:rsidRPr="00254B55">
        <w:rPr>
          <w:rFonts w:ascii="Trebuchet MS" w:hAnsi="Trebuchet MS" w:cs="Arial"/>
          <w:b/>
          <w:i/>
          <w:sz w:val="22"/>
          <w:szCs w:val="22"/>
        </w:rPr>
        <w:t xml:space="preserve">Distribuția numărului punctelor de monitorizare a pesticidelor pe spații/bazine hidrografice în anul 2023 </w:t>
      </w:r>
    </w:p>
    <w:p w:rsidR="00777989" w:rsidRPr="00254B55" w:rsidRDefault="00777989" w:rsidP="00777989">
      <w:pPr>
        <w:jc w:val="both"/>
        <w:rPr>
          <w:rFonts w:ascii="Trebuchet MS" w:hAnsi="Trebuchet MS" w:cs="Arial"/>
          <w:b/>
          <w:i/>
          <w:sz w:val="22"/>
          <w:szCs w:val="22"/>
        </w:rPr>
      </w:pPr>
      <w:r w:rsidRPr="00254B55">
        <w:rPr>
          <w:rFonts w:ascii="Trebuchet MS" w:hAnsi="Trebuchet MS" w:cs="Arial"/>
          <w:b/>
          <w:i/>
          <w:sz w:val="22"/>
          <w:szCs w:val="22"/>
        </w:rPr>
        <w:t>Tabel II.2.1.3.1 Pesticide monitorizate în anul 2023 (nr.)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4"/>
        <w:gridCol w:w="1946"/>
        <w:gridCol w:w="2024"/>
        <w:gridCol w:w="2320"/>
        <w:gridCol w:w="1811"/>
      </w:tblGrid>
      <w:tr w:rsidR="00777989" w:rsidRPr="00254B55" w:rsidTr="00254B55">
        <w:trPr>
          <w:trHeight w:val="288"/>
        </w:trPr>
        <w:tc>
          <w:tcPr>
            <w:tcW w:w="0" w:type="auto"/>
            <w:gridSpan w:val="5"/>
            <w:shd w:val="clear" w:color="000000" w:fill="FFFFFF"/>
            <w:noWrap/>
            <w:vAlign w:val="center"/>
            <w:hideMark/>
          </w:tcPr>
          <w:p w:rsidR="00777989" w:rsidRPr="00254B55" w:rsidRDefault="00777989" w:rsidP="00E13AA6">
            <w:pPr>
              <w:jc w:val="center"/>
              <w:rPr>
                <w:rFonts w:ascii="Trebuchet MS" w:eastAsia="Times New Roman" w:hAnsi="Trebuchet MS" w:cs="Arial"/>
                <w:b/>
                <w:bCs/>
                <w:color w:val="000000"/>
                <w:sz w:val="22"/>
                <w:szCs w:val="22"/>
                <w:lang w:val="en-US" w:eastAsia="ro-RO"/>
              </w:rPr>
            </w:pPr>
            <w:r w:rsidRPr="00254B55">
              <w:rPr>
                <w:rFonts w:ascii="Trebuchet MS" w:eastAsia="Times New Roman" w:hAnsi="Trebuchet MS" w:cs="Arial"/>
                <w:b/>
                <w:bCs/>
                <w:color w:val="000000"/>
                <w:sz w:val="22"/>
                <w:szCs w:val="22"/>
                <w:lang w:eastAsia="ro-RO"/>
              </w:rPr>
              <w:t>2023</w:t>
            </w:r>
          </w:p>
        </w:tc>
      </w:tr>
      <w:tr w:rsidR="00777989" w:rsidRPr="00254B55" w:rsidTr="00254B55">
        <w:trPr>
          <w:trHeight w:val="1116"/>
        </w:trPr>
        <w:tc>
          <w:tcPr>
            <w:tcW w:w="0" w:type="auto"/>
            <w:shd w:val="clear" w:color="000000" w:fill="FFFFFF"/>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Spaţiu / Bazin hidrografic</w:t>
            </w:r>
          </w:p>
        </w:tc>
        <w:tc>
          <w:tcPr>
            <w:tcW w:w="0" w:type="auto"/>
            <w:shd w:val="clear" w:color="000000" w:fill="FFFFFF"/>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Număr corpuri de apă monitorizate</w:t>
            </w:r>
          </w:p>
        </w:tc>
        <w:tc>
          <w:tcPr>
            <w:tcW w:w="0" w:type="auto"/>
            <w:shd w:val="clear" w:color="000000" w:fill="FFFFFF"/>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Număr total de puncte de monitorizare</w:t>
            </w:r>
          </w:p>
        </w:tc>
        <w:tc>
          <w:tcPr>
            <w:tcW w:w="0" w:type="auto"/>
            <w:shd w:val="clear" w:color="000000" w:fill="FFFFFF"/>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Număr de puncte în care sunt monitorizate   pesticidele</w:t>
            </w:r>
          </w:p>
        </w:tc>
        <w:tc>
          <w:tcPr>
            <w:tcW w:w="0" w:type="auto"/>
            <w:shd w:val="clear" w:color="000000" w:fill="FFFFFF"/>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Pesticide monitorizate (nr.)</w:t>
            </w:r>
          </w:p>
        </w:tc>
      </w:tr>
      <w:tr w:rsidR="00777989" w:rsidRPr="00254B55" w:rsidTr="00254B55">
        <w:trPr>
          <w:trHeight w:val="327"/>
        </w:trPr>
        <w:tc>
          <w:tcPr>
            <w:tcW w:w="0" w:type="auto"/>
            <w:shd w:val="clear" w:color="000000" w:fill="FFFFFF"/>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Someș - Tisa</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15</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132</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3</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9</w:t>
            </w:r>
          </w:p>
        </w:tc>
      </w:tr>
      <w:tr w:rsidR="00777989" w:rsidRPr="00254B55" w:rsidTr="00254B55">
        <w:trPr>
          <w:trHeight w:val="309"/>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Crișuri</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9</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145</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25</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6</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Mureș</w:t>
            </w:r>
          </w:p>
        </w:tc>
        <w:tc>
          <w:tcPr>
            <w:tcW w:w="0" w:type="auto"/>
            <w:shd w:val="clear" w:color="auto" w:fill="auto"/>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22</w:t>
            </w:r>
          </w:p>
        </w:tc>
        <w:tc>
          <w:tcPr>
            <w:tcW w:w="0" w:type="auto"/>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121</w:t>
            </w:r>
          </w:p>
        </w:tc>
        <w:tc>
          <w:tcPr>
            <w:tcW w:w="0" w:type="auto"/>
            <w:shd w:val="clear" w:color="auto" w:fill="auto"/>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4</w:t>
            </w:r>
          </w:p>
        </w:tc>
        <w:tc>
          <w:tcPr>
            <w:tcW w:w="0" w:type="auto"/>
            <w:shd w:val="clear" w:color="auto" w:fill="auto"/>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3</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Banat</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20</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213</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16</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6</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Jiu</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8</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94</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73</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3</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Olt</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14</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137</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20</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19</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Argeș - Vedea</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11</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161</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119</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23</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Buzău - Ialomița</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18</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192</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60</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5</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Siret</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6</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107</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12</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19</w:t>
            </w:r>
          </w:p>
        </w:tc>
      </w:tr>
      <w:tr w:rsidR="00777989" w:rsidRPr="00254B55" w:rsidTr="00254B55">
        <w:trPr>
          <w:trHeight w:val="276"/>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Prut- Bârlad</w:t>
            </w:r>
          </w:p>
        </w:tc>
        <w:tc>
          <w:tcPr>
            <w:tcW w:w="0" w:type="auto"/>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7</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118</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61</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FF0000"/>
                <w:sz w:val="22"/>
                <w:szCs w:val="22"/>
                <w:lang w:eastAsia="ro-RO"/>
              </w:rPr>
            </w:pPr>
            <w:r w:rsidRPr="00254B55">
              <w:rPr>
                <w:rFonts w:ascii="Trebuchet MS" w:eastAsia="Times New Roman" w:hAnsi="Trebuchet MS" w:cs="Arial"/>
                <w:sz w:val="22"/>
                <w:szCs w:val="22"/>
                <w:lang w:eastAsia="ro-RO"/>
              </w:rPr>
              <w:t>20</w:t>
            </w:r>
          </w:p>
        </w:tc>
      </w:tr>
      <w:tr w:rsidR="00777989" w:rsidRPr="00254B55" w:rsidTr="00254B55">
        <w:trPr>
          <w:trHeight w:val="288"/>
        </w:trPr>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Dobrogea - Litoral</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8</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86</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21</w:t>
            </w:r>
          </w:p>
        </w:tc>
        <w:tc>
          <w:tcPr>
            <w:tcW w:w="0" w:type="auto"/>
            <w:shd w:val="clear" w:color="000000" w:fill="FFFFFF"/>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21</w:t>
            </w:r>
          </w:p>
        </w:tc>
      </w:tr>
      <w:tr w:rsidR="00777989" w:rsidRPr="00254B55" w:rsidTr="00254B55">
        <w:trPr>
          <w:trHeight w:val="336"/>
        </w:trPr>
        <w:tc>
          <w:tcPr>
            <w:tcW w:w="0" w:type="auto"/>
            <w:shd w:val="clear" w:color="auto" w:fill="00B0F0"/>
            <w:noWrap/>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TOTAL</w:t>
            </w:r>
          </w:p>
        </w:tc>
        <w:tc>
          <w:tcPr>
            <w:tcW w:w="0" w:type="auto"/>
            <w:shd w:val="clear" w:color="auto" w:fill="00B0F0"/>
            <w:noWrap/>
            <w:vAlign w:val="center"/>
            <w:hideMark/>
          </w:tcPr>
          <w:p w:rsidR="00777989" w:rsidRPr="00254B55" w:rsidRDefault="00777989" w:rsidP="00E13AA6">
            <w:pPr>
              <w:jc w:val="center"/>
              <w:rPr>
                <w:rFonts w:ascii="Trebuchet MS" w:eastAsia="Times New Roman" w:hAnsi="Trebuchet MS" w:cs="Arial"/>
                <w:b/>
                <w:bCs/>
                <w:sz w:val="22"/>
                <w:szCs w:val="22"/>
                <w:lang w:eastAsia="ro-RO"/>
              </w:rPr>
            </w:pPr>
            <w:r w:rsidRPr="00254B55">
              <w:rPr>
                <w:rFonts w:ascii="Trebuchet MS" w:eastAsia="Times New Roman" w:hAnsi="Trebuchet MS" w:cs="Arial"/>
                <w:b/>
                <w:bCs/>
                <w:sz w:val="22"/>
                <w:szCs w:val="22"/>
                <w:lang w:eastAsia="ro-RO"/>
              </w:rPr>
              <w:t>138</w:t>
            </w:r>
          </w:p>
        </w:tc>
        <w:tc>
          <w:tcPr>
            <w:tcW w:w="0" w:type="auto"/>
            <w:shd w:val="clear" w:color="auto" w:fill="00B0F0"/>
            <w:noWrap/>
            <w:vAlign w:val="center"/>
            <w:hideMark/>
          </w:tcPr>
          <w:p w:rsidR="00777989" w:rsidRPr="00254B55" w:rsidRDefault="00777989" w:rsidP="00E13AA6">
            <w:pPr>
              <w:jc w:val="center"/>
              <w:rPr>
                <w:rFonts w:ascii="Trebuchet MS" w:eastAsia="Times New Roman" w:hAnsi="Trebuchet MS" w:cs="Arial"/>
                <w:b/>
                <w:bCs/>
                <w:sz w:val="22"/>
                <w:szCs w:val="22"/>
                <w:lang w:eastAsia="ro-RO"/>
              </w:rPr>
            </w:pPr>
            <w:r w:rsidRPr="00254B55">
              <w:rPr>
                <w:rFonts w:ascii="Trebuchet MS" w:eastAsia="Times New Roman" w:hAnsi="Trebuchet MS" w:cs="Arial"/>
                <w:b/>
                <w:bCs/>
                <w:sz w:val="22"/>
                <w:szCs w:val="22"/>
                <w:lang w:eastAsia="ro-RO"/>
              </w:rPr>
              <w:t>1506</w:t>
            </w:r>
          </w:p>
        </w:tc>
        <w:tc>
          <w:tcPr>
            <w:tcW w:w="0" w:type="auto"/>
            <w:shd w:val="clear" w:color="auto" w:fill="00B0F0"/>
            <w:noWrap/>
            <w:vAlign w:val="center"/>
            <w:hideMark/>
          </w:tcPr>
          <w:p w:rsidR="00777989" w:rsidRPr="00254B55" w:rsidRDefault="00777989" w:rsidP="00E13AA6">
            <w:pPr>
              <w:jc w:val="center"/>
              <w:rPr>
                <w:rFonts w:ascii="Trebuchet MS" w:eastAsia="Times New Roman" w:hAnsi="Trebuchet MS" w:cs="Arial"/>
                <w:b/>
                <w:bCs/>
                <w:color w:val="FF0000"/>
                <w:sz w:val="22"/>
                <w:szCs w:val="22"/>
                <w:lang w:eastAsia="ro-RO"/>
              </w:rPr>
            </w:pPr>
            <w:r w:rsidRPr="00254B55">
              <w:rPr>
                <w:rFonts w:ascii="Trebuchet MS" w:eastAsia="Times New Roman" w:hAnsi="Trebuchet MS" w:cs="Arial"/>
                <w:b/>
                <w:bCs/>
                <w:sz w:val="22"/>
                <w:szCs w:val="22"/>
                <w:lang w:eastAsia="ro-RO"/>
              </w:rPr>
              <w:t>414</w:t>
            </w:r>
          </w:p>
        </w:tc>
        <w:tc>
          <w:tcPr>
            <w:tcW w:w="0" w:type="auto"/>
            <w:shd w:val="clear" w:color="auto" w:fill="00B0F0"/>
            <w:noWrap/>
            <w:vAlign w:val="center"/>
            <w:hideMark/>
          </w:tcPr>
          <w:p w:rsidR="00777989" w:rsidRPr="00254B55" w:rsidRDefault="00777989" w:rsidP="00E13AA6">
            <w:pPr>
              <w:jc w:val="center"/>
              <w:rPr>
                <w:rFonts w:ascii="Trebuchet MS" w:eastAsia="Times New Roman" w:hAnsi="Trebuchet MS" w:cs="Arial"/>
                <w:b/>
                <w:bCs/>
                <w:color w:val="FF0000"/>
                <w:sz w:val="22"/>
                <w:szCs w:val="22"/>
                <w:lang w:eastAsia="ro-RO"/>
              </w:rPr>
            </w:pPr>
            <w:r w:rsidRPr="00254B55">
              <w:rPr>
                <w:rFonts w:ascii="Trebuchet MS" w:eastAsia="Times New Roman" w:hAnsi="Trebuchet MS" w:cs="Arial"/>
                <w:b/>
                <w:bCs/>
                <w:sz w:val="22"/>
                <w:szCs w:val="22"/>
                <w:lang w:eastAsia="ro-RO"/>
              </w:rPr>
              <w:t>28</w:t>
            </w:r>
          </w:p>
        </w:tc>
      </w:tr>
    </w:tbl>
    <w:p w:rsidR="00777989" w:rsidRPr="00C65FA6" w:rsidRDefault="00777989" w:rsidP="00777989">
      <w:pPr>
        <w:rPr>
          <w:rFonts w:ascii="Trebuchet MS" w:hAnsi="Trebuchet MS" w:cs="Arial"/>
          <w:b/>
        </w:rPr>
      </w:pPr>
      <w:r w:rsidRPr="00C65FA6">
        <w:rPr>
          <w:rFonts w:ascii="Trebuchet MS" w:hAnsi="Trebuchet MS" w:cs="Arial"/>
          <w:i/>
          <w:iCs/>
          <w:sz w:val="20"/>
          <w:szCs w:val="20"/>
          <w:lang w:eastAsia="ro-RO"/>
        </w:rPr>
        <w:t>(Sursa: Administraţia Naţională “Apele Române”, Sinteza calităţii apelor din România în anul 2023)</w:t>
      </w:r>
    </w:p>
    <w:p w:rsidR="00777989" w:rsidRPr="00254B55" w:rsidRDefault="00777989" w:rsidP="00777989">
      <w:pPr>
        <w:rPr>
          <w:rFonts w:ascii="Trebuchet MS" w:hAnsi="Trebuchet MS" w:cs="Arial"/>
          <w:b/>
          <w:i/>
          <w:sz w:val="22"/>
          <w:szCs w:val="22"/>
        </w:rPr>
      </w:pPr>
      <w:r w:rsidRPr="00254B55">
        <w:rPr>
          <w:rFonts w:ascii="Trebuchet MS" w:hAnsi="Trebuchet MS" w:cs="Arial"/>
          <w:b/>
          <w:i/>
          <w:sz w:val="22"/>
          <w:szCs w:val="22"/>
        </w:rPr>
        <w:t>Ponderea punctelor de monitorizare cu concentrație mai mare de 0,1</w:t>
      </w:r>
      <w:r w:rsidRPr="00254B55">
        <w:rPr>
          <w:rFonts w:ascii="Trebuchet MS" w:eastAsia="Times New Roman" w:hAnsi="Trebuchet MS" w:cs="Arial"/>
          <w:i/>
          <w:sz w:val="22"/>
          <w:szCs w:val="22"/>
          <w:lang w:eastAsia="ro-RO"/>
        </w:rPr>
        <w:t xml:space="preserve"> </w:t>
      </w:r>
      <w:r w:rsidRPr="00254B55">
        <w:rPr>
          <w:rFonts w:ascii="Trebuchet MS" w:eastAsia="Times New Roman" w:hAnsi="Trebuchet MS" w:cs="Arial"/>
          <w:b/>
          <w:i/>
          <w:sz w:val="22"/>
          <w:szCs w:val="22"/>
          <w:lang w:eastAsia="ro-RO"/>
        </w:rPr>
        <w:t>µg/L din numărul de foraje în care s-au monitorizat pesticidele în anul 2023</w:t>
      </w:r>
      <w:r w:rsidRPr="00254B55">
        <w:rPr>
          <w:rFonts w:ascii="Trebuchet MS" w:hAnsi="Trebuchet MS" w:cs="Arial"/>
          <w:b/>
          <w:i/>
          <w:sz w:val="22"/>
          <w:szCs w:val="22"/>
        </w:rPr>
        <w:t xml:space="preserve"> </w:t>
      </w:r>
    </w:p>
    <w:p w:rsidR="00777989" w:rsidRPr="00254B55" w:rsidRDefault="00777989" w:rsidP="00777989">
      <w:pPr>
        <w:rPr>
          <w:rFonts w:ascii="Trebuchet MS" w:hAnsi="Trebuchet MS" w:cs="Arial"/>
          <w:b/>
          <w:i/>
          <w:sz w:val="22"/>
          <w:szCs w:val="22"/>
        </w:rPr>
      </w:pPr>
    </w:p>
    <w:p w:rsidR="00777989" w:rsidRPr="00254B55" w:rsidRDefault="00777989" w:rsidP="00777989">
      <w:pPr>
        <w:rPr>
          <w:rFonts w:ascii="Trebuchet MS" w:eastAsia="Times New Roman" w:hAnsi="Trebuchet MS" w:cs="Arial"/>
          <w:b/>
          <w:i/>
          <w:sz w:val="22"/>
          <w:szCs w:val="22"/>
          <w:lang w:eastAsia="ro-RO"/>
        </w:rPr>
      </w:pPr>
      <w:r w:rsidRPr="00254B55">
        <w:rPr>
          <w:rFonts w:ascii="Trebuchet MS" w:hAnsi="Trebuchet MS" w:cs="Arial"/>
          <w:b/>
          <w:i/>
          <w:sz w:val="22"/>
          <w:szCs w:val="22"/>
        </w:rPr>
        <w:t>Tabel II.2.1.3.2 Ponderea punctelor de monitorizare cu concentrație mai mare de 0,1</w:t>
      </w:r>
      <w:r w:rsidRPr="00254B55">
        <w:rPr>
          <w:rFonts w:ascii="Trebuchet MS" w:eastAsia="Times New Roman" w:hAnsi="Trebuchet MS" w:cs="Arial"/>
          <w:i/>
          <w:sz w:val="22"/>
          <w:szCs w:val="22"/>
          <w:lang w:eastAsia="ro-RO"/>
        </w:rPr>
        <w:t xml:space="preserve"> </w:t>
      </w:r>
      <w:r w:rsidRPr="00254B55">
        <w:rPr>
          <w:rFonts w:ascii="Trebuchet MS" w:eastAsia="Times New Roman" w:hAnsi="Trebuchet MS" w:cs="Arial"/>
          <w:b/>
          <w:i/>
          <w:sz w:val="22"/>
          <w:szCs w:val="22"/>
          <w:lang w:eastAsia="ro-RO"/>
        </w:rPr>
        <w:t>µg/L din numărul de foraje în care s-au monitorizat pesticidele în anul 2023 (%)</w:t>
      </w: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160"/>
        <w:gridCol w:w="1980"/>
        <w:gridCol w:w="1980"/>
      </w:tblGrid>
      <w:tr w:rsidR="00777989" w:rsidRPr="006259B4" w:rsidTr="00E13AA6">
        <w:trPr>
          <w:trHeight w:val="792"/>
          <w:jc w:val="center"/>
        </w:trPr>
        <w:tc>
          <w:tcPr>
            <w:tcW w:w="2155" w:type="dxa"/>
            <w:shd w:val="clear" w:color="000000" w:fill="FFFFFF"/>
            <w:vAlign w:val="center"/>
            <w:hideMark/>
          </w:tcPr>
          <w:p w:rsidR="00777989" w:rsidRPr="006259B4" w:rsidRDefault="00777989" w:rsidP="00E13AA6">
            <w:pPr>
              <w:jc w:val="center"/>
              <w:rPr>
                <w:rFonts w:ascii="Trebuchet MS" w:eastAsia="Times New Roman" w:hAnsi="Trebuchet MS" w:cs="Arial"/>
                <w:b/>
                <w:bCs/>
                <w:color w:val="000000"/>
                <w:lang w:eastAsia="ro-RO"/>
              </w:rPr>
            </w:pPr>
            <w:r w:rsidRPr="006259B4">
              <w:rPr>
                <w:rFonts w:ascii="Trebuchet MS" w:eastAsia="Times New Roman" w:hAnsi="Trebuchet MS" w:cs="Arial"/>
                <w:b/>
                <w:bCs/>
                <w:color w:val="000000"/>
                <w:lang w:eastAsia="ro-RO"/>
              </w:rPr>
              <w:t>Spaţiu / Bazin hidrografic</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b/>
                <w:bCs/>
                <w:color w:val="000000"/>
                <w:lang w:eastAsia="ro-RO"/>
              </w:rPr>
            </w:pPr>
            <w:r w:rsidRPr="006259B4">
              <w:rPr>
                <w:rFonts w:ascii="Trebuchet MS" w:eastAsia="Times New Roman" w:hAnsi="Trebuchet MS" w:cs="Arial"/>
                <w:b/>
                <w:bCs/>
                <w:color w:val="000000"/>
                <w:lang w:eastAsia="ro-RO"/>
              </w:rPr>
              <w:t>Puncte în care sunt monitorizate   pesticidele (nr.)</w:t>
            </w:r>
          </w:p>
        </w:tc>
        <w:tc>
          <w:tcPr>
            <w:tcW w:w="1980" w:type="dxa"/>
            <w:shd w:val="clear" w:color="000000" w:fill="FFFFFF"/>
            <w:vAlign w:val="center"/>
            <w:hideMark/>
          </w:tcPr>
          <w:p w:rsidR="00777989" w:rsidRPr="006259B4" w:rsidRDefault="00777989" w:rsidP="00E13AA6">
            <w:pPr>
              <w:jc w:val="center"/>
              <w:rPr>
                <w:rFonts w:ascii="Trebuchet MS" w:eastAsia="Times New Roman" w:hAnsi="Trebuchet MS" w:cs="Arial"/>
                <w:b/>
                <w:bCs/>
                <w:color w:val="000000"/>
                <w:lang w:eastAsia="ro-RO"/>
              </w:rPr>
            </w:pPr>
            <w:r w:rsidRPr="006259B4">
              <w:rPr>
                <w:rFonts w:ascii="Trebuchet MS" w:eastAsia="Times New Roman" w:hAnsi="Trebuchet MS" w:cs="Arial"/>
                <w:b/>
                <w:bCs/>
                <w:color w:val="000000"/>
                <w:lang w:eastAsia="ro-RO"/>
              </w:rPr>
              <w:t>Puncte de monitorizare cu conc. &gt; 0,1 µg/L (nr.)</w:t>
            </w:r>
          </w:p>
        </w:tc>
        <w:tc>
          <w:tcPr>
            <w:tcW w:w="1980" w:type="dxa"/>
            <w:shd w:val="clear" w:color="000000" w:fill="FFFFFF"/>
            <w:vAlign w:val="center"/>
            <w:hideMark/>
          </w:tcPr>
          <w:p w:rsidR="00777989" w:rsidRPr="006259B4" w:rsidRDefault="00777989" w:rsidP="00E13AA6">
            <w:pPr>
              <w:jc w:val="center"/>
              <w:rPr>
                <w:rFonts w:ascii="Trebuchet MS" w:eastAsia="Times New Roman" w:hAnsi="Trebuchet MS" w:cs="Arial"/>
                <w:b/>
                <w:bCs/>
                <w:color w:val="000000"/>
                <w:lang w:eastAsia="ro-RO"/>
              </w:rPr>
            </w:pPr>
            <w:r w:rsidRPr="006259B4">
              <w:rPr>
                <w:rFonts w:ascii="Trebuchet MS" w:eastAsia="Times New Roman" w:hAnsi="Trebuchet MS" w:cs="Arial"/>
                <w:b/>
                <w:bCs/>
                <w:color w:val="000000"/>
                <w:lang w:eastAsia="ro-RO"/>
              </w:rPr>
              <w:t>Puncte de monitorizare cu conc. &gt; 0,1 µg/L  (%)</w:t>
            </w:r>
          </w:p>
        </w:tc>
      </w:tr>
      <w:tr w:rsidR="00777989" w:rsidRPr="006259B4" w:rsidTr="00E13AA6">
        <w:trPr>
          <w:trHeight w:val="408"/>
          <w:jc w:val="center"/>
        </w:trPr>
        <w:tc>
          <w:tcPr>
            <w:tcW w:w="2155"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Someș - Tisa</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color w:val="FF0000"/>
                <w:lang w:eastAsia="ro-RO"/>
              </w:rPr>
            </w:pPr>
            <w:r w:rsidRPr="006259B4">
              <w:rPr>
                <w:rFonts w:ascii="Trebuchet MS" w:eastAsia="Times New Roman" w:hAnsi="Trebuchet MS" w:cs="Arial"/>
                <w:lang w:eastAsia="ro-RO"/>
              </w:rPr>
              <w:t>3</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381"/>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Crișuri</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25</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354"/>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Mureș</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4</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345"/>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Banat</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16</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288"/>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Jiu</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73</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288"/>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Olt</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288"/>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Argeș - Vedea</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119</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0,84</w:t>
            </w:r>
          </w:p>
        </w:tc>
      </w:tr>
      <w:tr w:rsidR="00777989" w:rsidRPr="006259B4" w:rsidTr="00E13AA6">
        <w:trPr>
          <w:trHeight w:val="288"/>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Buzău - Ialomița</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60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288"/>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Siret</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12</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288"/>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Prut- Bârlad</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61</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288"/>
          <w:jc w:val="center"/>
        </w:trPr>
        <w:tc>
          <w:tcPr>
            <w:tcW w:w="2155"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Dobrogea - Litoral</w:t>
            </w:r>
          </w:p>
        </w:tc>
        <w:tc>
          <w:tcPr>
            <w:tcW w:w="2160" w:type="dxa"/>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21</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c>
          <w:tcPr>
            <w:tcW w:w="1980" w:type="dxa"/>
            <w:shd w:val="clear" w:color="000000" w:fill="FFFFFF"/>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w:t>
            </w:r>
          </w:p>
        </w:tc>
      </w:tr>
      <w:tr w:rsidR="00777989" w:rsidRPr="006259B4" w:rsidTr="00E13AA6">
        <w:trPr>
          <w:trHeight w:val="288"/>
          <w:jc w:val="center"/>
        </w:trPr>
        <w:tc>
          <w:tcPr>
            <w:tcW w:w="2155" w:type="dxa"/>
            <w:shd w:val="clear" w:color="auto" w:fill="00B0F0"/>
            <w:noWrap/>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Total</w:t>
            </w:r>
          </w:p>
        </w:tc>
        <w:tc>
          <w:tcPr>
            <w:tcW w:w="2160" w:type="dxa"/>
            <w:shd w:val="clear" w:color="auto" w:fill="00B0F0"/>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414</w:t>
            </w:r>
          </w:p>
        </w:tc>
        <w:tc>
          <w:tcPr>
            <w:tcW w:w="1980" w:type="dxa"/>
            <w:shd w:val="clear" w:color="auto" w:fill="00B0F0"/>
            <w:noWrap/>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1</w:t>
            </w:r>
          </w:p>
        </w:tc>
        <w:tc>
          <w:tcPr>
            <w:tcW w:w="1980" w:type="dxa"/>
            <w:shd w:val="clear" w:color="auto" w:fill="00B0F0"/>
            <w:noWrap/>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0,24</w:t>
            </w:r>
          </w:p>
        </w:tc>
      </w:tr>
    </w:tbl>
    <w:p w:rsidR="00777989" w:rsidRPr="00C65FA6" w:rsidRDefault="00777989" w:rsidP="00777989">
      <w:pPr>
        <w:jc w:val="center"/>
        <w:rPr>
          <w:rFonts w:ascii="Trebuchet MS" w:hAnsi="Trebuchet MS" w:cs="Arial"/>
          <w:b/>
        </w:rPr>
      </w:pPr>
      <w:r w:rsidRPr="00C65FA6">
        <w:rPr>
          <w:rFonts w:ascii="Trebuchet MS" w:hAnsi="Trebuchet MS" w:cs="Arial"/>
          <w:i/>
          <w:iCs/>
          <w:sz w:val="20"/>
          <w:szCs w:val="20"/>
          <w:lang w:eastAsia="ro-RO"/>
        </w:rPr>
        <w:t>(Sursa: Administraţia Naţională “Apele Române”, Sinteza calităţii apelor din România în anul 2023)</w:t>
      </w:r>
    </w:p>
    <w:p w:rsidR="00777989" w:rsidRPr="006259B4" w:rsidRDefault="00777989" w:rsidP="00777989">
      <w:pPr>
        <w:rPr>
          <w:rFonts w:ascii="Trebuchet MS" w:hAnsi="Trebuchet MS" w:cs="Arial"/>
          <w:b/>
          <w:i/>
          <w:color w:val="FF0000"/>
        </w:rPr>
      </w:pPr>
    </w:p>
    <w:p w:rsidR="00777989" w:rsidRPr="00254B55" w:rsidRDefault="00777989" w:rsidP="00777989">
      <w:pPr>
        <w:jc w:val="both"/>
        <w:rPr>
          <w:rFonts w:ascii="Trebuchet MS" w:eastAsia="Times New Roman" w:hAnsi="Trebuchet MS" w:cs="Arial"/>
          <w:b/>
          <w:i/>
          <w:sz w:val="22"/>
          <w:szCs w:val="22"/>
          <w:lang w:eastAsia="ro-RO"/>
        </w:rPr>
      </w:pPr>
      <w:r w:rsidRPr="00254B55">
        <w:rPr>
          <w:rFonts w:ascii="Trebuchet MS" w:hAnsi="Trebuchet MS" w:cs="Arial"/>
          <w:b/>
          <w:i/>
          <w:sz w:val="22"/>
          <w:szCs w:val="22"/>
        </w:rPr>
        <w:t>Evoluția punctelor de monitorizare cu concentrație mai mare de 0,1</w:t>
      </w:r>
      <w:r w:rsidRPr="00254B55">
        <w:rPr>
          <w:rFonts w:ascii="Trebuchet MS" w:eastAsia="Times New Roman" w:hAnsi="Trebuchet MS" w:cs="Arial"/>
          <w:i/>
          <w:sz w:val="22"/>
          <w:szCs w:val="22"/>
          <w:lang w:eastAsia="ro-RO"/>
        </w:rPr>
        <w:t xml:space="preserve"> </w:t>
      </w:r>
      <w:r w:rsidRPr="00254B55">
        <w:rPr>
          <w:rFonts w:ascii="Trebuchet MS" w:eastAsia="Times New Roman" w:hAnsi="Trebuchet MS" w:cs="Arial"/>
          <w:b/>
          <w:i/>
          <w:sz w:val="22"/>
          <w:szCs w:val="22"/>
          <w:lang w:eastAsia="ro-RO"/>
        </w:rPr>
        <w:t>µg/L pentru perioada 2015 - 2023 (%)</w:t>
      </w:r>
    </w:p>
    <w:p w:rsidR="00EA0908" w:rsidRPr="00254B55" w:rsidRDefault="00EA0908" w:rsidP="00777989">
      <w:pPr>
        <w:jc w:val="both"/>
        <w:rPr>
          <w:rFonts w:ascii="Trebuchet MS" w:hAnsi="Trebuchet MS" w:cs="Arial"/>
          <w:b/>
          <w:i/>
          <w:sz w:val="22"/>
          <w:szCs w:val="22"/>
        </w:rPr>
      </w:pPr>
    </w:p>
    <w:p w:rsidR="00777989" w:rsidRPr="00254B55" w:rsidRDefault="00777989" w:rsidP="00777989">
      <w:pPr>
        <w:jc w:val="both"/>
        <w:rPr>
          <w:rFonts w:ascii="Trebuchet MS" w:eastAsia="Times New Roman" w:hAnsi="Trebuchet MS" w:cs="Arial"/>
          <w:b/>
          <w:i/>
          <w:sz w:val="22"/>
          <w:szCs w:val="22"/>
          <w:lang w:eastAsia="ro-RO"/>
        </w:rPr>
      </w:pPr>
      <w:r w:rsidRPr="00254B55">
        <w:rPr>
          <w:rFonts w:ascii="Trebuchet MS" w:hAnsi="Trebuchet MS" w:cs="Arial"/>
          <w:b/>
          <w:i/>
          <w:sz w:val="22"/>
          <w:szCs w:val="22"/>
        </w:rPr>
        <w:t>Tabel II.2.1.3.3 Evoluția punctelor de monitorizare cu concentrație mai mare de 0,1</w:t>
      </w:r>
      <w:r w:rsidRPr="00254B55">
        <w:rPr>
          <w:rFonts w:ascii="Trebuchet MS" w:eastAsia="Times New Roman" w:hAnsi="Trebuchet MS" w:cs="Arial"/>
          <w:b/>
          <w:i/>
          <w:sz w:val="22"/>
          <w:szCs w:val="22"/>
          <w:lang w:eastAsia="ro-RO"/>
        </w:rPr>
        <w:t xml:space="preserve"> µg/L pentru perioada 2015 - 2023 (%)</w:t>
      </w:r>
    </w:p>
    <w:tbl>
      <w:tblPr>
        <w:tblW w:w="10853" w:type="dxa"/>
        <w:tblInd w:w="-730" w:type="dxa"/>
        <w:tblLook w:val="04A0" w:firstRow="1" w:lastRow="0" w:firstColumn="1" w:lastColumn="0" w:noHBand="0" w:noVBand="1"/>
      </w:tblPr>
      <w:tblGrid>
        <w:gridCol w:w="2714"/>
        <w:gridCol w:w="847"/>
        <w:gridCol w:w="933"/>
        <w:gridCol w:w="933"/>
        <w:gridCol w:w="933"/>
        <w:gridCol w:w="933"/>
        <w:gridCol w:w="933"/>
        <w:gridCol w:w="933"/>
        <w:gridCol w:w="847"/>
        <w:gridCol w:w="847"/>
      </w:tblGrid>
      <w:tr w:rsidR="00777989" w:rsidRPr="006259B4" w:rsidTr="00E13AA6">
        <w:trPr>
          <w:trHeight w:val="240"/>
        </w:trPr>
        <w:tc>
          <w:tcPr>
            <w:tcW w:w="2714" w:type="dxa"/>
            <w:tcBorders>
              <w:top w:val="single" w:sz="8" w:space="0" w:color="auto"/>
              <w:left w:val="single" w:sz="8" w:space="0" w:color="auto"/>
              <w:bottom w:val="single" w:sz="8" w:space="0" w:color="auto"/>
              <w:right w:val="single" w:sz="8" w:space="0" w:color="auto"/>
            </w:tcBorders>
            <w:shd w:val="clear" w:color="auto" w:fill="00B0F0"/>
            <w:noWrap/>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Anul</w:t>
            </w:r>
          </w:p>
        </w:tc>
        <w:tc>
          <w:tcPr>
            <w:tcW w:w="847" w:type="dxa"/>
            <w:tcBorders>
              <w:top w:val="single" w:sz="8" w:space="0" w:color="auto"/>
              <w:left w:val="nil"/>
              <w:bottom w:val="single" w:sz="8" w:space="0" w:color="auto"/>
              <w:right w:val="single" w:sz="8" w:space="0" w:color="auto"/>
            </w:tcBorders>
            <w:shd w:val="clear" w:color="auto" w:fill="00B0F0"/>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2015</w:t>
            </w:r>
          </w:p>
        </w:tc>
        <w:tc>
          <w:tcPr>
            <w:tcW w:w="933" w:type="dxa"/>
            <w:tcBorders>
              <w:top w:val="single" w:sz="8" w:space="0" w:color="auto"/>
              <w:left w:val="nil"/>
              <w:bottom w:val="single" w:sz="8" w:space="0" w:color="auto"/>
              <w:right w:val="single" w:sz="8" w:space="0" w:color="auto"/>
            </w:tcBorders>
            <w:shd w:val="clear" w:color="auto" w:fill="00B0F0"/>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2016</w:t>
            </w:r>
          </w:p>
        </w:tc>
        <w:tc>
          <w:tcPr>
            <w:tcW w:w="933" w:type="dxa"/>
            <w:tcBorders>
              <w:top w:val="single" w:sz="8" w:space="0" w:color="auto"/>
              <w:left w:val="nil"/>
              <w:bottom w:val="single" w:sz="8" w:space="0" w:color="auto"/>
              <w:right w:val="single" w:sz="8" w:space="0" w:color="auto"/>
            </w:tcBorders>
            <w:shd w:val="clear" w:color="auto" w:fill="00B0F0"/>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2017</w:t>
            </w:r>
          </w:p>
        </w:tc>
        <w:tc>
          <w:tcPr>
            <w:tcW w:w="933" w:type="dxa"/>
            <w:tcBorders>
              <w:top w:val="single" w:sz="8" w:space="0" w:color="auto"/>
              <w:left w:val="nil"/>
              <w:bottom w:val="single" w:sz="8" w:space="0" w:color="auto"/>
              <w:right w:val="nil"/>
            </w:tcBorders>
            <w:shd w:val="clear" w:color="auto" w:fill="00B0F0"/>
            <w:noWrap/>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2018</w:t>
            </w:r>
          </w:p>
        </w:tc>
        <w:tc>
          <w:tcPr>
            <w:tcW w:w="933"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2019</w:t>
            </w:r>
          </w:p>
        </w:tc>
        <w:tc>
          <w:tcPr>
            <w:tcW w:w="933" w:type="dxa"/>
            <w:tcBorders>
              <w:top w:val="single" w:sz="4" w:space="0" w:color="auto"/>
              <w:left w:val="nil"/>
              <w:bottom w:val="single" w:sz="4" w:space="0" w:color="auto"/>
              <w:right w:val="single" w:sz="4" w:space="0" w:color="auto"/>
            </w:tcBorders>
            <w:shd w:val="clear" w:color="auto" w:fill="00B0F0"/>
            <w:noWrap/>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2020</w:t>
            </w:r>
          </w:p>
        </w:tc>
        <w:tc>
          <w:tcPr>
            <w:tcW w:w="933" w:type="dxa"/>
            <w:tcBorders>
              <w:top w:val="single" w:sz="4" w:space="0" w:color="auto"/>
              <w:left w:val="nil"/>
              <w:bottom w:val="single" w:sz="4" w:space="0" w:color="auto"/>
              <w:right w:val="single" w:sz="4" w:space="0" w:color="auto"/>
            </w:tcBorders>
            <w:shd w:val="clear" w:color="auto" w:fill="00B0F0"/>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2021</w:t>
            </w:r>
          </w:p>
        </w:tc>
        <w:tc>
          <w:tcPr>
            <w:tcW w:w="847" w:type="dxa"/>
            <w:tcBorders>
              <w:top w:val="single" w:sz="4" w:space="0" w:color="auto"/>
              <w:left w:val="nil"/>
              <w:bottom w:val="single" w:sz="4" w:space="0" w:color="auto"/>
              <w:right w:val="single" w:sz="4" w:space="0" w:color="auto"/>
            </w:tcBorders>
            <w:shd w:val="clear" w:color="auto" w:fill="00B0F0"/>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2022</w:t>
            </w:r>
          </w:p>
        </w:tc>
        <w:tc>
          <w:tcPr>
            <w:tcW w:w="847" w:type="dxa"/>
            <w:tcBorders>
              <w:top w:val="single" w:sz="4" w:space="0" w:color="auto"/>
              <w:left w:val="nil"/>
              <w:bottom w:val="single" w:sz="4" w:space="0" w:color="auto"/>
              <w:right w:val="single" w:sz="4" w:space="0" w:color="auto"/>
            </w:tcBorders>
            <w:shd w:val="clear" w:color="auto" w:fill="00B0F0"/>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2023</w:t>
            </w:r>
          </w:p>
        </w:tc>
      </w:tr>
      <w:tr w:rsidR="00777989" w:rsidRPr="006259B4" w:rsidTr="00E13AA6">
        <w:trPr>
          <w:trHeight w:val="452"/>
        </w:trPr>
        <w:tc>
          <w:tcPr>
            <w:tcW w:w="2714" w:type="dxa"/>
            <w:tcBorders>
              <w:top w:val="nil"/>
              <w:left w:val="single" w:sz="8" w:space="0" w:color="auto"/>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Număr pesticide monitorizate</w:t>
            </w:r>
          </w:p>
        </w:tc>
        <w:tc>
          <w:tcPr>
            <w:tcW w:w="847" w:type="dxa"/>
            <w:tcBorders>
              <w:top w:val="nil"/>
              <w:left w:val="nil"/>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19</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20</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21</w:t>
            </w:r>
          </w:p>
        </w:tc>
        <w:tc>
          <w:tcPr>
            <w:tcW w:w="933" w:type="dxa"/>
            <w:tcBorders>
              <w:top w:val="nil"/>
              <w:left w:val="nil"/>
              <w:bottom w:val="single" w:sz="8" w:space="0" w:color="auto"/>
              <w:right w:val="nil"/>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23</w:t>
            </w:r>
          </w:p>
        </w:tc>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30</w:t>
            </w:r>
          </w:p>
        </w:tc>
        <w:tc>
          <w:tcPr>
            <w:tcW w:w="933" w:type="dxa"/>
            <w:tcBorders>
              <w:top w:val="nil"/>
              <w:left w:val="nil"/>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28</w:t>
            </w:r>
          </w:p>
        </w:tc>
        <w:tc>
          <w:tcPr>
            <w:tcW w:w="933"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28</w:t>
            </w: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28</w:t>
            </w: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28</w:t>
            </w:r>
          </w:p>
        </w:tc>
      </w:tr>
      <w:tr w:rsidR="00777989" w:rsidRPr="006259B4" w:rsidTr="00E13AA6">
        <w:trPr>
          <w:trHeight w:val="452"/>
        </w:trPr>
        <w:tc>
          <w:tcPr>
            <w:tcW w:w="2714" w:type="dxa"/>
            <w:tcBorders>
              <w:top w:val="nil"/>
              <w:left w:val="single" w:sz="8" w:space="0" w:color="auto"/>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Număr total de puncte monitorizate</w:t>
            </w:r>
          </w:p>
        </w:tc>
        <w:tc>
          <w:tcPr>
            <w:tcW w:w="847" w:type="dxa"/>
            <w:tcBorders>
              <w:top w:val="nil"/>
              <w:left w:val="nil"/>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1310</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1523</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1536</w:t>
            </w:r>
          </w:p>
        </w:tc>
        <w:tc>
          <w:tcPr>
            <w:tcW w:w="933" w:type="dxa"/>
            <w:tcBorders>
              <w:top w:val="nil"/>
              <w:left w:val="nil"/>
              <w:bottom w:val="single" w:sz="8" w:space="0" w:color="auto"/>
              <w:right w:val="nil"/>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1535</w:t>
            </w:r>
          </w:p>
        </w:tc>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1533</w:t>
            </w:r>
          </w:p>
        </w:tc>
        <w:tc>
          <w:tcPr>
            <w:tcW w:w="933" w:type="dxa"/>
            <w:tcBorders>
              <w:top w:val="nil"/>
              <w:left w:val="nil"/>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1487</w:t>
            </w:r>
          </w:p>
        </w:tc>
        <w:tc>
          <w:tcPr>
            <w:tcW w:w="933"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1524</w:t>
            </w: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1528</w:t>
            </w: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1506</w:t>
            </w:r>
          </w:p>
        </w:tc>
      </w:tr>
      <w:tr w:rsidR="00777989" w:rsidRPr="006259B4" w:rsidTr="00E13AA6">
        <w:trPr>
          <w:trHeight w:val="584"/>
        </w:trPr>
        <w:tc>
          <w:tcPr>
            <w:tcW w:w="2714" w:type="dxa"/>
            <w:tcBorders>
              <w:top w:val="nil"/>
              <w:left w:val="single" w:sz="8" w:space="0" w:color="auto"/>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Număr puncte în care se  monitorizează pesticidele</w:t>
            </w:r>
          </w:p>
        </w:tc>
        <w:tc>
          <w:tcPr>
            <w:tcW w:w="847" w:type="dxa"/>
            <w:tcBorders>
              <w:top w:val="nil"/>
              <w:left w:val="nil"/>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365</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574</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550</w:t>
            </w:r>
          </w:p>
        </w:tc>
        <w:tc>
          <w:tcPr>
            <w:tcW w:w="933" w:type="dxa"/>
            <w:tcBorders>
              <w:top w:val="nil"/>
              <w:left w:val="nil"/>
              <w:bottom w:val="single" w:sz="8" w:space="0" w:color="auto"/>
              <w:right w:val="nil"/>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272</w:t>
            </w:r>
          </w:p>
        </w:tc>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275</w:t>
            </w:r>
          </w:p>
        </w:tc>
        <w:tc>
          <w:tcPr>
            <w:tcW w:w="933" w:type="dxa"/>
            <w:tcBorders>
              <w:top w:val="nil"/>
              <w:left w:val="nil"/>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356</w:t>
            </w:r>
          </w:p>
        </w:tc>
        <w:tc>
          <w:tcPr>
            <w:tcW w:w="933"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346</w:t>
            </w: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359</w:t>
            </w: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414</w:t>
            </w:r>
          </w:p>
        </w:tc>
      </w:tr>
      <w:tr w:rsidR="00777989" w:rsidRPr="006259B4" w:rsidTr="00E13AA6">
        <w:trPr>
          <w:trHeight w:val="1029"/>
        </w:trPr>
        <w:tc>
          <w:tcPr>
            <w:tcW w:w="2714" w:type="dxa"/>
            <w:tcBorders>
              <w:top w:val="nil"/>
              <w:left w:val="single" w:sz="8" w:space="0" w:color="auto"/>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b/>
                <w:bCs/>
                <w:lang w:eastAsia="ro-RO"/>
              </w:rPr>
            </w:pPr>
            <w:r w:rsidRPr="006259B4">
              <w:rPr>
                <w:rFonts w:ascii="Trebuchet MS" w:eastAsia="Times New Roman" w:hAnsi="Trebuchet MS" w:cs="Arial"/>
                <w:b/>
                <w:bCs/>
                <w:lang w:eastAsia="ro-RO"/>
              </w:rPr>
              <w:t>Ponderea punctelor de monitorizare  cu concentrație mai mare de 0.1µg/L din nr. punctelor în care se monitorizează pesticidele (%)</w:t>
            </w:r>
          </w:p>
        </w:tc>
        <w:tc>
          <w:tcPr>
            <w:tcW w:w="847" w:type="dxa"/>
            <w:tcBorders>
              <w:top w:val="nil"/>
              <w:left w:val="nil"/>
              <w:bottom w:val="single" w:sz="8" w:space="0" w:color="auto"/>
              <w:right w:val="single" w:sz="8" w:space="0" w:color="auto"/>
            </w:tcBorders>
            <w:shd w:val="clear" w:color="auto" w:fill="auto"/>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6,3</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3,31</w:t>
            </w:r>
          </w:p>
        </w:tc>
        <w:tc>
          <w:tcPr>
            <w:tcW w:w="933" w:type="dxa"/>
            <w:tcBorders>
              <w:top w:val="nil"/>
              <w:left w:val="nil"/>
              <w:bottom w:val="single" w:sz="8" w:space="0" w:color="auto"/>
              <w:right w:val="single" w:sz="8" w:space="0" w:color="auto"/>
            </w:tcBorders>
            <w:shd w:val="clear" w:color="000000" w:fill="FFFFFF"/>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2,0</w:t>
            </w:r>
          </w:p>
        </w:tc>
        <w:tc>
          <w:tcPr>
            <w:tcW w:w="933" w:type="dxa"/>
            <w:tcBorders>
              <w:top w:val="nil"/>
              <w:left w:val="nil"/>
              <w:bottom w:val="single" w:sz="8" w:space="0" w:color="auto"/>
              <w:right w:val="nil"/>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2,94</w:t>
            </w:r>
          </w:p>
        </w:tc>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2,55</w:t>
            </w:r>
          </w:p>
        </w:tc>
        <w:tc>
          <w:tcPr>
            <w:tcW w:w="933" w:type="dxa"/>
            <w:tcBorders>
              <w:top w:val="nil"/>
              <w:left w:val="nil"/>
              <w:bottom w:val="single" w:sz="4" w:space="0" w:color="auto"/>
              <w:right w:val="single" w:sz="4" w:space="0" w:color="auto"/>
            </w:tcBorders>
            <w:shd w:val="clear" w:color="auto" w:fill="auto"/>
            <w:noWrap/>
            <w:vAlign w:val="center"/>
            <w:hideMark/>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2,25</w:t>
            </w:r>
          </w:p>
        </w:tc>
        <w:tc>
          <w:tcPr>
            <w:tcW w:w="933"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0,29</w:t>
            </w: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p>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1,39</w:t>
            </w:r>
          </w:p>
          <w:p w:rsidR="00777989" w:rsidRPr="006259B4" w:rsidRDefault="00777989" w:rsidP="00E13AA6">
            <w:pPr>
              <w:jc w:val="center"/>
              <w:rPr>
                <w:rFonts w:ascii="Trebuchet MS" w:eastAsia="Times New Roman" w:hAnsi="Trebuchet MS" w:cs="Arial"/>
                <w:lang w:eastAsia="ro-RO"/>
              </w:rPr>
            </w:pPr>
          </w:p>
        </w:tc>
        <w:tc>
          <w:tcPr>
            <w:tcW w:w="847" w:type="dxa"/>
            <w:tcBorders>
              <w:top w:val="nil"/>
              <w:left w:val="nil"/>
              <w:bottom w:val="single" w:sz="4" w:space="0" w:color="auto"/>
              <w:right w:val="single" w:sz="4" w:space="0" w:color="auto"/>
            </w:tcBorders>
            <w:vAlign w:val="center"/>
          </w:tcPr>
          <w:p w:rsidR="00777989" w:rsidRPr="006259B4" w:rsidRDefault="00777989" w:rsidP="00E13AA6">
            <w:pPr>
              <w:jc w:val="center"/>
              <w:rPr>
                <w:rFonts w:ascii="Trebuchet MS" w:eastAsia="Times New Roman" w:hAnsi="Trebuchet MS" w:cs="Arial"/>
                <w:lang w:eastAsia="ro-RO"/>
              </w:rPr>
            </w:pPr>
            <w:r w:rsidRPr="006259B4">
              <w:rPr>
                <w:rFonts w:ascii="Trebuchet MS" w:eastAsia="Times New Roman" w:hAnsi="Trebuchet MS" w:cs="Arial"/>
                <w:lang w:eastAsia="ro-RO"/>
              </w:rPr>
              <w:t>0,24</w:t>
            </w:r>
          </w:p>
        </w:tc>
      </w:tr>
    </w:tbl>
    <w:p w:rsidR="00777989" w:rsidRPr="00C65FA6" w:rsidRDefault="00777989" w:rsidP="00777989">
      <w:pPr>
        <w:rPr>
          <w:rFonts w:ascii="Trebuchet MS" w:hAnsi="Trebuchet MS" w:cs="Arial"/>
          <w:b/>
        </w:rPr>
      </w:pPr>
      <w:r w:rsidRPr="00C65FA6">
        <w:rPr>
          <w:rFonts w:ascii="Trebuchet MS" w:hAnsi="Trebuchet MS" w:cs="Arial"/>
          <w:i/>
          <w:iCs/>
          <w:sz w:val="20"/>
          <w:szCs w:val="20"/>
          <w:lang w:eastAsia="ro-RO"/>
        </w:rPr>
        <w:t>(Sursa: Administraţia Naţională “Apele Române”, Sinteza calităţii apelor din România în anul 2023)</w:t>
      </w:r>
    </w:p>
    <w:p w:rsidR="00777989" w:rsidRPr="006259B4" w:rsidRDefault="00777989" w:rsidP="00777989">
      <w:pPr>
        <w:jc w:val="both"/>
        <w:rPr>
          <w:rFonts w:ascii="Trebuchet MS" w:eastAsia="Times New Roman" w:hAnsi="Trebuchet MS" w:cs="Arial"/>
          <w:b/>
          <w:i/>
          <w:color w:val="FF0000"/>
          <w:sz w:val="20"/>
          <w:szCs w:val="20"/>
          <w:lang w:eastAsia="ro-RO"/>
        </w:rPr>
      </w:pPr>
    </w:p>
    <w:p w:rsidR="00777989" w:rsidRPr="006259B4" w:rsidRDefault="00777989" w:rsidP="00777989">
      <w:pPr>
        <w:jc w:val="both"/>
        <w:rPr>
          <w:rFonts w:ascii="Trebuchet MS" w:eastAsia="Times New Roman" w:hAnsi="Trebuchet MS" w:cs="Arial"/>
          <w:b/>
          <w:i/>
          <w:color w:val="FF0000"/>
          <w:lang w:eastAsia="ro-RO"/>
        </w:rPr>
      </w:pPr>
    </w:p>
    <w:p w:rsidR="00777989" w:rsidRPr="00254B55" w:rsidRDefault="00777989" w:rsidP="00777989">
      <w:pPr>
        <w:jc w:val="both"/>
        <w:rPr>
          <w:rFonts w:ascii="Trebuchet MS" w:eastAsia="Times New Roman" w:hAnsi="Trebuchet MS" w:cs="Arial"/>
          <w:b/>
          <w:i/>
          <w:sz w:val="22"/>
          <w:szCs w:val="22"/>
          <w:lang w:eastAsia="ro-RO"/>
        </w:rPr>
      </w:pPr>
      <w:r w:rsidRPr="00254B55">
        <w:rPr>
          <w:rFonts w:ascii="Trebuchet MS" w:eastAsia="Times New Roman" w:hAnsi="Trebuchet MS" w:cs="Arial"/>
          <w:b/>
          <w:bCs/>
          <w:i/>
          <w:sz w:val="22"/>
          <w:szCs w:val="22"/>
          <w:lang w:eastAsia="ro-RO"/>
        </w:rPr>
        <w:t>Tabel II.2.1.3.4. Numărul punctele monitorizate în care se monitorizează pesticidele și nr. punctelor  cu concentrație mai mare de 0,1µg/L în anul 2023</w:t>
      </w:r>
    </w:p>
    <w:tbl>
      <w:tblPr>
        <w:tblW w:w="8359" w:type="dxa"/>
        <w:jc w:val="center"/>
        <w:tblLook w:val="04A0" w:firstRow="1" w:lastRow="0" w:firstColumn="1" w:lastColumn="0" w:noHBand="0" w:noVBand="1"/>
      </w:tblPr>
      <w:tblGrid>
        <w:gridCol w:w="704"/>
        <w:gridCol w:w="2886"/>
        <w:gridCol w:w="2501"/>
        <w:gridCol w:w="2268"/>
      </w:tblGrid>
      <w:tr w:rsidR="00777989" w:rsidRPr="00254B55" w:rsidTr="00E13AA6">
        <w:trPr>
          <w:trHeight w:val="1116"/>
          <w:jc w:val="center"/>
        </w:trPr>
        <w:tc>
          <w:tcPr>
            <w:tcW w:w="704"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Nr. crt.</w:t>
            </w:r>
          </w:p>
        </w:tc>
        <w:tc>
          <w:tcPr>
            <w:tcW w:w="2886" w:type="dxa"/>
            <w:tcBorders>
              <w:top w:val="single" w:sz="4" w:space="0" w:color="auto"/>
              <w:left w:val="nil"/>
              <w:bottom w:val="single" w:sz="4" w:space="0" w:color="auto"/>
              <w:right w:val="single" w:sz="4" w:space="0" w:color="auto"/>
            </w:tcBorders>
            <w:shd w:val="clear" w:color="auto" w:fill="00B0F0"/>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Pesticide</w:t>
            </w:r>
          </w:p>
        </w:tc>
        <w:tc>
          <w:tcPr>
            <w:tcW w:w="2501" w:type="dxa"/>
            <w:tcBorders>
              <w:top w:val="single" w:sz="4" w:space="0" w:color="auto"/>
              <w:left w:val="nil"/>
              <w:bottom w:val="single" w:sz="4" w:space="0" w:color="auto"/>
              <w:right w:val="single" w:sz="4" w:space="0" w:color="auto"/>
            </w:tcBorders>
            <w:shd w:val="clear" w:color="auto" w:fill="00B0F0"/>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Nr. de puncte în care se monitorizează pesticide</w:t>
            </w:r>
          </w:p>
        </w:tc>
        <w:tc>
          <w:tcPr>
            <w:tcW w:w="2268" w:type="dxa"/>
            <w:tcBorders>
              <w:top w:val="single" w:sz="4" w:space="0" w:color="auto"/>
              <w:left w:val="nil"/>
              <w:bottom w:val="single" w:sz="4" w:space="0" w:color="auto"/>
              <w:right w:val="single" w:sz="4" w:space="0" w:color="auto"/>
            </w:tcBorders>
            <w:shd w:val="clear" w:color="auto" w:fill="00B0F0"/>
            <w:vAlign w:val="center"/>
            <w:hideMark/>
          </w:tcPr>
          <w:p w:rsidR="00777989" w:rsidRPr="00254B55" w:rsidRDefault="00777989" w:rsidP="00E13AA6">
            <w:pPr>
              <w:jc w:val="center"/>
              <w:rPr>
                <w:rFonts w:ascii="Trebuchet MS" w:eastAsia="Times New Roman" w:hAnsi="Trebuchet MS" w:cs="Arial"/>
                <w:b/>
                <w:bCs/>
                <w:color w:val="000000"/>
                <w:sz w:val="22"/>
                <w:szCs w:val="22"/>
                <w:lang w:eastAsia="ro-RO"/>
              </w:rPr>
            </w:pPr>
            <w:r w:rsidRPr="00254B55">
              <w:rPr>
                <w:rFonts w:ascii="Trebuchet MS" w:eastAsia="Times New Roman" w:hAnsi="Trebuchet MS" w:cs="Arial"/>
                <w:b/>
                <w:bCs/>
                <w:color w:val="000000"/>
                <w:sz w:val="22"/>
                <w:szCs w:val="22"/>
                <w:lang w:eastAsia="ro-RO"/>
              </w:rPr>
              <w:t>Nr. puncte de monitorizare cu conc. &gt; 0,1 µg/L</w:t>
            </w:r>
          </w:p>
        </w:tc>
      </w:tr>
      <w:tr w:rsidR="00777989" w:rsidRPr="00254B55" w:rsidTr="00E13AA6">
        <w:trPr>
          <w:trHeight w:val="390"/>
          <w:jc w:val="center"/>
        </w:trPr>
        <w:tc>
          <w:tcPr>
            <w:tcW w:w="70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w:t>
            </w:r>
          </w:p>
        </w:tc>
        <w:tc>
          <w:tcPr>
            <w:tcW w:w="2886" w:type="dxa"/>
            <w:tcBorders>
              <w:top w:val="single" w:sz="4" w:space="0" w:color="auto"/>
              <w:left w:val="nil"/>
              <w:bottom w:val="single" w:sz="4" w:space="0" w:color="auto"/>
              <w:right w:val="single" w:sz="4" w:space="0" w:color="auto"/>
            </w:tcBorders>
            <w:shd w:val="clear" w:color="auto" w:fill="auto"/>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alfa - Hexaclorciclohexan</w:t>
            </w:r>
          </w:p>
        </w:tc>
        <w:tc>
          <w:tcPr>
            <w:tcW w:w="2501" w:type="dxa"/>
            <w:tcBorders>
              <w:top w:val="single" w:sz="4" w:space="0" w:color="auto"/>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193</w:t>
            </w:r>
          </w:p>
        </w:tc>
        <w:tc>
          <w:tcPr>
            <w:tcW w:w="2268" w:type="dxa"/>
            <w:tcBorders>
              <w:top w:val="single" w:sz="4" w:space="0" w:color="auto"/>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552"/>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w:t>
            </w:r>
          </w:p>
        </w:tc>
        <w:tc>
          <w:tcPr>
            <w:tcW w:w="2886" w:type="dxa"/>
            <w:tcBorders>
              <w:top w:val="nil"/>
              <w:left w:val="nil"/>
              <w:bottom w:val="single" w:sz="4" w:space="0" w:color="auto"/>
              <w:right w:val="single" w:sz="4" w:space="0" w:color="auto"/>
            </w:tcBorders>
            <w:shd w:val="clear" w:color="auto" w:fill="auto"/>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beta - Hexaclorciclohexan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193</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3</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gama HCH - Lindan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258</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4</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alfa-Endosulfan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277</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5</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beta-Endosulfan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277</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6</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Trifluralin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ED0000"/>
                <w:sz w:val="22"/>
                <w:szCs w:val="22"/>
                <w:lang w:eastAsia="ro-RO"/>
              </w:rPr>
            </w:pPr>
            <w:r w:rsidRPr="00254B55">
              <w:rPr>
                <w:rFonts w:ascii="Trebuchet MS" w:eastAsia="Times New Roman" w:hAnsi="Trebuchet MS" w:cs="Arial"/>
                <w:sz w:val="22"/>
                <w:szCs w:val="22"/>
                <w:lang w:eastAsia="ro-RO"/>
              </w:rPr>
              <w:t>197</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7</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Alaclor</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193</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8</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Aldrin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48</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9</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Atrazin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146</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10</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Clorfenvinfos</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196</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11</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Clorpirifos</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196</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534"/>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12</w:t>
            </w:r>
          </w:p>
        </w:tc>
        <w:tc>
          <w:tcPr>
            <w:tcW w:w="2886" w:type="dxa"/>
            <w:tcBorders>
              <w:top w:val="nil"/>
              <w:left w:val="nil"/>
              <w:bottom w:val="single" w:sz="4" w:space="0" w:color="auto"/>
              <w:right w:val="single" w:sz="4" w:space="0" w:color="auto"/>
            </w:tcBorders>
            <w:shd w:val="clear" w:color="auto" w:fill="auto"/>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Diclorvos (fosfat de 2.2-diclorovinil si dimetil)</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196</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76"/>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13</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Dieldrin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109</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14</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Diuron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112</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309"/>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15</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Endrin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45</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16</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Isodrin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45</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327"/>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17</w:t>
            </w:r>
          </w:p>
        </w:tc>
        <w:tc>
          <w:tcPr>
            <w:tcW w:w="2886" w:type="dxa"/>
            <w:tcBorders>
              <w:top w:val="nil"/>
              <w:left w:val="nil"/>
              <w:bottom w:val="single" w:sz="4" w:space="0" w:color="auto"/>
              <w:right w:val="single" w:sz="4" w:space="0" w:color="auto"/>
            </w:tcBorders>
            <w:shd w:val="clear" w:color="000000" w:fill="FFFFFF"/>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Izoproturon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118</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795"/>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18</w:t>
            </w:r>
          </w:p>
        </w:tc>
        <w:tc>
          <w:tcPr>
            <w:tcW w:w="2886" w:type="dxa"/>
            <w:tcBorders>
              <w:top w:val="nil"/>
              <w:left w:val="nil"/>
              <w:bottom w:val="single" w:sz="4" w:space="0" w:color="auto"/>
              <w:right w:val="single" w:sz="4" w:space="0" w:color="auto"/>
            </w:tcBorders>
            <w:shd w:val="clear" w:color="auto" w:fill="auto"/>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Linuron (3-(3.4-diclorfenil) -1-metoxi-1-metiluree)</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69</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840"/>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19</w:t>
            </w:r>
          </w:p>
        </w:tc>
        <w:tc>
          <w:tcPr>
            <w:tcW w:w="2886" w:type="dxa"/>
            <w:tcBorders>
              <w:top w:val="nil"/>
              <w:left w:val="nil"/>
              <w:bottom w:val="single" w:sz="4" w:space="0" w:color="auto"/>
              <w:right w:val="single" w:sz="4" w:space="0" w:color="auto"/>
            </w:tcBorders>
            <w:shd w:val="clear" w:color="auto" w:fill="auto"/>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 xml:space="preserve">Mevinfos (fosfat de 2-metoxicarbonil-1-metilvinil si dimetil) </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74</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840"/>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20</w:t>
            </w:r>
          </w:p>
        </w:tc>
        <w:tc>
          <w:tcPr>
            <w:tcW w:w="2886" w:type="dxa"/>
            <w:tcBorders>
              <w:top w:val="nil"/>
              <w:left w:val="nil"/>
              <w:bottom w:val="single" w:sz="4" w:space="0" w:color="auto"/>
              <w:right w:val="single" w:sz="4" w:space="0" w:color="auto"/>
            </w:tcBorders>
            <w:shd w:val="clear" w:color="auto" w:fill="auto"/>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Monolinuron (3-(4-clorofenil)-1-metoxi-1-metiluree)</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69</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21</w:t>
            </w:r>
          </w:p>
        </w:tc>
        <w:tc>
          <w:tcPr>
            <w:tcW w:w="2886"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orto-para-DDT</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122</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22</w:t>
            </w:r>
          </w:p>
        </w:tc>
        <w:tc>
          <w:tcPr>
            <w:tcW w:w="2886"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para-para DDD</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122</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23</w:t>
            </w:r>
          </w:p>
        </w:tc>
        <w:tc>
          <w:tcPr>
            <w:tcW w:w="2886"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para-para-DDE</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122</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24</w:t>
            </w:r>
          </w:p>
        </w:tc>
        <w:tc>
          <w:tcPr>
            <w:tcW w:w="2886"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Para-para-DDT</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254</w:t>
            </w:r>
          </w:p>
          <w:p w:rsidR="00777989" w:rsidRPr="00254B55" w:rsidRDefault="00777989" w:rsidP="00E13AA6">
            <w:pPr>
              <w:jc w:val="center"/>
              <w:rPr>
                <w:rFonts w:ascii="Trebuchet MS" w:eastAsia="Times New Roman" w:hAnsi="Trebuchet MS" w:cs="Arial"/>
                <w:sz w:val="22"/>
                <w:szCs w:val="22"/>
                <w:lang w:eastAsia="ro-RO"/>
              </w:rPr>
            </w:pP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25</w:t>
            </w:r>
          </w:p>
        </w:tc>
        <w:tc>
          <w:tcPr>
            <w:tcW w:w="2886"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Simazin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182</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26</w:t>
            </w:r>
          </w:p>
        </w:tc>
        <w:tc>
          <w:tcPr>
            <w:tcW w:w="2886"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Metoxiclor</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119</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27</w:t>
            </w:r>
          </w:p>
        </w:tc>
        <w:tc>
          <w:tcPr>
            <w:tcW w:w="2886"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Clorotoluron</w:t>
            </w:r>
          </w:p>
        </w:tc>
        <w:tc>
          <w:tcPr>
            <w:tcW w:w="2501" w:type="dxa"/>
            <w:tcBorders>
              <w:top w:val="nil"/>
              <w:left w:val="nil"/>
              <w:bottom w:val="single" w:sz="4"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193</w:t>
            </w:r>
          </w:p>
        </w:tc>
        <w:tc>
          <w:tcPr>
            <w:tcW w:w="2268" w:type="dxa"/>
            <w:tcBorders>
              <w:top w:val="nil"/>
              <w:left w:val="nil"/>
              <w:bottom w:val="single" w:sz="4"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r w:rsidR="00777989" w:rsidRPr="00254B55" w:rsidTr="00E13AA6">
        <w:trPr>
          <w:trHeight w:val="288"/>
          <w:jc w:val="center"/>
        </w:trPr>
        <w:tc>
          <w:tcPr>
            <w:tcW w:w="704" w:type="dxa"/>
            <w:tcBorders>
              <w:top w:val="nil"/>
              <w:left w:val="single" w:sz="8" w:space="0" w:color="auto"/>
              <w:bottom w:val="single" w:sz="8"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color w:val="000000"/>
                <w:sz w:val="22"/>
                <w:szCs w:val="22"/>
                <w:lang w:eastAsia="ro-RO"/>
              </w:rPr>
            </w:pPr>
            <w:r w:rsidRPr="00254B55">
              <w:rPr>
                <w:rFonts w:ascii="Trebuchet MS" w:eastAsia="Times New Roman" w:hAnsi="Trebuchet MS" w:cs="Arial"/>
                <w:color w:val="000000"/>
                <w:sz w:val="22"/>
                <w:szCs w:val="22"/>
                <w:lang w:eastAsia="ro-RO"/>
              </w:rPr>
              <w:t>28</w:t>
            </w:r>
          </w:p>
        </w:tc>
        <w:tc>
          <w:tcPr>
            <w:tcW w:w="2886" w:type="dxa"/>
            <w:tcBorders>
              <w:top w:val="nil"/>
              <w:left w:val="nil"/>
              <w:bottom w:val="single" w:sz="8"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b/>
                <w:i/>
                <w:color w:val="000000"/>
                <w:sz w:val="22"/>
                <w:szCs w:val="22"/>
                <w:lang w:eastAsia="ro-RO"/>
              </w:rPr>
            </w:pPr>
            <w:r w:rsidRPr="00254B55">
              <w:rPr>
                <w:rFonts w:ascii="Trebuchet MS" w:eastAsia="Times New Roman" w:hAnsi="Trebuchet MS" w:cs="Arial"/>
                <w:b/>
                <w:i/>
                <w:color w:val="000000"/>
                <w:sz w:val="22"/>
                <w:szCs w:val="22"/>
                <w:lang w:eastAsia="ro-RO"/>
              </w:rPr>
              <w:t>Monuron</w:t>
            </w:r>
          </w:p>
        </w:tc>
        <w:tc>
          <w:tcPr>
            <w:tcW w:w="2501" w:type="dxa"/>
            <w:tcBorders>
              <w:top w:val="nil"/>
              <w:left w:val="nil"/>
              <w:bottom w:val="single" w:sz="8" w:space="0" w:color="auto"/>
              <w:right w:val="single" w:sz="4"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69</w:t>
            </w:r>
          </w:p>
        </w:tc>
        <w:tc>
          <w:tcPr>
            <w:tcW w:w="2268" w:type="dxa"/>
            <w:tcBorders>
              <w:top w:val="nil"/>
              <w:left w:val="nil"/>
              <w:bottom w:val="single" w:sz="8" w:space="0" w:color="auto"/>
              <w:right w:val="single" w:sz="8" w:space="0" w:color="auto"/>
            </w:tcBorders>
            <w:shd w:val="clear" w:color="auto" w:fill="auto"/>
            <w:noWrap/>
            <w:vAlign w:val="center"/>
            <w:hideMark/>
          </w:tcPr>
          <w:p w:rsidR="00777989" w:rsidRPr="00254B55" w:rsidRDefault="00777989" w:rsidP="00E13AA6">
            <w:pPr>
              <w:jc w:val="center"/>
              <w:rPr>
                <w:rFonts w:ascii="Trebuchet MS" w:eastAsia="Times New Roman" w:hAnsi="Trebuchet MS" w:cs="Arial"/>
                <w:sz w:val="22"/>
                <w:szCs w:val="22"/>
                <w:lang w:eastAsia="ro-RO"/>
              </w:rPr>
            </w:pPr>
            <w:r w:rsidRPr="00254B55">
              <w:rPr>
                <w:rFonts w:ascii="Trebuchet MS" w:eastAsia="Times New Roman" w:hAnsi="Trebuchet MS" w:cs="Arial"/>
                <w:sz w:val="22"/>
                <w:szCs w:val="22"/>
                <w:lang w:eastAsia="ro-RO"/>
              </w:rPr>
              <w:t>0</w:t>
            </w:r>
          </w:p>
        </w:tc>
      </w:tr>
    </w:tbl>
    <w:p w:rsidR="00777989" w:rsidRPr="00C65FA6" w:rsidRDefault="00777989" w:rsidP="00777989">
      <w:pPr>
        <w:rPr>
          <w:rFonts w:ascii="Trebuchet MS" w:hAnsi="Trebuchet MS"/>
          <w:color w:val="FF0000"/>
        </w:rPr>
      </w:pPr>
    </w:p>
    <w:p w:rsidR="00777989" w:rsidRPr="00DB1F05" w:rsidRDefault="00777989" w:rsidP="00777989">
      <w:pPr>
        <w:rPr>
          <w:rFonts w:ascii="Trebuchet MS" w:hAnsi="Trebuchet MS"/>
          <w:color w:val="FF0000"/>
        </w:rPr>
      </w:pPr>
    </w:p>
    <w:p w:rsidR="00AE762B" w:rsidRPr="00EA0908" w:rsidRDefault="00AE762B" w:rsidP="0009051B">
      <w:pPr>
        <w:autoSpaceDE w:val="0"/>
        <w:autoSpaceDN w:val="0"/>
        <w:adjustRightInd w:val="0"/>
        <w:rPr>
          <w:rFonts w:ascii="Trebuchet MS" w:hAnsi="Trebuchet MS" w:cs="Arial"/>
          <w:b/>
          <w:bCs/>
          <w:i/>
          <w:color w:val="000000"/>
          <w:lang w:val="pt-BR"/>
        </w:rPr>
      </w:pPr>
      <w:r w:rsidRPr="00EA0908">
        <w:rPr>
          <w:rFonts w:ascii="Trebuchet MS" w:hAnsi="Trebuchet MS" w:cs="Arial"/>
          <w:b/>
          <w:bCs/>
          <w:i/>
          <w:color w:val="000000"/>
        </w:rPr>
        <w:t xml:space="preserve">II.2.1.4. </w:t>
      </w:r>
      <w:r w:rsidRPr="00EA0908">
        <w:rPr>
          <w:rFonts w:ascii="Trebuchet MS" w:hAnsi="Trebuchet MS" w:cs="Arial"/>
          <w:b/>
          <w:bCs/>
          <w:i/>
          <w:color w:val="000000"/>
          <w:lang w:val="pt-BR"/>
        </w:rPr>
        <w:t>Calitatea apelor de îmbăiere- nu detinem date</w:t>
      </w:r>
    </w:p>
    <w:p w:rsidR="00AE762B" w:rsidRPr="00F746AF" w:rsidRDefault="00AE762B" w:rsidP="00F746AF">
      <w:pPr>
        <w:autoSpaceDE w:val="0"/>
        <w:autoSpaceDN w:val="0"/>
        <w:adjustRightInd w:val="0"/>
        <w:rPr>
          <w:rFonts w:ascii="Trebuchet MS" w:hAnsi="Trebuchet MS" w:cs="Arial"/>
          <w:b/>
          <w:bCs/>
          <w:i/>
          <w:color w:val="000000"/>
          <w:lang w:val="pt-BR"/>
        </w:rPr>
      </w:pPr>
      <w:r w:rsidRPr="00F746AF">
        <w:rPr>
          <w:rFonts w:ascii="Trebuchet MS" w:hAnsi="Trebuchet MS" w:cs="Arial"/>
          <w:b/>
          <w:bCs/>
          <w:i/>
          <w:color w:val="000000"/>
          <w:lang w:val="pt-BR"/>
        </w:rPr>
        <w:t>II.2.2 FACTORII DETERMINANŢI ŞI PRESIUNILE CARE AFECTEAZĂ STAREA DE CALITATE A APELOR</w:t>
      </w:r>
    </w:p>
    <w:p w:rsidR="00AE762B" w:rsidRPr="00F746AF" w:rsidRDefault="00AE762B" w:rsidP="00F746AF">
      <w:pPr>
        <w:autoSpaceDE w:val="0"/>
        <w:autoSpaceDN w:val="0"/>
        <w:adjustRightInd w:val="0"/>
        <w:rPr>
          <w:rFonts w:ascii="Trebuchet MS" w:eastAsia="Times New Roman" w:hAnsi="Trebuchet MS"/>
          <w:color w:val="000000"/>
          <w:sz w:val="28"/>
          <w:szCs w:val="28"/>
          <w:lang w:val="pt-BR"/>
        </w:rPr>
      </w:pPr>
    </w:p>
    <w:p w:rsidR="00AE762B" w:rsidRPr="00F746AF" w:rsidRDefault="00AE762B" w:rsidP="00F746AF">
      <w:pPr>
        <w:autoSpaceDE w:val="0"/>
        <w:autoSpaceDN w:val="0"/>
        <w:adjustRightInd w:val="0"/>
        <w:rPr>
          <w:rFonts w:ascii="Trebuchet MS" w:hAnsi="Trebuchet MS" w:cs="Arial"/>
          <w:b/>
          <w:bCs/>
          <w:iCs/>
          <w:color w:val="000000"/>
          <w:lang w:val="pt-BR"/>
        </w:rPr>
      </w:pPr>
      <w:r w:rsidRPr="00F746AF">
        <w:rPr>
          <w:rFonts w:ascii="Trebuchet MS" w:hAnsi="Trebuchet MS" w:cs="Arial"/>
          <w:b/>
          <w:bCs/>
          <w:iCs/>
          <w:color w:val="000000"/>
          <w:lang w:val="pt-BR"/>
        </w:rPr>
        <w:t>II.2.2.1 Presiuni semnificative asupra resurselor de apă din Romania</w:t>
      </w:r>
    </w:p>
    <w:p w:rsidR="00AE762B" w:rsidRPr="00F746AF" w:rsidRDefault="00AE762B" w:rsidP="00F746AF">
      <w:pPr>
        <w:tabs>
          <w:tab w:val="left" w:pos="3778"/>
        </w:tabs>
        <w:autoSpaceDE w:val="0"/>
        <w:autoSpaceDN w:val="0"/>
        <w:adjustRightInd w:val="0"/>
        <w:rPr>
          <w:rFonts w:ascii="Trebuchet MS" w:eastAsia="Times New Roman" w:hAnsi="Trebuchet MS"/>
          <w:color w:val="000000"/>
          <w:sz w:val="28"/>
          <w:szCs w:val="28"/>
          <w:lang w:val="pt-BR"/>
        </w:rPr>
      </w:pPr>
      <w:r w:rsidRPr="00F746AF">
        <w:rPr>
          <w:rFonts w:ascii="Trebuchet MS" w:eastAsia="Times New Roman" w:hAnsi="Trebuchet MS"/>
          <w:color w:val="000000"/>
          <w:sz w:val="28"/>
          <w:szCs w:val="28"/>
          <w:lang w:val="pt-BR"/>
        </w:rPr>
        <w:tab/>
      </w:r>
    </w:p>
    <w:p w:rsidR="00AE762B" w:rsidRPr="00254B55" w:rsidRDefault="00AE762B" w:rsidP="00F746AF">
      <w:pPr>
        <w:numPr>
          <w:ilvl w:val="0"/>
          <w:numId w:val="6"/>
        </w:numPr>
        <w:autoSpaceDE w:val="0"/>
        <w:autoSpaceDN w:val="0"/>
        <w:adjustRightInd w:val="0"/>
        <w:rPr>
          <w:rFonts w:ascii="Trebuchet MS" w:hAnsi="Trebuchet MS" w:cs="Arial"/>
          <w:b/>
          <w:bCs/>
          <w:color w:val="000000"/>
          <w:sz w:val="22"/>
          <w:szCs w:val="22"/>
        </w:rPr>
      </w:pPr>
      <w:r w:rsidRPr="00254B55">
        <w:rPr>
          <w:rFonts w:ascii="Trebuchet MS" w:hAnsi="Trebuchet MS" w:cs="Arial"/>
          <w:b/>
          <w:bCs/>
          <w:color w:val="000000"/>
          <w:sz w:val="22"/>
          <w:szCs w:val="22"/>
        </w:rPr>
        <w:t>Indicatori specifici</w:t>
      </w:r>
    </w:p>
    <w:p w:rsidR="00AE762B" w:rsidRPr="00254B55" w:rsidRDefault="00AE762B" w:rsidP="00F746AF">
      <w:pPr>
        <w:autoSpaceDE w:val="0"/>
        <w:autoSpaceDN w:val="0"/>
        <w:adjustRightInd w:val="0"/>
        <w:rPr>
          <w:rFonts w:ascii="Trebuchet MS" w:hAnsi="Trebuchet MS" w:cs="Arial"/>
          <w:b/>
          <w:bCs/>
          <w:color w:val="000000"/>
          <w:sz w:val="22"/>
          <w:szCs w:val="22"/>
        </w:rPr>
      </w:pPr>
    </w:p>
    <w:p w:rsidR="00AE762B" w:rsidRPr="00254B55" w:rsidRDefault="00AE762B" w:rsidP="00F746AF">
      <w:pPr>
        <w:pStyle w:val="Default"/>
        <w:rPr>
          <w:rFonts w:ascii="Trebuchet MS" w:hAnsi="Trebuchet MS"/>
          <w:sz w:val="22"/>
          <w:szCs w:val="22"/>
          <w:lang w:val="it-IT"/>
        </w:rPr>
      </w:pPr>
      <w:r w:rsidRPr="00254B55">
        <w:rPr>
          <w:rFonts w:ascii="Trebuchet MS" w:hAnsi="Trebuchet MS"/>
          <w:b/>
          <w:bCs/>
          <w:sz w:val="22"/>
          <w:szCs w:val="22"/>
          <w:lang w:val="it-IT"/>
        </w:rPr>
        <w:t>COD INDICATOR</w:t>
      </w:r>
      <w:r w:rsidRPr="00254B55">
        <w:rPr>
          <w:rFonts w:ascii="Trebuchet MS" w:hAnsi="Trebuchet MS"/>
          <w:sz w:val="22"/>
          <w:szCs w:val="22"/>
          <w:lang w:val="it-IT"/>
        </w:rPr>
        <w:t xml:space="preserve"> </w:t>
      </w:r>
    </w:p>
    <w:p w:rsidR="00AE762B" w:rsidRPr="00254B55" w:rsidRDefault="00AE762B" w:rsidP="00F746AF">
      <w:pPr>
        <w:pStyle w:val="Default"/>
        <w:rPr>
          <w:rFonts w:ascii="Trebuchet MS" w:hAnsi="Trebuchet MS"/>
          <w:sz w:val="22"/>
          <w:szCs w:val="22"/>
          <w:lang w:val="it-IT"/>
        </w:rPr>
      </w:pPr>
      <w:r w:rsidRPr="00254B55">
        <w:rPr>
          <w:rFonts w:ascii="Trebuchet MS" w:hAnsi="Trebuchet MS"/>
          <w:sz w:val="22"/>
          <w:szCs w:val="22"/>
          <w:lang w:val="it-IT"/>
        </w:rPr>
        <w:t xml:space="preserve">Cod indicator România: </w:t>
      </w:r>
      <w:r w:rsidRPr="00254B55">
        <w:rPr>
          <w:rFonts w:ascii="Trebuchet MS" w:hAnsi="Trebuchet MS"/>
          <w:b/>
          <w:bCs/>
          <w:sz w:val="22"/>
          <w:szCs w:val="22"/>
          <w:lang w:val="it-IT"/>
        </w:rPr>
        <w:t>RO 25</w:t>
      </w:r>
    </w:p>
    <w:p w:rsidR="00AE762B" w:rsidRPr="00254B55" w:rsidRDefault="00AE762B" w:rsidP="00F746AF">
      <w:pPr>
        <w:pStyle w:val="Default"/>
        <w:rPr>
          <w:rFonts w:ascii="Trebuchet MS" w:hAnsi="Trebuchet MS"/>
          <w:sz w:val="22"/>
          <w:szCs w:val="22"/>
          <w:lang w:val="it-IT"/>
        </w:rPr>
      </w:pPr>
      <w:r w:rsidRPr="00254B55">
        <w:rPr>
          <w:rFonts w:ascii="Trebuchet MS" w:hAnsi="Trebuchet MS"/>
          <w:sz w:val="22"/>
          <w:szCs w:val="22"/>
          <w:lang w:val="it-IT"/>
        </w:rPr>
        <w:t xml:space="preserve">Cod indicator AEM: </w:t>
      </w:r>
      <w:r w:rsidRPr="00254B55">
        <w:rPr>
          <w:rFonts w:ascii="Trebuchet MS" w:hAnsi="Trebuchet MS"/>
          <w:b/>
          <w:bCs/>
          <w:sz w:val="22"/>
          <w:szCs w:val="22"/>
          <w:lang w:val="it-IT"/>
        </w:rPr>
        <w:t xml:space="preserve">CSI 25 </w:t>
      </w:r>
    </w:p>
    <w:p w:rsidR="00AE762B" w:rsidRPr="00254B55" w:rsidRDefault="00AE762B" w:rsidP="00F746AF">
      <w:pPr>
        <w:pStyle w:val="Default"/>
        <w:rPr>
          <w:rFonts w:ascii="Trebuchet MS" w:hAnsi="Trebuchet MS"/>
          <w:sz w:val="22"/>
          <w:szCs w:val="22"/>
          <w:lang w:val="it-IT"/>
        </w:rPr>
      </w:pPr>
      <w:r w:rsidRPr="00254B55">
        <w:rPr>
          <w:rFonts w:ascii="Trebuchet MS" w:hAnsi="Trebuchet MS"/>
          <w:b/>
          <w:bCs/>
          <w:sz w:val="22"/>
          <w:szCs w:val="22"/>
          <w:lang w:val="it-IT"/>
        </w:rPr>
        <w:t xml:space="preserve">DENUMIRE </w:t>
      </w:r>
    </w:p>
    <w:p w:rsidR="00AE762B" w:rsidRPr="00254B55" w:rsidRDefault="00AE762B" w:rsidP="00F746AF">
      <w:pPr>
        <w:autoSpaceDE w:val="0"/>
        <w:autoSpaceDN w:val="0"/>
        <w:adjustRightInd w:val="0"/>
        <w:rPr>
          <w:rFonts w:ascii="Trebuchet MS" w:hAnsi="Trebuchet MS" w:cs="Arial"/>
          <w:b/>
          <w:bCs/>
          <w:color w:val="000000"/>
          <w:sz w:val="22"/>
          <w:szCs w:val="22"/>
        </w:rPr>
      </w:pPr>
      <w:r w:rsidRPr="00254B55">
        <w:rPr>
          <w:rFonts w:ascii="Trebuchet MS" w:hAnsi="Trebuchet MS" w:cs="Arial"/>
          <w:b/>
          <w:bCs/>
          <w:color w:val="000000"/>
          <w:sz w:val="22"/>
          <w:szCs w:val="22"/>
        </w:rPr>
        <w:t>BALANŢA BRUTĂ A NUTRIENŢILOR</w:t>
      </w:r>
    </w:p>
    <w:p w:rsidR="00AE762B" w:rsidRPr="00254B55" w:rsidRDefault="00AE762B" w:rsidP="00F746AF">
      <w:pPr>
        <w:autoSpaceDE w:val="0"/>
        <w:autoSpaceDN w:val="0"/>
        <w:adjustRightInd w:val="0"/>
        <w:rPr>
          <w:rFonts w:ascii="Trebuchet MS" w:hAnsi="Trebuchet MS"/>
          <w:b/>
          <w:bCs/>
          <w:sz w:val="22"/>
          <w:szCs w:val="22"/>
          <w:lang w:val="it-IT"/>
        </w:rPr>
      </w:pPr>
      <w:r w:rsidRPr="00254B55">
        <w:rPr>
          <w:rFonts w:ascii="Trebuchet MS" w:hAnsi="Trebuchet MS"/>
          <w:b/>
          <w:bCs/>
          <w:sz w:val="22"/>
          <w:szCs w:val="22"/>
          <w:lang w:val="it-IT"/>
        </w:rPr>
        <w:t>DEFINIŢIE</w:t>
      </w:r>
    </w:p>
    <w:p w:rsidR="00AE762B" w:rsidRPr="00254B55" w:rsidRDefault="00AE762B" w:rsidP="00F746AF">
      <w:pPr>
        <w:autoSpaceDE w:val="0"/>
        <w:autoSpaceDN w:val="0"/>
        <w:adjustRightInd w:val="0"/>
        <w:jc w:val="both"/>
        <w:rPr>
          <w:rFonts w:ascii="Trebuchet MS" w:hAnsi="Trebuchet MS" w:cs="Arial"/>
          <w:sz w:val="22"/>
          <w:szCs w:val="22"/>
          <w:lang w:val="it-IT"/>
        </w:rPr>
      </w:pPr>
      <w:r w:rsidRPr="00254B55">
        <w:rPr>
          <w:rFonts w:ascii="Trebuchet MS" w:hAnsi="Trebuchet MS"/>
          <w:b/>
          <w:bCs/>
          <w:sz w:val="22"/>
          <w:szCs w:val="22"/>
          <w:lang w:val="it-IT"/>
        </w:rPr>
        <w:t xml:space="preserve"> </w:t>
      </w:r>
      <w:r w:rsidRPr="00254B55">
        <w:rPr>
          <w:rFonts w:ascii="Trebuchet MS" w:hAnsi="Trebuchet MS" w:cs="Arial"/>
          <w:sz w:val="22"/>
          <w:szCs w:val="22"/>
          <w:lang w:val="it-IT"/>
        </w:rPr>
        <w:t>Indicatorul estimează surplusul de azot de pe terenurile agricole. Acest lucru se realizează prin calcularea balanţei dintre cantitatea totală de azot intrată în sistemul agricol şi cantitatea totală de azot ieşită din sistemul agricol, raportată pe unitatea de suprafaţă a terenului agricol. Indicatorul prezintă toate intrările şi ieşirile de azot de pe un teren agricol. Intrările constau în cantitatea de azot aplicată prin îngrăşăminte minerale şi naturale, azotul fixat de plante şi emisiile în aer. Azotul ieşit este conţinut în recolte, iarbă şi culturile consumate de animale. Emisiile de azot în aer sub formă de NO2 sunt dificil de estimat şi nu sunt luate în calcul. Balanţa brută a substanţelor nutritive oferă o indicaţie asupra riscului de poluare a corpurilor de apă de suprafaţă şi subterane ca urmare a scurgerii surplusului de nutrienţi de pe suprafeţele agricole.</w:t>
      </w:r>
    </w:p>
    <w:p w:rsidR="00AE762B" w:rsidRPr="00254B55" w:rsidRDefault="00AE762B" w:rsidP="00F746AF">
      <w:pPr>
        <w:pStyle w:val="Default"/>
        <w:rPr>
          <w:rFonts w:ascii="Trebuchet MS" w:hAnsi="Trebuchet MS"/>
          <w:b/>
          <w:bCs/>
          <w:sz w:val="22"/>
          <w:szCs w:val="22"/>
          <w:lang w:val="it-IT"/>
        </w:rPr>
      </w:pPr>
    </w:p>
    <w:p w:rsidR="00AE762B" w:rsidRPr="00254B55" w:rsidRDefault="00AE762B" w:rsidP="00F746AF">
      <w:pPr>
        <w:ind w:firstLine="567"/>
        <w:jc w:val="both"/>
        <w:rPr>
          <w:rFonts w:ascii="Trebuchet MS" w:hAnsi="Trebuchet MS" w:cs="Arial"/>
          <w:sz w:val="22"/>
          <w:szCs w:val="22"/>
          <w:lang w:val="it-IT"/>
        </w:rPr>
      </w:pPr>
      <w:r w:rsidRPr="00254B55">
        <w:rPr>
          <w:rFonts w:ascii="Trebuchet MS" w:hAnsi="Trebuchet MS" w:cs="Arial"/>
          <w:sz w:val="22"/>
          <w:szCs w:val="22"/>
          <w:lang w:val="it-IT"/>
        </w:rPr>
        <w:t>Calitatea apei este o problemă de maximă importanţă ce ar trebui să ne preocupe pe toţi. Sănătatea noastră este dependentă direct de sursa de apă. Şi principala presiune asupra stării apelor de suprafaţă, şi nu numai, este exercitată de către om prin deversarea în emisari a apelor uzate neepurate sau insuficient epurate. Pentru protecţia resurselor de apă, această practică trebuie stopată, în sensul că apele epurate trebuie să corespundă prescripţiilor calitative în vigoare.</w:t>
      </w:r>
    </w:p>
    <w:p w:rsidR="00391BDD" w:rsidRPr="00254B55" w:rsidRDefault="00391BDD" w:rsidP="00F746AF">
      <w:pPr>
        <w:rPr>
          <w:rFonts w:ascii="Trebuchet MS" w:hAnsi="Trebuchet MS" w:cs="Arial"/>
          <w:b/>
          <w:sz w:val="22"/>
          <w:szCs w:val="22"/>
        </w:rPr>
      </w:pPr>
    </w:p>
    <w:p w:rsidR="00C31077" w:rsidRPr="00254B55" w:rsidRDefault="00C31077" w:rsidP="00F746AF">
      <w:pPr>
        <w:spacing w:line="300" w:lineRule="auto"/>
        <w:jc w:val="center"/>
        <w:rPr>
          <w:rFonts w:ascii="Trebuchet MS" w:hAnsi="Trebuchet MS" w:cs="Arial"/>
          <w:b/>
          <w:sz w:val="22"/>
          <w:szCs w:val="22"/>
        </w:rPr>
      </w:pPr>
    </w:p>
    <w:p w:rsidR="00C31077" w:rsidRPr="00254B55" w:rsidRDefault="00C31077" w:rsidP="00F746AF">
      <w:pPr>
        <w:spacing w:line="300" w:lineRule="auto"/>
        <w:jc w:val="center"/>
        <w:rPr>
          <w:rFonts w:ascii="Trebuchet MS" w:hAnsi="Trebuchet MS" w:cs="Arial"/>
          <w:b/>
          <w:sz w:val="22"/>
          <w:szCs w:val="22"/>
        </w:rPr>
      </w:pPr>
      <w:r w:rsidRPr="00254B55">
        <w:rPr>
          <w:rFonts w:ascii="Trebuchet MS" w:hAnsi="Trebuchet MS" w:cs="Arial"/>
          <w:b/>
          <w:sz w:val="22"/>
          <w:szCs w:val="22"/>
          <w:highlight w:val="green"/>
        </w:rPr>
        <w:t>Indicator CSI25. Balanța brută a nutrienților RO25</w:t>
      </w:r>
    </w:p>
    <w:p w:rsidR="00C31077" w:rsidRPr="00254B55" w:rsidRDefault="00C31077" w:rsidP="00F746AF">
      <w:pPr>
        <w:spacing w:line="300" w:lineRule="auto"/>
        <w:ind w:firstLine="567"/>
        <w:jc w:val="both"/>
        <w:rPr>
          <w:rFonts w:ascii="Trebuchet MS" w:hAnsi="Trebuchet MS" w:cs="Arial"/>
          <w:sz w:val="22"/>
          <w:szCs w:val="22"/>
        </w:rPr>
      </w:pP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 xml:space="preserve">În conformitate cu Directiva Cadru Apă 2000/60/CE, în cadrul planurilor de management al bazinelor/spațiilor hidrografice sunt considerate presiuni semnificative acelea care au ca rezultat neatingerea obiectivelor de mediu pentru corpul de apă. 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 xml:space="preserve">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conceptului DPSIR (Driver-Pressure-State-Impact-Response – Activitate Antropică-Presiune-Stare-Impact- Răspuns). </w:t>
      </w: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 xml:space="preserve">Având în vedere noile cerințe ale Ghidului de raportare a Planului de management actualizat, elaborat în cadrul Strategiei Comune de Implementare a Directivei Cadru Apă (CIS – DCA), s-a revizuit metodologia privind identificarea presiunilor semnificative şi evaluarea impactului asupra corpurilor de apă de suprafaţă </w:t>
      </w:r>
      <w:bookmarkStart w:id="128" w:name="_Hlk76481116"/>
      <w:r w:rsidRPr="00254B55">
        <w:rPr>
          <w:rFonts w:ascii="Trebuchet MS" w:hAnsi="Trebuchet MS" w:cs="Arial"/>
          <w:sz w:val="22"/>
          <w:szCs w:val="22"/>
        </w:rPr>
        <w:t>pentru aplicare în cadrul  celui de-al treilea ciclu de planificare</w:t>
      </w:r>
      <w:bookmarkEnd w:id="128"/>
      <w:r w:rsidRPr="00254B55">
        <w:rPr>
          <w:rFonts w:ascii="Trebuchet MS" w:hAnsi="Trebuchet MS" w:cs="Arial"/>
          <w:sz w:val="22"/>
          <w:szCs w:val="22"/>
        </w:rPr>
        <w:t>. Pentru proiectul Planului de Management actualizat 2021, încadrarea presiunilor s-a realizat pe baza tipurilor de presiuni recomandate de Ghidul EU de raportare a Planului de Management actualizat 2021, respectiv: presiuni punctiforme, difuze, alterări hidromorfologice (inclusiv prelevări de apă), presiuni cantitative pentru apele subterane, alte presiuni antropice, presiuni necunoscute etc.</w:t>
      </w: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Aplicarea setului de criterii a condus la identificarea presiunilor semnificative punctiforme, având în vedere evacuările de ape epurate sau neepurate în resursele de apă de suprafaţă:</w:t>
      </w:r>
    </w:p>
    <w:p w:rsidR="00C31077" w:rsidRPr="00254B55" w:rsidRDefault="00C31077" w:rsidP="00F746AF">
      <w:pPr>
        <w:numPr>
          <w:ilvl w:val="0"/>
          <w:numId w:val="53"/>
        </w:numPr>
        <w:spacing w:line="300" w:lineRule="auto"/>
        <w:jc w:val="both"/>
        <w:rPr>
          <w:rFonts w:ascii="Trebuchet MS" w:hAnsi="Trebuchet MS" w:cs="Arial"/>
          <w:bCs/>
          <w:sz w:val="22"/>
          <w:szCs w:val="22"/>
        </w:rPr>
      </w:pPr>
      <w:r w:rsidRPr="00254B55">
        <w:rPr>
          <w:rFonts w:ascii="Trebuchet MS" w:hAnsi="Trebuchet MS" w:cs="Arial"/>
          <w:b/>
          <w:bCs/>
          <w:i/>
          <w:sz w:val="22"/>
          <w:szCs w:val="22"/>
        </w:rPr>
        <w:t>aglomerările umane</w:t>
      </w:r>
      <w:r w:rsidRPr="00254B55">
        <w:rPr>
          <w:rFonts w:ascii="Trebuchet MS" w:hAnsi="Trebuchet MS" w:cs="Arial"/>
          <w:bCs/>
          <w:i/>
          <w:sz w:val="22"/>
          <w:szCs w:val="22"/>
        </w:rPr>
        <w:t xml:space="preserve"> (</w:t>
      </w:r>
      <w:r w:rsidRPr="00254B55">
        <w:rPr>
          <w:rFonts w:ascii="Trebuchet MS" w:hAnsi="Trebuchet MS" w:cs="Arial"/>
          <w:bCs/>
          <w:sz w:val="22"/>
          <w:szCs w:val="22"/>
        </w:rPr>
        <w:t xml:space="preserve">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&lt;2000 l.e. sunt considerate surse semnificative punctiforme dacă au sistem de canalizare centralizat; de asemenea, sunt considerate surse semnificative de poluare, aglomerările umane cu sistem de canalizare unitar care nu au capacitatea de a colecta şi epura amestecul de ape uzate şi ape pluviale în perioadele cu ploi intense; </w:t>
      </w:r>
    </w:p>
    <w:p w:rsidR="00C31077" w:rsidRPr="00254B55" w:rsidRDefault="00C31077" w:rsidP="00F746AF">
      <w:pPr>
        <w:spacing w:line="300" w:lineRule="auto"/>
        <w:ind w:left="360"/>
        <w:jc w:val="both"/>
        <w:rPr>
          <w:rFonts w:ascii="Trebuchet MS" w:hAnsi="Trebuchet MS" w:cs="Arial"/>
          <w:bCs/>
          <w:sz w:val="22"/>
          <w:szCs w:val="22"/>
        </w:rPr>
      </w:pPr>
    </w:p>
    <w:p w:rsidR="00C31077" w:rsidRPr="00254B55" w:rsidRDefault="00C31077" w:rsidP="00254B55">
      <w:pPr>
        <w:pStyle w:val="ListParagraph"/>
        <w:numPr>
          <w:ilvl w:val="0"/>
          <w:numId w:val="51"/>
        </w:numPr>
        <w:ind w:left="284" w:hanging="284"/>
        <w:jc w:val="both"/>
        <w:rPr>
          <w:rFonts w:ascii="Trebuchet MS" w:hAnsi="Trebuchet MS" w:cs="Arial"/>
          <w:b/>
          <w:i/>
          <w:sz w:val="22"/>
          <w:szCs w:val="22"/>
        </w:rPr>
      </w:pPr>
      <w:r w:rsidRPr="00254B55">
        <w:rPr>
          <w:rFonts w:ascii="Trebuchet MS" w:hAnsi="Trebuchet MS" w:cs="Arial"/>
          <w:b/>
          <w:i/>
          <w:sz w:val="22"/>
          <w:szCs w:val="22"/>
        </w:rPr>
        <w:t xml:space="preserve">industria:  </w:t>
      </w:r>
    </w:p>
    <w:p w:rsidR="00C31077" w:rsidRPr="00254B55" w:rsidRDefault="00C31077" w:rsidP="00254B55">
      <w:pPr>
        <w:pStyle w:val="ListParagraph"/>
        <w:numPr>
          <w:ilvl w:val="0"/>
          <w:numId w:val="54"/>
        </w:numPr>
        <w:ind w:left="567" w:hanging="283"/>
        <w:jc w:val="both"/>
        <w:rPr>
          <w:rFonts w:ascii="Trebuchet MS" w:hAnsi="Trebuchet MS" w:cs="Arial"/>
          <w:sz w:val="22"/>
          <w:szCs w:val="22"/>
        </w:rPr>
      </w:pPr>
      <w:r w:rsidRPr="00254B55">
        <w:rPr>
          <w:rFonts w:ascii="Trebuchet MS" w:hAnsi="Trebuchet MS" w:cs="Arial"/>
          <w:sz w:val="22"/>
          <w:szCs w:val="22"/>
        </w:rPr>
        <w:t>instalaţiile care intră sub incidenţa Directiva 2010/75/CEE privind emisiile industriale (Directiva IED), transpusă în legislația națională prin Legea nr. 278/2013 cu modificările și completările ulterioare - inclusiv unităţile care sunt inventariate în Registrul Poluanţilor Emişi şi Transferaţi (E-PRTR), care sunt relevante pentru factorul de mediu apă;</w:t>
      </w:r>
    </w:p>
    <w:p w:rsidR="00C31077" w:rsidRPr="00254B55" w:rsidRDefault="00C31077" w:rsidP="00254B55">
      <w:pPr>
        <w:pStyle w:val="ListParagraph"/>
        <w:numPr>
          <w:ilvl w:val="0"/>
          <w:numId w:val="54"/>
        </w:numPr>
        <w:ind w:left="567" w:hanging="283"/>
        <w:jc w:val="both"/>
        <w:rPr>
          <w:rFonts w:ascii="Trebuchet MS" w:hAnsi="Trebuchet MS" w:cs="Arial"/>
          <w:sz w:val="22"/>
          <w:szCs w:val="22"/>
        </w:rPr>
      </w:pPr>
      <w:r w:rsidRPr="00254B55">
        <w:rPr>
          <w:rFonts w:ascii="Trebuchet MS" w:hAnsi="Trebuchet MS" w:cs="Arial"/>
          <w:sz w:val="22"/>
          <w:szCs w:val="22"/>
        </w:rPr>
        <w:t>unităţile care evacuează substanţe prioritare/prioritar periculoase peste limitele legislaţiei în vigoare (în conformitate cu cerinţele Directivei 2008/105/CE modificată de Directiva 2013/39/UE, transpusă în legislația națională prin HG 570/2016 privind aprobarea Programului de eliminare treptată a evacuărilor, emisiilor şi pierderilor de substanţe prioritar periculoase şi alte măsuri pentru principalii poluanţi)</w:t>
      </w:r>
      <w:r w:rsidRPr="00254B55">
        <w:rPr>
          <w:rFonts w:ascii="Trebuchet MS" w:hAnsi="Trebuchet MS" w:cs="Arial"/>
          <w:bCs/>
          <w:sz w:val="22"/>
          <w:szCs w:val="22"/>
        </w:rPr>
        <w:t>, în mediul acvatic al Comunităţii</w:t>
      </w:r>
      <w:r w:rsidRPr="00254B55">
        <w:rPr>
          <w:rFonts w:ascii="Trebuchet MS" w:hAnsi="Trebuchet MS" w:cs="Arial"/>
          <w:sz w:val="22"/>
          <w:szCs w:val="22"/>
        </w:rPr>
        <w:t>;</w:t>
      </w:r>
    </w:p>
    <w:p w:rsidR="00C31077" w:rsidRPr="00254B55" w:rsidRDefault="00C31077" w:rsidP="00254B55">
      <w:pPr>
        <w:pStyle w:val="ListParagraph"/>
        <w:numPr>
          <w:ilvl w:val="0"/>
          <w:numId w:val="54"/>
        </w:numPr>
        <w:ind w:left="567" w:hanging="283"/>
        <w:jc w:val="both"/>
        <w:rPr>
          <w:rFonts w:ascii="Trebuchet MS" w:hAnsi="Trebuchet MS" w:cs="Arial"/>
          <w:i/>
          <w:sz w:val="22"/>
          <w:szCs w:val="22"/>
        </w:rPr>
      </w:pPr>
      <w:r w:rsidRPr="00254B55">
        <w:rPr>
          <w:rFonts w:ascii="Trebuchet MS" w:hAnsi="Trebuchet MS" w:cs="Arial"/>
          <w:sz w:val="22"/>
          <w:szCs w:val="22"/>
        </w:rPr>
        <w:t>alte unităţi care evacuează în resursele de apă şi care nu se conformează legislaţiei în vigoare privind factorul de mediu apă;</w:t>
      </w:r>
    </w:p>
    <w:p w:rsidR="00C31077" w:rsidRPr="00254B55" w:rsidRDefault="00C31077" w:rsidP="00254B55">
      <w:pPr>
        <w:pStyle w:val="ListParagraph"/>
        <w:numPr>
          <w:ilvl w:val="0"/>
          <w:numId w:val="51"/>
        </w:numPr>
        <w:ind w:left="284" w:hanging="284"/>
        <w:jc w:val="both"/>
        <w:rPr>
          <w:rFonts w:ascii="Trebuchet MS" w:hAnsi="Trebuchet MS" w:cs="Arial"/>
          <w:b/>
          <w:i/>
          <w:sz w:val="22"/>
          <w:szCs w:val="22"/>
        </w:rPr>
      </w:pPr>
      <w:r w:rsidRPr="00254B55">
        <w:rPr>
          <w:rFonts w:ascii="Trebuchet MS" w:hAnsi="Trebuchet MS" w:cs="Arial"/>
          <w:b/>
          <w:i/>
          <w:sz w:val="22"/>
          <w:szCs w:val="22"/>
        </w:rPr>
        <w:t>agricultura:</w:t>
      </w:r>
    </w:p>
    <w:p w:rsidR="00C31077" w:rsidRPr="00254B55" w:rsidRDefault="00C31077" w:rsidP="00254B55">
      <w:pPr>
        <w:numPr>
          <w:ilvl w:val="0"/>
          <w:numId w:val="55"/>
        </w:numPr>
        <w:jc w:val="both"/>
        <w:rPr>
          <w:rFonts w:ascii="Trebuchet MS" w:hAnsi="Trebuchet MS" w:cs="Arial"/>
          <w:sz w:val="22"/>
          <w:szCs w:val="22"/>
        </w:rPr>
      </w:pPr>
      <w:r w:rsidRPr="00254B55">
        <w:rPr>
          <w:rFonts w:ascii="Trebuchet MS" w:hAnsi="Trebuchet MS" w:cs="Arial"/>
          <w:sz w:val="22"/>
          <w:szCs w:val="22"/>
        </w:rPr>
        <w:t>fermele zootehnice care intră sub incidenţa Directivei 2010/75/CEE privind emisiile industriale (Directiva IED),  transpusă în legislația națională prin Legea nr. 278/2013, cu modificările și completările ulterioare - inclusiv unităţile care sunt inventariate în Registrul Poluanţilor Emişi şi Transferaţi (E-PRTR), care sunt relevante pentru factorul de mediu apă;</w:t>
      </w:r>
    </w:p>
    <w:p w:rsidR="00C31077" w:rsidRPr="00254B55" w:rsidRDefault="00C31077" w:rsidP="00254B55">
      <w:pPr>
        <w:numPr>
          <w:ilvl w:val="0"/>
          <w:numId w:val="55"/>
        </w:numPr>
        <w:jc w:val="both"/>
        <w:rPr>
          <w:rFonts w:ascii="Trebuchet MS" w:hAnsi="Trebuchet MS" w:cs="Arial"/>
          <w:sz w:val="22"/>
          <w:szCs w:val="22"/>
        </w:rPr>
      </w:pPr>
      <w:r w:rsidRPr="00254B55">
        <w:rPr>
          <w:rFonts w:ascii="Trebuchet MS" w:hAnsi="Trebuchet MS" w:cs="Arial"/>
          <w:sz w:val="22"/>
          <w:szCs w:val="22"/>
        </w:rPr>
        <w:t>fermele care evacuează substanţe prioritare/prioritar periculoase peste limitele legislaţiei în vigoare (în conformitate cu cerinţele Directivei 2008/105/CE modificată prin Directiva 2013/39/UE, transpusă în legislația națională prin HG 570/2016, privind aprobarea Programului de eliminare treptată a evacuărilor, emisiilor şi pierderilor de substanţe prioritar periculoase şi alte măsuri pentru principalii poluanţi) în mediul acvatic al Comunităţii;</w:t>
      </w:r>
    </w:p>
    <w:p w:rsidR="00C31077" w:rsidRPr="00254B55" w:rsidRDefault="00C31077" w:rsidP="00F746AF">
      <w:pPr>
        <w:numPr>
          <w:ilvl w:val="0"/>
          <w:numId w:val="55"/>
        </w:numPr>
        <w:spacing w:line="300" w:lineRule="auto"/>
        <w:jc w:val="both"/>
        <w:rPr>
          <w:rFonts w:ascii="Trebuchet MS" w:hAnsi="Trebuchet MS" w:cs="Arial"/>
          <w:sz w:val="22"/>
          <w:szCs w:val="22"/>
        </w:rPr>
      </w:pPr>
      <w:r w:rsidRPr="00254B55">
        <w:rPr>
          <w:rFonts w:ascii="Trebuchet MS" w:hAnsi="Trebuchet MS" w:cs="Arial"/>
          <w:sz w:val="22"/>
          <w:szCs w:val="22"/>
        </w:rPr>
        <w:t>alte unităţi agricole cu evacuare punctiformă şi care nu se conformează legislaţiei în vigoare privind factorul de mediu apă;</w:t>
      </w:r>
    </w:p>
    <w:p w:rsidR="00C31077" w:rsidRPr="00254B55" w:rsidRDefault="00C31077" w:rsidP="00F746AF">
      <w:pPr>
        <w:spacing w:line="300" w:lineRule="auto"/>
        <w:ind w:firstLine="567"/>
        <w:jc w:val="both"/>
        <w:rPr>
          <w:rFonts w:ascii="Trebuchet MS" w:hAnsi="Trebuchet MS" w:cs="Arial"/>
          <w:b/>
          <w:sz w:val="22"/>
          <w:szCs w:val="22"/>
        </w:rPr>
      </w:pPr>
      <w:r w:rsidRPr="00254B55">
        <w:rPr>
          <w:rFonts w:ascii="Trebuchet MS" w:hAnsi="Trebuchet MS" w:cs="Arial"/>
          <w:sz w:val="22"/>
          <w:szCs w:val="22"/>
        </w:rPr>
        <w:t xml:space="preserve">În Planul naţional de management actualizat aferent porţiunii din bazinul hidrografic internaţional al fluviului Dunărea care este cuprinsă în teritoriul României (denumit în continuare Plan Național de management actualizat) – Sinteza Planurilor de management actualizate la nivel de bazine/spații hidrografice, aprobat prin HG nr. 392/2023, au fost inventariate la nivel naţional un număr total de </w:t>
      </w:r>
      <w:r w:rsidRPr="00254B55">
        <w:rPr>
          <w:rFonts w:ascii="Trebuchet MS" w:hAnsi="Trebuchet MS" w:cs="Arial"/>
          <w:b/>
          <w:bCs/>
          <w:sz w:val="22"/>
          <w:szCs w:val="22"/>
        </w:rPr>
        <w:t>3.996</w:t>
      </w:r>
      <w:r w:rsidRPr="00254B55">
        <w:rPr>
          <w:rFonts w:ascii="Trebuchet MS" w:hAnsi="Trebuchet MS" w:cs="Arial"/>
          <w:sz w:val="22"/>
          <w:szCs w:val="22"/>
        </w:rPr>
        <w:t xml:space="preserve">  utilizatori de apă care folosesc resursele de apă de suprafaţă ca receptor al apelor evacuate, din care, ținând seama de criteriile menţionate mai sus, au rezultat un număr total de </w:t>
      </w:r>
      <w:r w:rsidRPr="00254B55">
        <w:rPr>
          <w:rFonts w:ascii="Trebuchet MS" w:hAnsi="Trebuchet MS" w:cs="Arial"/>
          <w:b/>
          <w:sz w:val="22"/>
          <w:szCs w:val="22"/>
        </w:rPr>
        <w:t>2.294 surse punctiforme potențial semnificative (1.065 urbane, 815 industriale, 24 agricole, 200 acvacultură și 190 alte presiuni de tipul exploatărilor forestiere, etc.).</w:t>
      </w:r>
    </w:p>
    <w:p w:rsidR="00C31077" w:rsidRPr="00EC7F5B" w:rsidRDefault="00C31077" w:rsidP="00C31077">
      <w:pPr>
        <w:spacing w:after="120" w:line="300" w:lineRule="auto"/>
        <w:rPr>
          <w:rFonts w:ascii="Trebuchet MS" w:hAnsi="Trebuchet MS" w:cs="Arial"/>
          <w:b/>
        </w:rPr>
      </w:pPr>
      <w:r w:rsidRPr="00EC7F5B">
        <w:rPr>
          <w:rFonts w:ascii="Trebuchet MS" w:hAnsi="Trebuchet MS" w:cs="Arial"/>
          <w:b/>
        </w:rPr>
        <w:t xml:space="preserve">Figura II.2.2.1.1 Ponderea presiunilor punctiforme potențial semnificative </w:t>
      </w:r>
    </w:p>
    <w:p w:rsidR="00C31077" w:rsidRPr="00EC7F5B" w:rsidRDefault="00C31077" w:rsidP="00C31077">
      <w:pPr>
        <w:spacing w:before="120" w:after="120" w:line="300" w:lineRule="auto"/>
        <w:jc w:val="center"/>
        <w:rPr>
          <w:rFonts w:ascii="Trebuchet MS" w:hAnsi="Trebuchet MS" w:cs="Arial"/>
          <w:b/>
        </w:rPr>
      </w:pPr>
      <w:r>
        <w:rPr>
          <w:rFonts w:ascii="Trebuchet MS" w:hAnsi="Trebuchet MS"/>
          <w:noProof/>
          <w:lang w:val="en-US"/>
        </w:rPr>
        <w:drawing>
          <wp:inline distT="0" distB="0" distL="0" distR="0" wp14:anchorId="2CF63FA0" wp14:editId="7DF3A0C8">
            <wp:extent cx="4293235" cy="2533650"/>
            <wp:effectExtent l="0" t="0" r="12065" b="19050"/>
            <wp:docPr id="1349278112" name="Chart 1349278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C31077" w:rsidRPr="001F4D92" w:rsidRDefault="00C31077" w:rsidP="00C31077">
      <w:pPr>
        <w:spacing w:line="300" w:lineRule="auto"/>
        <w:jc w:val="both"/>
        <w:rPr>
          <w:rFonts w:ascii="Trebuchet MS" w:hAnsi="Trebuchet MS" w:cs="Arial"/>
          <w:i/>
          <w:sz w:val="20"/>
          <w:szCs w:val="20"/>
        </w:rPr>
      </w:pPr>
      <w:r w:rsidRPr="001F4D92">
        <w:rPr>
          <w:rFonts w:ascii="Trebuchet MS" w:hAnsi="Trebuchet MS" w:cs="Arial"/>
          <w:i/>
          <w:sz w:val="20"/>
          <w:szCs w:val="20"/>
        </w:rPr>
        <w:t>(Sursa datelor: Administrația Națională „Apele Române”, Planul Național de Management actualizat)</w:t>
      </w: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Se constată că ponderea cea mai mare a presiunilor punctiforme este reprezentată de aglomerări umane, cu cca. 46%, respectiv apele uzate evacuate de la sistemele de colectare și epurare a aglomerărilor urbane.</w:t>
      </w: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 xml:space="preserve">În ceea ce priveşte </w:t>
      </w:r>
      <w:r w:rsidRPr="00254B55">
        <w:rPr>
          <w:rFonts w:ascii="Trebuchet MS" w:hAnsi="Trebuchet MS" w:cs="Arial"/>
          <w:b/>
          <w:i/>
          <w:sz w:val="22"/>
          <w:szCs w:val="22"/>
        </w:rPr>
        <w:t>sursele difuze de poluare semnificativă</w:t>
      </w:r>
      <w:r w:rsidRPr="00254B55">
        <w:rPr>
          <w:rFonts w:ascii="Trebuchet MS" w:hAnsi="Trebuchet MS" w:cs="Arial"/>
          <w:sz w:val="22"/>
          <w:szCs w:val="22"/>
        </w:rPr>
        <w:t>, identificate cu referire la modul de utilizare al terenului, se pot menţiona:</w:t>
      </w:r>
    </w:p>
    <w:p w:rsidR="00C31077" w:rsidRPr="00254B55" w:rsidRDefault="00C31077" w:rsidP="00F746AF">
      <w:pPr>
        <w:pStyle w:val="ListParagraph"/>
        <w:numPr>
          <w:ilvl w:val="0"/>
          <w:numId w:val="52"/>
        </w:numPr>
        <w:spacing w:line="300" w:lineRule="auto"/>
        <w:ind w:left="288" w:hanging="288"/>
        <w:jc w:val="both"/>
        <w:rPr>
          <w:rFonts w:ascii="Trebuchet MS" w:hAnsi="Trebuchet MS" w:cs="Arial"/>
          <w:sz w:val="22"/>
          <w:szCs w:val="22"/>
        </w:rPr>
      </w:pPr>
      <w:r w:rsidRPr="00254B55">
        <w:rPr>
          <w:rFonts w:ascii="Trebuchet MS" w:hAnsi="Trebuchet MS" w:cs="Arial"/>
          <w:sz w:val="22"/>
          <w:szCs w:val="22"/>
        </w:rPr>
        <w:t>aglomerările umane/localităţile care nu au sisteme de colectare a apelor uzate sau sisteme corespunzătoare de colectare şi eliminare a nămolului din staţiile de epurare, precum şi localităţile care au depozite de deşeuri menajere neconforme;</w:t>
      </w:r>
    </w:p>
    <w:p w:rsidR="00C31077" w:rsidRPr="00254B55" w:rsidRDefault="00C31077" w:rsidP="00F746AF">
      <w:pPr>
        <w:pStyle w:val="ListParagraph"/>
        <w:numPr>
          <w:ilvl w:val="0"/>
          <w:numId w:val="52"/>
        </w:numPr>
        <w:spacing w:line="300" w:lineRule="auto"/>
        <w:ind w:left="284" w:hanging="284"/>
        <w:jc w:val="both"/>
        <w:rPr>
          <w:rFonts w:ascii="Trebuchet MS" w:hAnsi="Trebuchet MS" w:cs="Arial"/>
          <w:sz w:val="22"/>
          <w:szCs w:val="22"/>
        </w:rPr>
      </w:pPr>
      <w:r w:rsidRPr="00254B55">
        <w:rPr>
          <w:rFonts w:ascii="Trebuchet MS" w:hAnsi="Trebuchet MS" w:cs="Arial"/>
          <w:sz w:val="22"/>
          <w:szCs w:val="22"/>
        </w:rPr>
        <w:t>fermele agro-zootehnice care nu au sisteme corespunzătoare de stocare/utilizare a dejecţiilor, localităţile identificate ca fiind zone vulnerabile la poluarea cu nitraţi din surse agricole, unităţi care utilizează pesticide şi nu se conformează legislaţiei în vigoare, alte unităţi/activităţi agricole care pot conduce la emisii difuze semnificative;</w:t>
      </w:r>
    </w:p>
    <w:p w:rsidR="00C31077" w:rsidRPr="00254B55" w:rsidRDefault="00C31077" w:rsidP="00F746AF">
      <w:pPr>
        <w:pStyle w:val="ListParagraph"/>
        <w:numPr>
          <w:ilvl w:val="0"/>
          <w:numId w:val="52"/>
        </w:numPr>
        <w:spacing w:line="300" w:lineRule="auto"/>
        <w:ind w:left="284" w:hanging="284"/>
        <w:jc w:val="both"/>
        <w:rPr>
          <w:rFonts w:ascii="Trebuchet MS" w:hAnsi="Trebuchet MS" w:cs="Arial"/>
          <w:sz w:val="22"/>
          <w:szCs w:val="22"/>
        </w:rPr>
      </w:pPr>
      <w:r w:rsidRPr="00254B55">
        <w:rPr>
          <w:rFonts w:ascii="Trebuchet MS" w:hAnsi="Trebuchet MS" w:cs="Arial"/>
          <w:sz w:val="22"/>
          <w:szCs w:val="22"/>
        </w:rPr>
        <w:t>depozitele de materii prime, produse finite, produse auxiliare, stocare de deşeuri neconforme, unităţi ce produc poluări accidentale difuze, situri industriale abandonate.</w:t>
      </w: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Presiunile difuze provenite din activităţile agricole sunt dificil de cuantificat. Totuşi, cantităţile de poluanţi emise de sursele difuze de poluare pot fi estimate prin aplicarea unor modele matematice. De exemplu, modelul MONERIS (</w:t>
      </w:r>
      <w:r w:rsidRPr="00254B55">
        <w:rPr>
          <w:rFonts w:ascii="Trebuchet MS" w:hAnsi="Trebuchet MS" w:cs="Arial"/>
          <w:i/>
          <w:iCs/>
          <w:sz w:val="22"/>
          <w:szCs w:val="22"/>
        </w:rPr>
        <w:t>Modelling Nutrient Emissions in River Systems</w:t>
      </w:r>
      <w:r w:rsidRPr="00254B55">
        <w:rPr>
          <w:rFonts w:ascii="Trebuchet MS" w:hAnsi="Trebuchet MS" w:cs="Arial"/>
          <w:sz w:val="22"/>
          <w:szCs w:val="22"/>
        </w:rPr>
        <w:t>) permite estimarea emisiilor de nutrienţi (azot şi fosfor) luând în consideraţie şase căi de producere a poluării difuze: scurgerea pe suprafaţă, scurgerea din reţele de drenaje, scurgerea subterană, scurgerea din zone impermeabile orăşeneşti, depuneri din atmosferă şi eroziunea solului.</w:t>
      </w:r>
    </w:p>
    <w:p w:rsidR="00C31077" w:rsidRPr="00254B55" w:rsidRDefault="00C31077" w:rsidP="00F746AF">
      <w:pPr>
        <w:spacing w:line="300" w:lineRule="auto"/>
        <w:jc w:val="both"/>
        <w:rPr>
          <w:rFonts w:ascii="Trebuchet MS" w:hAnsi="Trebuchet MS" w:cs="Arial"/>
          <w:sz w:val="22"/>
          <w:szCs w:val="22"/>
        </w:rPr>
      </w:pPr>
      <w:r w:rsidRPr="00254B55">
        <w:rPr>
          <w:rFonts w:ascii="Trebuchet MS" w:hAnsi="Trebuchet MS" w:cs="Arial"/>
          <w:sz w:val="22"/>
          <w:szCs w:val="22"/>
        </w:rPr>
        <w:t>Aplicarea modelului MONERIS se realizează la elaborarea fiecarui plan de management, ultimele informații fiind disponibile din  perioada de referință (2015-2018). Se precizează că aceste date au fost actualizate pentru al treilea plan de management cu valori din perioada 2015-2018, pe baza finalizării aplicării modelului MONERIS la nivel naţional (în cadrul Districtului internaţional al Dunării), cât şi la nivel de sub-bazine internaţionale (Tisa).</w:t>
      </w:r>
    </w:p>
    <w:p w:rsidR="00C31077" w:rsidRPr="00254B55" w:rsidRDefault="00C31077" w:rsidP="00F746AF">
      <w:pPr>
        <w:spacing w:line="300" w:lineRule="auto"/>
        <w:ind w:firstLine="567"/>
        <w:jc w:val="both"/>
        <w:rPr>
          <w:rFonts w:ascii="Trebuchet MS" w:hAnsi="Trebuchet MS" w:cs="Arial"/>
          <w:sz w:val="22"/>
          <w:szCs w:val="22"/>
        </w:rPr>
      </w:pPr>
      <w:r w:rsidRPr="00254B55">
        <w:rPr>
          <w:rFonts w:ascii="Trebuchet MS" w:hAnsi="Trebuchet MS" w:cs="Arial"/>
          <w:sz w:val="22"/>
          <w:szCs w:val="22"/>
        </w:rPr>
        <w:t xml:space="preserve">În </w:t>
      </w:r>
      <w:r w:rsidRPr="00254B55">
        <w:rPr>
          <w:rFonts w:ascii="Trebuchet MS" w:hAnsi="Trebuchet MS" w:cs="Arial"/>
          <w:i/>
          <w:sz w:val="22"/>
          <w:szCs w:val="22"/>
        </w:rPr>
        <w:t>Figurile II.2.2.1.2 şi II.2.2.1.3</w:t>
      </w:r>
      <w:r w:rsidRPr="00254B55">
        <w:rPr>
          <w:rFonts w:ascii="Trebuchet MS" w:hAnsi="Trebuchet MS" w:cs="Arial"/>
          <w:sz w:val="22"/>
          <w:szCs w:val="22"/>
        </w:rPr>
        <w:t xml:space="preserve"> se prezintă contribuţia modurilor de producere a poluării difuze cu azot şi fosfor din perioada de referință 2015-2018, având în vedere căile prezentate mai sus. </w:t>
      </w:r>
    </w:p>
    <w:p w:rsidR="00C31077" w:rsidRPr="00254B55" w:rsidRDefault="00C31077" w:rsidP="00F746AF">
      <w:pPr>
        <w:spacing w:line="300" w:lineRule="auto"/>
        <w:rPr>
          <w:rFonts w:ascii="Trebuchet MS" w:hAnsi="Trebuchet MS" w:cs="Arial"/>
          <w:b/>
          <w:sz w:val="22"/>
          <w:szCs w:val="22"/>
        </w:rPr>
      </w:pPr>
    </w:p>
    <w:p w:rsidR="00C31077" w:rsidRPr="00254B55" w:rsidRDefault="00C31077" w:rsidP="00F746AF">
      <w:pPr>
        <w:spacing w:line="300" w:lineRule="auto"/>
        <w:rPr>
          <w:rFonts w:ascii="Trebuchet MS" w:hAnsi="Trebuchet MS" w:cs="Arial"/>
          <w:b/>
          <w:i/>
          <w:sz w:val="22"/>
          <w:szCs w:val="22"/>
        </w:rPr>
      </w:pPr>
      <w:r w:rsidRPr="00254B55">
        <w:rPr>
          <w:rFonts w:ascii="Trebuchet MS" w:hAnsi="Trebuchet MS" w:cs="Arial"/>
          <w:b/>
          <w:sz w:val="22"/>
          <w:szCs w:val="22"/>
        </w:rPr>
        <w:t xml:space="preserve">Figura II.2.2.1.2 </w:t>
      </w:r>
      <w:r w:rsidRPr="00254B55">
        <w:rPr>
          <w:rFonts w:ascii="Trebuchet MS" w:hAnsi="Trebuchet MS" w:cs="Arial"/>
          <w:b/>
          <w:i/>
          <w:sz w:val="22"/>
          <w:szCs w:val="22"/>
        </w:rPr>
        <w:t>Moduri (căi) de producere a poluării difuze cu azot</w:t>
      </w:r>
    </w:p>
    <w:p w:rsidR="00C31077" w:rsidRPr="00EC7F5B" w:rsidRDefault="00C31077" w:rsidP="00C31077">
      <w:pPr>
        <w:spacing w:line="300" w:lineRule="auto"/>
        <w:jc w:val="center"/>
        <w:rPr>
          <w:rFonts w:ascii="Trebuchet MS" w:hAnsi="Trebuchet MS" w:cs="Arial"/>
          <w:b/>
          <w:i/>
        </w:rPr>
      </w:pPr>
      <w:r>
        <w:rPr>
          <w:rFonts w:ascii="Trebuchet MS" w:hAnsi="Trebuchet MS" w:cs="Arial"/>
          <w:b/>
          <w:i/>
          <w:noProof/>
          <w:lang w:val="en-US"/>
        </w:rPr>
        <w:drawing>
          <wp:inline distT="0" distB="0" distL="0" distR="0" wp14:anchorId="066C19B0" wp14:editId="7C22202B">
            <wp:extent cx="3754755" cy="2473960"/>
            <wp:effectExtent l="0" t="0" r="0" b="2540"/>
            <wp:docPr id="1349278117" name="Picture 134927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54755" cy="2473960"/>
                    </a:xfrm>
                    <a:prstGeom prst="rect">
                      <a:avLst/>
                    </a:prstGeom>
                    <a:noFill/>
                  </pic:spPr>
                </pic:pic>
              </a:graphicData>
            </a:graphic>
          </wp:inline>
        </w:drawing>
      </w:r>
    </w:p>
    <w:p w:rsidR="00C31077" w:rsidRPr="001F4D92" w:rsidRDefault="00C31077" w:rsidP="00C31077">
      <w:pPr>
        <w:spacing w:line="300" w:lineRule="auto"/>
        <w:jc w:val="both"/>
        <w:rPr>
          <w:rFonts w:ascii="Trebuchet MS" w:hAnsi="Trebuchet MS" w:cs="Arial"/>
          <w:i/>
          <w:sz w:val="20"/>
          <w:szCs w:val="20"/>
        </w:rPr>
      </w:pPr>
      <w:r w:rsidRPr="001F4D92">
        <w:rPr>
          <w:rFonts w:ascii="Trebuchet MS" w:hAnsi="Trebuchet MS" w:cs="Arial"/>
          <w:i/>
          <w:sz w:val="20"/>
          <w:szCs w:val="20"/>
        </w:rPr>
        <w:t>(Sursa datelor: Administrația Națională „Apele Române”,  Planul naţional de management actualizat)</w:t>
      </w:r>
    </w:p>
    <w:p w:rsidR="00C31077" w:rsidRPr="00EC7F5B" w:rsidRDefault="00C31077" w:rsidP="00C31077">
      <w:pPr>
        <w:spacing w:before="120" w:after="120" w:line="300" w:lineRule="auto"/>
        <w:jc w:val="both"/>
        <w:rPr>
          <w:rFonts w:ascii="Trebuchet MS" w:hAnsi="Trebuchet MS" w:cs="Arial"/>
          <w:i/>
        </w:rPr>
      </w:pPr>
    </w:p>
    <w:p w:rsidR="00C31077" w:rsidRPr="00EC7F5B" w:rsidRDefault="00C31077" w:rsidP="00C31077">
      <w:pPr>
        <w:spacing w:before="120" w:after="120" w:line="300" w:lineRule="auto"/>
        <w:rPr>
          <w:rFonts w:ascii="Trebuchet MS" w:hAnsi="Trebuchet MS" w:cs="Arial"/>
          <w:b/>
          <w:i/>
        </w:rPr>
      </w:pPr>
      <w:r w:rsidRPr="00EC7F5B">
        <w:rPr>
          <w:rFonts w:ascii="Trebuchet MS" w:hAnsi="Trebuchet MS" w:cs="Arial"/>
          <w:b/>
        </w:rPr>
        <w:t xml:space="preserve">Figura II.2.2.1.3 </w:t>
      </w:r>
      <w:r w:rsidRPr="00EC7F5B">
        <w:rPr>
          <w:rFonts w:ascii="Trebuchet MS" w:hAnsi="Trebuchet MS" w:cs="Arial"/>
          <w:b/>
          <w:i/>
        </w:rPr>
        <w:t>Moduri (căi) de producere a poluării difuze cu fosfor</w:t>
      </w:r>
    </w:p>
    <w:p w:rsidR="00C31077" w:rsidRPr="001F4D92" w:rsidRDefault="00C31077" w:rsidP="00C31077">
      <w:pPr>
        <w:spacing w:line="300" w:lineRule="auto"/>
        <w:jc w:val="center"/>
        <w:rPr>
          <w:rFonts w:ascii="Trebuchet MS" w:eastAsia="Times New Roman" w:hAnsi="Trebuchet MS"/>
          <w:noProof/>
          <w:sz w:val="20"/>
          <w:szCs w:val="20"/>
          <w:lang w:eastAsia="en-GB"/>
        </w:rPr>
      </w:pPr>
      <w:r>
        <w:rPr>
          <w:rFonts w:ascii="Trebuchet MS" w:hAnsi="Trebuchet MS" w:cs="Arial"/>
          <w:b/>
          <w:i/>
          <w:noProof/>
          <w:sz w:val="20"/>
          <w:szCs w:val="20"/>
          <w:lang w:val="en-US"/>
        </w:rPr>
        <w:drawing>
          <wp:inline distT="0" distB="0" distL="0" distR="0" wp14:anchorId="44390A68" wp14:editId="5B510A20">
            <wp:extent cx="3787140" cy="2463165"/>
            <wp:effectExtent l="0" t="0" r="3810" b="0"/>
            <wp:docPr id="1349278116" name="Picture 134927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87140" cy="2463165"/>
                    </a:xfrm>
                    <a:prstGeom prst="rect">
                      <a:avLst/>
                    </a:prstGeom>
                    <a:noFill/>
                  </pic:spPr>
                </pic:pic>
              </a:graphicData>
            </a:graphic>
          </wp:inline>
        </w:drawing>
      </w:r>
    </w:p>
    <w:p w:rsidR="00C31077" w:rsidRPr="001F4D92" w:rsidRDefault="00C31077" w:rsidP="00C31077">
      <w:pPr>
        <w:spacing w:line="300" w:lineRule="auto"/>
        <w:jc w:val="both"/>
        <w:rPr>
          <w:rFonts w:ascii="Trebuchet MS" w:hAnsi="Trebuchet MS" w:cs="Arial"/>
          <w:i/>
          <w:sz w:val="20"/>
          <w:szCs w:val="20"/>
        </w:rPr>
      </w:pPr>
      <w:r w:rsidRPr="001F4D92">
        <w:rPr>
          <w:rFonts w:ascii="Trebuchet MS" w:hAnsi="Trebuchet MS" w:cs="Arial"/>
          <w:i/>
          <w:sz w:val="20"/>
          <w:szCs w:val="20"/>
        </w:rPr>
        <w:t>(Sursa datelor: Administrația Națională „Apele Române”, Planul naţional de management actualizat)</w:t>
      </w:r>
    </w:p>
    <w:p w:rsidR="00C31077" w:rsidRPr="00254B55" w:rsidRDefault="00C31077" w:rsidP="00F746AF">
      <w:pPr>
        <w:pStyle w:val="BodyText"/>
        <w:spacing w:after="0" w:line="300" w:lineRule="auto"/>
        <w:ind w:right="-2" w:firstLine="720"/>
        <w:jc w:val="both"/>
        <w:rPr>
          <w:rFonts w:ascii="Trebuchet MS" w:hAnsi="Trebuchet MS" w:cs="Arial"/>
          <w:sz w:val="22"/>
          <w:szCs w:val="22"/>
        </w:rPr>
      </w:pPr>
      <w:r w:rsidRPr="00254B55">
        <w:rPr>
          <w:rFonts w:ascii="Trebuchet MS" w:hAnsi="Trebuchet MS" w:cs="Arial"/>
          <w:sz w:val="22"/>
          <w:szCs w:val="22"/>
        </w:rPr>
        <w:t>De asemenea, modelul MONERIS cuantifică contribuţia diverselor categorii de surse de poluare la emisia totală de nutrienţi. Astfel pentru sursele difuze de poluare, aceste categorii de surse sunt reprezentate de: agricultură, localităţi (aşezări umane), alte surse (ex. depunerea oxizilor de azot din atmosferă), precum şi fondul natural. De subliniat este faptul că, modelul MONERIS ia în considerare toate sursele de poluare şi nu numai pe acelea identificate ca fiind semnificative.</w:t>
      </w:r>
    </w:p>
    <w:p w:rsidR="00C31077" w:rsidRPr="00254B55" w:rsidRDefault="00C31077" w:rsidP="00F746AF">
      <w:pPr>
        <w:pStyle w:val="BodyText"/>
        <w:spacing w:after="0" w:line="300" w:lineRule="auto"/>
        <w:ind w:right="-177" w:firstLine="720"/>
        <w:jc w:val="both"/>
        <w:rPr>
          <w:rFonts w:ascii="Trebuchet MS" w:hAnsi="Trebuchet MS" w:cs="Arial"/>
          <w:sz w:val="22"/>
          <w:szCs w:val="22"/>
        </w:rPr>
      </w:pPr>
      <w:r w:rsidRPr="00254B55">
        <w:rPr>
          <w:rFonts w:ascii="Trebuchet MS" w:hAnsi="Trebuchet MS" w:cs="Arial"/>
          <w:sz w:val="22"/>
          <w:szCs w:val="22"/>
        </w:rPr>
        <w:t xml:space="preserve">În </w:t>
      </w:r>
      <w:r w:rsidRPr="00254B55">
        <w:rPr>
          <w:rFonts w:ascii="Trebuchet MS" w:hAnsi="Trebuchet MS" w:cs="Arial"/>
          <w:i/>
          <w:sz w:val="22"/>
          <w:szCs w:val="22"/>
        </w:rPr>
        <w:t>Tabelul II.2.2.1.1</w:t>
      </w:r>
      <w:r w:rsidRPr="00254B55">
        <w:rPr>
          <w:rFonts w:ascii="Trebuchet MS" w:hAnsi="Trebuchet MS" w:cs="Arial"/>
          <w:sz w:val="22"/>
          <w:szCs w:val="22"/>
        </w:rPr>
        <w:t xml:space="preserve"> se prezintă emisiile de azot şi fosfor din surse difuze de poluare, având în vedere aportul fiecărei categorii de surse de poluare. </w:t>
      </w:r>
    </w:p>
    <w:p w:rsidR="00C31077" w:rsidRPr="00254B55" w:rsidRDefault="00C31077" w:rsidP="00F746AF">
      <w:pPr>
        <w:pStyle w:val="BodyText"/>
        <w:spacing w:after="0" w:line="300" w:lineRule="auto"/>
        <w:ind w:right="-177" w:firstLine="720"/>
        <w:jc w:val="both"/>
        <w:rPr>
          <w:rFonts w:ascii="Trebuchet MS" w:hAnsi="Trebuchet MS" w:cs="Arial"/>
          <w:sz w:val="22"/>
          <w:szCs w:val="22"/>
        </w:rPr>
      </w:pPr>
    </w:p>
    <w:p w:rsidR="00C31077" w:rsidRPr="00254B55" w:rsidRDefault="00C31077" w:rsidP="00F746AF">
      <w:pPr>
        <w:pStyle w:val="BodyText"/>
        <w:spacing w:after="0" w:line="300" w:lineRule="auto"/>
        <w:ind w:right="-176"/>
        <w:jc w:val="both"/>
        <w:rPr>
          <w:rFonts w:ascii="Trebuchet MS" w:hAnsi="Trebuchet MS" w:cs="Arial"/>
          <w:b/>
          <w:sz w:val="22"/>
          <w:szCs w:val="22"/>
          <w:vertAlign w:val="superscript"/>
        </w:rPr>
      </w:pPr>
      <w:r w:rsidRPr="00254B55">
        <w:rPr>
          <w:rFonts w:ascii="Trebuchet MS" w:hAnsi="Trebuchet MS" w:cs="Arial"/>
          <w:b/>
          <w:sz w:val="22"/>
          <w:szCs w:val="22"/>
        </w:rPr>
        <w:t>Tabelul II.2.2.1.1 Emisii de azot şi fosfor din diferite surse difuze, pentru perioada de referință 2015-2018</w:t>
      </w:r>
    </w:p>
    <w:tbl>
      <w:tblPr>
        <w:tblW w:w="9217" w:type="dxa"/>
        <w:jc w:val="center"/>
        <w:tblInd w:w="-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1775"/>
        <w:gridCol w:w="1178"/>
        <w:gridCol w:w="1799"/>
        <w:gridCol w:w="1146"/>
      </w:tblGrid>
      <w:tr w:rsidR="00C31077" w:rsidRPr="00254B55" w:rsidTr="00E13AA6">
        <w:trPr>
          <w:jc w:val="center"/>
        </w:trPr>
        <w:tc>
          <w:tcPr>
            <w:tcW w:w="3319" w:type="dxa"/>
            <w:vMerge w:val="restart"/>
            <w:shd w:val="clear" w:color="auto" w:fill="9CC2E5"/>
            <w:vAlign w:val="center"/>
          </w:tcPr>
          <w:p w:rsidR="00C31077" w:rsidRPr="00254B55" w:rsidRDefault="00C31077" w:rsidP="00E13AA6">
            <w:pPr>
              <w:pStyle w:val="BodyText"/>
              <w:spacing w:before="120" w:line="300" w:lineRule="auto"/>
              <w:ind w:right="176"/>
              <w:jc w:val="center"/>
              <w:rPr>
                <w:rFonts w:ascii="Trebuchet MS" w:hAnsi="Trebuchet MS" w:cs="Arial"/>
                <w:b/>
                <w:sz w:val="22"/>
                <w:szCs w:val="22"/>
              </w:rPr>
            </w:pPr>
            <w:r w:rsidRPr="00254B55">
              <w:rPr>
                <w:rFonts w:ascii="Trebuchet MS" w:hAnsi="Trebuchet MS" w:cs="Arial"/>
                <w:b/>
                <w:sz w:val="22"/>
                <w:szCs w:val="22"/>
              </w:rPr>
              <w:t>Surse difuze de poluare</w:t>
            </w:r>
          </w:p>
        </w:tc>
        <w:tc>
          <w:tcPr>
            <w:tcW w:w="2953" w:type="dxa"/>
            <w:gridSpan w:val="2"/>
            <w:shd w:val="clear" w:color="auto" w:fill="9CC2E5"/>
            <w:vAlign w:val="center"/>
          </w:tcPr>
          <w:p w:rsidR="00C31077" w:rsidRPr="00254B55" w:rsidRDefault="00C31077" w:rsidP="00E13AA6">
            <w:pPr>
              <w:spacing w:before="120" w:after="120" w:line="300" w:lineRule="auto"/>
              <w:jc w:val="center"/>
              <w:rPr>
                <w:rFonts w:ascii="Trebuchet MS" w:hAnsi="Trebuchet MS" w:cs="Arial"/>
                <w:b/>
                <w:sz w:val="22"/>
                <w:szCs w:val="22"/>
              </w:rPr>
            </w:pPr>
            <w:r w:rsidRPr="00254B55">
              <w:rPr>
                <w:rFonts w:ascii="Trebuchet MS" w:hAnsi="Trebuchet MS" w:cs="Arial"/>
                <w:b/>
                <w:sz w:val="22"/>
                <w:szCs w:val="22"/>
              </w:rPr>
              <w:t>Emisii de azot</w:t>
            </w:r>
          </w:p>
        </w:tc>
        <w:tc>
          <w:tcPr>
            <w:tcW w:w="2945" w:type="dxa"/>
            <w:gridSpan w:val="2"/>
            <w:shd w:val="clear" w:color="auto" w:fill="9CC2E5"/>
            <w:vAlign w:val="center"/>
          </w:tcPr>
          <w:p w:rsidR="00C31077" w:rsidRPr="00254B55" w:rsidRDefault="00C31077" w:rsidP="00E13AA6">
            <w:pPr>
              <w:spacing w:before="120" w:after="120" w:line="300" w:lineRule="auto"/>
              <w:jc w:val="center"/>
              <w:rPr>
                <w:rFonts w:ascii="Trebuchet MS" w:hAnsi="Trebuchet MS" w:cs="Arial"/>
                <w:b/>
                <w:sz w:val="22"/>
                <w:szCs w:val="22"/>
              </w:rPr>
            </w:pPr>
            <w:r w:rsidRPr="00254B55">
              <w:rPr>
                <w:rFonts w:ascii="Trebuchet MS" w:hAnsi="Trebuchet MS" w:cs="Arial"/>
                <w:b/>
                <w:sz w:val="22"/>
                <w:szCs w:val="22"/>
              </w:rPr>
              <w:t>Emisii de fosfor</w:t>
            </w:r>
          </w:p>
        </w:tc>
      </w:tr>
      <w:tr w:rsidR="00C31077" w:rsidRPr="00254B55" w:rsidTr="00E13AA6">
        <w:trPr>
          <w:jc w:val="center"/>
        </w:trPr>
        <w:tc>
          <w:tcPr>
            <w:tcW w:w="3319" w:type="dxa"/>
            <w:vMerge/>
            <w:shd w:val="clear" w:color="auto" w:fill="9CC2E5"/>
            <w:vAlign w:val="center"/>
          </w:tcPr>
          <w:p w:rsidR="00C31077" w:rsidRPr="00254B55" w:rsidRDefault="00C31077" w:rsidP="00E13AA6">
            <w:pPr>
              <w:pStyle w:val="BodyText"/>
              <w:spacing w:before="120" w:line="300" w:lineRule="auto"/>
              <w:ind w:right="176"/>
              <w:jc w:val="center"/>
              <w:rPr>
                <w:rFonts w:ascii="Trebuchet MS" w:hAnsi="Trebuchet MS" w:cs="Arial"/>
                <w:b/>
                <w:sz w:val="22"/>
                <w:szCs w:val="22"/>
              </w:rPr>
            </w:pPr>
          </w:p>
        </w:tc>
        <w:tc>
          <w:tcPr>
            <w:tcW w:w="1775" w:type="dxa"/>
            <w:shd w:val="clear" w:color="auto" w:fill="9CC2E5"/>
            <w:vAlign w:val="center"/>
          </w:tcPr>
          <w:p w:rsidR="00C31077" w:rsidRPr="00254B55" w:rsidRDefault="00C31077" w:rsidP="00E13AA6">
            <w:pPr>
              <w:spacing w:before="120" w:after="120" w:line="300" w:lineRule="auto"/>
              <w:jc w:val="center"/>
              <w:rPr>
                <w:rFonts w:ascii="Trebuchet MS" w:hAnsi="Trebuchet MS" w:cs="Arial"/>
                <w:b/>
                <w:sz w:val="22"/>
                <w:szCs w:val="22"/>
              </w:rPr>
            </w:pPr>
            <w:r w:rsidRPr="00254B55">
              <w:rPr>
                <w:rFonts w:ascii="Trebuchet MS" w:hAnsi="Trebuchet MS" w:cs="Arial"/>
                <w:b/>
                <w:sz w:val="22"/>
                <w:szCs w:val="22"/>
              </w:rPr>
              <w:t>Tone</w:t>
            </w:r>
          </w:p>
        </w:tc>
        <w:tc>
          <w:tcPr>
            <w:tcW w:w="1178" w:type="dxa"/>
            <w:shd w:val="clear" w:color="auto" w:fill="9CC2E5"/>
            <w:vAlign w:val="center"/>
          </w:tcPr>
          <w:p w:rsidR="00C31077" w:rsidRPr="00254B55" w:rsidRDefault="00C31077" w:rsidP="00E13AA6">
            <w:pPr>
              <w:spacing w:before="120" w:after="120" w:line="300" w:lineRule="auto"/>
              <w:jc w:val="center"/>
              <w:rPr>
                <w:rFonts w:ascii="Trebuchet MS" w:hAnsi="Trebuchet MS" w:cs="Arial"/>
                <w:b/>
                <w:sz w:val="22"/>
                <w:szCs w:val="22"/>
              </w:rPr>
            </w:pPr>
            <w:r w:rsidRPr="00254B55">
              <w:rPr>
                <w:rFonts w:ascii="Trebuchet MS" w:hAnsi="Trebuchet MS" w:cs="Arial"/>
                <w:b/>
                <w:sz w:val="22"/>
                <w:szCs w:val="22"/>
              </w:rPr>
              <w:t>%</w:t>
            </w:r>
          </w:p>
        </w:tc>
        <w:tc>
          <w:tcPr>
            <w:tcW w:w="1799" w:type="dxa"/>
            <w:shd w:val="clear" w:color="auto" w:fill="9CC2E5"/>
            <w:vAlign w:val="center"/>
          </w:tcPr>
          <w:p w:rsidR="00C31077" w:rsidRPr="00254B55" w:rsidRDefault="00C31077" w:rsidP="00E13AA6">
            <w:pPr>
              <w:spacing w:before="120" w:after="120" w:line="300" w:lineRule="auto"/>
              <w:jc w:val="center"/>
              <w:rPr>
                <w:rFonts w:ascii="Trebuchet MS" w:hAnsi="Trebuchet MS" w:cs="Arial"/>
                <w:b/>
                <w:sz w:val="22"/>
                <w:szCs w:val="22"/>
              </w:rPr>
            </w:pPr>
            <w:r w:rsidRPr="00254B55">
              <w:rPr>
                <w:rFonts w:ascii="Trebuchet MS" w:hAnsi="Trebuchet MS" w:cs="Arial"/>
                <w:b/>
                <w:sz w:val="22"/>
                <w:szCs w:val="22"/>
              </w:rPr>
              <w:t>Tone</w:t>
            </w:r>
          </w:p>
        </w:tc>
        <w:tc>
          <w:tcPr>
            <w:tcW w:w="1146" w:type="dxa"/>
            <w:shd w:val="clear" w:color="auto" w:fill="9CC2E5"/>
            <w:vAlign w:val="center"/>
          </w:tcPr>
          <w:p w:rsidR="00C31077" w:rsidRPr="00254B55" w:rsidRDefault="00C31077" w:rsidP="00E13AA6">
            <w:pPr>
              <w:spacing w:before="120" w:after="120" w:line="300" w:lineRule="auto"/>
              <w:jc w:val="center"/>
              <w:rPr>
                <w:rFonts w:ascii="Trebuchet MS" w:hAnsi="Trebuchet MS" w:cs="Arial"/>
                <w:b/>
                <w:sz w:val="22"/>
                <w:szCs w:val="22"/>
              </w:rPr>
            </w:pPr>
            <w:r w:rsidRPr="00254B55">
              <w:rPr>
                <w:rFonts w:ascii="Trebuchet MS" w:hAnsi="Trebuchet MS" w:cs="Arial"/>
                <w:b/>
                <w:sz w:val="22"/>
                <w:szCs w:val="22"/>
              </w:rPr>
              <w:t>%</w:t>
            </w:r>
          </w:p>
        </w:tc>
      </w:tr>
      <w:tr w:rsidR="00C31077" w:rsidRPr="00254B55" w:rsidTr="00E13AA6">
        <w:trPr>
          <w:jc w:val="center"/>
        </w:trPr>
        <w:tc>
          <w:tcPr>
            <w:tcW w:w="3319" w:type="dxa"/>
            <w:shd w:val="clear" w:color="auto" w:fill="auto"/>
            <w:vAlign w:val="center"/>
          </w:tcPr>
          <w:p w:rsidR="00C31077" w:rsidRPr="00254B55" w:rsidRDefault="00C31077" w:rsidP="00E13AA6">
            <w:pPr>
              <w:pStyle w:val="BodyText"/>
              <w:spacing w:before="120" w:line="300" w:lineRule="auto"/>
              <w:ind w:right="176"/>
              <w:jc w:val="both"/>
              <w:rPr>
                <w:rFonts w:ascii="Trebuchet MS" w:hAnsi="Trebuchet MS" w:cs="Arial"/>
                <w:sz w:val="22"/>
                <w:szCs w:val="22"/>
              </w:rPr>
            </w:pPr>
            <w:r w:rsidRPr="00254B55">
              <w:rPr>
                <w:rFonts w:ascii="Trebuchet MS" w:hAnsi="Trebuchet MS" w:cs="Arial"/>
                <w:sz w:val="22"/>
                <w:szCs w:val="22"/>
              </w:rPr>
              <w:t>Agricultură</w:t>
            </w:r>
          </w:p>
        </w:tc>
        <w:tc>
          <w:tcPr>
            <w:tcW w:w="1775"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 xml:space="preserve">31.192,1 </w:t>
            </w:r>
          </w:p>
        </w:tc>
        <w:tc>
          <w:tcPr>
            <w:tcW w:w="1178"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 xml:space="preserve">35,0 </w:t>
            </w:r>
          </w:p>
        </w:tc>
        <w:tc>
          <w:tcPr>
            <w:tcW w:w="1799" w:type="dxa"/>
            <w:shd w:val="clear" w:color="auto" w:fill="auto"/>
            <w:vAlign w:val="center"/>
          </w:tcPr>
          <w:p w:rsidR="00C31077" w:rsidRPr="00254B55" w:rsidRDefault="00C31077" w:rsidP="00E13AA6">
            <w:pPr>
              <w:spacing w:before="120" w:after="120" w:line="300" w:lineRule="auto"/>
              <w:jc w:val="center"/>
              <w:rPr>
                <w:rFonts w:ascii="Trebuchet MS" w:eastAsia="Times New Roman" w:hAnsi="Trebuchet MS" w:cs="Arial"/>
                <w:sz w:val="22"/>
                <w:szCs w:val="22"/>
                <w:lang w:val="en-US"/>
              </w:rPr>
            </w:pPr>
            <w:r w:rsidRPr="00254B55">
              <w:rPr>
                <w:rFonts w:ascii="Trebuchet MS" w:eastAsia="Times New Roman" w:hAnsi="Trebuchet MS" w:cs="Arial"/>
                <w:sz w:val="22"/>
                <w:szCs w:val="22"/>
                <w:lang w:val="en-US"/>
              </w:rPr>
              <w:t>3036,0</w:t>
            </w:r>
          </w:p>
        </w:tc>
        <w:tc>
          <w:tcPr>
            <w:tcW w:w="1146" w:type="dxa"/>
            <w:shd w:val="clear" w:color="auto" w:fill="auto"/>
            <w:vAlign w:val="center"/>
          </w:tcPr>
          <w:p w:rsidR="00C31077" w:rsidRPr="00254B55" w:rsidRDefault="00C31077" w:rsidP="00E13AA6">
            <w:pPr>
              <w:spacing w:before="120" w:after="120" w:line="300" w:lineRule="auto"/>
              <w:jc w:val="center"/>
              <w:rPr>
                <w:rFonts w:ascii="Trebuchet MS" w:eastAsia="Times New Roman" w:hAnsi="Trebuchet MS" w:cs="Arial"/>
                <w:sz w:val="22"/>
                <w:szCs w:val="22"/>
                <w:lang w:val="en-US"/>
              </w:rPr>
            </w:pPr>
            <w:r w:rsidRPr="00254B55">
              <w:rPr>
                <w:rFonts w:ascii="Trebuchet MS" w:eastAsia="Times New Roman" w:hAnsi="Trebuchet MS" w:cs="Arial"/>
                <w:sz w:val="22"/>
                <w:szCs w:val="22"/>
                <w:lang w:val="en-US"/>
              </w:rPr>
              <w:t>46,3</w:t>
            </w:r>
          </w:p>
        </w:tc>
      </w:tr>
      <w:tr w:rsidR="00C31077" w:rsidRPr="00254B55" w:rsidTr="00E13AA6">
        <w:trPr>
          <w:trHeight w:val="251"/>
          <w:jc w:val="center"/>
        </w:trPr>
        <w:tc>
          <w:tcPr>
            <w:tcW w:w="3319" w:type="dxa"/>
            <w:shd w:val="clear" w:color="auto" w:fill="auto"/>
            <w:vAlign w:val="center"/>
          </w:tcPr>
          <w:p w:rsidR="00C31077" w:rsidRPr="00254B55" w:rsidRDefault="00C31077" w:rsidP="00E13AA6">
            <w:pPr>
              <w:pStyle w:val="BodyText"/>
              <w:spacing w:before="120" w:line="300" w:lineRule="auto"/>
              <w:ind w:right="176"/>
              <w:jc w:val="both"/>
              <w:rPr>
                <w:rFonts w:ascii="Trebuchet MS" w:hAnsi="Trebuchet MS" w:cs="Arial"/>
                <w:sz w:val="22"/>
                <w:szCs w:val="22"/>
              </w:rPr>
            </w:pPr>
            <w:r w:rsidRPr="00254B55">
              <w:rPr>
                <w:rFonts w:ascii="Trebuchet MS" w:hAnsi="Trebuchet MS" w:cs="Arial"/>
                <w:sz w:val="22"/>
                <w:szCs w:val="22"/>
              </w:rPr>
              <w:t>Aglomerări umane</w:t>
            </w:r>
          </w:p>
        </w:tc>
        <w:tc>
          <w:tcPr>
            <w:tcW w:w="1775"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32.133,8</w:t>
            </w:r>
          </w:p>
        </w:tc>
        <w:tc>
          <w:tcPr>
            <w:tcW w:w="1178"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36,1</w:t>
            </w:r>
          </w:p>
        </w:tc>
        <w:tc>
          <w:tcPr>
            <w:tcW w:w="1799"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eastAsia="Times New Roman" w:hAnsi="Trebuchet MS" w:cs="Arial"/>
                <w:sz w:val="22"/>
                <w:szCs w:val="22"/>
                <w:lang w:val="en-US"/>
              </w:rPr>
              <w:t>2.863,1</w:t>
            </w:r>
          </w:p>
        </w:tc>
        <w:tc>
          <w:tcPr>
            <w:tcW w:w="1146"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eastAsia="Times New Roman" w:hAnsi="Trebuchet MS" w:cs="Arial"/>
                <w:sz w:val="22"/>
                <w:szCs w:val="22"/>
                <w:lang w:val="en-US"/>
              </w:rPr>
              <w:t>43,6</w:t>
            </w:r>
          </w:p>
        </w:tc>
      </w:tr>
      <w:tr w:rsidR="00C31077" w:rsidRPr="00254B55" w:rsidTr="00E13AA6">
        <w:trPr>
          <w:jc w:val="center"/>
        </w:trPr>
        <w:tc>
          <w:tcPr>
            <w:tcW w:w="3319" w:type="dxa"/>
            <w:shd w:val="clear" w:color="auto" w:fill="auto"/>
            <w:vAlign w:val="center"/>
          </w:tcPr>
          <w:p w:rsidR="00C31077" w:rsidRPr="00254B55" w:rsidRDefault="00C31077" w:rsidP="00E13AA6">
            <w:pPr>
              <w:pStyle w:val="BodyText"/>
              <w:spacing w:before="120" w:line="300" w:lineRule="auto"/>
              <w:ind w:right="176"/>
              <w:jc w:val="both"/>
              <w:rPr>
                <w:rFonts w:ascii="Trebuchet MS" w:hAnsi="Trebuchet MS" w:cs="Arial"/>
                <w:sz w:val="22"/>
                <w:szCs w:val="22"/>
              </w:rPr>
            </w:pPr>
            <w:r w:rsidRPr="00254B55">
              <w:rPr>
                <w:rFonts w:ascii="Trebuchet MS" w:hAnsi="Trebuchet MS" w:cs="Arial"/>
                <w:color w:val="000000"/>
                <w:sz w:val="22"/>
                <w:szCs w:val="22"/>
              </w:rPr>
              <w:t>Zone naturale</w:t>
            </w:r>
          </w:p>
        </w:tc>
        <w:tc>
          <w:tcPr>
            <w:tcW w:w="1775"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 xml:space="preserve">21.356,6  </w:t>
            </w:r>
          </w:p>
        </w:tc>
        <w:tc>
          <w:tcPr>
            <w:tcW w:w="1178"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24,0</w:t>
            </w:r>
          </w:p>
        </w:tc>
        <w:tc>
          <w:tcPr>
            <w:tcW w:w="1799"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eastAsia="Times New Roman" w:hAnsi="Trebuchet MS" w:cs="Arial"/>
                <w:sz w:val="22"/>
                <w:szCs w:val="22"/>
                <w:lang w:val="en-US"/>
              </w:rPr>
              <w:t>543,4</w:t>
            </w:r>
          </w:p>
        </w:tc>
        <w:tc>
          <w:tcPr>
            <w:tcW w:w="1146"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8,3</w:t>
            </w:r>
          </w:p>
        </w:tc>
      </w:tr>
      <w:tr w:rsidR="00C31077" w:rsidRPr="00254B55" w:rsidTr="00E13AA6">
        <w:trPr>
          <w:trHeight w:val="341"/>
          <w:jc w:val="center"/>
        </w:trPr>
        <w:tc>
          <w:tcPr>
            <w:tcW w:w="3319" w:type="dxa"/>
            <w:shd w:val="clear" w:color="auto" w:fill="auto"/>
            <w:vAlign w:val="center"/>
          </w:tcPr>
          <w:p w:rsidR="00C31077" w:rsidRPr="00254B55" w:rsidRDefault="00C31077" w:rsidP="00E13AA6">
            <w:pPr>
              <w:pStyle w:val="BodyText"/>
              <w:spacing w:before="120" w:line="300" w:lineRule="auto"/>
              <w:ind w:right="176"/>
              <w:jc w:val="both"/>
              <w:rPr>
                <w:rFonts w:ascii="Trebuchet MS" w:hAnsi="Trebuchet MS" w:cs="Arial"/>
                <w:sz w:val="22"/>
                <w:szCs w:val="22"/>
              </w:rPr>
            </w:pPr>
            <w:r w:rsidRPr="00254B55">
              <w:rPr>
                <w:rFonts w:ascii="Trebuchet MS" w:hAnsi="Trebuchet MS" w:cs="Arial"/>
                <w:color w:val="000000"/>
                <w:sz w:val="22"/>
                <w:szCs w:val="22"/>
              </w:rPr>
              <w:t>Zone deschise</w:t>
            </w:r>
          </w:p>
        </w:tc>
        <w:tc>
          <w:tcPr>
            <w:tcW w:w="1775"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 xml:space="preserve">116,6 </w:t>
            </w:r>
          </w:p>
        </w:tc>
        <w:tc>
          <w:tcPr>
            <w:tcW w:w="1178"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0,1</w:t>
            </w:r>
          </w:p>
        </w:tc>
        <w:tc>
          <w:tcPr>
            <w:tcW w:w="1799"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3,5</w:t>
            </w:r>
          </w:p>
        </w:tc>
        <w:tc>
          <w:tcPr>
            <w:tcW w:w="1146"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0,1</w:t>
            </w:r>
          </w:p>
        </w:tc>
      </w:tr>
      <w:tr w:rsidR="00C31077" w:rsidRPr="00254B55" w:rsidTr="00E13AA6">
        <w:trPr>
          <w:trHeight w:val="341"/>
          <w:jc w:val="center"/>
        </w:trPr>
        <w:tc>
          <w:tcPr>
            <w:tcW w:w="3319" w:type="dxa"/>
            <w:shd w:val="clear" w:color="auto" w:fill="auto"/>
            <w:vAlign w:val="center"/>
          </w:tcPr>
          <w:p w:rsidR="00C31077" w:rsidRPr="00254B55" w:rsidRDefault="00C31077" w:rsidP="00E13AA6">
            <w:pPr>
              <w:pStyle w:val="BodyText"/>
              <w:spacing w:before="120" w:line="300" w:lineRule="auto"/>
              <w:ind w:right="176"/>
              <w:jc w:val="both"/>
              <w:rPr>
                <w:rFonts w:ascii="Trebuchet MS" w:hAnsi="Trebuchet MS" w:cs="Arial"/>
                <w:color w:val="000000"/>
                <w:sz w:val="22"/>
                <w:szCs w:val="22"/>
                <w:lang w:val="fr-FR"/>
              </w:rPr>
            </w:pPr>
            <w:r w:rsidRPr="00254B55">
              <w:rPr>
                <w:rFonts w:ascii="Trebuchet MS" w:hAnsi="Trebuchet MS" w:cs="Arial"/>
                <w:color w:val="000000"/>
                <w:sz w:val="22"/>
                <w:szCs w:val="22"/>
                <w:lang w:val="fr-FR"/>
              </w:rPr>
              <w:t>Zone umede și ape de suprafață</w:t>
            </w:r>
          </w:p>
        </w:tc>
        <w:tc>
          <w:tcPr>
            <w:tcW w:w="1775"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4.240,7</w:t>
            </w:r>
          </w:p>
        </w:tc>
        <w:tc>
          <w:tcPr>
            <w:tcW w:w="1178" w:type="dxa"/>
            <w:shd w:val="clear" w:color="auto" w:fill="auto"/>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sz w:val="22"/>
                <w:szCs w:val="22"/>
              </w:rPr>
              <w:t>4,8</w:t>
            </w:r>
          </w:p>
        </w:tc>
        <w:tc>
          <w:tcPr>
            <w:tcW w:w="1799" w:type="dxa"/>
            <w:shd w:val="clear" w:color="auto" w:fill="auto"/>
            <w:vAlign w:val="center"/>
          </w:tcPr>
          <w:p w:rsidR="00C31077" w:rsidRPr="00254B55" w:rsidRDefault="00C31077" w:rsidP="00E13AA6">
            <w:pPr>
              <w:spacing w:before="120" w:after="120" w:line="300" w:lineRule="auto"/>
              <w:jc w:val="right"/>
              <w:rPr>
                <w:rFonts w:ascii="Trebuchet MS" w:hAnsi="Trebuchet MS" w:cs="Arial"/>
                <w:sz w:val="22"/>
                <w:szCs w:val="22"/>
              </w:rPr>
            </w:pPr>
          </w:p>
        </w:tc>
        <w:tc>
          <w:tcPr>
            <w:tcW w:w="1146" w:type="dxa"/>
            <w:shd w:val="clear" w:color="auto" w:fill="auto"/>
            <w:vAlign w:val="center"/>
          </w:tcPr>
          <w:p w:rsidR="00C31077" w:rsidRPr="00254B55" w:rsidRDefault="00C31077" w:rsidP="00E13AA6">
            <w:pPr>
              <w:spacing w:before="120" w:after="120" w:line="300" w:lineRule="auto"/>
              <w:jc w:val="right"/>
              <w:rPr>
                <w:rFonts w:ascii="Trebuchet MS" w:hAnsi="Trebuchet MS" w:cs="Arial"/>
                <w:sz w:val="22"/>
                <w:szCs w:val="22"/>
              </w:rPr>
            </w:pPr>
          </w:p>
        </w:tc>
      </w:tr>
      <w:tr w:rsidR="00C31077" w:rsidRPr="00254B55" w:rsidTr="00E13AA6">
        <w:trPr>
          <w:trHeight w:val="341"/>
          <w:jc w:val="center"/>
        </w:trPr>
        <w:tc>
          <w:tcPr>
            <w:tcW w:w="3319" w:type="dxa"/>
            <w:shd w:val="clear" w:color="auto" w:fill="9CC2E5"/>
            <w:vAlign w:val="center"/>
          </w:tcPr>
          <w:p w:rsidR="00C31077" w:rsidRPr="00254B55" w:rsidRDefault="00C31077" w:rsidP="00E13AA6">
            <w:pPr>
              <w:pStyle w:val="BodyText"/>
              <w:spacing w:before="120" w:line="300" w:lineRule="auto"/>
              <w:ind w:right="176"/>
              <w:jc w:val="both"/>
              <w:rPr>
                <w:rFonts w:ascii="Trebuchet MS" w:hAnsi="Trebuchet MS" w:cs="Arial"/>
                <w:color w:val="000000"/>
                <w:sz w:val="22"/>
                <w:szCs w:val="22"/>
              </w:rPr>
            </w:pPr>
            <w:r w:rsidRPr="00254B55">
              <w:rPr>
                <w:rFonts w:ascii="Trebuchet MS" w:hAnsi="Trebuchet MS" w:cs="Arial"/>
                <w:b/>
                <w:sz w:val="22"/>
                <w:szCs w:val="22"/>
              </w:rPr>
              <w:t>Total surse difuze</w:t>
            </w:r>
          </w:p>
        </w:tc>
        <w:tc>
          <w:tcPr>
            <w:tcW w:w="1775" w:type="dxa"/>
            <w:shd w:val="clear" w:color="auto" w:fill="9CC2E5"/>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b/>
                <w:sz w:val="22"/>
                <w:szCs w:val="22"/>
              </w:rPr>
              <w:t>89.039,9</w:t>
            </w:r>
          </w:p>
        </w:tc>
        <w:tc>
          <w:tcPr>
            <w:tcW w:w="1178" w:type="dxa"/>
            <w:shd w:val="clear" w:color="auto" w:fill="9CC2E5"/>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b/>
                <w:sz w:val="22"/>
                <w:szCs w:val="22"/>
              </w:rPr>
              <w:t>100</w:t>
            </w:r>
          </w:p>
        </w:tc>
        <w:tc>
          <w:tcPr>
            <w:tcW w:w="1799" w:type="dxa"/>
            <w:shd w:val="clear" w:color="auto" w:fill="9CC2E5"/>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eastAsia="Times New Roman" w:hAnsi="Trebuchet MS" w:cs="Arial"/>
                <w:b/>
                <w:bCs/>
                <w:sz w:val="22"/>
                <w:szCs w:val="22"/>
                <w:lang w:val="en-US"/>
              </w:rPr>
              <w:t>6563,0</w:t>
            </w:r>
          </w:p>
        </w:tc>
        <w:tc>
          <w:tcPr>
            <w:tcW w:w="1146" w:type="dxa"/>
            <w:shd w:val="clear" w:color="auto" w:fill="9CC2E5"/>
            <w:vAlign w:val="center"/>
          </w:tcPr>
          <w:p w:rsidR="00C31077" w:rsidRPr="00254B55" w:rsidRDefault="00C31077" w:rsidP="00E13AA6">
            <w:pPr>
              <w:spacing w:before="120" w:after="120" w:line="300" w:lineRule="auto"/>
              <w:jc w:val="center"/>
              <w:rPr>
                <w:rFonts w:ascii="Trebuchet MS" w:hAnsi="Trebuchet MS" w:cs="Arial"/>
                <w:sz w:val="22"/>
                <w:szCs w:val="22"/>
              </w:rPr>
            </w:pPr>
            <w:r w:rsidRPr="00254B55">
              <w:rPr>
                <w:rFonts w:ascii="Trebuchet MS" w:hAnsi="Trebuchet MS" w:cs="Arial"/>
                <w:b/>
                <w:sz w:val="22"/>
                <w:szCs w:val="22"/>
              </w:rPr>
              <w:t>100</w:t>
            </w:r>
          </w:p>
        </w:tc>
      </w:tr>
      <w:tr w:rsidR="00C31077" w:rsidRPr="00254B55" w:rsidTr="00E13AA6">
        <w:trPr>
          <w:trHeight w:val="575"/>
          <w:jc w:val="center"/>
        </w:trPr>
        <w:tc>
          <w:tcPr>
            <w:tcW w:w="3319" w:type="dxa"/>
            <w:shd w:val="clear" w:color="auto" w:fill="auto"/>
            <w:vAlign w:val="center"/>
          </w:tcPr>
          <w:p w:rsidR="00C31077" w:rsidRPr="00254B55" w:rsidRDefault="00C31077" w:rsidP="00E13AA6">
            <w:pPr>
              <w:pStyle w:val="BodyText"/>
              <w:spacing w:before="120" w:line="300" w:lineRule="auto"/>
              <w:ind w:right="176"/>
              <w:jc w:val="both"/>
              <w:rPr>
                <w:rFonts w:ascii="Trebuchet MS" w:hAnsi="Trebuchet MS" w:cs="Arial"/>
                <w:sz w:val="22"/>
                <w:szCs w:val="22"/>
              </w:rPr>
            </w:pPr>
            <w:r w:rsidRPr="00254B55">
              <w:rPr>
                <w:rFonts w:ascii="Trebuchet MS" w:hAnsi="Trebuchet MS" w:cs="Arial"/>
                <w:sz w:val="22"/>
                <w:szCs w:val="22"/>
              </w:rPr>
              <w:t>Emisia difuză medie specifică pe suprafața totală</w:t>
            </w:r>
          </w:p>
        </w:tc>
        <w:tc>
          <w:tcPr>
            <w:tcW w:w="2953" w:type="dxa"/>
            <w:gridSpan w:val="2"/>
            <w:shd w:val="clear" w:color="auto" w:fill="auto"/>
            <w:vAlign w:val="center"/>
          </w:tcPr>
          <w:p w:rsidR="00C31077" w:rsidRPr="00254B55" w:rsidRDefault="00C31077" w:rsidP="00E13AA6">
            <w:pPr>
              <w:pStyle w:val="BodyText"/>
              <w:spacing w:before="120" w:line="300" w:lineRule="auto"/>
              <w:ind w:right="-177"/>
              <w:jc w:val="center"/>
              <w:rPr>
                <w:rFonts w:ascii="Trebuchet MS" w:hAnsi="Trebuchet MS" w:cs="Arial"/>
                <w:sz w:val="22"/>
                <w:szCs w:val="22"/>
              </w:rPr>
            </w:pPr>
            <w:r w:rsidRPr="00254B55">
              <w:rPr>
                <w:rFonts w:ascii="Trebuchet MS" w:hAnsi="Trebuchet MS" w:cs="Arial"/>
                <w:sz w:val="22"/>
                <w:szCs w:val="22"/>
              </w:rPr>
              <w:t>3,73 kg N/ha</w:t>
            </w:r>
          </w:p>
        </w:tc>
        <w:tc>
          <w:tcPr>
            <w:tcW w:w="2945" w:type="dxa"/>
            <w:gridSpan w:val="2"/>
            <w:shd w:val="clear" w:color="auto" w:fill="auto"/>
            <w:vAlign w:val="center"/>
          </w:tcPr>
          <w:p w:rsidR="00C31077" w:rsidRPr="00254B55" w:rsidRDefault="00C31077" w:rsidP="00E13AA6">
            <w:pPr>
              <w:pStyle w:val="BodyText"/>
              <w:spacing w:before="120" w:line="300" w:lineRule="auto"/>
              <w:ind w:right="-177"/>
              <w:jc w:val="center"/>
              <w:rPr>
                <w:rFonts w:ascii="Trebuchet MS" w:hAnsi="Trebuchet MS" w:cs="Arial"/>
                <w:sz w:val="22"/>
                <w:szCs w:val="22"/>
              </w:rPr>
            </w:pPr>
            <w:r w:rsidRPr="00254B55">
              <w:rPr>
                <w:rFonts w:ascii="Trebuchet MS" w:hAnsi="Trebuchet MS" w:cs="Arial"/>
                <w:sz w:val="22"/>
                <w:szCs w:val="22"/>
              </w:rPr>
              <w:t>0,275 kg P/ha</w:t>
            </w:r>
          </w:p>
        </w:tc>
      </w:tr>
      <w:tr w:rsidR="00C31077" w:rsidRPr="00254B55" w:rsidTr="00E13AA6">
        <w:trPr>
          <w:trHeight w:val="555"/>
          <w:jc w:val="center"/>
        </w:trPr>
        <w:tc>
          <w:tcPr>
            <w:tcW w:w="3319" w:type="dxa"/>
            <w:shd w:val="clear" w:color="auto" w:fill="auto"/>
            <w:vAlign w:val="center"/>
          </w:tcPr>
          <w:p w:rsidR="00C31077" w:rsidRPr="00254B55" w:rsidRDefault="00C31077" w:rsidP="00E13AA6">
            <w:pPr>
              <w:pStyle w:val="BodyText"/>
              <w:spacing w:before="120" w:line="300" w:lineRule="auto"/>
              <w:ind w:right="176"/>
              <w:jc w:val="both"/>
              <w:rPr>
                <w:rFonts w:ascii="Trebuchet MS" w:hAnsi="Trebuchet MS" w:cs="Arial"/>
                <w:sz w:val="22"/>
                <w:szCs w:val="22"/>
              </w:rPr>
            </w:pPr>
            <w:r w:rsidRPr="00254B55">
              <w:rPr>
                <w:rFonts w:ascii="Trebuchet MS" w:hAnsi="Trebuchet MS" w:cs="Arial"/>
                <w:sz w:val="22"/>
                <w:szCs w:val="22"/>
              </w:rPr>
              <w:t>Emisia difuză medie specifică din agricultură pe suprafața agricolă</w:t>
            </w:r>
          </w:p>
        </w:tc>
        <w:tc>
          <w:tcPr>
            <w:tcW w:w="2953" w:type="dxa"/>
            <w:gridSpan w:val="2"/>
            <w:shd w:val="clear" w:color="auto" w:fill="auto"/>
            <w:vAlign w:val="center"/>
          </w:tcPr>
          <w:p w:rsidR="00C31077" w:rsidRPr="00254B55" w:rsidRDefault="00C31077" w:rsidP="00E13AA6">
            <w:pPr>
              <w:pStyle w:val="BodyText"/>
              <w:spacing w:before="120" w:line="300" w:lineRule="auto"/>
              <w:ind w:right="-177"/>
              <w:jc w:val="center"/>
              <w:rPr>
                <w:rFonts w:ascii="Trebuchet MS" w:hAnsi="Trebuchet MS" w:cs="Arial"/>
                <w:sz w:val="22"/>
                <w:szCs w:val="22"/>
              </w:rPr>
            </w:pPr>
            <w:r w:rsidRPr="00254B55">
              <w:rPr>
                <w:rFonts w:ascii="Trebuchet MS" w:hAnsi="Trebuchet MS" w:cs="Arial"/>
                <w:sz w:val="22"/>
                <w:szCs w:val="22"/>
              </w:rPr>
              <w:t>2,15 kgN/ha</w:t>
            </w:r>
          </w:p>
        </w:tc>
        <w:tc>
          <w:tcPr>
            <w:tcW w:w="2945" w:type="dxa"/>
            <w:gridSpan w:val="2"/>
            <w:shd w:val="clear" w:color="auto" w:fill="auto"/>
            <w:vAlign w:val="center"/>
          </w:tcPr>
          <w:p w:rsidR="00C31077" w:rsidRPr="00254B55" w:rsidRDefault="00C31077" w:rsidP="00E13AA6">
            <w:pPr>
              <w:pStyle w:val="BodyText"/>
              <w:spacing w:before="120" w:line="300" w:lineRule="auto"/>
              <w:ind w:right="-177"/>
              <w:jc w:val="center"/>
              <w:rPr>
                <w:rFonts w:ascii="Trebuchet MS" w:hAnsi="Trebuchet MS" w:cs="Arial"/>
                <w:sz w:val="22"/>
                <w:szCs w:val="22"/>
              </w:rPr>
            </w:pPr>
            <w:r w:rsidRPr="00254B55">
              <w:rPr>
                <w:rFonts w:ascii="Trebuchet MS" w:hAnsi="Trebuchet MS" w:cs="Arial"/>
                <w:sz w:val="22"/>
                <w:szCs w:val="22"/>
              </w:rPr>
              <w:t>0,21 kg P/ha</w:t>
            </w:r>
          </w:p>
        </w:tc>
      </w:tr>
    </w:tbl>
    <w:p w:rsidR="00C31077" w:rsidRPr="001F4D92" w:rsidRDefault="00C31077" w:rsidP="00C31077">
      <w:pPr>
        <w:spacing w:line="300" w:lineRule="auto"/>
        <w:jc w:val="both"/>
        <w:rPr>
          <w:rFonts w:ascii="Trebuchet MS" w:hAnsi="Trebuchet MS" w:cs="Arial"/>
          <w:i/>
          <w:sz w:val="20"/>
          <w:szCs w:val="20"/>
        </w:rPr>
      </w:pPr>
      <w:r w:rsidRPr="001F4D92">
        <w:rPr>
          <w:rFonts w:ascii="Trebuchet MS" w:hAnsi="Trebuchet MS" w:cs="Arial"/>
          <w:i/>
          <w:sz w:val="20"/>
          <w:szCs w:val="20"/>
        </w:rPr>
        <w:t>(Sursa datelor: Administrația Națională „Apele Române”, Planul naţional de management actualizat)</w:t>
      </w:r>
    </w:p>
    <w:p w:rsidR="00C31077" w:rsidRPr="00254B55" w:rsidRDefault="00C31077" w:rsidP="00F746AF">
      <w:pPr>
        <w:pStyle w:val="BodyText"/>
        <w:spacing w:after="0" w:line="300" w:lineRule="auto"/>
        <w:ind w:right="-177" w:firstLine="709"/>
        <w:jc w:val="both"/>
        <w:rPr>
          <w:rFonts w:ascii="Trebuchet MS" w:hAnsi="Trebuchet MS" w:cs="Arial"/>
          <w:sz w:val="22"/>
          <w:szCs w:val="22"/>
        </w:rPr>
      </w:pPr>
      <w:r w:rsidRPr="00F746AF">
        <w:rPr>
          <w:rFonts w:ascii="Trebuchet MS" w:hAnsi="Trebuchet MS" w:cs="Arial"/>
          <w:i/>
        </w:rPr>
        <w:t xml:space="preserve"> </w:t>
      </w:r>
      <w:r w:rsidRPr="00254B55">
        <w:rPr>
          <w:rFonts w:ascii="Trebuchet MS" w:hAnsi="Trebuchet MS" w:cs="Arial"/>
          <w:sz w:val="22"/>
          <w:szCs w:val="22"/>
        </w:rPr>
        <w:t>Se observă că cca. 35% din cantitatea de azot emisă de sursele difuze se datorează activităţilor agricole și aproximativ 43,6% din emisia totală difuză de fosfor se datorează localităţilor/aglomerărilor umane.</w:t>
      </w:r>
    </w:p>
    <w:p w:rsidR="00C31077" w:rsidRPr="00254B55" w:rsidRDefault="00C31077" w:rsidP="00F746AF">
      <w:pPr>
        <w:pStyle w:val="BodyText"/>
        <w:spacing w:after="0" w:line="300" w:lineRule="auto"/>
        <w:ind w:right="-177" w:firstLine="709"/>
        <w:jc w:val="both"/>
        <w:rPr>
          <w:rFonts w:ascii="Trebuchet MS" w:hAnsi="Trebuchet MS" w:cs="Arial"/>
          <w:sz w:val="22"/>
          <w:szCs w:val="22"/>
        </w:rPr>
      </w:pPr>
      <w:r w:rsidRPr="00254B55">
        <w:rPr>
          <w:rFonts w:ascii="Trebuchet MS" w:hAnsi="Trebuchet MS" w:cs="Arial"/>
          <w:sz w:val="22"/>
          <w:szCs w:val="22"/>
        </w:rPr>
        <w:t>Comparativ cu emisiile totale din surse difuze de poluare evaluate în al doilea Plan Național de management actualizat (date din anul 2012), în evaluările celui de-al treilea Plan național de management actualizat se estimează că până în anul 2027 se va realiza o reducere a emisiilor totale de  azot (cu cca. 14)  şi fosfor (cu cca. 6%), urmare a aplicării în principal de măsuri eficiente și reducerii / închiderii unor activități economice. Astfel, începând cu perioada 2015 – 2018 și până în anul 2027 se reduce numărul de aglomerări umane fără sisteme de canalizare prin construirea de noi rețele de canalizare și crește nivelul de conectare la acestea, iar în agricultură se aplică prevederile Programelor de acțiune pentru protecţia apelor împotriva poluării cu nitraţi din surse agricole și implementarea voluntară a Codului de bune practici agricole, respectiv aplicarea măsurilor de tip agro-mediu pentru reducerea emisiilor de nutrienți sprijinite prin programele de dezvoltare rurală ale Politicii Agricole Comune post 2020.</w:t>
      </w:r>
    </w:p>
    <w:p w:rsidR="00C31077" w:rsidRPr="00254B55" w:rsidRDefault="00C31077" w:rsidP="00F746AF">
      <w:pPr>
        <w:spacing w:line="300" w:lineRule="auto"/>
        <w:ind w:firstLine="709"/>
        <w:jc w:val="both"/>
        <w:rPr>
          <w:rFonts w:ascii="Trebuchet MS" w:hAnsi="Trebuchet MS" w:cs="Arial"/>
          <w:iCs/>
          <w:sz w:val="22"/>
          <w:szCs w:val="22"/>
        </w:rPr>
      </w:pPr>
      <w:r w:rsidRPr="00254B55">
        <w:rPr>
          <w:rFonts w:ascii="Trebuchet MS" w:hAnsi="Trebuchet MS" w:cs="Arial"/>
          <w:sz w:val="22"/>
          <w:szCs w:val="22"/>
        </w:rPr>
        <w:t xml:space="preserve">Rezultatele aplicării modelului îmbunătățit la nivelul districtului internaţional al Dunării, utilizând date actualizate pentru perioada 2015 - 2018, au fost incluse în </w:t>
      </w:r>
      <w:r w:rsidRPr="00254B55">
        <w:rPr>
          <w:rFonts w:ascii="Trebuchet MS" w:hAnsi="Trebuchet MS" w:cs="Arial"/>
          <w:i/>
          <w:sz w:val="22"/>
          <w:szCs w:val="22"/>
        </w:rPr>
        <w:t xml:space="preserve">Planul de Management al Districtului Hidrografic Internațional al Fluviului Dunărea – actualizat </w:t>
      </w:r>
      <w:r w:rsidRPr="00254B55">
        <w:rPr>
          <w:rFonts w:ascii="Trebuchet MS" w:hAnsi="Trebuchet MS" w:cs="Arial"/>
          <w:sz w:val="22"/>
          <w:szCs w:val="22"/>
        </w:rPr>
        <w:t xml:space="preserve"> </w:t>
      </w:r>
      <w:r w:rsidRPr="00254B55">
        <w:rPr>
          <w:rFonts w:ascii="Trebuchet MS" w:hAnsi="Trebuchet MS" w:cs="Arial"/>
          <w:i/>
          <w:sz w:val="22"/>
          <w:szCs w:val="22"/>
        </w:rPr>
        <w:t>2021</w:t>
      </w:r>
      <w:r w:rsidRPr="00254B55">
        <w:rPr>
          <w:rFonts w:ascii="Trebuchet MS" w:hAnsi="Trebuchet MS" w:cs="Arial"/>
          <w:iCs/>
          <w:sz w:val="22"/>
          <w:szCs w:val="22"/>
        </w:rPr>
        <w:t xml:space="preserve">).  </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La poluarea difuză contribuie un număr total de</w:t>
      </w:r>
      <w:r w:rsidRPr="00254B55">
        <w:rPr>
          <w:rFonts w:ascii="Trebuchet MS" w:hAnsi="Trebuchet MS" w:cs="Arial"/>
          <w:b/>
          <w:sz w:val="22"/>
          <w:szCs w:val="22"/>
        </w:rPr>
        <w:t xml:space="preserve"> 12.010 presiuni potențial semnificative difuze</w:t>
      </w:r>
      <w:r w:rsidRPr="00254B55">
        <w:rPr>
          <w:rFonts w:ascii="Trebuchet MS" w:hAnsi="Trebuchet MS" w:cs="Arial"/>
          <w:sz w:val="22"/>
          <w:szCs w:val="22"/>
        </w:rPr>
        <w:t xml:space="preserve"> pentru corpurile de apă care nu ating obiectivele de mediu, din care:</w:t>
      </w:r>
    </w:p>
    <w:p w:rsidR="00C31077" w:rsidRPr="00254B55" w:rsidRDefault="00C31077" w:rsidP="00F746AF">
      <w:pPr>
        <w:numPr>
          <w:ilvl w:val="0"/>
          <w:numId w:val="56"/>
        </w:numPr>
        <w:spacing w:line="300" w:lineRule="auto"/>
        <w:ind w:left="284" w:firstLine="709"/>
        <w:jc w:val="both"/>
        <w:rPr>
          <w:rFonts w:ascii="Trebuchet MS" w:hAnsi="Trebuchet MS" w:cs="Arial"/>
          <w:sz w:val="22"/>
          <w:szCs w:val="22"/>
        </w:rPr>
      </w:pPr>
      <w:r w:rsidRPr="00254B55">
        <w:rPr>
          <w:rFonts w:ascii="Trebuchet MS" w:hAnsi="Trebuchet MS" w:cs="Arial"/>
          <w:sz w:val="22"/>
          <w:szCs w:val="22"/>
        </w:rPr>
        <w:t>6.512 aglomerări care nu sunt dotate cu sisteme de colectare a apelor uzate;</w:t>
      </w:r>
    </w:p>
    <w:p w:rsidR="00C31077" w:rsidRPr="00254B55" w:rsidRDefault="00C31077" w:rsidP="00F746AF">
      <w:pPr>
        <w:numPr>
          <w:ilvl w:val="0"/>
          <w:numId w:val="56"/>
        </w:numPr>
        <w:spacing w:line="300" w:lineRule="auto"/>
        <w:ind w:left="284" w:firstLine="709"/>
        <w:jc w:val="both"/>
        <w:rPr>
          <w:rFonts w:ascii="Trebuchet MS" w:hAnsi="Trebuchet MS" w:cs="Arial"/>
          <w:sz w:val="22"/>
          <w:szCs w:val="22"/>
        </w:rPr>
      </w:pPr>
      <w:r w:rsidRPr="00254B55">
        <w:rPr>
          <w:rFonts w:ascii="Trebuchet MS" w:hAnsi="Trebuchet MS" w:cs="Arial"/>
          <w:sz w:val="22"/>
          <w:szCs w:val="22"/>
        </w:rPr>
        <w:t>4.844  presiuni difuze agricole;</w:t>
      </w:r>
    </w:p>
    <w:p w:rsidR="00C31077" w:rsidRPr="00254B55" w:rsidRDefault="00C31077" w:rsidP="00F746AF">
      <w:pPr>
        <w:numPr>
          <w:ilvl w:val="0"/>
          <w:numId w:val="56"/>
        </w:numPr>
        <w:spacing w:line="300" w:lineRule="auto"/>
        <w:ind w:firstLine="709"/>
        <w:jc w:val="both"/>
        <w:rPr>
          <w:rFonts w:ascii="Trebuchet MS" w:hAnsi="Trebuchet MS" w:cs="Arial"/>
          <w:sz w:val="22"/>
          <w:szCs w:val="22"/>
        </w:rPr>
      </w:pPr>
      <w:r w:rsidRPr="00254B55">
        <w:rPr>
          <w:rFonts w:ascii="Trebuchet MS" w:hAnsi="Trebuchet MS" w:cs="Arial"/>
          <w:sz w:val="22"/>
          <w:szCs w:val="22"/>
        </w:rPr>
        <w:t xml:space="preserve">428  unități industriale și </w:t>
      </w:r>
    </w:p>
    <w:p w:rsidR="00C31077" w:rsidRPr="00254B55" w:rsidRDefault="00C31077" w:rsidP="00F746AF">
      <w:pPr>
        <w:numPr>
          <w:ilvl w:val="0"/>
          <w:numId w:val="56"/>
        </w:numPr>
        <w:spacing w:line="300" w:lineRule="auto"/>
        <w:ind w:left="284" w:firstLine="709"/>
        <w:jc w:val="both"/>
        <w:rPr>
          <w:rFonts w:ascii="Trebuchet MS" w:hAnsi="Trebuchet MS" w:cs="Arial"/>
          <w:sz w:val="22"/>
          <w:szCs w:val="22"/>
        </w:rPr>
      </w:pPr>
      <w:r w:rsidRPr="00254B55">
        <w:rPr>
          <w:rFonts w:ascii="Trebuchet MS" w:hAnsi="Trebuchet MS" w:cs="Arial"/>
          <w:sz w:val="22"/>
          <w:szCs w:val="22"/>
        </w:rPr>
        <w:t xml:space="preserve"> 226 altele (activități piscicole, etc.).</w:t>
      </w:r>
    </w:p>
    <w:p w:rsidR="00C31077" w:rsidRPr="00254B55" w:rsidRDefault="00C31077" w:rsidP="00F746AF">
      <w:pPr>
        <w:spacing w:line="300" w:lineRule="auto"/>
        <w:ind w:firstLine="709"/>
        <w:jc w:val="both"/>
        <w:rPr>
          <w:rFonts w:ascii="Trebuchet MS" w:hAnsi="Trebuchet MS" w:cs="Arial"/>
          <w:noProof/>
          <w:sz w:val="22"/>
          <w:szCs w:val="22"/>
        </w:rPr>
      </w:pPr>
      <w:r w:rsidRPr="00254B55">
        <w:rPr>
          <w:rFonts w:ascii="Trebuchet MS" w:hAnsi="Trebuchet MS" w:cs="Arial"/>
          <w:sz w:val="22"/>
          <w:szCs w:val="22"/>
        </w:rPr>
        <w:t xml:space="preserve">În urmă aplicării procesului de validare a presiunilor potențial semnificative difuze cu atingerea obiectivelor de mediu (starea/potenţialul ecologic şi starea chimică a corpurilor de apă), s-a identificat un număr de 3.449 </w:t>
      </w:r>
      <w:r w:rsidRPr="00254B55">
        <w:rPr>
          <w:rFonts w:ascii="Trebuchet MS" w:hAnsi="Trebuchet MS" w:cs="Arial"/>
          <w:b/>
          <w:sz w:val="22"/>
          <w:szCs w:val="22"/>
        </w:rPr>
        <w:t>presiuni semnificative difuze</w:t>
      </w:r>
      <w:r w:rsidRPr="00254B55">
        <w:rPr>
          <w:rFonts w:ascii="Trebuchet MS" w:hAnsi="Trebuchet MS" w:cs="Arial"/>
          <w:sz w:val="22"/>
          <w:szCs w:val="22"/>
        </w:rPr>
        <w:t xml:space="preserve"> (</w:t>
      </w:r>
      <w:r w:rsidRPr="00254B55">
        <w:rPr>
          <w:rFonts w:ascii="Trebuchet MS" w:hAnsi="Trebuchet MS" w:cs="Arial"/>
          <w:noProof/>
          <w:sz w:val="22"/>
          <w:szCs w:val="22"/>
        </w:rPr>
        <w:t xml:space="preserve">2981 </w:t>
      </w:r>
      <w:r w:rsidRPr="00254B55">
        <w:rPr>
          <w:rFonts w:ascii="Trebuchet MS" w:hAnsi="Trebuchet MS" w:cs="Arial"/>
          <w:sz w:val="22"/>
          <w:szCs w:val="22"/>
        </w:rPr>
        <w:t xml:space="preserve">urbane, 539 agricole, 44 industriale și 57 din activităţi de pescuit și acvacultură). </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 xml:space="preserve"> O altă categorie importantă de presiuni semnificative este cea legată de </w:t>
      </w:r>
      <w:r w:rsidRPr="00254B55">
        <w:rPr>
          <w:rFonts w:ascii="Trebuchet MS" w:hAnsi="Trebuchet MS" w:cs="Arial"/>
          <w:b/>
          <w:i/>
          <w:sz w:val="22"/>
          <w:szCs w:val="22"/>
        </w:rPr>
        <w:t>presiunile hidromorfologice semnificative</w:t>
      </w:r>
      <w:r w:rsidRPr="00254B55">
        <w:rPr>
          <w:rFonts w:ascii="Trebuchet MS" w:hAnsi="Trebuchet MS" w:cs="Arial"/>
          <w:sz w:val="22"/>
          <w:szCs w:val="22"/>
        </w:rPr>
        <w:t xml:space="preserve">.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w:t>
      </w:r>
    </w:p>
    <w:p w:rsidR="00C31077" w:rsidRPr="00254B55" w:rsidRDefault="00C31077" w:rsidP="00F746AF">
      <w:pPr>
        <w:spacing w:line="300" w:lineRule="auto"/>
        <w:ind w:firstLine="709"/>
        <w:jc w:val="both"/>
        <w:rPr>
          <w:rFonts w:ascii="Trebuchet MS" w:hAnsi="Trebuchet MS" w:cs="Arial"/>
          <w:b/>
          <w:sz w:val="22"/>
          <w:szCs w:val="22"/>
        </w:rPr>
      </w:pPr>
      <w:r w:rsidRPr="00254B55">
        <w:rPr>
          <w:rFonts w:ascii="Trebuchet MS" w:hAnsi="Trebuchet MS" w:cs="Arial"/>
          <w:sz w:val="22"/>
          <w:szCs w:val="22"/>
        </w:rPr>
        <w:t xml:space="preserve">În anul 2021, la nivel naţional s-a identificat un număr de 5.394 </w:t>
      </w:r>
      <w:r w:rsidRPr="00254B55">
        <w:rPr>
          <w:rFonts w:ascii="Trebuchet MS" w:hAnsi="Trebuchet MS" w:cs="Arial"/>
          <w:b/>
          <w:sz w:val="22"/>
          <w:szCs w:val="22"/>
        </w:rPr>
        <w:t>presiuni hidromorfologice potențial semnificative</w:t>
      </w:r>
      <w:r w:rsidRPr="00254B55">
        <w:rPr>
          <w:rFonts w:ascii="Trebuchet MS" w:hAnsi="Trebuchet MS" w:cs="Arial"/>
          <w:sz w:val="22"/>
          <w:szCs w:val="22"/>
        </w:rPr>
        <w:t xml:space="preserve">. În urma aplicării procesului de validare a presiunilor potențial semnificative – alterări hidromorfologice cu atingerea obiectivelor de mediu de către corpurile de apă de suprafață, la nivel naţional s-a identificat un număr de 402 </w:t>
      </w:r>
      <w:r w:rsidRPr="00254B55">
        <w:rPr>
          <w:rFonts w:ascii="Trebuchet MS" w:hAnsi="Trebuchet MS" w:cs="Arial"/>
          <w:b/>
          <w:sz w:val="22"/>
          <w:szCs w:val="22"/>
        </w:rPr>
        <w:t xml:space="preserve">presiuni hidromorfologice semnificative. </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 xml:space="preserve">Concluzionând, în anul 2021 s-a identificat un număr total de </w:t>
      </w:r>
      <w:r w:rsidRPr="00254B55">
        <w:rPr>
          <w:rFonts w:ascii="Trebuchet MS" w:hAnsi="Trebuchet MS" w:cs="Arial"/>
          <w:b/>
          <w:sz w:val="22"/>
          <w:szCs w:val="22"/>
        </w:rPr>
        <w:t>20.202 presiuni potențial semnificative,</w:t>
      </w:r>
      <w:r w:rsidRPr="00254B55">
        <w:rPr>
          <w:rFonts w:ascii="Trebuchet MS" w:hAnsi="Trebuchet MS" w:cs="Arial"/>
          <w:sz w:val="22"/>
          <w:szCs w:val="22"/>
        </w:rPr>
        <w:t xml:space="preserve"> tipul și ponderea acestora fiind prezentate în </w:t>
      </w:r>
      <w:r w:rsidRPr="00254B55">
        <w:rPr>
          <w:rFonts w:ascii="Trebuchet MS" w:hAnsi="Trebuchet MS" w:cs="Arial"/>
          <w:i/>
          <w:sz w:val="22"/>
          <w:szCs w:val="22"/>
        </w:rPr>
        <w:t>Figura II.2.2.1.4</w:t>
      </w:r>
      <w:r w:rsidRPr="00254B55">
        <w:rPr>
          <w:rFonts w:ascii="Trebuchet MS" w:hAnsi="Trebuchet MS" w:cs="Arial"/>
          <w:sz w:val="22"/>
          <w:szCs w:val="22"/>
        </w:rPr>
        <w:t xml:space="preserve">. Se constată că ponderea cea mai mare a presiunilor potențial semnificative este reprezentată de presiunile difuze - aglomerări umane fără sisteme de colectare și agricultură, precum și de presiunile hidromorfologice. </w:t>
      </w:r>
    </w:p>
    <w:p w:rsidR="00F746AF" w:rsidRDefault="00F746AF" w:rsidP="00F746AF">
      <w:pPr>
        <w:spacing w:line="300" w:lineRule="auto"/>
        <w:ind w:firstLine="709"/>
        <w:jc w:val="both"/>
        <w:rPr>
          <w:rFonts w:ascii="Trebuchet MS" w:hAnsi="Trebuchet MS" w:cs="Arial"/>
        </w:rPr>
      </w:pPr>
    </w:p>
    <w:p w:rsidR="00F746AF" w:rsidRPr="00F746AF" w:rsidRDefault="00F746AF" w:rsidP="00F746AF">
      <w:pPr>
        <w:spacing w:line="300" w:lineRule="auto"/>
        <w:ind w:firstLine="709"/>
        <w:jc w:val="both"/>
        <w:rPr>
          <w:rFonts w:ascii="Trebuchet MS" w:hAnsi="Trebuchet MS" w:cs="Arial"/>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254B55" w:rsidRDefault="00254B55" w:rsidP="00F746AF">
      <w:pPr>
        <w:spacing w:line="300" w:lineRule="auto"/>
        <w:ind w:firstLine="567"/>
        <w:jc w:val="both"/>
        <w:rPr>
          <w:rFonts w:ascii="Trebuchet MS" w:hAnsi="Trebuchet MS" w:cs="Arial"/>
          <w:b/>
        </w:rPr>
      </w:pPr>
    </w:p>
    <w:p w:rsidR="00C31077" w:rsidRPr="00F746AF" w:rsidRDefault="00C31077" w:rsidP="00F746AF">
      <w:pPr>
        <w:spacing w:line="300" w:lineRule="auto"/>
        <w:ind w:firstLine="567"/>
        <w:jc w:val="both"/>
        <w:rPr>
          <w:rFonts w:ascii="Trebuchet MS" w:hAnsi="Trebuchet MS" w:cs="Arial"/>
        </w:rPr>
      </w:pPr>
      <w:r w:rsidRPr="00F746AF">
        <w:rPr>
          <w:rFonts w:ascii="Trebuchet MS" w:hAnsi="Trebuchet MS" w:cs="Arial"/>
          <w:b/>
        </w:rPr>
        <w:t>Figura II.2.2.1.4 Ponderea presiunilor potențial semnificative identificate</w:t>
      </w:r>
    </w:p>
    <w:p w:rsidR="00C31077" w:rsidRPr="00EC7F5B" w:rsidRDefault="00C31077" w:rsidP="00C31077">
      <w:pPr>
        <w:spacing w:line="300" w:lineRule="auto"/>
        <w:ind w:firstLine="1080"/>
        <w:jc w:val="both"/>
        <w:rPr>
          <w:rFonts w:ascii="Trebuchet MS" w:hAnsi="Trebuchet MS" w:cs="Arial"/>
          <w:b/>
        </w:rPr>
      </w:pPr>
      <w:r>
        <w:rPr>
          <w:rFonts w:ascii="Trebuchet MS" w:hAnsi="Trebuchet MS" w:cs="Arial"/>
          <w:b/>
          <w:noProof/>
          <w:lang w:val="en-US"/>
        </w:rPr>
        <w:drawing>
          <wp:inline distT="0" distB="0" distL="0" distR="0" wp14:anchorId="28B5A2AA" wp14:editId="5B2E2B46">
            <wp:extent cx="4498975" cy="2856865"/>
            <wp:effectExtent l="0" t="0" r="0" b="635"/>
            <wp:docPr id="1349278115" name="Picture 134927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98975" cy="2856865"/>
                    </a:xfrm>
                    <a:prstGeom prst="rect">
                      <a:avLst/>
                    </a:prstGeom>
                    <a:noFill/>
                  </pic:spPr>
                </pic:pic>
              </a:graphicData>
            </a:graphic>
          </wp:inline>
        </w:drawing>
      </w:r>
    </w:p>
    <w:p w:rsidR="00C31077" w:rsidRPr="001F4D92" w:rsidRDefault="00C31077" w:rsidP="00C31077">
      <w:pPr>
        <w:spacing w:line="300" w:lineRule="auto"/>
        <w:jc w:val="both"/>
        <w:rPr>
          <w:rFonts w:ascii="Trebuchet MS" w:hAnsi="Trebuchet MS" w:cs="Arial"/>
          <w:i/>
          <w:sz w:val="20"/>
          <w:szCs w:val="20"/>
        </w:rPr>
      </w:pPr>
      <w:r w:rsidRPr="001F4D92">
        <w:rPr>
          <w:rFonts w:ascii="Trebuchet MS" w:hAnsi="Trebuchet MS" w:cs="Arial"/>
          <w:i/>
          <w:sz w:val="20"/>
          <w:szCs w:val="20"/>
        </w:rPr>
        <w:t>(Sursa datelor: Administrația Națională „Apele Române”, Planul Național de Management actualizat)</w:t>
      </w:r>
    </w:p>
    <w:p w:rsidR="00C31077" w:rsidRPr="00254B55" w:rsidRDefault="00C31077" w:rsidP="00F746AF">
      <w:pPr>
        <w:spacing w:line="300" w:lineRule="auto"/>
        <w:ind w:firstLine="708"/>
        <w:jc w:val="both"/>
        <w:rPr>
          <w:rFonts w:ascii="Trebuchet MS" w:hAnsi="Trebuchet MS" w:cs="Arial"/>
          <w:sz w:val="22"/>
          <w:szCs w:val="22"/>
        </w:rPr>
      </w:pPr>
      <w:r w:rsidRPr="00254B55">
        <w:rPr>
          <w:rFonts w:ascii="Trebuchet MS" w:hAnsi="Trebuchet MS" w:cs="Arial"/>
          <w:sz w:val="22"/>
          <w:szCs w:val="22"/>
        </w:rPr>
        <w:t>În ceea ce privește presiunile semnificative la nivel național a fost identificat un număr total de 4.563 presiuni semnificative, tipul acestora fiind prezentat în Figura II.2.2.1.5. Se constată că ponderea cea mai mare a presiunilor este reprezentată de presiunile difuze provenite, ca și în cazul presiunilor potențial semnificative, de la aglomerări umane fără sisteme de colectare și din agricultură.</w:t>
      </w:r>
    </w:p>
    <w:p w:rsidR="00C31077" w:rsidRPr="00254B55" w:rsidRDefault="00C31077" w:rsidP="00F746AF">
      <w:pPr>
        <w:spacing w:line="300" w:lineRule="auto"/>
        <w:rPr>
          <w:rFonts w:ascii="Trebuchet MS" w:hAnsi="Trebuchet MS" w:cs="Arial"/>
          <w:sz w:val="22"/>
          <w:szCs w:val="22"/>
        </w:rPr>
      </w:pPr>
      <w:r w:rsidRPr="00254B55">
        <w:rPr>
          <w:rFonts w:ascii="Trebuchet MS" w:hAnsi="Trebuchet MS" w:cs="Arial"/>
          <w:b/>
          <w:sz w:val="22"/>
          <w:szCs w:val="22"/>
        </w:rPr>
        <w:t xml:space="preserve">Figura II.2.2.1.5 </w:t>
      </w:r>
      <w:r w:rsidRPr="00254B55">
        <w:rPr>
          <w:rFonts w:ascii="Trebuchet MS" w:hAnsi="Trebuchet MS" w:cs="Arial"/>
          <w:b/>
          <w:bCs/>
          <w:i/>
          <w:sz w:val="22"/>
          <w:szCs w:val="22"/>
          <w:lang w:val="fr-BE"/>
        </w:rPr>
        <w:t>Ponderea presiunilor semnificative la nivel național</w:t>
      </w:r>
    </w:p>
    <w:p w:rsidR="00C31077" w:rsidRPr="00EC7F5B" w:rsidRDefault="00C31077" w:rsidP="00C31077">
      <w:pPr>
        <w:spacing w:line="300" w:lineRule="auto"/>
        <w:ind w:firstLine="540"/>
        <w:jc w:val="center"/>
        <w:rPr>
          <w:rFonts w:ascii="Trebuchet MS" w:hAnsi="Trebuchet MS" w:cs="Arial"/>
          <w:b/>
          <w:bCs/>
          <w:i/>
          <w:lang w:val="fr-BE"/>
        </w:rPr>
      </w:pPr>
      <w:r>
        <w:rPr>
          <w:rFonts w:ascii="Trebuchet MS" w:hAnsi="Trebuchet MS" w:cs="Arial"/>
          <w:noProof/>
          <w:lang w:val="en-US"/>
        </w:rPr>
        <w:drawing>
          <wp:inline distT="0" distB="0" distL="0" distR="0" wp14:anchorId="153EFC44" wp14:editId="2C607C65">
            <wp:extent cx="4182110" cy="2461260"/>
            <wp:effectExtent l="0" t="0" r="8890" b="0"/>
            <wp:docPr id="1349278114" name="Picture 134927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82110" cy="2461260"/>
                    </a:xfrm>
                    <a:prstGeom prst="rect">
                      <a:avLst/>
                    </a:prstGeom>
                    <a:noFill/>
                  </pic:spPr>
                </pic:pic>
              </a:graphicData>
            </a:graphic>
          </wp:inline>
        </w:drawing>
      </w:r>
    </w:p>
    <w:p w:rsidR="00C31077" w:rsidRPr="001F4D92" w:rsidRDefault="00C31077" w:rsidP="00C31077">
      <w:pPr>
        <w:spacing w:line="300" w:lineRule="auto"/>
        <w:jc w:val="both"/>
        <w:rPr>
          <w:rFonts w:ascii="Trebuchet MS" w:hAnsi="Trebuchet MS" w:cs="Arial"/>
          <w:i/>
          <w:sz w:val="20"/>
          <w:szCs w:val="20"/>
        </w:rPr>
      </w:pPr>
      <w:r w:rsidRPr="001F4D92">
        <w:rPr>
          <w:rFonts w:ascii="Trebuchet MS" w:hAnsi="Trebuchet MS" w:cs="Arial"/>
          <w:i/>
          <w:sz w:val="20"/>
          <w:szCs w:val="20"/>
        </w:rPr>
        <w:t>(Sursa datelor: Administrația Națională „Apele Române”, Planul Național de Management actualizat)</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b/>
          <w:bCs/>
          <w:sz w:val="22"/>
          <w:szCs w:val="22"/>
        </w:rPr>
        <w:t>Riscul neatingerii obiectivelor de mediu pentru corpurile de apă de suprafaţă</w:t>
      </w:r>
      <w:r w:rsidRPr="00254B55">
        <w:rPr>
          <w:rFonts w:ascii="Trebuchet MS" w:hAnsi="Trebuchet MS" w:cs="Arial"/>
          <w:sz w:val="22"/>
          <w:szCs w:val="22"/>
        </w:rPr>
        <w:t xml:space="preserve"> a fost evaluat având în vedere informațiile privind corpurile de apă, actualizarea informaţiilor privind presiunile semnificative şi impactul acestora asupra apelor, precum şi identificarea măsurilor de bază şi suplimentare care, aplicate pe o perioadă de 6 ani, ar putea conduce la atingerea obiectivelor de mediu în anul 2027. </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În procesul de evaluare a riscului s-a ţinut cont de presiunile potențial semnificative identificate şi de evaluarea impactului, respectiv de starea / potenţialul ecologic şi starea chimică şi s-au luat în considerare următoarele categorii de risc: poluarea cu substanţe organice, poluarea cu nutrienţi, poluarea cu substanţe periculoase şi alterările hidromorfologice, având în vedere că aceste 4 categorii de presiuni au fost identificate, atât la nivelul Districtului Internaţional al Dunării, cât şi la nivel naţional, ca fiind probleme importante de gospodărirea apelor.</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Riscul total este compus din riscul ecologic şi riscul chimic, iar evaluarea este dată de cea mai proastă situaţie regăsită la cele 2 categorii de risc.</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 xml:space="preserve">Din analiza efectuată rezultă că la nivel național,  dintr-un total de 3.025 corpuri de apă, au fost identificate ca fiind la risc în anul 2021 (în relație cu starea ecologică/potențialul ecologic) un număr total de 1.012 corpuri de apă. În ceea ce priveşte riscul neatingerii obiectivelor de mediu pentru anul 2027, rămân la risc un număr total de 371 corpuri de apă de suprafață care nu vor atinge starea ecologică bună/potențialul ecologic bun. </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De asemenea, din cele 3025 corpuri de apă, 71 corpuri de apă sunt evaluate la risc de neatingere a obiectivului de stare chimică bună la nivelul anului 2021. Este de precizat că 11 corpuri de apă vor atinge starea chimică bună în intervalul 2022-2027, astfel încât la nivelul anului 2027 ramân 60 corpuri de apă care nu ating starea chimică bună.</w:t>
      </w:r>
    </w:p>
    <w:p w:rsidR="00C31077" w:rsidRPr="00254B55" w:rsidRDefault="00C31077" w:rsidP="00F746AF">
      <w:pPr>
        <w:spacing w:line="300" w:lineRule="auto"/>
        <w:ind w:firstLine="709"/>
        <w:jc w:val="both"/>
        <w:rPr>
          <w:rFonts w:ascii="Trebuchet MS" w:hAnsi="Trebuchet MS" w:cs="Arial"/>
          <w:sz w:val="22"/>
          <w:szCs w:val="22"/>
        </w:rPr>
      </w:pPr>
      <w:r w:rsidRPr="00254B55">
        <w:rPr>
          <w:rFonts w:ascii="Trebuchet MS" w:hAnsi="Trebuchet MS" w:cs="Arial"/>
          <w:sz w:val="22"/>
          <w:szCs w:val="22"/>
        </w:rPr>
        <w:t>Urmare a acestei analize, faţă de numărul corpurilor de apă care au fost identificate în Planul Național de Management actualizat 2021, ca fiind la risc de neatingere a obiectivelor de mediu în anul 2021, respectiv 1012 (33,45%), în proiectul Planul Național de Management actualizat au fost identificate 371 (12,26%) corpuri de apă la risc pentru anul 2027.</w:t>
      </w:r>
    </w:p>
    <w:p w:rsidR="00C31077" w:rsidRPr="00254B55" w:rsidRDefault="00C31077" w:rsidP="00F746AF">
      <w:pPr>
        <w:spacing w:line="300" w:lineRule="auto"/>
        <w:jc w:val="both"/>
        <w:rPr>
          <w:rFonts w:ascii="Trebuchet MS" w:hAnsi="Trebuchet MS" w:cs="Arial"/>
          <w:b/>
          <w:bCs/>
          <w:iCs/>
          <w:sz w:val="22"/>
          <w:szCs w:val="22"/>
        </w:rPr>
      </w:pPr>
      <w:r w:rsidRPr="00254B55">
        <w:rPr>
          <w:rFonts w:ascii="Trebuchet MS" w:hAnsi="Trebuchet MS" w:cs="Arial"/>
          <w:b/>
          <w:sz w:val="22"/>
          <w:szCs w:val="22"/>
        </w:rPr>
        <w:t xml:space="preserve">Figura II.2.2.1.6 </w:t>
      </w:r>
      <w:r w:rsidRPr="00254B55">
        <w:rPr>
          <w:rFonts w:ascii="Trebuchet MS" w:hAnsi="Trebuchet MS" w:cs="Arial"/>
          <w:b/>
          <w:bCs/>
          <w:iCs/>
          <w:sz w:val="22"/>
          <w:szCs w:val="22"/>
        </w:rPr>
        <w:t>Numărul corpurilor de apă la risc datorită presiunilor semnificative</w:t>
      </w:r>
    </w:p>
    <w:p w:rsidR="00C31077" w:rsidRPr="00EC7F5B" w:rsidRDefault="00C31077" w:rsidP="00C31077">
      <w:pPr>
        <w:spacing w:before="120" w:after="120" w:line="300" w:lineRule="auto"/>
        <w:jc w:val="center"/>
        <w:rPr>
          <w:rFonts w:ascii="Trebuchet MS" w:hAnsi="Trebuchet MS" w:cs="Arial"/>
          <w:b/>
          <w:bCs/>
        </w:rPr>
      </w:pPr>
      <w:r>
        <w:rPr>
          <w:rFonts w:ascii="Trebuchet MS" w:hAnsi="Trebuchet MS" w:cs="Arial"/>
          <w:b/>
          <w:bCs/>
          <w:iCs/>
          <w:noProof/>
          <w:lang w:val="en-US"/>
        </w:rPr>
        <w:drawing>
          <wp:inline distT="0" distB="0" distL="0" distR="0" wp14:anchorId="0C90F14E" wp14:editId="2F86032C">
            <wp:extent cx="3536950" cy="2188845"/>
            <wp:effectExtent l="0" t="0" r="6350" b="1905"/>
            <wp:docPr id="1349278113" name="Picture 134927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36950" cy="2188845"/>
                    </a:xfrm>
                    <a:prstGeom prst="rect">
                      <a:avLst/>
                    </a:prstGeom>
                    <a:noFill/>
                  </pic:spPr>
                </pic:pic>
              </a:graphicData>
            </a:graphic>
          </wp:inline>
        </w:drawing>
      </w:r>
    </w:p>
    <w:p w:rsidR="00C31077" w:rsidRPr="00EC7F5B" w:rsidRDefault="00C31077" w:rsidP="00C31077">
      <w:pPr>
        <w:spacing w:line="300" w:lineRule="auto"/>
        <w:jc w:val="both"/>
        <w:rPr>
          <w:rFonts w:ascii="Trebuchet MS" w:hAnsi="Trebuchet MS" w:cs="Arial"/>
          <w:i/>
        </w:rPr>
      </w:pPr>
      <w:r w:rsidRPr="001F4D92">
        <w:rPr>
          <w:rFonts w:ascii="Trebuchet MS" w:hAnsi="Trebuchet MS" w:cs="Arial"/>
          <w:i/>
          <w:sz w:val="20"/>
          <w:szCs w:val="20"/>
        </w:rPr>
        <w:t>(Sursa datelor: Administrația Națională „Apele Române”, Planul Național de Management actualizat)</w:t>
      </w:r>
    </w:p>
    <w:p w:rsidR="00C31077" w:rsidRPr="00254B55" w:rsidRDefault="00C31077" w:rsidP="00C31077">
      <w:pPr>
        <w:spacing w:before="120" w:after="120" w:line="300" w:lineRule="auto"/>
        <w:ind w:firstLine="567"/>
        <w:jc w:val="both"/>
        <w:rPr>
          <w:rFonts w:ascii="Trebuchet MS" w:hAnsi="Trebuchet MS" w:cs="Arial"/>
          <w:sz w:val="22"/>
          <w:szCs w:val="22"/>
        </w:rPr>
      </w:pPr>
    </w:p>
    <w:p w:rsidR="00C31077" w:rsidRPr="00254B55" w:rsidRDefault="00C31077" w:rsidP="00F746AF">
      <w:pPr>
        <w:ind w:firstLine="720"/>
        <w:jc w:val="both"/>
        <w:rPr>
          <w:rFonts w:ascii="Trebuchet MS" w:hAnsi="Trebuchet MS" w:cs="Arial"/>
          <w:sz w:val="22"/>
          <w:szCs w:val="22"/>
        </w:rPr>
      </w:pPr>
      <w:r w:rsidRPr="00254B55">
        <w:rPr>
          <w:rFonts w:ascii="Trebuchet MS" w:hAnsi="Trebuchet MS" w:cs="Arial"/>
          <w:sz w:val="22"/>
          <w:szCs w:val="22"/>
        </w:rPr>
        <w:t xml:space="preserve">În anul 2023, potrivit Sintezei Calității Apei elaborată de Administrația Națională „Apele Române”, la nivel naţional, un număr de </w:t>
      </w:r>
      <w:r w:rsidRPr="00254B55">
        <w:rPr>
          <w:rFonts w:ascii="Trebuchet MS" w:hAnsi="Trebuchet MS" w:cs="Arial"/>
          <w:b/>
          <w:sz w:val="22"/>
          <w:szCs w:val="22"/>
        </w:rPr>
        <w:t xml:space="preserve">3166 </w:t>
      </w:r>
      <w:r w:rsidRPr="00254B55">
        <w:rPr>
          <w:rFonts w:ascii="Trebuchet MS" w:hAnsi="Trebuchet MS" w:cs="Arial"/>
          <w:sz w:val="22"/>
          <w:szCs w:val="22"/>
        </w:rPr>
        <w:t>folosinţe de apă au evacuat ape uzate în receptorii naturali, reprezentând totodată potenţiale surse de poluare pentru apele de suprafaţă, astfel că, în conformitate cu legislația în vigoare, au elaborate Planuri proprii de prevenire şi combatere a poluărilor accidentale.</w:t>
      </w:r>
    </w:p>
    <w:p w:rsidR="00C31077" w:rsidRPr="00254B55" w:rsidRDefault="00C31077" w:rsidP="00F746AF">
      <w:pPr>
        <w:ind w:firstLine="720"/>
        <w:jc w:val="both"/>
        <w:rPr>
          <w:rFonts w:ascii="Trebuchet MS" w:hAnsi="Trebuchet MS" w:cs="Arial"/>
          <w:sz w:val="22"/>
          <w:szCs w:val="22"/>
        </w:rPr>
      </w:pPr>
      <w:r w:rsidRPr="00254B55">
        <w:rPr>
          <w:rFonts w:ascii="Trebuchet MS" w:hAnsi="Trebuchet MS" w:cs="Arial"/>
          <w:sz w:val="22"/>
          <w:szCs w:val="22"/>
        </w:rPr>
        <w:t>În cazul poluărilor accidentale pe cursurile de apă A.N. ”Apele Române”, prin Administrațiile Bazinale de Apă, acţionează în conformitate cu ”</w:t>
      </w:r>
      <w:r w:rsidRPr="00254B55">
        <w:rPr>
          <w:rFonts w:ascii="Trebuchet MS" w:hAnsi="Trebuchet MS" w:cs="Arial"/>
          <w:i/>
          <w:iCs/>
          <w:sz w:val="22"/>
          <w:szCs w:val="22"/>
        </w:rPr>
        <w:t>Regulamentul de Organizare şi Funcţionare a Sistemului de Alarmare în caz de Poluări Accidentale a Apelor din România</w:t>
      </w:r>
      <w:r w:rsidRPr="00254B55">
        <w:rPr>
          <w:rFonts w:ascii="Trebuchet MS" w:hAnsi="Trebuchet MS" w:cs="Arial"/>
          <w:sz w:val="22"/>
          <w:szCs w:val="22"/>
        </w:rPr>
        <w:t>” (SAPA-ROM) și ”</w:t>
      </w:r>
      <w:r w:rsidRPr="00254B55">
        <w:rPr>
          <w:rFonts w:ascii="Trebuchet MS" w:hAnsi="Trebuchet MS" w:cs="Arial"/>
          <w:i/>
          <w:iCs/>
          <w:sz w:val="22"/>
          <w:szCs w:val="22"/>
        </w:rPr>
        <w:t>Regulamentul privind gestionarea situaţiilor de urgenţă generate de inundaţii, fenomene meteorologice periculoase, accidente la construcţii hidrotehnice, poluări accidentale pe cursurile de apă și poluări marine în zona costieră</w:t>
      </w:r>
      <w:r w:rsidRPr="00254B55">
        <w:rPr>
          <w:rFonts w:ascii="Trebuchet MS" w:hAnsi="Trebuchet MS" w:cs="Arial"/>
          <w:sz w:val="22"/>
          <w:szCs w:val="22"/>
        </w:rPr>
        <w:t>” (Ordin comun MAP/MAI nr.459/78/2019).</w:t>
      </w:r>
    </w:p>
    <w:p w:rsidR="00C31077" w:rsidRPr="00254B55" w:rsidRDefault="00C31077" w:rsidP="00F746AF">
      <w:pPr>
        <w:ind w:firstLine="720"/>
        <w:jc w:val="both"/>
        <w:rPr>
          <w:rFonts w:ascii="Trebuchet MS" w:hAnsi="Trebuchet MS" w:cs="Arial"/>
          <w:sz w:val="22"/>
          <w:szCs w:val="22"/>
        </w:rPr>
      </w:pPr>
      <w:r w:rsidRPr="00254B55">
        <w:rPr>
          <w:rFonts w:ascii="Trebuchet MS" w:hAnsi="Trebuchet MS" w:cs="Arial"/>
          <w:sz w:val="22"/>
          <w:szCs w:val="22"/>
        </w:rPr>
        <w:t xml:space="preserve">În anul 2023, s-au înregistrat </w:t>
      </w:r>
      <w:r w:rsidRPr="00254B55">
        <w:rPr>
          <w:rFonts w:ascii="Trebuchet MS" w:hAnsi="Trebuchet MS" w:cs="Arial"/>
          <w:b/>
          <w:bCs/>
          <w:sz w:val="22"/>
          <w:szCs w:val="22"/>
        </w:rPr>
        <w:t>70</w:t>
      </w:r>
      <w:r w:rsidRPr="00254B55">
        <w:rPr>
          <w:rFonts w:ascii="Trebuchet MS" w:hAnsi="Trebuchet MS" w:cs="Arial"/>
          <w:sz w:val="22"/>
          <w:szCs w:val="22"/>
        </w:rPr>
        <w:t xml:space="preserve"> </w:t>
      </w:r>
      <w:r w:rsidRPr="00254B55">
        <w:rPr>
          <w:rFonts w:ascii="Trebuchet MS" w:hAnsi="Trebuchet MS" w:cs="Arial"/>
          <w:b/>
          <w:sz w:val="22"/>
          <w:szCs w:val="22"/>
        </w:rPr>
        <w:t>poluări accidentale</w:t>
      </w:r>
      <w:r w:rsidRPr="00254B55">
        <w:rPr>
          <w:rFonts w:ascii="Trebuchet MS" w:hAnsi="Trebuchet MS" w:cs="Arial"/>
          <w:sz w:val="22"/>
          <w:szCs w:val="22"/>
        </w:rPr>
        <w:t xml:space="preserve"> ale cursurilor de apă de suprafaţă, preponderent pe râurile interioare, cu: </w:t>
      </w:r>
    </w:p>
    <w:p w:rsidR="00C31077" w:rsidRPr="00254B55" w:rsidRDefault="00C31077" w:rsidP="00F746AF">
      <w:pPr>
        <w:pStyle w:val="ListParagraph"/>
        <w:numPr>
          <w:ilvl w:val="0"/>
          <w:numId w:val="56"/>
        </w:numPr>
        <w:jc w:val="both"/>
        <w:rPr>
          <w:rFonts w:ascii="Trebuchet MS" w:hAnsi="Trebuchet MS" w:cs="Arial"/>
          <w:sz w:val="22"/>
          <w:szCs w:val="22"/>
        </w:rPr>
      </w:pPr>
      <w:r w:rsidRPr="00254B55">
        <w:rPr>
          <w:rFonts w:ascii="Trebuchet MS" w:hAnsi="Trebuchet MS" w:cs="Arial"/>
          <w:sz w:val="22"/>
          <w:szCs w:val="22"/>
          <w:lang w:val="fr-FR"/>
        </w:rPr>
        <w:t>ape uzate neepurate (menajere și/sau tehnologice)</w:t>
      </w:r>
      <w:r w:rsidRPr="00254B55">
        <w:rPr>
          <w:rFonts w:ascii="Trebuchet MS" w:hAnsi="Trebuchet MS" w:cs="Arial"/>
          <w:sz w:val="22"/>
          <w:szCs w:val="22"/>
        </w:rPr>
        <w:t>;</w:t>
      </w:r>
    </w:p>
    <w:p w:rsidR="00C31077" w:rsidRPr="00254B55" w:rsidRDefault="00C31077" w:rsidP="00F746AF">
      <w:pPr>
        <w:ind w:left="360" w:hanging="360"/>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t>produs petrolier și alte hidrocarburi;</w:t>
      </w:r>
    </w:p>
    <w:p w:rsidR="00C31077" w:rsidRPr="00254B55" w:rsidRDefault="00C31077" w:rsidP="00F746AF">
      <w:pPr>
        <w:ind w:left="360" w:hanging="360"/>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t>deşeu semisolid/solid;</w:t>
      </w:r>
    </w:p>
    <w:p w:rsidR="00C31077" w:rsidRPr="00254B55" w:rsidRDefault="00C31077" w:rsidP="00F746AF">
      <w:pPr>
        <w:ind w:left="360" w:hanging="360"/>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t>altă natură (substanţe chimice organice şi anorganice) dar și substanțe neidentificate;</w:t>
      </w:r>
    </w:p>
    <w:p w:rsidR="00C31077" w:rsidRPr="00254B55" w:rsidRDefault="00C31077" w:rsidP="00F746AF">
      <w:pPr>
        <w:ind w:left="360" w:hanging="360"/>
        <w:jc w:val="both"/>
        <w:rPr>
          <w:rFonts w:ascii="Trebuchet MS" w:hAnsi="Trebuchet MS" w:cs="Arial"/>
          <w:sz w:val="22"/>
          <w:szCs w:val="22"/>
        </w:rPr>
      </w:pPr>
      <w:r w:rsidRPr="00254B55">
        <w:rPr>
          <w:rFonts w:ascii="Trebuchet MS" w:hAnsi="Trebuchet MS" w:cs="Arial"/>
          <w:sz w:val="22"/>
          <w:szCs w:val="22"/>
        </w:rPr>
        <w:t>-</w:t>
      </w:r>
      <w:r w:rsidRPr="00254B55">
        <w:rPr>
          <w:rFonts w:ascii="Trebuchet MS" w:hAnsi="Trebuchet MS" w:cs="Arial"/>
          <w:sz w:val="22"/>
          <w:szCs w:val="22"/>
        </w:rPr>
        <w:tab/>
        <w:t xml:space="preserve">ape de mină. </w:t>
      </w:r>
    </w:p>
    <w:p w:rsidR="00C31077" w:rsidRPr="00254B55" w:rsidRDefault="00C31077" w:rsidP="00F746AF">
      <w:pPr>
        <w:ind w:firstLine="708"/>
        <w:jc w:val="both"/>
        <w:rPr>
          <w:rFonts w:ascii="Trebuchet MS" w:hAnsi="Trebuchet MS" w:cs="Arial"/>
          <w:sz w:val="22"/>
          <w:szCs w:val="22"/>
        </w:rPr>
      </w:pPr>
      <w:r w:rsidRPr="00254B55">
        <w:rPr>
          <w:rFonts w:ascii="Trebuchet MS" w:hAnsi="Trebuchet MS" w:cs="Arial"/>
          <w:sz w:val="22"/>
          <w:szCs w:val="22"/>
        </w:rPr>
        <w:t>Se menționează că au fost înregistrate și poluări accidentale cu ape uzate menajere neepurate descărcate ilegal în resursele de apă sau pe sol, cu impact asupra caracteristicilor calitative a apelor de suprafață iar în unele situații și cu efecte de mortalitate pisciolă.</w:t>
      </w:r>
    </w:p>
    <w:p w:rsidR="00C31077" w:rsidRPr="00254B55" w:rsidRDefault="00C31077" w:rsidP="00F746AF">
      <w:pPr>
        <w:ind w:firstLine="720"/>
        <w:jc w:val="both"/>
        <w:rPr>
          <w:rFonts w:ascii="Trebuchet MS" w:hAnsi="Trebuchet MS" w:cs="Arial"/>
          <w:sz w:val="22"/>
          <w:szCs w:val="22"/>
        </w:rPr>
      </w:pPr>
      <w:r w:rsidRPr="00254B55">
        <w:rPr>
          <w:rFonts w:ascii="Trebuchet MS" w:hAnsi="Trebuchet MS" w:cs="Arial"/>
          <w:sz w:val="22"/>
          <w:szCs w:val="22"/>
        </w:rPr>
        <w:t>Prin respectarea fluxului informational - decizional, asigurarea suportului logistic și acționarea în timp util, conform Regulamentului SAPA-ROM și a Planurilor de prevenire și combatere a poluărilor accidentale la nivel de bazin hidrografic cât și celor proprii folosințelor de apă, s-a asigurat diminuarea posibilelor efecte nefavorabile asupra mediului și a sănătății populației, fenomenele având impact local/bazinal, fără ca pe termen lung acestea să inducă o modificare semnificativă a biodiversităţii acvatice și, implicit, a stării apelor.</w:t>
      </w:r>
    </w:p>
    <w:p w:rsidR="00C31077" w:rsidRPr="00254B55" w:rsidRDefault="00C31077" w:rsidP="00F746AF">
      <w:pPr>
        <w:ind w:firstLine="720"/>
        <w:jc w:val="both"/>
        <w:rPr>
          <w:rFonts w:ascii="Trebuchet MS" w:hAnsi="Trebuchet MS" w:cs="Arial"/>
          <w:sz w:val="22"/>
          <w:szCs w:val="22"/>
        </w:rPr>
      </w:pPr>
      <w:r w:rsidRPr="00254B55">
        <w:rPr>
          <w:rFonts w:ascii="Trebuchet MS" w:hAnsi="Trebuchet MS" w:cs="Arial"/>
          <w:sz w:val="22"/>
          <w:szCs w:val="22"/>
        </w:rPr>
        <w:t xml:space="preserve">În ceea ce privește tipul şi mărimea presiunilor antropice care pot afecta </w:t>
      </w:r>
      <w:r w:rsidRPr="00254B55">
        <w:rPr>
          <w:rFonts w:ascii="Trebuchet MS" w:hAnsi="Trebuchet MS" w:cs="Arial"/>
          <w:b/>
          <w:sz w:val="22"/>
          <w:szCs w:val="22"/>
        </w:rPr>
        <w:t>corpurile de apă subterană</w:t>
      </w:r>
      <w:r w:rsidRPr="00254B55">
        <w:rPr>
          <w:rFonts w:ascii="Trebuchet MS" w:hAnsi="Trebuchet MS" w:cs="Arial"/>
          <w:sz w:val="22"/>
          <w:szCs w:val="22"/>
        </w:rPr>
        <w:t xml:space="preserve"> (conform Directivei Cadru 2000/60/EC – anexa II – 2.1), se au în vedere:</w:t>
      </w:r>
    </w:p>
    <w:p w:rsidR="00C31077" w:rsidRPr="00254B55" w:rsidRDefault="00C31077" w:rsidP="00F746AF">
      <w:pPr>
        <w:numPr>
          <w:ilvl w:val="0"/>
          <w:numId w:val="57"/>
        </w:numPr>
        <w:ind w:left="284" w:hanging="284"/>
        <w:jc w:val="both"/>
        <w:rPr>
          <w:rFonts w:ascii="Trebuchet MS" w:hAnsi="Trebuchet MS" w:cs="Arial"/>
          <w:i/>
          <w:sz w:val="22"/>
          <w:szCs w:val="22"/>
        </w:rPr>
      </w:pPr>
      <w:r w:rsidRPr="00254B55">
        <w:rPr>
          <w:rFonts w:ascii="Trebuchet MS" w:hAnsi="Trebuchet MS" w:cs="Arial"/>
          <w:i/>
          <w:sz w:val="22"/>
          <w:szCs w:val="22"/>
        </w:rPr>
        <w:t>surse de poluare punctiforme și difuze:</w:t>
      </w:r>
    </w:p>
    <w:p w:rsidR="00C31077" w:rsidRPr="00254B55" w:rsidRDefault="00C31077" w:rsidP="00F746AF">
      <w:pPr>
        <w:numPr>
          <w:ilvl w:val="0"/>
          <w:numId w:val="58"/>
        </w:numPr>
        <w:jc w:val="both"/>
        <w:rPr>
          <w:rFonts w:ascii="Trebuchet MS" w:hAnsi="Trebuchet MS" w:cs="Arial"/>
          <w:sz w:val="22"/>
          <w:szCs w:val="22"/>
        </w:rPr>
      </w:pPr>
      <w:r w:rsidRPr="00254B55">
        <w:rPr>
          <w:rFonts w:ascii="Trebuchet MS" w:hAnsi="Trebuchet MS" w:cs="Arial"/>
          <w:sz w:val="22"/>
          <w:szCs w:val="22"/>
        </w:rPr>
        <w:t>sursele de poluare datorate aglomerărilor umane fără sisteme de colectare şi epurare a apele uzate (menajere, industriale, agricole, etc.) sau fără sisteme corespunzătoare de colectare a deşeurilor;</w:t>
      </w:r>
    </w:p>
    <w:p w:rsidR="00C31077" w:rsidRPr="00254B55" w:rsidRDefault="00C31077" w:rsidP="00F746AF">
      <w:pPr>
        <w:numPr>
          <w:ilvl w:val="0"/>
          <w:numId w:val="58"/>
        </w:numPr>
        <w:jc w:val="both"/>
        <w:rPr>
          <w:rFonts w:ascii="Trebuchet MS" w:hAnsi="Trebuchet MS" w:cs="Arial"/>
          <w:sz w:val="22"/>
          <w:szCs w:val="22"/>
        </w:rPr>
      </w:pPr>
      <w:r w:rsidRPr="00254B55">
        <w:rPr>
          <w:rFonts w:ascii="Trebuchet MS" w:hAnsi="Trebuchet MS" w:cs="Arial"/>
          <w:sz w:val="22"/>
          <w:szCs w:val="22"/>
        </w:rPr>
        <w:tab/>
        <w:t>surse de poluare difuză determinate de activităţile agricole (ferme agrozootehnice care nu au sisteme corespunzătoare de stocare a gunoiului de grajd, etc) şi activităţile industriale prin depozitele de deşeuri neconforme (deşeuri industriale, menajere, din construcţii, etc);</w:t>
      </w:r>
    </w:p>
    <w:p w:rsidR="00C31077" w:rsidRPr="00254B55" w:rsidRDefault="00C31077" w:rsidP="00F746AF">
      <w:pPr>
        <w:numPr>
          <w:ilvl w:val="0"/>
          <w:numId w:val="58"/>
        </w:numPr>
        <w:jc w:val="both"/>
        <w:rPr>
          <w:rFonts w:ascii="Trebuchet MS" w:hAnsi="Trebuchet MS" w:cs="Arial"/>
          <w:sz w:val="22"/>
          <w:szCs w:val="22"/>
        </w:rPr>
      </w:pPr>
      <w:r w:rsidRPr="00254B55">
        <w:rPr>
          <w:rFonts w:ascii="Trebuchet MS" w:hAnsi="Trebuchet MS" w:cs="Arial"/>
          <w:sz w:val="22"/>
          <w:szCs w:val="22"/>
        </w:rPr>
        <w:t xml:space="preserve">surse de poluare punctiformă determinate de activităţile industriale, prin evacuarea de poluanţi specifici tipului de activitate desfăşurată, depozite de deşeuri etc.; </w:t>
      </w:r>
    </w:p>
    <w:p w:rsidR="00C31077" w:rsidRPr="00254B55" w:rsidRDefault="00C31077" w:rsidP="00F746AF">
      <w:pPr>
        <w:numPr>
          <w:ilvl w:val="0"/>
          <w:numId w:val="58"/>
        </w:numPr>
        <w:jc w:val="both"/>
        <w:rPr>
          <w:rFonts w:ascii="Trebuchet MS" w:hAnsi="Trebuchet MS" w:cs="Arial"/>
          <w:sz w:val="22"/>
          <w:szCs w:val="22"/>
        </w:rPr>
      </w:pPr>
      <w:r w:rsidRPr="00254B55">
        <w:rPr>
          <w:rFonts w:ascii="Trebuchet MS" w:hAnsi="Trebuchet MS" w:cs="Arial"/>
          <w:sz w:val="22"/>
          <w:szCs w:val="22"/>
        </w:rPr>
        <w:tab/>
        <w:t>alte activităţi antropice potenţial poluatoare.</w:t>
      </w:r>
    </w:p>
    <w:p w:rsidR="00C31077" w:rsidRPr="00254B55" w:rsidRDefault="00C31077" w:rsidP="00F746AF">
      <w:pPr>
        <w:ind w:firstLine="708"/>
        <w:jc w:val="both"/>
        <w:rPr>
          <w:rFonts w:ascii="Trebuchet MS" w:hAnsi="Trebuchet MS" w:cs="Arial"/>
          <w:sz w:val="22"/>
          <w:szCs w:val="22"/>
        </w:rPr>
      </w:pPr>
      <w:r w:rsidRPr="00254B55">
        <w:rPr>
          <w:rFonts w:ascii="Trebuchet MS" w:hAnsi="Trebuchet MS" w:cs="Arial"/>
          <w:sz w:val="22"/>
          <w:szCs w:val="22"/>
        </w:rPr>
        <w:t>Cele mai frecvente surse de poluare care pot conduce la deteriorarea apelor subterane din punct de vedere calitativ, sunt sursele de poluare difuză</w:t>
      </w:r>
      <w:r w:rsidRPr="00254B55">
        <w:rPr>
          <w:rFonts w:ascii="Trebuchet MS" w:hAnsi="Trebuchet MS"/>
          <w:sz w:val="22"/>
          <w:szCs w:val="22"/>
        </w:rPr>
        <w:t xml:space="preserve"> </w:t>
      </w:r>
      <w:r w:rsidRPr="00254B55">
        <w:rPr>
          <w:rFonts w:ascii="Trebuchet MS" w:hAnsi="Trebuchet MS" w:cs="Arial"/>
          <w:sz w:val="22"/>
          <w:szCs w:val="22"/>
        </w:rPr>
        <w:t>datorate aglomerărilor umane fără sisteme de colectare şi epurare a apelor uzate, precum şi presiunilor difuze cauzate de activităţile agricole. De asemenea, trebuie avut în vedere faptul că dinamica apelor subterane este mult mai lentă decât cea a apelor de suprafață, astfel încât efectul oricăror măsuri se face resimțit după o perioadă mai lungă de timp.</w:t>
      </w:r>
    </w:p>
    <w:p w:rsidR="00C31077" w:rsidRPr="00254B55" w:rsidRDefault="00C31077" w:rsidP="00F746AF">
      <w:pPr>
        <w:ind w:firstLine="708"/>
        <w:jc w:val="both"/>
        <w:rPr>
          <w:rFonts w:ascii="Trebuchet MS" w:hAnsi="Trebuchet MS" w:cs="Arial"/>
          <w:sz w:val="22"/>
          <w:szCs w:val="22"/>
        </w:rPr>
      </w:pPr>
      <w:r w:rsidRPr="00254B55">
        <w:rPr>
          <w:rFonts w:ascii="Trebuchet MS" w:hAnsi="Trebuchet MS" w:cs="Arial"/>
          <w:sz w:val="22"/>
          <w:szCs w:val="22"/>
        </w:rPr>
        <w:t xml:space="preserve">Din punct de vedere al impactului asupra stării cantitative a corpurilor de apă subterane, presiunile cantitative sunt considerate captările de apă semnificative, care pot depăşi rata naturală de reîncărcare a acviferului. </w:t>
      </w:r>
    </w:p>
    <w:p w:rsidR="00C31077" w:rsidRPr="00254B55" w:rsidRDefault="00C31077" w:rsidP="00F746AF">
      <w:pPr>
        <w:numPr>
          <w:ilvl w:val="0"/>
          <w:numId w:val="57"/>
        </w:numPr>
        <w:ind w:left="284" w:hanging="284"/>
        <w:jc w:val="both"/>
        <w:rPr>
          <w:rFonts w:ascii="Trebuchet MS" w:hAnsi="Trebuchet MS" w:cs="Arial"/>
          <w:i/>
          <w:sz w:val="22"/>
          <w:szCs w:val="22"/>
        </w:rPr>
      </w:pPr>
      <w:r w:rsidRPr="00254B55">
        <w:rPr>
          <w:rFonts w:ascii="Trebuchet MS" w:hAnsi="Trebuchet MS" w:cs="Arial"/>
          <w:i/>
          <w:sz w:val="22"/>
          <w:szCs w:val="22"/>
        </w:rPr>
        <w:t>prelevări de apă şi reîncărcarea corpurilor de apă subterană:</w:t>
      </w:r>
    </w:p>
    <w:p w:rsidR="00C31077" w:rsidRPr="00254B55" w:rsidRDefault="00C31077" w:rsidP="00F746AF">
      <w:pPr>
        <w:ind w:left="284"/>
        <w:jc w:val="both"/>
        <w:rPr>
          <w:rFonts w:ascii="Trebuchet MS" w:hAnsi="Trebuchet MS" w:cs="Arial"/>
          <w:sz w:val="22"/>
          <w:szCs w:val="22"/>
        </w:rPr>
      </w:pPr>
      <w:r w:rsidRPr="00254B55">
        <w:rPr>
          <w:rFonts w:ascii="Trebuchet MS" w:hAnsi="Trebuchet MS" w:cs="Arial"/>
          <w:sz w:val="22"/>
          <w:szCs w:val="22"/>
        </w:rPr>
        <w:t>Conform prevederilor DCA, Anexa II – 2.3, criteriile de selecţie a captărilor de apă sunt considerate cele care au în vedere prelevările de apă &gt;10 m</w:t>
      </w:r>
      <w:r w:rsidRPr="00254B55">
        <w:rPr>
          <w:rFonts w:ascii="Trebuchet MS" w:hAnsi="Trebuchet MS" w:cs="Arial"/>
          <w:sz w:val="22"/>
          <w:szCs w:val="22"/>
          <w:vertAlign w:val="superscript"/>
        </w:rPr>
        <w:t>3</w:t>
      </w:r>
      <w:r w:rsidRPr="00254B55">
        <w:rPr>
          <w:rFonts w:ascii="Trebuchet MS" w:hAnsi="Trebuchet MS" w:cs="Arial"/>
          <w:sz w:val="22"/>
          <w:szCs w:val="22"/>
        </w:rPr>
        <w:t xml:space="preserve">/ zi. În România, apa subterană este folosită în general în scopul alimentării cu apă a populaţiei, cât şi în scop industrial, agricol, etc. În anul 2019 la nivel naţional exista un număr de 7.415 captări (foraje, fronturi de captare, izvoare, drenuri etc.) din care au fost identificate </w:t>
      </w:r>
      <w:r w:rsidRPr="00254B55">
        <w:rPr>
          <w:rFonts w:ascii="Trebuchet MS" w:hAnsi="Trebuchet MS" w:cs="Arial"/>
          <w:b/>
          <w:sz w:val="22"/>
          <w:szCs w:val="22"/>
        </w:rPr>
        <w:t>26 exploatări semnificative de ape subterane</w:t>
      </w:r>
      <w:r w:rsidRPr="00254B55">
        <w:rPr>
          <w:rFonts w:ascii="Trebuchet MS" w:hAnsi="Trebuchet MS" w:cs="Arial"/>
          <w:sz w:val="22"/>
          <w:szCs w:val="22"/>
        </w:rPr>
        <w:t>, respectiv captări cu debite mai mari sau egale cu 1500 mii m</w:t>
      </w:r>
      <w:r w:rsidRPr="00254B55">
        <w:rPr>
          <w:rFonts w:ascii="Trebuchet MS" w:hAnsi="Trebuchet MS" w:cs="Arial"/>
          <w:sz w:val="22"/>
          <w:szCs w:val="22"/>
          <w:vertAlign w:val="superscript"/>
        </w:rPr>
        <w:t>3</w:t>
      </w:r>
      <w:r w:rsidRPr="00254B55">
        <w:rPr>
          <w:rFonts w:ascii="Trebuchet MS" w:hAnsi="Trebuchet MS" w:cs="Arial"/>
          <w:sz w:val="22"/>
          <w:szCs w:val="22"/>
        </w:rPr>
        <w:t xml:space="preserve">/an. </w:t>
      </w:r>
    </w:p>
    <w:p w:rsidR="00C31077" w:rsidRPr="00254B55" w:rsidRDefault="00C31077" w:rsidP="00F746AF">
      <w:pPr>
        <w:autoSpaceDE w:val="0"/>
        <w:autoSpaceDN w:val="0"/>
        <w:adjustRightInd w:val="0"/>
        <w:jc w:val="center"/>
        <w:rPr>
          <w:rFonts w:ascii="Trebuchet MS" w:hAnsi="Trebuchet MS" w:cs="Arial"/>
          <w:b/>
          <w:bCs/>
          <w:i/>
          <w:iCs/>
          <w:sz w:val="22"/>
          <w:szCs w:val="22"/>
        </w:rPr>
      </w:pPr>
    </w:p>
    <w:p w:rsidR="00C31077" w:rsidRPr="00254B55" w:rsidRDefault="00C31077" w:rsidP="00F746AF">
      <w:pPr>
        <w:autoSpaceDE w:val="0"/>
        <w:autoSpaceDN w:val="0"/>
        <w:adjustRightInd w:val="0"/>
        <w:jc w:val="center"/>
        <w:rPr>
          <w:rFonts w:ascii="Trebuchet MS" w:hAnsi="Trebuchet MS" w:cs="Arial"/>
          <w:b/>
          <w:bCs/>
          <w:i/>
          <w:iCs/>
          <w:sz w:val="22"/>
          <w:szCs w:val="22"/>
        </w:rPr>
      </w:pPr>
    </w:p>
    <w:p w:rsidR="00C31077" w:rsidRPr="00254B55" w:rsidRDefault="00C31077" w:rsidP="00F746AF">
      <w:pPr>
        <w:autoSpaceDE w:val="0"/>
        <w:autoSpaceDN w:val="0"/>
        <w:adjustRightInd w:val="0"/>
        <w:jc w:val="both"/>
        <w:rPr>
          <w:rFonts w:ascii="Trebuchet MS" w:hAnsi="Trebuchet MS" w:cs="Arial"/>
          <w:b/>
          <w:bCs/>
          <w:i/>
          <w:iCs/>
          <w:sz w:val="22"/>
          <w:szCs w:val="22"/>
        </w:rPr>
      </w:pPr>
      <w:r w:rsidRPr="00254B55">
        <w:rPr>
          <w:rFonts w:ascii="Trebuchet MS" w:hAnsi="Trebuchet MS" w:cs="Arial"/>
          <w:b/>
          <w:sz w:val="22"/>
          <w:szCs w:val="22"/>
        </w:rPr>
        <w:t xml:space="preserve">Figura II.2.2.1.7 </w:t>
      </w:r>
      <w:r w:rsidRPr="00254B55">
        <w:rPr>
          <w:rFonts w:ascii="Trebuchet MS" w:hAnsi="Trebuchet MS" w:cs="Arial"/>
          <w:b/>
          <w:bCs/>
          <w:i/>
          <w:iCs/>
          <w:sz w:val="22"/>
          <w:szCs w:val="22"/>
        </w:rPr>
        <w:t>Reprezentarea grafică a tipurilor de utilizări ale apei subterane (mii mc/an)</w:t>
      </w:r>
    </w:p>
    <w:p w:rsidR="00C31077" w:rsidRPr="00EC7F5B" w:rsidRDefault="00C31077" w:rsidP="00C31077">
      <w:pPr>
        <w:autoSpaceDE w:val="0"/>
        <w:autoSpaceDN w:val="0"/>
        <w:adjustRightInd w:val="0"/>
        <w:spacing w:line="300" w:lineRule="auto"/>
        <w:jc w:val="center"/>
        <w:rPr>
          <w:rFonts w:ascii="Trebuchet MS" w:hAnsi="Trebuchet MS" w:cs="Arial"/>
          <w:i/>
          <w:noProof/>
          <w:lang w:bidi="si-LK"/>
        </w:rPr>
      </w:pPr>
      <w:r>
        <w:rPr>
          <w:rFonts w:ascii="Trebuchet MS" w:hAnsi="Trebuchet MS" w:cs="Arial"/>
          <w:i/>
          <w:noProof/>
          <w:lang w:val="en-US"/>
        </w:rPr>
        <w:drawing>
          <wp:inline distT="0" distB="0" distL="0" distR="0" wp14:anchorId="43346D8D" wp14:editId="4D5B8766">
            <wp:extent cx="4257675" cy="25717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57675" cy="2571750"/>
                    </a:xfrm>
                    <a:prstGeom prst="rect">
                      <a:avLst/>
                    </a:prstGeom>
                    <a:noFill/>
                    <a:ln>
                      <a:noFill/>
                    </a:ln>
                  </pic:spPr>
                </pic:pic>
              </a:graphicData>
            </a:graphic>
          </wp:inline>
        </w:drawing>
      </w:r>
    </w:p>
    <w:p w:rsidR="00C31077" w:rsidRPr="001F4D92" w:rsidRDefault="00C31077" w:rsidP="00C31077">
      <w:pPr>
        <w:autoSpaceDE w:val="0"/>
        <w:autoSpaceDN w:val="0"/>
        <w:adjustRightInd w:val="0"/>
        <w:spacing w:line="300" w:lineRule="auto"/>
        <w:jc w:val="both"/>
        <w:rPr>
          <w:rFonts w:ascii="Trebuchet MS" w:hAnsi="Trebuchet MS" w:cs="Arial"/>
          <w:i/>
          <w:sz w:val="20"/>
          <w:szCs w:val="20"/>
        </w:rPr>
      </w:pPr>
      <w:r w:rsidRPr="001F4D92">
        <w:rPr>
          <w:rFonts w:ascii="Trebuchet MS" w:hAnsi="Trebuchet MS" w:cs="Arial"/>
          <w:i/>
          <w:sz w:val="20"/>
          <w:szCs w:val="20"/>
        </w:rPr>
        <w:t>(Sursa datelor: Administrația Națională „Apele Române”, Planul Național de Management actualizat)</w:t>
      </w:r>
    </w:p>
    <w:p w:rsidR="00C31077" w:rsidRPr="00EC7F5B" w:rsidRDefault="00C31077" w:rsidP="00F746AF">
      <w:pPr>
        <w:ind w:firstLine="720"/>
        <w:jc w:val="both"/>
        <w:rPr>
          <w:rFonts w:ascii="Trebuchet MS" w:hAnsi="Trebuchet MS" w:cs="Arial"/>
        </w:rPr>
      </w:pPr>
    </w:p>
    <w:p w:rsidR="00C31077" w:rsidRPr="00E62FDB" w:rsidRDefault="00C31077" w:rsidP="00F746AF">
      <w:pPr>
        <w:ind w:firstLine="720"/>
        <w:jc w:val="both"/>
        <w:rPr>
          <w:rFonts w:ascii="Trebuchet MS" w:hAnsi="Trebuchet MS" w:cs="Arial"/>
          <w:sz w:val="22"/>
          <w:szCs w:val="22"/>
        </w:rPr>
      </w:pPr>
      <w:r w:rsidRPr="00E62FDB">
        <w:rPr>
          <w:rFonts w:ascii="Trebuchet MS" w:hAnsi="Trebuchet MS" w:cs="Arial"/>
          <w:sz w:val="22"/>
          <w:szCs w:val="22"/>
        </w:rPr>
        <w:t>Tendinţa generală de creştere a volumelor de apă subterană captată în ultimii ani poate fi pusă pe seama următoarelor cauze:</w:t>
      </w:r>
    </w:p>
    <w:p w:rsidR="00C31077" w:rsidRPr="00E62FDB" w:rsidRDefault="00C31077" w:rsidP="00F746AF">
      <w:pPr>
        <w:pStyle w:val="ListParagraph"/>
        <w:numPr>
          <w:ilvl w:val="0"/>
          <w:numId w:val="66"/>
        </w:numPr>
        <w:ind w:left="270" w:hanging="270"/>
        <w:jc w:val="both"/>
        <w:rPr>
          <w:rFonts w:ascii="Trebuchet MS" w:hAnsi="Trebuchet MS" w:cs="Arial"/>
          <w:sz w:val="22"/>
          <w:szCs w:val="22"/>
        </w:rPr>
      </w:pPr>
      <w:r w:rsidRPr="00E62FDB">
        <w:rPr>
          <w:rFonts w:ascii="Trebuchet MS" w:hAnsi="Trebuchet MS" w:cs="Arial"/>
          <w:sz w:val="22"/>
          <w:szCs w:val="22"/>
        </w:rPr>
        <w:t>utilizarea capacităţii fronturilor de captare (atât de către unii agenţi economici, dar în special pentru asigurarea apei în reţeaua de distribuţie orăşenească);</w:t>
      </w:r>
    </w:p>
    <w:p w:rsidR="00C31077" w:rsidRPr="00E62FDB" w:rsidRDefault="00C31077" w:rsidP="00F746AF">
      <w:pPr>
        <w:pStyle w:val="ListParagraph"/>
        <w:numPr>
          <w:ilvl w:val="0"/>
          <w:numId w:val="66"/>
        </w:numPr>
        <w:ind w:left="270" w:hanging="270"/>
        <w:jc w:val="both"/>
        <w:rPr>
          <w:rFonts w:ascii="Trebuchet MS" w:hAnsi="Trebuchet MS" w:cs="Arial"/>
          <w:sz w:val="22"/>
          <w:szCs w:val="22"/>
        </w:rPr>
      </w:pPr>
      <w:r w:rsidRPr="00E62FDB">
        <w:rPr>
          <w:rFonts w:ascii="Trebuchet MS" w:hAnsi="Trebuchet MS" w:cs="Arial"/>
          <w:sz w:val="22"/>
          <w:szCs w:val="22"/>
        </w:rPr>
        <w:t>creşterea numărului de utilizatori şi schimbarea profilului acestora, respectiv renunţarea la unele activităţi industriale şi orientarea spre diferite tipuri de activităţi agricole;</w:t>
      </w:r>
    </w:p>
    <w:p w:rsidR="00C31077" w:rsidRPr="00E62FDB" w:rsidRDefault="00C31077" w:rsidP="00F746AF">
      <w:pPr>
        <w:pStyle w:val="ListParagraph"/>
        <w:numPr>
          <w:ilvl w:val="0"/>
          <w:numId w:val="66"/>
        </w:numPr>
        <w:ind w:left="270" w:hanging="270"/>
        <w:jc w:val="both"/>
        <w:rPr>
          <w:rFonts w:ascii="Trebuchet MS" w:hAnsi="Trebuchet MS" w:cs="Arial"/>
          <w:sz w:val="22"/>
          <w:szCs w:val="22"/>
        </w:rPr>
      </w:pPr>
      <w:r w:rsidRPr="00E62FDB">
        <w:rPr>
          <w:rFonts w:ascii="Trebuchet MS" w:hAnsi="Trebuchet MS" w:cs="Arial"/>
          <w:sz w:val="22"/>
          <w:szCs w:val="22"/>
        </w:rPr>
        <w:t>creşterea numărului de localităţi dotate cu reţele de distribuţie a apei potabile și cu captări din surse subterane.</w:t>
      </w:r>
    </w:p>
    <w:p w:rsidR="00C31077" w:rsidRPr="00E62FDB" w:rsidRDefault="00C31077" w:rsidP="00F746AF">
      <w:pPr>
        <w:ind w:firstLine="708"/>
        <w:jc w:val="both"/>
        <w:rPr>
          <w:rFonts w:ascii="Trebuchet MS" w:hAnsi="Trebuchet MS" w:cs="Arial"/>
          <w:bCs/>
          <w:sz w:val="22"/>
          <w:szCs w:val="22"/>
        </w:rPr>
      </w:pPr>
      <w:r w:rsidRPr="00E62FDB">
        <w:rPr>
          <w:rFonts w:ascii="Trebuchet MS" w:hAnsi="Trebuchet MS" w:cs="Arial"/>
          <w:bCs/>
          <w:sz w:val="22"/>
          <w:szCs w:val="22"/>
        </w:rPr>
        <w:t>Reîncărcarea acviferelor în România se realizează prin infiltrarea apelor de suprafaţă şi meteorice.</w:t>
      </w:r>
    </w:p>
    <w:p w:rsidR="00C31077" w:rsidRPr="00E62FDB" w:rsidRDefault="00C31077" w:rsidP="00F746AF">
      <w:pPr>
        <w:ind w:firstLine="708"/>
        <w:jc w:val="both"/>
        <w:rPr>
          <w:rFonts w:ascii="Trebuchet MS" w:hAnsi="Trebuchet MS" w:cs="Arial"/>
          <w:sz w:val="22"/>
          <w:szCs w:val="22"/>
        </w:rPr>
      </w:pPr>
      <w:r w:rsidRPr="00E62FDB">
        <w:rPr>
          <w:rFonts w:ascii="Trebuchet MS" w:hAnsi="Trebuchet MS" w:cs="Arial"/>
          <w:sz w:val="22"/>
          <w:szCs w:val="22"/>
        </w:rPr>
        <w:t>În ceea ce priveşte balanţa prelevări/reîncarcare, care conduce la evaluarea corpului de apă subterană din punct de vedere cantitativ, nu se semnalează probleme deosebite, prelevările fiind inferioare ratei naturale de realimentare.</w:t>
      </w:r>
    </w:p>
    <w:p w:rsidR="00C31077" w:rsidRPr="00E62FDB" w:rsidRDefault="00C31077" w:rsidP="00F746AF">
      <w:pPr>
        <w:ind w:firstLine="708"/>
        <w:jc w:val="both"/>
        <w:rPr>
          <w:rFonts w:ascii="Trebuchet MS" w:hAnsi="Trebuchet MS" w:cs="Arial"/>
          <w:sz w:val="22"/>
          <w:szCs w:val="22"/>
        </w:rPr>
      </w:pPr>
      <w:r w:rsidRPr="00E62FDB">
        <w:rPr>
          <w:rFonts w:ascii="Trebuchet MS" w:hAnsi="Trebuchet MS" w:cs="Arial"/>
          <w:sz w:val="22"/>
          <w:szCs w:val="22"/>
        </w:rPr>
        <w:t>Întrucât, în România nu toate localitățile sunt racordate la sistemele centralizate de apă potabilă, în Legea Apelor nr. 107/1996 cu modificările și completările ulterioare se stabilește din punct de vedere legal posibilitatea satisfacerii necesităţilor gospodăriilor proprii (acces liber pentru băut, adăpat, udat, spălat, îmbăiat şi alte trebuinţe gospodăreşti) cu respectarea normelor sanitare şi de protecţie a calităţii apelor, dacă pentru aceasta nu se folosesc instalaţii sau se folosesc instalaţii de capacitate mică de până la 0,2 litri/secundă. Potrivit Institutului Național de Statistică, din totalul populației la nivelul anului 2020, 72,4 % se alimentează cu apă din sistemul centralizat, restul populației (27,6%) alimentându-se prin sisteme individuale, în principal din apa subterană.</w:t>
      </w:r>
    </w:p>
    <w:p w:rsidR="00C31077" w:rsidRPr="00E62FDB" w:rsidRDefault="00C31077" w:rsidP="00F746AF">
      <w:pPr>
        <w:ind w:firstLine="708"/>
        <w:jc w:val="both"/>
        <w:rPr>
          <w:rFonts w:ascii="Trebuchet MS" w:hAnsi="Trebuchet MS" w:cs="Arial"/>
          <w:sz w:val="22"/>
          <w:szCs w:val="22"/>
        </w:rPr>
      </w:pPr>
      <w:r w:rsidRPr="00E62FDB">
        <w:rPr>
          <w:rFonts w:ascii="Trebuchet MS" w:hAnsi="Trebuchet MS" w:cs="Arial"/>
          <w:sz w:val="22"/>
          <w:szCs w:val="22"/>
        </w:rPr>
        <w:t xml:space="preserve">Urmare a analizei presiunilor și impactului din cadrul Planurilor de management actualizate în care s-a avut în vedere și această evaluare (inclusiv captările mici pentru necesități gospodărești), s-a concluzionat că aceste prelevări de apă sunt nesemnificative, starea cantitativă a corpurilor de apă subterană nu este afectată de aceste captări mici pentru necesitățile gospodărești, în special ale populației neracordate la sistemele de aprovizionare cu apă. </w:t>
      </w:r>
    </w:p>
    <w:p w:rsidR="00C31077" w:rsidRPr="00E62FDB" w:rsidRDefault="00C31077" w:rsidP="00F746AF">
      <w:pPr>
        <w:ind w:firstLine="708"/>
        <w:jc w:val="both"/>
        <w:rPr>
          <w:rFonts w:ascii="Trebuchet MS" w:hAnsi="Trebuchet MS" w:cs="Arial"/>
          <w:sz w:val="22"/>
          <w:szCs w:val="22"/>
        </w:rPr>
      </w:pPr>
      <w:r w:rsidRPr="00E62FDB">
        <w:rPr>
          <w:rFonts w:ascii="Trebuchet MS" w:hAnsi="Trebuchet MS" w:cs="Arial"/>
          <w:sz w:val="22"/>
          <w:szCs w:val="22"/>
        </w:rPr>
        <w:t>Este de menționat faptul că numărul populației neracordate la sistemul centralizat de alimentare cu apă va scădea treptat în viitor, prin proiectele în curs de implementare/planificate/în curs de planificare care au ca scop conectarea populației la infrastructura centralizată de apă potabilă, așa cum este prevăzut în programul de măsuri din Planurile de management actualizate. În concluzie, din punct de vedere al impactului cantitativ, nu s-au semnalat presiuni semnificative care să conducă la degradarea stării cantitative bune, respectiv toate corpurile de apă subterană fiind în stare cantitativă bună (Figura II.2.2.1.8).</w:t>
      </w:r>
    </w:p>
    <w:p w:rsidR="00E62FDB" w:rsidRDefault="00E62FDB" w:rsidP="00F746AF">
      <w:pPr>
        <w:rPr>
          <w:rFonts w:ascii="Trebuchet MS" w:hAnsi="Trebuchet MS" w:cs="Arial"/>
          <w:b/>
          <w:bCs/>
          <w:sz w:val="22"/>
          <w:szCs w:val="22"/>
        </w:rPr>
      </w:pPr>
    </w:p>
    <w:p w:rsidR="00C31077" w:rsidRPr="00E62FDB" w:rsidRDefault="00C31077" w:rsidP="00F746AF">
      <w:pPr>
        <w:rPr>
          <w:rFonts w:ascii="Trebuchet MS" w:hAnsi="Trebuchet MS" w:cs="Arial"/>
          <w:b/>
          <w:bCs/>
          <w:sz w:val="22"/>
          <w:szCs w:val="22"/>
        </w:rPr>
      </w:pPr>
      <w:r w:rsidRPr="00E62FDB">
        <w:rPr>
          <w:rFonts w:ascii="Trebuchet MS" w:hAnsi="Trebuchet MS" w:cs="Arial"/>
          <w:b/>
          <w:bCs/>
          <w:sz w:val="22"/>
          <w:szCs w:val="22"/>
        </w:rPr>
        <w:t>Figura II.2.2.1.8 Corpurile de apă subterană la risc cantitativ</w:t>
      </w:r>
    </w:p>
    <w:p w:rsidR="00C31077" w:rsidRPr="00984FBD" w:rsidRDefault="00C31077" w:rsidP="00C31077">
      <w:pPr>
        <w:spacing w:line="300" w:lineRule="auto"/>
        <w:jc w:val="center"/>
        <w:rPr>
          <w:rFonts w:ascii="Trebuchet MS" w:hAnsi="Trebuchet MS" w:cs="Arial"/>
          <w:sz w:val="20"/>
          <w:szCs w:val="20"/>
        </w:rPr>
      </w:pPr>
      <w:r>
        <w:rPr>
          <w:rFonts w:ascii="Trebuchet MS" w:hAnsi="Trebuchet MS" w:cs="Arial"/>
          <w:noProof/>
          <w:sz w:val="20"/>
          <w:szCs w:val="20"/>
          <w:lang w:val="en-US"/>
        </w:rPr>
        <w:drawing>
          <wp:inline distT="0" distB="0" distL="0" distR="0" wp14:anchorId="4B663157" wp14:editId="2A7FB5EA">
            <wp:extent cx="5221741" cy="40481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21741" cy="4048125"/>
                    </a:xfrm>
                    <a:prstGeom prst="rect">
                      <a:avLst/>
                    </a:prstGeom>
                    <a:noFill/>
                    <a:ln>
                      <a:noFill/>
                    </a:ln>
                  </pic:spPr>
                </pic:pic>
              </a:graphicData>
            </a:graphic>
          </wp:inline>
        </w:drawing>
      </w:r>
    </w:p>
    <w:p w:rsidR="00C31077" w:rsidRPr="00984FBD" w:rsidRDefault="00C31077" w:rsidP="00C31077">
      <w:pPr>
        <w:autoSpaceDE w:val="0"/>
        <w:autoSpaceDN w:val="0"/>
        <w:adjustRightInd w:val="0"/>
        <w:spacing w:line="300" w:lineRule="auto"/>
        <w:rPr>
          <w:rFonts w:ascii="Trebuchet MS" w:hAnsi="Trebuchet MS" w:cs="Arial"/>
          <w:b/>
          <w:bCs/>
          <w:sz w:val="20"/>
          <w:szCs w:val="20"/>
        </w:rPr>
      </w:pPr>
      <w:r w:rsidRPr="00984FBD">
        <w:rPr>
          <w:rFonts w:ascii="Trebuchet MS" w:hAnsi="Trebuchet MS" w:cs="Arial"/>
          <w:i/>
          <w:sz w:val="20"/>
          <w:szCs w:val="20"/>
        </w:rPr>
        <w:t>(Sursa datelor: Administrația Națională „Apele Române”, Planul Național de Management actualizat)</w:t>
      </w:r>
    </w:p>
    <w:p w:rsidR="00C31077" w:rsidRPr="00E62FDB" w:rsidRDefault="00C31077" w:rsidP="00F746AF">
      <w:pPr>
        <w:ind w:firstLine="709"/>
        <w:jc w:val="both"/>
        <w:rPr>
          <w:rFonts w:ascii="Trebuchet MS" w:hAnsi="Trebuchet MS" w:cs="Arial"/>
          <w:sz w:val="22"/>
          <w:szCs w:val="22"/>
        </w:rPr>
      </w:pPr>
      <w:r w:rsidRPr="00E62FDB">
        <w:rPr>
          <w:rFonts w:ascii="Trebuchet MS" w:hAnsi="Trebuchet MS" w:cs="Arial"/>
          <w:sz w:val="22"/>
          <w:szCs w:val="22"/>
        </w:rPr>
        <w:t>În Planul Național de Management actualizat 2016-2021 aprobat prin HG 859/2016 au fost identificate 15 corpuri de apă subterană care nu atingeau starea chimică bună datorită următorilor parametri: azotaţi şi amoniu, pentru care au fost prevăzute excepţii de la atingerea obiectivelor până în 2027. Datorită măsurilor luate în primul ciclu de implementare (2010-2015) și urmare a evaluării actuale a stării chimice (anul 2017-2019), 131 corpuri de apă subterană sunt în stare chimică bună și 12 sunt în stare chimică slabă.</w:t>
      </w:r>
    </w:p>
    <w:p w:rsidR="00C31077" w:rsidRPr="00E62FDB" w:rsidRDefault="00C31077" w:rsidP="00F746AF">
      <w:pPr>
        <w:ind w:firstLine="709"/>
        <w:jc w:val="both"/>
        <w:rPr>
          <w:rFonts w:ascii="Trebuchet MS" w:hAnsi="Trebuchet MS" w:cs="Arial"/>
          <w:sz w:val="22"/>
          <w:szCs w:val="22"/>
        </w:rPr>
      </w:pPr>
      <w:r w:rsidRPr="00E62FDB">
        <w:rPr>
          <w:rFonts w:ascii="Trebuchet MS" w:hAnsi="Trebuchet MS" w:cs="Arial"/>
          <w:sz w:val="22"/>
          <w:szCs w:val="22"/>
        </w:rPr>
        <w:t xml:space="preserve">Pentru determinarea </w:t>
      </w:r>
      <w:r w:rsidRPr="00E62FDB">
        <w:rPr>
          <w:rFonts w:ascii="Trebuchet MS" w:hAnsi="Trebuchet MS" w:cs="Arial"/>
          <w:b/>
          <w:bCs/>
          <w:sz w:val="22"/>
          <w:szCs w:val="22"/>
        </w:rPr>
        <w:t>riscului din punct de vedere chimic</w:t>
      </w:r>
      <w:r w:rsidRPr="00E62FDB">
        <w:rPr>
          <w:rFonts w:ascii="Trebuchet MS" w:hAnsi="Trebuchet MS" w:cs="Arial"/>
          <w:sz w:val="22"/>
          <w:szCs w:val="22"/>
        </w:rPr>
        <w:t xml:space="preserve"> s-au avut în vedere următoarele:</w:t>
      </w:r>
    </w:p>
    <w:p w:rsidR="00C31077" w:rsidRPr="00E62FDB" w:rsidRDefault="00C31077" w:rsidP="00F746AF">
      <w:pPr>
        <w:numPr>
          <w:ilvl w:val="2"/>
          <w:numId w:val="51"/>
        </w:numPr>
        <w:ind w:left="270" w:firstLine="709"/>
        <w:jc w:val="both"/>
        <w:rPr>
          <w:rFonts w:ascii="Trebuchet MS" w:hAnsi="Trebuchet MS" w:cs="Arial"/>
          <w:sz w:val="22"/>
          <w:szCs w:val="22"/>
        </w:rPr>
      </w:pPr>
      <w:r w:rsidRPr="00E62FDB">
        <w:rPr>
          <w:rFonts w:ascii="Trebuchet MS" w:hAnsi="Trebuchet MS" w:cs="Arial"/>
          <w:sz w:val="22"/>
          <w:szCs w:val="22"/>
        </w:rPr>
        <w:t>corpul de apă subterană este considerat la risc dacă are depăşiri ale valorilor prag pe cel puţin 20 % din suprafaţa corpului de apă, cu condiţia să fie respectat indicele minim de reprezentativitate;</w:t>
      </w:r>
    </w:p>
    <w:p w:rsidR="00C31077" w:rsidRPr="00E62FDB" w:rsidRDefault="00C31077" w:rsidP="00F746AF">
      <w:pPr>
        <w:numPr>
          <w:ilvl w:val="2"/>
          <w:numId w:val="51"/>
        </w:numPr>
        <w:ind w:left="270" w:firstLine="709"/>
        <w:jc w:val="both"/>
        <w:rPr>
          <w:rFonts w:ascii="Trebuchet MS" w:hAnsi="Trebuchet MS" w:cs="Arial"/>
          <w:sz w:val="22"/>
          <w:szCs w:val="22"/>
        </w:rPr>
      </w:pPr>
      <w:r w:rsidRPr="00E62FDB">
        <w:rPr>
          <w:rFonts w:ascii="Trebuchet MS" w:hAnsi="Trebuchet MS" w:cs="Arial"/>
          <w:sz w:val="22"/>
          <w:szCs w:val="22"/>
        </w:rPr>
        <w:t xml:space="preserve">corpul de apă subterană nu este la risc calitativ dacă este total nepoluat, sau dacă, suprafaţa corpului de apă este afectată într-o proporţie mai mică de 20 % din suprafaţa întregului corp de apă. </w:t>
      </w:r>
    </w:p>
    <w:p w:rsidR="00C31077" w:rsidRPr="00E62FDB" w:rsidRDefault="00C31077" w:rsidP="00F746AF">
      <w:pPr>
        <w:ind w:firstLine="709"/>
        <w:jc w:val="both"/>
        <w:rPr>
          <w:rFonts w:ascii="Trebuchet MS" w:hAnsi="Trebuchet MS" w:cs="Arial"/>
          <w:sz w:val="22"/>
          <w:szCs w:val="22"/>
        </w:rPr>
      </w:pPr>
      <w:r w:rsidRPr="00E62FDB">
        <w:rPr>
          <w:rFonts w:ascii="Trebuchet MS" w:hAnsi="Trebuchet MS" w:cs="Arial"/>
          <w:sz w:val="22"/>
          <w:szCs w:val="22"/>
        </w:rPr>
        <w:t xml:space="preserve">Valorile indicatorilor de calitate ai apelor subterane au fost interpretate având ca reper valorile standard prevăzute de Directiva privind Apele Subterane pentru azotați şi pesticide şi valorile prag determinate, după caz, pentru fiecare corp de apă subterană, aprobate prin Ordinul nr. 621 din 7 iulie 2014 privind aprobarea valorilor de prag pentru apele subterane din România şi a prevederilor Directivei 118/2006/EC cu modificările și completările ulterioare. </w:t>
      </w:r>
    </w:p>
    <w:p w:rsidR="00C31077" w:rsidRPr="00E62FDB" w:rsidRDefault="00C31077" w:rsidP="00F746AF">
      <w:pPr>
        <w:ind w:firstLine="709"/>
        <w:jc w:val="both"/>
        <w:rPr>
          <w:rFonts w:ascii="Trebuchet MS" w:hAnsi="Trebuchet MS" w:cs="Arial"/>
          <w:sz w:val="22"/>
          <w:szCs w:val="22"/>
        </w:rPr>
      </w:pPr>
      <w:r w:rsidRPr="00E62FDB">
        <w:rPr>
          <w:rFonts w:ascii="Trebuchet MS" w:hAnsi="Trebuchet MS" w:cs="Arial"/>
          <w:sz w:val="22"/>
          <w:szCs w:val="22"/>
        </w:rPr>
        <w:t xml:space="preserve">Rezultatul acestei analize a reliefat că în România există 12 corpuri de apă subterană care riscă să nu atingă starea bună (Figura II.2.2.1.9) din punct de vedere chimic, pentru indicatorul azotaţi. Riscul de neatingere a obiectivelor de mediu pentru aceste corpuri de apă subterană se datorează, în principal, emisiilor difuze cauzate de aglomerările umane, în special cele sub 2.000 l.e. care au grad scăzut de conectare la sistemele de canalizare şi la sistemele de epurare adecvate, surselor istorice reprezentate de unităţi sau complexe agrozootehnice care şi-au încetat sau redus activitatea, precum și activităților agricole. </w:t>
      </w:r>
    </w:p>
    <w:p w:rsidR="00C31077" w:rsidRPr="00E62FDB" w:rsidRDefault="00C31077" w:rsidP="00F746AF">
      <w:pPr>
        <w:ind w:firstLine="709"/>
        <w:jc w:val="both"/>
        <w:rPr>
          <w:rFonts w:ascii="Trebuchet MS" w:hAnsi="Trebuchet MS" w:cs="Arial"/>
          <w:sz w:val="22"/>
          <w:szCs w:val="22"/>
        </w:rPr>
      </w:pPr>
      <w:r w:rsidRPr="00E62FDB">
        <w:rPr>
          <w:rFonts w:ascii="Trebuchet MS" w:hAnsi="Trebuchet MS" w:cs="Arial"/>
          <w:sz w:val="22"/>
          <w:szCs w:val="22"/>
        </w:rPr>
        <w:t xml:space="preserve">În cursul elaborării Planului Național de Management actualizat a fost completată analiza relaţiei dintre habitatele aferente siturilor de importanță comunitară (SCI) şi corpurile de apă subterană aferente Administraţiilor Bazinale de Apă cu date privind ariile de protecție specială avifaunistică (SPA) după o metodologie proprie INHGA. </w:t>
      </w:r>
    </w:p>
    <w:p w:rsidR="00C31077" w:rsidRPr="00E62FDB" w:rsidRDefault="00C31077" w:rsidP="00F746AF">
      <w:pPr>
        <w:ind w:firstLine="709"/>
        <w:jc w:val="both"/>
        <w:rPr>
          <w:rFonts w:ascii="Trebuchet MS" w:hAnsi="Trebuchet MS" w:cs="Arial"/>
          <w:sz w:val="22"/>
          <w:szCs w:val="22"/>
        </w:rPr>
      </w:pPr>
      <w:r w:rsidRPr="00E62FDB">
        <w:rPr>
          <w:rFonts w:ascii="Trebuchet MS" w:hAnsi="Trebuchet MS" w:cs="Arial"/>
          <w:sz w:val="22"/>
          <w:szCs w:val="22"/>
        </w:rPr>
        <w:t>Ca urmare a analizei din punct de vedere calitativ a rezultat că 8,39% dintre corpurile de apă subterană au fost identificate la risc de neatingere a stării chimice bune (la nivelul anului 2027), faţă de 13,38% determinate în primul Plan Naţional de Management 2009 şi 10,49 % în al doilea Plan Național de Management actualizat. Toate corpurile de apă subterane nu prezintă risc de neatingere a stării cantitative bune în anul 2027.</w:t>
      </w:r>
    </w:p>
    <w:p w:rsidR="00C31077" w:rsidRPr="00E62FDB" w:rsidRDefault="00C31077" w:rsidP="00F746AF">
      <w:pPr>
        <w:ind w:firstLine="709"/>
        <w:jc w:val="both"/>
        <w:rPr>
          <w:rFonts w:ascii="Trebuchet MS" w:hAnsi="Trebuchet MS" w:cs="Arial"/>
          <w:sz w:val="22"/>
          <w:szCs w:val="22"/>
        </w:rPr>
      </w:pPr>
    </w:p>
    <w:p w:rsidR="00C31077" w:rsidRPr="00EC7F5B" w:rsidRDefault="00C31077" w:rsidP="00C31077">
      <w:pPr>
        <w:spacing w:line="300" w:lineRule="auto"/>
        <w:rPr>
          <w:rFonts w:ascii="Trebuchet MS" w:hAnsi="Trebuchet MS" w:cs="Arial"/>
          <w:b/>
          <w:bCs/>
        </w:rPr>
      </w:pPr>
      <w:r w:rsidRPr="00EC7F5B">
        <w:rPr>
          <w:rFonts w:ascii="Trebuchet MS" w:hAnsi="Trebuchet MS" w:cs="Arial"/>
          <w:b/>
          <w:bCs/>
        </w:rPr>
        <w:t>Figura II.2.2.1.</w:t>
      </w:r>
      <w:r>
        <w:rPr>
          <w:rFonts w:ascii="Trebuchet MS" w:hAnsi="Trebuchet MS" w:cs="Arial"/>
          <w:b/>
          <w:bCs/>
        </w:rPr>
        <w:t>9</w:t>
      </w:r>
      <w:r w:rsidRPr="00EC7F5B">
        <w:rPr>
          <w:rFonts w:ascii="Trebuchet MS" w:hAnsi="Trebuchet MS" w:cs="Arial"/>
          <w:b/>
          <w:bCs/>
        </w:rPr>
        <w:t xml:space="preserve"> Corpurile de apă subterană la risc chimic</w:t>
      </w:r>
    </w:p>
    <w:p w:rsidR="00C31077" w:rsidRPr="00EC7F5B" w:rsidRDefault="00C31077" w:rsidP="00C31077">
      <w:pPr>
        <w:spacing w:line="300" w:lineRule="auto"/>
        <w:jc w:val="center"/>
        <w:rPr>
          <w:rFonts w:ascii="Trebuchet MS" w:hAnsi="Trebuchet MS" w:cs="Arial"/>
          <w:noProof/>
          <w:lang w:bidi="si-LK"/>
        </w:rPr>
      </w:pPr>
      <w:r>
        <w:rPr>
          <w:rFonts w:ascii="Trebuchet MS" w:hAnsi="Trebuchet MS" w:cs="Arial"/>
          <w:noProof/>
          <w:lang w:val="en-US"/>
        </w:rPr>
        <w:drawing>
          <wp:inline distT="0" distB="0" distL="0" distR="0" wp14:anchorId="0072ADA6" wp14:editId="4A7C7266">
            <wp:extent cx="4657725" cy="35909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57725" cy="3590925"/>
                    </a:xfrm>
                    <a:prstGeom prst="rect">
                      <a:avLst/>
                    </a:prstGeom>
                    <a:noFill/>
                    <a:ln>
                      <a:noFill/>
                    </a:ln>
                  </pic:spPr>
                </pic:pic>
              </a:graphicData>
            </a:graphic>
          </wp:inline>
        </w:drawing>
      </w:r>
    </w:p>
    <w:p w:rsidR="00C31077" w:rsidRPr="00984FBD" w:rsidRDefault="00C31077" w:rsidP="00C31077">
      <w:pPr>
        <w:spacing w:line="300" w:lineRule="auto"/>
        <w:jc w:val="both"/>
        <w:rPr>
          <w:rFonts w:ascii="Trebuchet MS" w:hAnsi="Trebuchet MS" w:cs="Arial"/>
          <w:b/>
          <w:bCs/>
          <w:sz w:val="20"/>
          <w:szCs w:val="20"/>
        </w:rPr>
      </w:pPr>
      <w:r w:rsidRPr="00984FBD">
        <w:rPr>
          <w:rFonts w:ascii="Trebuchet MS" w:hAnsi="Trebuchet MS" w:cs="Arial"/>
          <w:i/>
          <w:sz w:val="20"/>
          <w:szCs w:val="20"/>
        </w:rPr>
        <w:t>(Sursa datelor: Administrația Națională „Apele Române”, Planul Național de Management actualizat)</w:t>
      </w: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F746AF" w:rsidRDefault="00F746AF">
      <w:pPr>
        <w:rPr>
          <w:rFonts w:ascii="Trebuchet MS" w:hAnsi="Trebuchet MS" w:cs="Arial"/>
          <w:b/>
          <w:iCs/>
        </w:rPr>
      </w:pPr>
      <w:r>
        <w:rPr>
          <w:rFonts w:ascii="Trebuchet MS" w:hAnsi="Trebuchet MS" w:cs="Arial"/>
          <w:b/>
          <w:iCs/>
        </w:rPr>
        <w:br w:type="page"/>
      </w:r>
    </w:p>
    <w:p w:rsidR="00041F6F" w:rsidRPr="00130BE7" w:rsidRDefault="00041F6F" w:rsidP="00041F6F">
      <w:pPr>
        <w:rPr>
          <w:rFonts w:ascii="Trebuchet MS" w:hAnsi="Trebuchet MS" w:cs="Arial"/>
          <w:b/>
          <w:iCs/>
        </w:rPr>
      </w:pPr>
      <w:r w:rsidRPr="00130BE7">
        <w:rPr>
          <w:rFonts w:ascii="Trebuchet MS" w:hAnsi="Trebuchet MS" w:cs="Arial"/>
          <w:b/>
          <w:iCs/>
        </w:rPr>
        <w:t>II.2.2.2. Apele uzate și rețelele de canalizare</w:t>
      </w:r>
    </w:p>
    <w:p w:rsidR="00041F6F" w:rsidRPr="00130BE7" w:rsidRDefault="00041F6F" w:rsidP="00041F6F">
      <w:pPr>
        <w:jc w:val="center"/>
        <w:rPr>
          <w:rFonts w:ascii="Trebuchet MS" w:hAnsi="Trebuchet MS" w:cs="Arial"/>
          <w:b/>
          <w:i/>
        </w:rPr>
      </w:pPr>
    </w:p>
    <w:p w:rsidR="00041F6F" w:rsidRPr="00E62FDB" w:rsidRDefault="00041F6F" w:rsidP="00041F6F">
      <w:pPr>
        <w:jc w:val="center"/>
        <w:rPr>
          <w:rFonts w:ascii="Trebuchet MS" w:hAnsi="Trebuchet MS" w:cs="Arial"/>
          <w:b/>
          <w:iCs/>
          <w:sz w:val="22"/>
          <w:szCs w:val="22"/>
        </w:rPr>
      </w:pPr>
      <w:r w:rsidRPr="00E62FDB">
        <w:rPr>
          <w:rFonts w:ascii="Trebuchet MS" w:hAnsi="Trebuchet MS" w:cs="Arial"/>
          <w:b/>
          <w:iCs/>
          <w:sz w:val="22"/>
          <w:szCs w:val="22"/>
          <w:highlight w:val="green"/>
        </w:rPr>
        <w:t>Indicator CSI 24. Epurarea apelor uzate urbane RO 24</w:t>
      </w:r>
    </w:p>
    <w:p w:rsidR="00041F6F" w:rsidRPr="00E62FDB" w:rsidRDefault="00041F6F" w:rsidP="00041F6F">
      <w:pPr>
        <w:rPr>
          <w:rFonts w:ascii="Trebuchet MS" w:hAnsi="Trebuchet MS" w:cs="Arial"/>
          <w:b/>
          <w:sz w:val="22"/>
          <w:szCs w:val="22"/>
        </w:rPr>
      </w:pPr>
    </w:p>
    <w:p w:rsidR="00041F6F" w:rsidRPr="00E62FDB" w:rsidRDefault="00041F6F" w:rsidP="00F746AF">
      <w:pPr>
        <w:autoSpaceDE w:val="0"/>
        <w:autoSpaceDN w:val="0"/>
        <w:adjustRightInd w:val="0"/>
        <w:ind w:firstLine="567"/>
        <w:jc w:val="both"/>
        <w:rPr>
          <w:rFonts w:ascii="Trebuchet MS" w:hAnsi="Trebuchet MS" w:cs="Arial"/>
          <w:sz w:val="22"/>
          <w:szCs w:val="22"/>
          <w:lang w:eastAsia="ro-RO"/>
        </w:rPr>
      </w:pPr>
      <w:r w:rsidRPr="00E62FDB">
        <w:rPr>
          <w:rFonts w:ascii="Trebuchet MS" w:hAnsi="Trebuchet MS" w:cs="Arial"/>
          <w:i/>
          <w:iCs/>
          <w:sz w:val="22"/>
          <w:szCs w:val="22"/>
          <w:lang w:eastAsia="ro-RO"/>
        </w:rPr>
        <w:t>În raport cu provenienţa lor, apele uzate se clasifică astfel: ape uzate menajere</w:t>
      </w:r>
      <w:r w:rsidRPr="00E62FDB">
        <w:rPr>
          <w:rFonts w:ascii="Trebuchet MS" w:hAnsi="Trebuchet MS" w:cs="Arial"/>
          <w:sz w:val="22"/>
          <w:szCs w:val="22"/>
          <w:lang w:eastAsia="ro-RO"/>
        </w:rPr>
        <w:t xml:space="preserve">, sunt cele care se evacuează după ce au fost folosite pentru nevoi gospodăreşti în locuinţe şi unităţi de folosinţă publică; </w:t>
      </w:r>
      <w:r w:rsidRPr="00E62FDB">
        <w:rPr>
          <w:rFonts w:ascii="Trebuchet MS" w:hAnsi="Trebuchet MS" w:cs="Arial"/>
          <w:i/>
          <w:iCs/>
          <w:sz w:val="22"/>
          <w:szCs w:val="22"/>
          <w:lang w:eastAsia="ro-RO"/>
        </w:rPr>
        <w:t>ape uzate urbane</w:t>
      </w:r>
      <w:r w:rsidRPr="00E62FDB">
        <w:rPr>
          <w:rFonts w:ascii="Trebuchet MS" w:hAnsi="Trebuchet MS" w:cs="Arial"/>
          <w:sz w:val="22"/>
          <w:szCs w:val="22"/>
          <w:lang w:eastAsia="ro-RO"/>
        </w:rPr>
        <w:t xml:space="preserve">, definite ca ape uzate menajere sau amestec de ape menajere cu ape uzate industriale şi/sau ape meteorice şi </w:t>
      </w:r>
      <w:r w:rsidRPr="00E62FDB">
        <w:rPr>
          <w:rFonts w:ascii="Trebuchet MS" w:hAnsi="Trebuchet MS" w:cs="Arial"/>
          <w:i/>
          <w:iCs/>
          <w:sz w:val="22"/>
          <w:szCs w:val="22"/>
          <w:lang w:eastAsia="ro-RO"/>
        </w:rPr>
        <w:t>ape uzate industriale</w:t>
      </w:r>
      <w:r w:rsidRPr="00E62FDB">
        <w:rPr>
          <w:rFonts w:ascii="Trebuchet MS" w:hAnsi="Trebuchet MS" w:cs="Arial"/>
          <w:sz w:val="22"/>
          <w:szCs w:val="22"/>
          <w:lang w:eastAsia="ro-RO"/>
        </w:rPr>
        <w:t xml:space="preserve">, cele care sunt evacuate ca urmare a folosirii lor în procese tehnologice de obţinere a unor produse finite industriale sau agro-industriale. </w:t>
      </w:r>
    </w:p>
    <w:p w:rsidR="00041F6F" w:rsidRPr="00E62FDB" w:rsidRDefault="00041F6F" w:rsidP="00F746AF">
      <w:pPr>
        <w:autoSpaceDE w:val="0"/>
        <w:autoSpaceDN w:val="0"/>
        <w:adjustRightInd w:val="0"/>
        <w:ind w:firstLine="567"/>
        <w:jc w:val="both"/>
        <w:rPr>
          <w:rFonts w:ascii="Trebuchet MS" w:hAnsi="Trebuchet MS" w:cs="Arial"/>
          <w:color w:val="FF0000"/>
          <w:sz w:val="22"/>
          <w:szCs w:val="22"/>
          <w:lang w:eastAsia="ro-RO"/>
        </w:rPr>
      </w:pPr>
      <w:r w:rsidRPr="00E62FDB">
        <w:rPr>
          <w:rFonts w:ascii="Trebuchet MS" w:hAnsi="Trebuchet MS" w:cs="Arial"/>
          <w:sz w:val="22"/>
          <w:szCs w:val="22"/>
          <w:lang w:eastAsia="ro-RO"/>
        </w:rPr>
        <w:t>Apele uzate urbane sunt definite ca ape uzate menajere sau amestec de ape uzate menajere cu ape uzate industriale (în general provenite din industria agro-alimentară) sunt colectate prin sisteme de canalizare, preluate şi epurate în staţii de epurare.</w:t>
      </w:r>
    </w:p>
    <w:p w:rsidR="00041F6F" w:rsidRPr="00E62FDB" w:rsidRDefault="00041F6F" w:rsidP="00F746AF">
      <w:pPr>
        <w:autoSpaceDE w:val="0"/>
        <w:autoSpaceDN w:val="0"/>
        <w:adjustRightInd w:val="0"/>
        <w:ind w:firstLine="567"/>
        <w:jc w:val="both"/>
        <w:rPr>
          <w:rFonts w:ascii="Trebuchet MS" w:hAnsi="Trebuchet MS" w:cs="Arial"/>
          <w:i/>
          <w:iCs/>
          <w:sz w:val="22"/>
          <w:szCs w:val="22"/>
          <w:lang w:eastAsia="ro-RO"/>
        </w:rPr>
      </w:pPr>
      <w:r w:rsidRPr="00E62FDB">
        <w:rPr>
          <w:rFonts w:ascii="Trebuchet MS" w:hAnsi="Trebuchet MS" w:cs="Arial"/>
          <w:i/>
          <w:iCs/>
          <w:sz w:val="22"/>
          <w:szCs w:val="22"/>
          <w:lang w:eastAsia="ro-RO"/>
        </w:rPr>
        <w:t>Apele uzate neepurate din aglomerările umane (oraşe şi sate – zonele locuite cele mai concentrate) contribuie la poluarea apelor de suprafaţă şi subterane. Poluarea se datorează în principal următoarelor aspecte:</w:t>
      </w:r>
    </w:p>
    <w:p w:rsidR="00041F6F" w:rsidRPr="00E62FDB" w:rsidRDefault="00041F6F" w:rsidP="00F746AF">
      <w:pPr>
        <w:numPr>
          <w:ilvl w:val="0"/>
          <w:numId w:val="74"/>
        </w:numPr>
        <w:autoSpaceDE w:val="0"/>
        <w:autoSpaceDN w:val="0"/>
        <w:adjustRightInd w:val="0"/>
        <w:jc w:val="both"/>
        <w:rPr>
          <w:rFonts w:ascii="Trebuchet MS" w:hAnsi="Trebuchet MS" w:cs="Arial"/>
          <w:sz w:val="22"/>
          <w:szCs w:val="22"/>
          <w:lang w:eastAsia="ro-RO"/>
        </w:rPr>
      </w:pPr>
      <w:r w:rsidRPr="00E62FDB">
        <w:rPr>
          <w:rFonts w:ascii="Trebuchet MS" w:hAnsi="Trebuchet MS" w:cs="Arial"/>
          <w:sz w:val="22"/>
          <w:szCs w:val="22"/>
          <w:lang w:eastAsia="ro-RO"/>
        </w:rPr>
        <w:t>Ratei reduse a racordării populaţiei echivalente la sistemele de colectare şi epurare a apelor uzate;</w:t>
      </w:r>
    </w:p>
    <w:p w:rsidR="00041F6F" w:rsidRPr="00E62FDB" w:rsidRDefault="00041F6F" w:rsidP="00F746AF">
      <w:pPr>
        <w:numPr>
          <w:ilvl w:val="0"/>
          <w:numId w:val="74"/>
        </w:numPr>
        <w:autoSpaceDE w:val="0"/>
        <w:autoSpaceDN w:val="0"/>
        <w:adjustRightInd w:val="0"/>
        <w:jc w:val="both"/>
        <w:rPr>
          <w:rFonts w:ascii="Trebuchet MS" w:hAnsi="Trebuchet MS" w:cs="Arial"/>
          <w:sz w:val="22"/>
          <w:szCs w:val="22"/>
          <w:lang w:eastAsia="ro-RO"/>
        </w:rPr>
      </w:pPr>
      <w:r w:rsidRPr="00E62FDB">
        <w:rPr>
          <w:rFonts w:ascii="Trebuchet MS" w:hAnsi="Trebuchet MS" w:cs="Arial"/>
          <w:sz w:val="22"/>
          <w:szCs w:val="22"/>
          <w:lang w:eastAsia="ro-RO"/>
        </w:rPr>
        <w:t>Funcţionării necorespunzătoare a staţiilor de epurare existente;</w:t>
      </w:r>
    </w:p>
    <w:p w:rsidR="00041F6F" w:rsidRPr="00E62FDB" w:rsidRDefault="00041F6F" w:rsidP="00F746AF">
      <w:pPr>
        <w:numPr>
          <w:ilvl w:val="0"/>
          <w:numId w:val="75"/>
        </w:numPr>
        <w:autoSpaceDE w:val="0"/>
        <w:autoSpaceDN w:val="0"/>
        <w:adjustRightInd w:val="0"/>
        <w:jc w:val="both"/>
        <w:rPr>
          <w:rFonts w:ascii="Trebuchet MS" w:hAnsi="Trebuchet MS" w:cs="Arial"/>
          <w:sz w:val="22"/>
          <w:szCs w:val="22"/>
          <w:lang w:eastAsia="ro-RO"/>
        </w:rPr>
      </w:pPr>
      <w:r w:rsidRPr="00E62FDB">
        <w:rPr>
          <w:rFonts w:ascii="Trebuchet MS" w:hAnsi="Trebuchet MS" w:cs="Arial"/>
          <w:sz w:val="22"/>
          <w:szCs w:val="22"/>
          <w:lang w:eastAsia="ro-RO"/>
        </w:rPr>
        <w:t>Managementului necorespunzător al nămolurilor de la staţiile de epurare (produse secundare ale procesului de epurare a apelor uzate, considerate deșeuri biodegradabile);</w:t>
      </w:r>
    </w:p>
    <w:p w:rsidR="00041F6F" w:rsidRPr="00E62FDB" w:rsidRDefault="00041F6F" w:rsidP="00F746AF">
      <w:pPr>
        <w:numPr>
          <w:ilvl w:val="0"/>
          <w:numId w:val="75"/>
        </w:numPr>
        <w:autoSpaceDE w:val="0"/>
        <w:autoSpaceDN w:val="0"/>
        <w:adjustRightInd w:val="0"/>
        <w:jc w:val="both"/>
        <w:rPr>
          <w:rFonts w:ascii="Trebuchet MS" w:hAnsi="Trebuchet MS" w:cs="Arial"/>
          <w:sz w:val="22"/>
          <w:szCs w:val="22"/>
          <w:lang w:eastAsia="ro-RO"/>
        </w:rPr>
      </w:pPr>
      <w:r w:rsidRPr="00E62FDB">
        <w:rPr>
          <w:rFonts w:ascii="Trebuchet MS" w:hAnsi="Trebuchet MS" w:cs="Arial"/>
          <w:sz w:val="22"/>
          <w:szCs w:val="22"/>
          <w:lang w:eastAsia="ro-RO"/>
        </w:rPr>
        <w:t>Dezvoltării zonelor urbane fără asigurarea şi dotarea cu sisteme şi instalaţii de alimentare cu apă şi canalizare, care se reflectă apoi prin evacuările de ape neepurate în emisarii naturali, ceea ce duce la o</w:t>
      </w:r>
    </w:p>
    <w:p w:rsidR="00041F6F" w:rsidRPr="00E62FDB" w:rsidRDefault="00041F6F" w:rsidP="00F746AF">
      <w:pPr>
        <w:numPr>
          <w:ilvl w:val="0"/>
          <w:numId w:val="75"/>
        </w:numPr>
        <w:jc w:val="both"/>
        <w:rPr>
          <w:rFonts w:ascii="Trebuchet MS" w:hAnsi="Trebuchet MS" w:cs="Arial"/>
          <w:sz w:val="22"/>
          <w:szCs w:val="22"/>
        </w:rPr>
      </w:pPr>
      <w:r w:rsidRPr="00E62FDB">
        <w:rPr>
          <w:rFonts w:ascii="Trebuchet MS" w:hAnsi="Trebuchet MS" w:cs="Arial"/>
          <w:sz w:val="22"/>
          <w:szCs w:val="22"/>
          <w:lang w:eastAsia="ro-RO"/>
        </w:rPr>
        <w:t>protecţie insuficientă a resurselor de apă,</w:t>
      </w:r>
    </w:p>
    <w:p w:rsidR="00041F6F" w:rsidRPr="00E62FDB" w:rsidRDefault="00041F6F" w:rsidP="00F746AF">
      <w:pPr>
        <w:ind w:firstLine="567"/>
        <w:jc w:val="both"/>
        <w:rPr>
          <w:rFonts w:ascii="Trebuchet MS" w:hAnsi="Trebuchet MS" w:cs="Arial"/>
          <w:sz w:val="22"/>
          <w:szCs w:val="22"/>
        </w:rPr>
      </w:pPr>
      <w:r w:rsidRPr="00E62FDB">
        <w:rPr>
          <w:rFonts w:ascii="Trebuchet MS" w:hAnsi="Trebuchet MS" w:cs="Arial"/>
          <w:sz w:val="22"/>
          <w:szCs w:val="22"/>
        </w:rPr>
        <w:t>Calitatea apelor de suprafaţă este influenţată în mod direct de evacuările de ape uzate, neepurate sau insuficient epurate, provenite din surse punctiforme, urbane, industriale şi agricole. Impactul acestor surse de poluare asupra receptorilor naturali depinde de debitul acestora şi de încărcarea efluenților cu substanţe poluante.</w:t>
      </w:r>
    </w:p>
    <w:p w:rsidR="00041F6F" w:rsidRPr="00E62FDB" w:rsidRDefault="00041F6F" w:rsidP="00F746AF">
      <w:pPr>
        <w:ind w:firstLine="567"/>
        <w:jc w:val="both"/>
        <w:rPr>
          <w:rFonts w:ascii="Trebuchet MS" w:hAnsi="Trebuchet MS" w:cs="Arial"/>
          <w:sz w:val="22"/>
          <w:szCs w:val="22"/>
        </w:rPr>
      </w:pPr>
      <w:r w:rsidRPr="00E62FDB">
        <w:rPr>
          <w:rFonts w:ascii="Trebuchet MS" w:hAnsi="Trebuchet MS" w:cs="Arial"/>
          <w:sz w:val="22"/>
          <w:szCs w:val="22"/>
        </w:rPr>
        <w:t>Poluarea apelor este un proces de alterare a calităţii fizice, chimice sau biologice a acesteia, produsă de o activitate umană, în urma căreia apele devin improprii utilizării lor. Se poate spune că o apă poate fi poluată nu numai atunci când ea prezintă modificări vizibile (schimbări de culoare, irizaţii de produse petroliere, mirosuri neplăcute) ci şi atunci când, deşi aparent bună, conţine, fie şi într-o cantitate redusă, substanțe toxice. Poluarea chimică rezultă din deversarea în ape a unor compuşi chimici de tipul: nitraţi, fosfaţi şi alte substanţe folosite în agricultură, a reziduurilor provenite din industria metalurgică, chimică, a lemnului, celulozei, din topitorii sau a unor substanţe biodegradabile provenite din industria alimentară ș.a..</w:t>
      </w:r>
    </w:p>
    <w:p w:rsidR="00041F6F" w:rsidRPr="00E62FDB" w:rsidRDefault="00041F6F" w:rsidP="00F746AF">
      <w:pPr>
        <w:ind w:left="567"/>
        <w:jc w:val="both"/>
        <w:rPr>
          <w:rFonts w:ascii="Trebuchet MS" w:hAnsi="Trebuchet MS" w:cs="Arial"/>
          <w:b/>
          <w:sz w:val="22"/>
          <w:szCs w:val="22"/>
          <w:highlight w:val="yellow"/>
          <w:u w:val="single"/>
          <w:lang w:val="pt-BR"/>
        </w:rPr>
      </w:pPr>
    </w:p>
    <w:p w:rsidR="00041F6F" w:rsidRPr="00E62FDB" w:rsidRDefault="00041F6F" w:rsidP="00F746AF">
      <w:pPr>
        <w:ind w:left="567"/>
        <w:jc w:val="both"/>
        <w:rPr>
          <w:rFonts w:ascii="Trebuchet MS" w:hAnsi="Trebuchet MS" w:cs="Arial"/>
          <w:b/>
          <w:sz w:val="22"/>
          <w:szCs w:val="22"/>
          <w:u w:val="single"/>
          <w:lang w:val="pt-BR"/>
        </w:rPr>
      </w:pPr>
      <w:r w:rsidRPr="00E62FDB">
        <w:rPr>
          <w:rFonts w:ascii="Trebuchet MS" w:hAnsi="Trebuchet MS" w:cs="Arial"/>
          <w:b/>
          <w:sz w:val="22"/>
          <w:szCs w:val="22"/>
          <w:u w:val="single"/>
          <w:lang w:val="pt-BR"/>
        </w:rPr>
        <w:t>Structura apelor uzate evacuate. Substanţe poluante şi indicatori de poluare ai apelor uzate</w:t>
      </w:r>
    </w:p>
    <w:p w:rsidR="00041F6F" w:rsidRPr="00E62FDB" w:rsidRDefault="00041F6F" w:rsidP="00F746AF">
      <w:pPr>
        <w:ind w:firstLine="562"/>
        <w:jc w:val="both"/>
        <w:rPr>
          <w:rFonts w:ascii="Trebuchet MS" w:hAnsi="Trebuchet MS" w:cs="Arial"/>
          <w:sz w:val="22"/>
          <w:szCs w:val="22"/>
        </w:rPr>
      </w:pPr>
      <w:r w:rsidRPr="00E62FDB">
        <w:rPr>
          <w:rFonts w:ascii="Trebuchet MS" w:hAnsi="Trebuchet MS" w:cs="Arial"/>
          <w:sz w:val="22"/>
          <w:szCs w:val="22"/>
        </w:rPr>
        <w:t xml:space="preserve">În conformitate cu rezultatele evaluării situației la nivel național, </w:t>
      </w:r>
      <w:r w:rsidRPr="00E62FDB">
        <w:rPr>
          <w:rFonts w:ascii="Trebuchet MS" w:hAnsi="Trebuchet MS" w:cs="Arial"/>
          <w:b/>
          <w:sz w:val="22"/>
          <w:szCs w:val="22"/>
        </w:rPr>
        <w:t>volumul total evacuat în anul 2023 a fost de 3976,12 milioane mc.</w:t>
      </w:r>
      <w:r w:rsidRPr="00E62FDB">
        <w:rPr>
          <w:rFonts w:ascii="Trebuchet MS" w:hAnsi="Trebuchet MS" w:cs="Arial"/>
          <w:sz w:val="22"/>
          <w:szCs w:val="22"/>
        </w:rPr>
        <w:t xml:space="preserve">, din care 2268,38 milioane mc. (57,05%)  reprezintă  ape de răcire, ape încadrate la categoria de </w:t>
      </w:r>
      <w:r w:rsidRPr="00E62FDB">
        <w:rPr>
          <w:rFonts w:ascii="Trebuchet MS" w:hAnsi="Trebuchet MS" w:cs="Arial"/>
          <w:b/>
          <w:bCs/>
          <w:i/>
          <w:iCs/>
          <w:sz w:val="22"/>
          <w:szCs w:val="22"/>
        </w:rPr>
        <w:t>ape uzate care nu necesită epurare.</w:t>
      </w:r>
      <w:r w:rsidRPr="00E62FDB">
        <w:rPr>
          <w:rFonts w:ascii="Trebuchet MS" w:hAnsi="Trebuchet MS" w:cs="Arial"/>
          <w:sz w:val="22"/>
          <w:szCs w:val="22"/>
        </w:rPr>
        <w:t xml:space="preserve"> </w:t>
      </w:r>
    </w:p>
    <w:p w:rsidR="00041F6F" w:rsidRPr="00E62FDB" w:rsidRDefault="00041F6F" w:rsidP="00F746AF">
      <w:pPr>
        <w:ind w:firstLine="562"/>
        <w:jc w:val="both"/>
        <w:rPr>
          <w:rFonts w:ascii="Trebuchet MS" w:hAnsi="Trebuchet MS" w:cs="Arial"/>
          <w:i/>
          <w:iCs/>
          <w:sz w:val="22"/>
          <w:szCs w:val="22"/>
        </w:rPr>
      </w:pPr>
      <w:r w:rsidRPr="00E62FDB">
        <w:rPr>
          <w:rFonts w:ascii="Trebuchet MS" w:hAnsi="Trebuchet MS" w:cs="Arial"/>
          <w:sz w:val="22"/>
          <w:szCs w:val="22"/>
        </w:rPr>
        <w:t xml:space="preserve"> Situația privind volumele de ape uzate evacuate în anul 2023 este prezentată în </w:t>
      </w:r>
      <w:r w:rsidRPr="00E62FDB">
        <w:rPr>
          <w:rFonts w:ascii="Trebuchet MS" w:hAnsi="Trebuchet MS" w:cs="Arial"/>
          <w:i/>
          <w:iCs/>
          <w:sz w:val="22"/>
          <w:szCs w:val="22"/>
          <w:highlight w:val="green"/>
        </w:rPr>
        <w:t xml:space="preserve">Tabelul </w:t>
      </w:r>
      <w:r w:rsidRPr="00E62FDB">
        <w:rPr>
          <w:rFonts w:ascii="Trebuchet MS" w:hAnsi="Trebuchet MS" w:cs="Arial"/>
          <w:i/>
          <w:sz w:val="22"/>
          <w:szCs w:val="22"/>
          <w:highlight w:val="green"/>
          <w:lang w:eastAsia="ro-RO"/>
        </w:rPr>
        <w:t>II.2.2.2.</w:t>
      </w:r>
      <w:r w:rsidRPr="00E62FDB">
        <w:rPr>
          <w:rFonts w:ascii="Trebuchet MS" w:hAnsi="Trebuchet MS" w:cs="Arial"/>
          <w:i/>
          <w:iCs/>
          <w:sz w:val="22"/>
          <w:szCs w:val="22"/>
          <w:highlight w:val="green"/>
        </w:rPr>
        <w:t xml:space="preserve">1 și Figura </w:t>
      </w:r>
      <w:r w:rsidRPr="00E62FDB">
        <w:rPr>
          <w:rFonts w:ascii="Trebuchet MS" w:hAnsi="Trebuchet MS" w:cs="Arial"/>
          <w:i/>
          <w:sz w:val="22"/>
          <w:szCs w:val="22"/>
          <w:highlight w:val="green"/>
          <w:lang w:eastAsia="ro-RO"/>
        </w:rPr>
        <w:t>II.2.2.2.</w:t>
      </w:r>
      <w:r w:rsidRPr="00E62FDB">
        <w:rPr>
          <w:rFonts w:ascii="Trebuchet MS" w:hAnsi="Trebuchet MS" w:cs="Arial"/>
          <w:i/>
          <w:iCs/>
          <w:sz w:val="22"/>
          <w:szCs w:val="22"/>
          <w:highlight w:val="green"/>
        </w:rPr>
        <w:t>1.</w:t>
      </w:r>
    </w:p>
    <w:p w:rsidR="00041F6F" w:rsidRPr="00E62FDB" w:rsidRDefault="00041F6F" w:rsidP="00F746AF">
      <w:pPr>
        <w:ind w:firstLine="567"/>
        <w:jc w:val="both"/>
        <w:rPr>
          <w:rFonts w:ascii="Trebuchet MS" w:hAnsi="Trebuchet MS" w:cs="Arial"/>
          <w:i/>
          <w:iCs/>
          <w:sz w:val="22"/>
          <w:szCs w:val="22"/>
        </w:rPr>
      </w:pPr>
    </w:p>
    <w:p w:rsidR="00E62FDB" w:rsidRDefault="00E62FDB" w:rsidP="00F746AF">
      <w:pPr>
        <w:ind w:left="-90"/>
        <w:jc w:val="both"/>
        <w:rPr>
          <w:rFonts w:ascii="Trebuchet MS" w:hAnsi="Trebuchet MS" w:cs="Arial"/>
          <w:b/>
          <w:bCs/>
          <w:color w:val="000000"/>
          <w:lang w:eastAsia="ro-RO"/>
        </w:rPr>
      </w:pPr>
    </w:p>
    <w:p w:rsidR="00E62FDB" w:rsidRDefault="00E62FDB" w:rsidP="00F746AF">
      <w:pPr>
        <w:ind w:left="-90"/>
        <w:jc w:val="both"/>
        <w:rPr>
          <w:rFonts w:ascii="Trebuchet MS" w:hAnsi="Trebuchet MS" w:cs="Arial"/>
          <w:b/>
          <w:bCs/>
          <w:color w:val="000000"/>
          <w:lang w:eastAsia="ro-RO"/>
        </w:rPr>
      </w:pPr>
    </w:p>
    <w:p w:rsidR="00E62FDB" w:rsidRDefault="00E62FDB" w:rsidP="00F746AF">
      <w:pPr>
        <w:ind w:left="-90"/>
        <w:jc w:val="both"/>
        <w:rPr>
          <w:rFonts w:ascii="Trebuchet MS" w:hAnsi="Trebuchet MS" w:cs="Arial"/>
          <w:b/>
          <w:bCs/>
          <w:color w:val="000000"/>
          <w:lang w:eastAsia="ro-RO"/>
        </w:rPr>
      </w:pPr>
    </w:p>
    <w:p w:rsidR="00E62FDB" w:rsidRDefault="00E62FDB" w:rsidP="00F746AF">
      <w:pPr>
        <w:ind w:left="-90"/>
        <w:jc w:val="both"/>
        <w:rPr>
          <w:rFonts w:ascii="Trebuchet MS" w:hAnsi="Trebuchet MS" w:cs="Arial"/>
          <w:b/>
          <w:bCs/>
          <w:color w:val="000000"/>
          <w:lang w:eastAsia="ro-RO"/>
        </w:rPr>
      </w:pPr>
    </w:p>
    <w:p w:rsidR="00E62FDB" w:rsidRDefault="00E62FDB" w:rsidP="00F746AF">
      <w:pPr>
        <w:ind w:left="-90"/>
        <w:jc w:val="both"/>
        <w:rPr>
          <w:rFonts w:ascii="Trebuchet MS" w:hAnsi="Trebuchet MS" w:cs="Arial"/>
          <w:b/>
          <w:bCs/>
          <w:color w:val="000000"/>
          <w:lang w:eastAsia="ro-RO"/>
        </w:rPr>
      </w:pPr>
    </w:p>
    <w:p w:rsidR="00041F6F" w:rsidRPr="00E62FDB" w:rsidRDefault="00041F6F" w:rsidP="00F746AF">
      <w:pPr>
        <w:ind w:left="-90"/>
        <w:jc w:val="both"/>
        <w:rPr>
          <w:rFonts w:ascii="Trebuchet MS" w:hAnsi="Trebuchet MS" w:cs="Arial"/>
          <w:b/>
          <w:bCs/>
          <w:i/>
          <w:sz w:val="22"/>
          <w:szCs w:val="22"/>
          <w:u w:val="single"/>
        </w:rPr>
      </w:pPr>
      <w:r w:rsidRPr="00E62FDB">
        <w:rPr>
          <w:rFonts w:ascii="Trebuchet MS" w:hAnsi="Trebuchet MS" w:cs="Arial"/>
          <w:b/>
          <w:bCs/>
          <w:color w:val="000000"/>
          <w:sz w:val="22"/>
          <w:szCs w:val="22"/>
          <w:lang w:eastAsia="ro-RO"/>
        </w:rPr>
        <w:t xml:space="preserve">Tabel II.2.2.2.1 </w:t>
      </w:r>
      <w:r w:rsidRPr="00E62FDB">
        <w:rPr>
          <w:rFonts w:ascii="Trebuchet MS" w:hAnsi="Trebuchet MS" w:cs="Arial"/>
          <w:b/>
          <w:bCs/>
          <w:i/>
          <w:color w:val="000000"/>
          <w:sz w:val="22"/>
          <w:szCs w:val="22"/>
          <w:lang w:eastAsia="ro-RO"/>
        </w:rPr>
        <w:t>Volume de ape uzate evacuate la nivel național în receptorii naturali în anul 2023 (mil mc.)</w:t>
      </w:r>
    </w:p>
    <w:tbl>
      <w:tblPr>
        <w:tblW w:w="9913" w:type="dxa"/>
        <w:tblLook w:val="04A0" w:firstRow="1" w:lastRow="0" w:firstColumn="1" w:lastColumn="0" w:noHBand="0" w:noVBand="1"/>
      </w:tblPr>
      <w:tblGrid>
        <w:gridCol w:w="980"/>
        <w:gridCol w:w="1600"/>
        <w:gridCol w:w="1580"/>
        <w:gridCol w:w="1910"/>
        <w:gridCol w:w="2177"/>
        <w:gridCol w:w="1666"/>
      </w:tblGrid>
      <w:tr w:rsidR="00041F6F" w:rsidRPr="00130BE7" w:rsidTr="00E13AA6">
        <w:trPr>
          <w:trHeight w:val="459"/>
        </w:trPr>
        <w:tc>
          <w:tcPr>
            <w:tcW w:w="980" w:type="dxa"/>
            <w:vMerge w:val="restart"/>
            <w:tcBorders>
              <w:top w:val="single" w:sz="8" w:space="0" w:color="auto"/>
              <w:left w:val="single" w:sz="8" w:space="0" w:color="auto"/>
              <w:bottom w:val="single" w:sz="4" w:space="0" w:color="auto"/>
              <w:right w:val="single" w:sz="4" w:space="0" w:color="auto"/>
            </w:tcBorders>
            <w:shd w:val="clear" w:color="auto" w:fill="DEEAF6"/>
            <w:vAlign w:val="center"/>
            <w:hideMark/>
          </w:tcPr>
          <w:p w:rsidR="00041F6F" w:rsidRPr="00130BE7" w:rsidRDefault="00041F6F" w:rsidP="00E13AA6">
            <w:pPr>
              <w:jc w:val="center"/>
              <w:rPr>
                <w:rFonts w:ascii="Trebuchet MS" w:hAnsi="Trebuchet MS" w:cs="Arial"/>
                <w:b/>
                <w:bCs/>
                <w:color w:val="000000"/>
                <w:lang w:eastAsia="ro-RO"/>
              </w:rPr>
            </w:pPr>
            <w:r w:rsidRPr="00130BE7">
              <w:rPr>
                <w:rFonts w:ascii="Trebuchet MS" w:hAnsi="Trebuchet MS" w:cs="Arial"/>
                <w:b/>
                <w:bCs/>
                <w:color w:val="000000"/>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041F6F" w:rsidRPr="00130BE7" w:rsidRDefault="00041F6F" w:rsidP="00E13AA6">
            <w:pPr>
              <w:jc w:val="center"/>
              <w:rPr>
                <w:rFonts w:ascii="Trebuchet MS" w:hAnsi="Trebuchet MS" w:cs="Arial"/>
                <w:b/>
                <w:bCs/>
                <w:color w:val="000000"/>
              </w:rPr>
            </w:pPr>
            <w:r w:rsidRPr="00130BE7">
              <w:rPr>
                <w:rFonts w:ascii="Trebuchet MS" w:hAnsi="Trebuchet MS" w:cs="Arial"/>
                <w:b/>
                <w:bCs/>
                <w:color w:val="000000"/>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041F6F" w:rsidRPr="00130BE7" w:rsidRDefault="00041F6F" w:rsidP="00E13AA6">
            <w:pPr>
              <w:jc w:val="center"/>
              <w:rPr>
                <w:rFonts w:ascii="Trebuchet MS" w:hAnsi="Trebuchet MS" w:cs="Arial"/>
                <w:b/>
                <w:bCs/>
                <w:color w:val="000000"/>
              </w:rPr>
            </w:pPr>
            <w:r w:rsidRPr="00130BE7">
              <w:rPr>
                <w:rFonts w:ascii="Trebuchet MS" w:hAnsi="Trebuchet MS" w:cs="Arial"/>
                <w:b/>
                <w:bCs/>
                <w:color w:val="000000"/>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DEEAF6"/>
            <w:vAlign w:val="center"/>
            <w:hideMark/>
          </w:tcPr>
          <w:p w:rsidR="00041F6F" w:rsidRPr="00130BE7" w:rsidRDefault="00041F6F" w:rsidP="00E13AA6">
            <w:pPr>
              <w:jc w:val="center"/>
              <w:rPr>
                <w:rFonts w:ascii="Trebuchet MS" w:hAnsi="Trebuchet MS" w:cs="Arial"/>
                <w:b/>
                <w:bCs/>
                <w:color w:val="000000"/>
              </w:rPr>
            </w:pPr>
            <w:r w:rsidRPr="00130BE7">
              <w:rPr>
                <w:rFonts w:ascii="Trebuchet MS" w:hAnsi="Trebuchet MS" w:cs="Arial"/>
                <w:b/>
                <w:bCs/>
                <w:color w:val="000000"/>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DEEAF6"/>
            <w:vAlign w:val="center"/>
            <w:hideMark/>
          </w:tcPr>
          <w:p w:rsidR="00041F6F" w:rsidRPr="00130BE7" w:rsidRDefault="00041F6F" w:rsidP="00E13AA6">
            <w:pPr>
              <w:jc w:val="center"/>
              <w:rPr>
                <w:rFonts w:ascii="Trebuchet MS" w:hAnsi="Trebuchet MS" w:cs="Arial"/>
                <w:b/>
                <w:bCs/>
                <w:color w:val="000000"/>
              </w:rPr>
            </w:pPr>
            <w:r w:rsidRPr="00130BE7">
              <w:rPr>
                <w:rFonts w:ascii="Trebuchet MS" w:hAnsi="Trebuchet MS" w:cs="Arial"/>
                <w:b/>
                <w:bCs/>
                <w:color w:val="000000"/>
              </w:rPr>
              <w:t>Nu se epurează</w:t>
            </w:r>
          </w:p>
        </w:tc>
      </w:tr>
      <w:tr w:rsidR="00041F6F" w:rsidRPr="00130BE7" w:rsidTr="00E13AA6">
        <w:trPr>
          <w:trHeight w:val="540"/>
        </w:trPr>
        <w:tc>
          <w:tcPr>
            <w:tcW w:w="980" w:type="dxa"/>
            <w:vMerge/>
            <w:tcBorders>
              <w:top w:val="single" w:sz="8" w:space="0" w:color="auto"/>
              <w:left w:val="single" w:sz="8" w:space="0" w:color="auto"/>
              <w:bottom w:val="single" w:sz="4" w:space="0" w:color="auto"/>
              <w:right w:val="single" w:sz="4" w:space="0" w:color="auto"/>
            </w:tcBorders>
            <w:vAlign w:val="center"/>
            <w:hideMark/>
          </w:tcPr>
          <w:p w:rsidR="00041F6F" w:rsidRPr="00130BE7" w:rsidRDefault="00041F6F" w:rsidP="00E13AA6">
            <w:pPr>
              <w:jc w:val="center"/>
              <w:rPr>
                <w:rFonts w:ascii="Trebuchet MS" w:hAnsi="Trebuchet MS" w:cs="Arial"/>
                <w:b/>
                <w:bCs/>
                <w:color w:val="000000"/>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rsidR="00041F6F" w:rsidRPr="00130BE7" w:rsidRDefault="00041F6F" w:rsidP="00E13AA6">
            <w:pPr>
              <w:jc w:val="center"/>
              <w:rPr>
                <w:rFonts w:ascii="Trebuchet MS" w:hAnsi="Trebuchet MS" w:cs="Arial"/>
                <w:b/>
                <w:bCs/>
                <w:color w:val="000000"/>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rsidR="00041F6F" w:rsidRPr="00130BE7" w:rsidRDefault="00041F6F" w:rsidP="00E13AA6">
            <w:pPr>
              <w:jc w:val="center"/>
              <w:rPr>
                <w:rFonts w:ascii="Trebuchet MS" w:hAnsi="Trebuchet MS" w:cs="Arial"/>
                <w:b/>
                <w:bCs/>
                <w:color w:val="000000"/>
              </w:rPr>
            </w:pPr>
          </w:p>
        </w:tc>
        <w:tc>
          <w:tcPr>
            <w:tcW w:w="1910" w:type="dxa"/>
            <w:tcBorders>
              <w:top w:val="nil"/>
              <w:left w:val="nil"/>
              <w:bottom w:val="single" w:sz="4" w:space="0" w:color="auto"/>
              <w:right w:val="single" w:sz="4" w:space="0" w:color="auto"/>
            </w:tcBorders>
            <w:shd w:val="clear" w:color="auto" w:fill="DEEAF6"/>
            <w:vAlign w:val="center"/>
            <w:hideMark/>
          </w:tcPr>
          <w:p w:rsidR="00041F6F" w:rsidRPr="00130BE7" w:rsidRDefault="00041F6F" w:rsidP="00E13AA6">
            <w:pPr>
              <w:jc w:val="center"/>
              <w:rPr>
                <w:rFonts w:ascii="Trebuchet MS" w:hAnsi="Trebuchet MS" w:cs="Arial"/>
                <w:b/>
                <w:bCs/>
                <w:color w:val="000000"/>
              </w:rPr>
            </w:pPr>
            <w:r w:rsidRPr="00130BE7">
              <w:rPr>
                <w:rFonts w:ascii="Trebuchet MS" w:hAnsi="Trebuchet MS" w:cs="Arial"/>
                <w:b/>
                <w:bCs/>
                <w:color w:val="000000"/>
              </w:rPr>
              <w:t>Corespunzător</w:t>
            </w:r>
          </w:p>
        </w:tc>
        <w:tc>
          <w:tcPr>
            <w:tcW w:w="2177" w:type="dxa"/>
            <w:tcBorders>
              <w:top w:val="nil"/>
              <w:left w:val="nil"/>
              <w:bottom w:val="single" w:sz="4" w:space="0" w:color="auto"/>
              <w:right w:val="single" w:sz="4" w:space="0" w:color="auto"/>
            </w:tcBorders>
            <w:shd w:val="clear" w:color="auto" w:fill="DEEAF6"/>
            <w:vAlign w:val="center"/>
            <w:hideMark/>
          </w:tcPr>
          <w:p w:rsidR="00041F6F" w:rsidRPr="00130BE7" w:rsidRDefault="00041F6F" w:rsidP="00E13AA6">
            <w:pPr>
              <w:jc w:val="center"/>
              <w:rPr>
                <w:rFonts w:ascii="Trebuchet MS" w:hAnsi="Trebuchet MS" w:cs="Arial"/>
                <w:b/>
                <w:bCs/>
                <w:color w:val="000000"/>
              </w:rPr>
            </w:pPr>
            <w:r w:rsidRPr="00130BE7">
              <w:rPr>
                <w:rFonts w:ascii="Trebuchet MS" w:hAnsi="Trebuchet MS" w:cs="Arial"/>
                <w:b/>
                <w:bCs/>
                <w:color w:val="000000"/>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rsidR="00041F6F" w:rsidRPr="00130BE7" w:rsidRDefault="00041F6F" w:rsidP="00E13AA6">
            <w:pPr>
              <w:jc w:val="center"/>
              <w:rPr>
                <w:rFonts w:ascii="Trebuchet MS" w:hAnsi="Trebuchet MS" w:cs="Arial"/>
                <w:b/>
                <w:bCs/>
                <w:color w:val="000000"/>
              </w:rPr>
            </w:pPr>
          </w:p>
        </w:tc>
      </w:tr>
      <w:tr w:rsidR="00041F6F" w:rsidRPr="00130BE7" w:rsidTr="00E13AA6">
        <w:trPr>
          <w:trHeight w:val="494"/>
        </w:trPr>
        <w:tc>
          <w:tcPr>
            <w:tcW w:w="980"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041F6F" w:rsidRPr="00130BE7" w:rsidRDefault="00041F6F" w:rsidP="00E13AA6">
            <w:pPr>
              <w:jc w:val="center"/>
              <w:rPr>
                <w:rFonts w:ascii="Trebuchet MS" w:hAnsi="Trebuchet MS" w:cs="Arial"/>
                <w:bCs/>
                <w:color w:val="000000"/>
              </w:rPr>
            </w:pPr>
            <w:r w:rsidRPr="00130BE7">
              <w:rPr>
                <w:rFonts w:ascii="Trebuchet MS" w:hAnsi="Trebuchet MS" w:cs="Arial"/>
                <w:bCs/>
                <w:color w:val="000000"/>
              </w:rPr>
              <w:t>2023</w:t>
            </w:r>
          </w:p>
        </w:tc>
        <w:tc>
          <w:tcPr>
            <w:tcW w:w="1600" w:type="dxa"/>
            <w:tcBorders>
              <w:top w:val="single" w:sz="4" w:space="0" w:color="auto"/>
              <w:left w:val="nil"/>
              <w:bottom w:val="single" w:sz="4" w:space="0" w:color="auto"/>
              <w:right w:val="single" w:sz="4" w:space="0" w:color="auto"/>
            </w:tcBorders>
            <w:shd w:val="clear" w:color="auto" w:fill="F2F2F2"/>
            <w:noWrap/>
            <w:vAlign w:val="center"/>
          </w:tcPr>
          <w:p w:rsidR="00041F6F" w:rsidRPr="00130BE7" w:rsidRDefault="00041F6F" w:rsidP="00E13AA6">
            <w:pPr>
              <w:jc w:val="center"/>
              <w:rPr>
                <w:rFonts w:ascii="Trebuchet MS" w:hAnsi="Trebuchet MS" w:cs="Arial"/>
                <w:bCs/>
                <w:color w:val="000000"/>
              </w:rPr>
            </w:pPr>
            <w:r w:rsidRPr="00130BE7">
              <w:rPr>
                <w:rFonts w:ascii="Trebuchet MS" w:hAnsi="Trebuchet MS" w:cs="Arial"/>
                <w:bCs/>
                <w:color w:val="000000"/>
              </w:rPr>
              <w:t>3976,12</w:t>
            </w:r>
          </w:p>
        </w:tc>
        <w:tc>
          <w:tcPr>
            <w:tcW w:w="1580" w:type="dxa"/>
            <w:tcBorders>
              <w:top w:val="single" w:sz="4" w:space="0" w:color="auto"/>
              <w:left w:val="nil"/>
              <w:bottom w:val="single" w:sz="4" w:space="0" w:color="auto"/>
              <w:right w:val="single" w:sz="4" w:space="0" w:color="auto"/>
            </w:tcBorders>
            <w:shd w:val="clear" w:color="auto" w:fill="F2F2F2"/>
            <w:noWrap/>
            <w:vAlign w:val="center"/>
          </w:tcPr>
          <w:p w:rsidR="00041F6F" w:rsidRPr="00130BE7" w:rsidRDefault="00041F6F" w:rsidP="00E13AA6">
            <w:pPr>
              <w:jc w:val="center"/>
              <w:rPr>
                <w:rFonts w:ascii="Trebuchet MS" w:hAnsi="Trebuchet MS" w:cs="Arial"/>
                <w:bCs/>
                <w:color w:val="000000"/>
              </w:rPr>
            </w:pPr>
            <w:r w:rsidRPr="00130BE7">
              <w:rPr>
                <w:rFonts w:ascii="Trebuchet MS" w:hAnsi="Trebuchet MS" w:cs="Arial"/>
                <w:bCs/>
                <w:color w:val="000000"/>
              </w:rPr>
              <w:t>2268,38</w:t>
            </w:r>
          </w:p>
        </w:tc>
        <w:tc>
          <w:tcPr>
            <w:tcW w:w="1910" w:type="dxa"/>
            <w:tcBorders>
              <w:top w:val="single" w:sz="4" w:space="0" w:color="auto"/>
              <w:left w:val="nil"/>
              <w:bottom w:val="single" w:sz="4" w:space="0" w:color="auto"/>
              <w:right w:val="single" w:sz="4" w:space="0" w:color="auto"/>
            </w:tcBorders>
            <w:shd w:val="clear" w:color="auto" w:fill="F2F2F2"/>
            <w:noWrap/>
            <w:vAlign w:val="center"/>
          </w:tcPr>
          <w:p w:rsidR="00041F6F" w:rsidRPr="00130BE7" w:rsidRDefault="00041F6F" w:rsidP="00E13AA6">
            <w:pPr>
              <w:jc w:val="center"/>
              <w:rPr>
                <w:rFonts w:ascii="Trebuchet MS" w:hAnsi="Trebuchet MS" w:cs="Arial"/>
                <w:bCs/>
                <w:color w:val="000000"/>
              </w:rPr>
            </w:pPr>
            <w:r w:rsidRPr="00130BE7">
              <w:rPr>
                <w:rFonts w:ascii="Trebuchet MS" w:hAnsi="Trebuchet MS" w:cs="Arial"/>
                <w:bCs/>
                <w:color w:val="000000"/>
              </w:rPr>
              <w:t>1214,70</w:t>
            </w:r>
          </w:p>
        </w:tc>
        <w:tc>
          <w:tcPr>
            <w:tcW w:w="2177" w:type="dxa"/>
            <w:tcBorders>
              <w:top w:val="single" w:sz="4" w:space="0" w:color="auto"/>
              <w:left w:val="nil"/>
              <w:bottom w:val="single" w:sz="4" w:space="0" w:color="auto"/>
              <w:right w:val="single" w:sz="4" w:space="0" w:color="auto"/>
            </w:tcBorders>
            <w:shd w:val="clear" w:color="auto" w:fill="F2F2F2"/>
            <w:noWrap/>
            <w:vAlign w:val="center"/>
          </w:tcPr>
          <w:p w:rsidR="00041F6F" w:rsidRPr="00130BE7" w:rsidRDefault="00041F6F" w:rsidP="00E13AA6">
            <w:pPr>
              <w:jc w:val="center"/>
              <w:rPr>
                <w:rFonts w:ascii="Trebuchet MS" w:hAnsi="Trebuchet MS" w:cs="Arial"/>
                <w:bCs/>
                <w:color w:val="000000"/>
              </w:rPr>
            </w:pPr>
            <w:r w:rsidRPr="00130BE7">
              <w:rPr>
                <w:rFonts w:ascii="Trebuchet MS" w:hAnsi="Trebuchet MS" w:cs="Arial"/>
                <w:bCs/>
                <w:color w:val="000000"/>
              </w:rPr>
              <w:t>3</w:t>
            </w:r>
            <w:r>
              <w:rPr>
                <w:rFonts w:ascii="Trebuchet MS" w:hAnsi="Trebuchet MS" w:cs="Arial"/>
                <w:bCs/>
                <w:color w:val="000000"/>
              </w:rPr>
              <w:t>4</w:t>
            </w:r>
            <w:r w:rsidRPr="00130BE7">
              <w:rPr>
                <w:rFonts w:ascii="Trebuchet MS" w:hAnsi="Trebuchet MS" w:cs="Arial"/>
                <w:bCs/>
                <w:color w:val="000000"/>
              </w:rPr>
              <w:t>7,24</w:t>
            </w:r>
          </w:p>
        </w:tc>
        <w:tc>
          <w:tcPr>
            <w:tcW w:w="1666" w:type="dxa"/>
            <w:tcBorders>
              <w:top w:val="single" w:sz="4" w:space="0" w:color="auto"/>
              <w:left w:val="nil"/>
              <w:bottom w:val="single" w:sz="4" w:space="0" w:color="auto"/>
              <w:right w:val="single" w:sz="4" w:space="0" w:color="auto"/>
            </w:tcBorders>
            <w:shd w:val="clear" w:color="auto" w:fill="F2F2F2"/>
            <w:noWrap/>
            <w:vAlign w:val="center"/>
          </w:tcPr>
          <w:p w:rsidR="00041F6F" w:rsidRPr="00130BE7" w:rsidRDefault="00041F6F" w:rsidP="00E13AA6">
            <w:pPr>
              <w:jc w:val="center"/>
              <w:rPr>
                <w:rFonts w:ascii="Trebuchet MS" w:hAnsi="Trebuchet MS" w:cs="Arial"/>
                <w:bCs/>
                <w:color w:val="000000"/>
              </w:rPr>
            </w:pPr>
            <w:r w:rsidRPr="00130BE7">
              <w:rPr>
                <w:rFonts w:ascii="Trebuchet MS" w:hAnsi="Trebuchet MS" w:cs="Arial"/>
                <w:bCs/>
                <w:color w:val="000000"/>
              </w:rPr>
              <w:t>145,79</w:t>
            </w:r>
          </w:p>
        </w:tc>
      </w:tr>
    </w:tbl>
    <w:p w:rsidR="00041F6F" w:rsidRPr="00130BE7" w:rsidRDefault="00041F6F" w:rsidP="00041F6F">
      <w:pPr>
        <w:ind w:left="900" w:hanging="900"/>
        <w:jc w:val="both"/>
        <w:rPr>
          <w:rFonts w:ascii="Trebuchet MS" w:hAnsi="Trebuchet MS" w:cs="Arial"/>
          <w:i/>
          <w:iCs/>
          <w:color w:val="000000"/>
          <w:sz w:val="20"/>
          <w:szCs w:val="20"/>
          <w:lang w:eastAsia="ro-RO"/>
        </w:rPr>
      </w:pPr>
      <w:r w:rsidRPr="00130BE7">
        <w:rPr>
          <w:rFonts w:ascii="Trebuchet MS" w:hAnsi="Trebuchet MS" w:cs="Arial"/>
          <w:i/>
          <w:iCs/>
          <w:color w:val="000000"/>
          <w:sz w:val="20"/>
          <w:szCs w:val="20"/>
          <w:lang w:eastAsia="ro-RO"/>
        </w:rPr>
        <w:t xml:space="preserve"> (Sursa: Administraţia Naţională “Apele Române”, Sinteza calităţii apelor din România în anul 2023)</w:t>
      </w:r>
    </w:p>
    <w:p w:rsidR="00041F6F" w:rsidRPr="00130BE7" w:rsidRDefault="00041F6F" w:rsidP="00041F6F">
      <w:pPr>
        <w:ind w:left="1530" w:hanging="1530"/>
        <w:jc w:val="both"/>
        <w:rPr>
          <w:rFonts w:ascii="Trebuchet MS" w:hAnsi="Trebuchet MS"/>
        </w:rPr>
      </w:pPr>
    </w:p>
    <w:p w:rsidR="00041F6F" w:rsidRPr="00130BE7" w:rsidRDefault="00041F6F" w:rsidP="00041F6F">
      <w:pPr>
        <w:ind w:left="1530" w:hanging="1530"/>
        <w:jc w:val="center"/>
        <w:rPr>
          <w:rFonts w:ascii="Trebuchet MS" w:hAnsi="Trebuchet MS"/>
        </w:rPr>
      </w:pPr>
      <w:r>
        <w:rPr>
          <w:rFonts w:ascii="Trebuchet MS" w:hAnsi="Trebuchet MS"/>
          <w:noProof/>
          <w:lang w:val="en-US"/>
        </w:rPr>
        <w:drawing>
          <wp:inline distT="0" distB="0" distL="0" distR="0" wp14:anchorId="541A7F90" wp14:editId="179C90EE">
            <wp:extent cx="4767580" cy="3487420"/>
            <wp:effectExtent l="0" t="0" r="0" b="0"/>
            <wp:docPr id="1349278133" name="Picture 134927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7580" cy="3487420"/>
                    </a:xfrm>
                    <a:prstGeom prst="rect">
                      <a:avLst/>
                    </a:prstGeom>
                    <a:noFill/>
                  </pic:spPr>
                </pic:pic>
              </a:graphicData>
            </a:graphic>
          </wp:inline>
        </w:drawing>
      </w:r>
    </w:p>
    <w:p w:rsidR="00041F6F" w:rsidRDefault="00041F6F" w:rsidP="00041F6F">
      <w:pPr>
        <w:ind w:left="1530" w:hanging="1530"/>
        <w:jc w:val="both"/>
        <w:rPr>
          <w:rFonts w:ascii="Trebuchet MS" w:hAnsi="Trebuchet MS" w:cs="Arial"/>
          <w:b/>
          <w:bCs/>
          <w:i/>
          <w:color w:val="000000"/>
          <w:lang w:eastAsia="ro-RO"/>
        </w:rPr>
      </w:pPr>
      <w:r w:rsidRPr="00130BE7">
        <w:rPr>
          <w:rFonts w:ascii="Trebuchet MS" w:hAnsi="Trebuchet MS" w:cs="Arial"/>
          <w:b/>
          <w:bCs/>
          <w:i/>
          <w:color w:val="000000"/>
          <w:lang w:eastAsia="ro-RO"/>
        </w:rPr>
        <w:t xml:space="preserve">Figura II.2.2.2.1 Volume de ape uzate care necesită epurare, evacuate la nivel național în receptorii naturali în anul 2023 (mil.mc.) </w:t>
      </w:r>
    </w:p>
    <w:p w:rsidR="00041F6F" w:rsidRPr="00130BE7" w:rsidRDefault="00041F6F" w:rsidP="00041F6F">
      <w:pPr>
        <w:ind w:left="1530" w:hanging="1530"/>
        <w:jc w:val="both"/>
        <w:rPr>
          <w:rFonts w:ascii="Trebuchet MS" w:hAnsi="Trebuchet MS" w:cs="Arial"/>
          <w:i/>
          <w:iCs/>
          <w:color w:val="000000"/>
          <w:sz w:val="20"/>
          <w:szCs w:val="20"/>
          <w:lang w:eastAsia="ro-RO"/>
        </w:rPr>
      </w:pPr>
      <w:r w:rsidRPr="00130BE7">
        <w:rPr>
          <w:rFonts w:ascii="Trebuchet MS" w:hAnsi="Trebuchet MS" w:cs="Arial"/>
          <w:i/>
          <w:iCs/>
          <w:color w:val="000000"/>
          <w:sz w:val="20"/>
          <w:szCs w:val="20"/>
          <w:lang w:eastAsia="ro-RO"/>
        </w:rPr>
        <w:t>(Sursa: Administraţia Naţională “Apele Române”, Sinteza calităţii apelor din România  în anul 2023)</w:t>
      </w:r>
    </w:p>
    <w:p w:rsidR="00041F6F" w:rsidRPr="00E62FDB" w:rsidRDefault="00041F6F" w:rsidP="00041F6F">
      <w:pPr>
        <w:ind w:firstLine="567"/>
        <w:jc w:val="both"/>
        <w:rPr>
          <w:rFonts w:ascii="Trebuchet MS" w:hAnsi="Trebuchet MS" w:cs="Arial"/>
          <w:sz w:val="22"/>
          <w:szCs w:val="22"/>
        </w:rPr>
      </w:pPr>
    </w:p>
    <w:p w:rsidR="00041F6F" w:rsidRPr="00E62FDB" w:rsidRDefault="00041F6F" w:rsidP="00041F6F">
      <w:pPr>
        <w:ind w:firstLine="567"/>
        <w:jc w:val="both"/>
        <w:rPr>
          <w:rFonts w:ascii="Trebuchet MS" w:hAnsi="Trebuchet MS" w:cs="Arial"/>
          <w:sz w:val="22"/>
          <w:szCs w:val="22"/>
        </w:rPr>
      </w:pPr>
    </w:p>
    <w:p w:rsidR="00041F6F" w:rsidRPr="00E62FDB" w:rsidRDefault="00041F6F" w:rsidP="00041F6F">
      <w:pPr>
        <w:ind w:firstLine="567"/>
        <w:jc w:val="both"/>
        <w:rPr>
          <w:rFonts w:ascii="Trebuchet MS" w:hAnsi="Trebuchet MS" w:cs="Arial"/>
          <w:sz w:val="22"/>
          <w:szCs w:val="22"/>
        </w:rPr>
      </w:pPr>
      <w:r w:rsidRPr="00E62FDB">
        <w:rPr>
          <w:rFonts w:ascii="Trebuchet MS" w:hAnsi="Trebuchet MS" w:cs="Arial"/>
          <w:sz w:val="22"/>
          <w:szCs w:val="22"/>
        </w:rPr>
        <w:t>În ceea ce privește ponderea încărcării principalilor indicatori de calitate din apele uzate evacuate în receptorii naturali, pe activităţi din economia naţională, situația se prezintă în Tabelul II.2.2.2.2 și  Figura II.2.2.2.2.</w:t>
      </w:r>
    </w:p>
    <w:p w:rsidR="00041F6F" w:rsidRPr="00130BE7" w:rsidRDefault="00041F6F" w:rsidP="00041F6F">
      <w:pPr>
        <w:ind w:firstLine="567"/>
        <w:jc w:val="both"/>
        <w:rPr>
          <w:rFonts w:ascii="Trebuchet MS" w:hAnsi="Trebuchet MS" w:cs="Arial"/>
          <w:b/>
          <w:bCs/>
        </w:rPr>
      </w:pPr>
    </w:p>
    <w:p w:rsidR="00041F6F" w:rsidRDefault="00041F6F" w:rsidP="00041F6F">
      <w:pPr>
        <w:jc w:val="both"/>
        <w:rPr>
          <w:rFonts w:ascii="Trebuchet MS" w:hAnsi="Trebuchet MS" w:cs="Arial"/>
          <w:b/>
          <w:bCs/>
          <w:color w:val="000000"/>
          <w:lang w:eastAsia="ro-RO"/>
        </w:rPr>
      </w:pPr>
    </w:p>
    <w:p w:rsidR="00F746AF" w:rsidRDefault="00F746AF" w:rsidP="00041F6F">
      <w:pPr>
        <w:jc w:val="both"/>
        <w:rPr>
          <w:rFonts w:ascii="Trebuchet MS" w:hAnsi="Trebuchet MS" w:cs="Arial"/>
          <w:b/>
          <w:bCs/>
          <w:color w:val="000000"/>
          <w:lang w:eastAsia="ro-RO"/>
        </w:rPr>
      </w:pPr>
    </w:p>
    <w:p w:rsidR="00F746AF" w:rsidRDefault="00F746AF" w:rsidP="00041F6F">
      <w:pPr>
        <w:jc w:val="both"/>
        <w:rPr>
          <w:rFonts w:ascii="Trebuchet MS" w:hAnsi="Trebuchet MS" w:cs="Arial"/>
          <w:b/>
          <w:bCs/>
          <w:color w:val="000000"/>
          <w:lang w:eastAsia="ro-RO"/>
        </w:rPr>
      </w:pPr>
    </w:p>
    <w:p w:rsidR="00F746AF" w:rsidRPr="00130BE7" w:rsidRDefault="00F746AF" w:rsidP="00041F6F">
      <w:pPr>
        <w:jc w:val="both"/>
        <w:rPr>
          <w:rFonts w:ascii="Trebuchet MS" w:hAnsi="Trebuchet MS" w:cs="Arial"/>
          <w:b/>
          <w:bCs/>
          <w:color w:val="000000"/>
          <w:lang w:eastAsia="ro-RO"/>
        </w:rPr>
      </w:pPr>
    </w:p>
    <w:p w:rsidR="00041F6F" w:rsidRPr="00130BE7" w:rsidRDefault="00041F6F" w:rsidP="00041F6F">
      <w:pPr>
        <w:jc w:val="both"/>
        <w:rPr>
          <w:rFonts w:ascii="Trebuchet MS" w:hAnsi="Trebuchet MS" w:cs="Arial"/>
          <w:b/>
          <w:bCs/>
          <w:color w:val="000000"/>
          <w:lang w:eastAsia="ro-RO"/>
        </w:rPr>
      </w:pPr>
    </w:p>
    <w:p w:rsidR="00E62FDB" w:rsidRDefault="00E62FDB" w:rsidP="00041F6F">
      <w:pPr>
        <w:jc w:val="both"/>
        <w:rPr>
          <w:rFonts w:ascii="Trebuchet MS" w:hAnsi="Trebuchet MS" w:cs="Arial"/>
          <w:b/>
          <w:bCs/>
          <w:color w:val="000000"/>
          <w:lang w:eastAsia="ro-RO"/>
        </w:rPr>
      </w:pPr>
    </w:p>
    <w:p w:rsidR="00E62FDB" w:rsidRDefault="00E62FDB" w:rsidP="00041F6F">
      <w:pPr>
        <w:jc w:val="both"/>
        <w:rPr>
          <w:rFonts w:ascii="Trebuchet MS" w:hAnsi="Trebuchet MS" w:cs="Arial"/>
          <w:b/>
          <w:bCs/>
          <w:color w:val="000000"/>
          <w:lang w:eastAsia="ro-RO"/>
        </w:rPr>
      </w:pPr>
    </w:p>
    <w:p w:rsidR="00E62FDB" w:rsidRDefault="00E62FDB" w:rsidP="00041F6F">
      <w:pPr>
        <w:jc w:val="both"/>
        <w:rPr>
          <w:rFonts w:ascii="Trebuchet MS" w:hAnsi="Trebuchet MS" w:cs="Arial"/>
          <w:b/>
          <w:bCs/>
          <w:color w:val="000000"/>
          <w:lang w:eastAsia="ro-RO"/>
        </w:rPr>
      </w:pPr>
    </w:p>
    <w:p w:rsidR="00E62FDB" w:rsidRDefault="00E62FDB" w:rsidP="00041F6F">
      <w:pPr>
        <w:jc w:val="both"/>
        <w:rPr>
          <w:rFonts w:ascii="Trebuchet MS" w:hAnsi="Trebuchet MS" w:cs="Arial"/>
          <w:b/>
          <w:bCs/>
          <w:color w:val="000000"/>
          <w:lang w:eastAsia="ro-RO"/>
        </w:rPr>
      </w:pPr>
    </w:p>
    <w:p w:rsidR="00E62FDB" w:rsidRDefault="00E62FDB" w:rsidP="00041F6F">
      <w:pPr>
        <w:jc w:val="both"/>
        <w:rPr>
          <w:rFonts w:ascii="Trebuchet MS" w:hAnsi="Trebuchet MS" w:cs="Arial"/>
          <w:b/>
          <w:bCs/>
          <w:color w:val="000000"/>
          <w:lang w:eastAsia="ro-RO"/>
        </w:rPr>
      </w:pPr>
    </w:p>
    <w:p w:rsidR="00041F6F" w:rsidRPr="00E62FDB" w:rsidRDefault="00041F6F" w:rsidP="00041F6F">
      <w:pPr>
        <w:jc w:val="both"/>
        <w:rPr>
          <w:rFonts w:ascii="Trebuchet MS" w:hAnsi="Trebuchet MS" w:cs="Arial"/>
          <w:b/>
          <w:bCs/>
          <w:i/>
          <w:color w:val="000000"/>
          <w:sz w:val="22"/>
          <w:szCs w:val="22"/>
          <w:lang w:eastAsia="ro-RO"/>
        </w:rPr>
      </w:pPr>
      <w:r w:rsidRPr="00E62FDB">
        <w:rPr>
          <w:rFonts w:ascii="Trebuchet MS" w:hAnsi="Trebuchet MS" w:cs="Arial"/>
          <w:b/>
          <w:bCs/>
          <w:color w:val="000000"/>
          <w:sz w:val="22"/>
          <w:szCs w:val="22"/>
          <w:lang w:eastAsia="ro-RO"/>
        </w:rPr>
        <w:t xml:space="preserve">Tabel II.2.2.2.2 </w:t>
      </w:r>
      <w:r w:rsidRPr="00E62FDB">
        <w:rPr>
          <w:rFonts w:ascii="Trebuchet MS" w:hAnsi="Trebuchet MS" w:cs="Arial"/>
          <w:b/>
          <w:bCs/>
          <w:i/>
          <w:color w:val="000000"/>
          <w:sz w:val="22"/>
          <w:szCs w:val="22"/>
          <w:lang w:eastAsia="ro-RO"/>
        </w:rPr>
        <w:t>Ponderea încărcării principalilor indicatori de calitate din apele uzate evacuate în receptorii naturali în anul 2023 (%)</w:t>
      </w:r>
    </w:p>
    <w:tbl>
      <w:tblP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02"/>
        <w:gridCol w:w="813"/>
        <w:gridCol w:w="990"/>
        <w:gridCol w:w="900"/>
        <w:gridCol w:w="900"/>
        <w:gridCol w:w="990"/>
        <w:gridCol w:w="1223"/>
        <w:gridCol w:w="7"/>
        <w:gridCol w:w="1280"/>
        <w:gridCol w:w="1152"/>
        <w:gridCol w:w="7"/>
      </w:tblGrid>
      <w:tr w:rsidR="00041F6F" w:rsidRPr="00AA3AD0" w:rsidTr="00E13AA6">
        <w:trPr>
          <w:gridAfter w:val="1"/>
          <w:wAfter w:w="7" w:type="dxa"/>
          <w:trHeight w:val="315"/>
          <w:jc w:val="center"/>
        </w:trPr>
        <w:tc>
          <w:tcPr>
            <w:tcW w:w="1802" w:type="dxa"/>
            <w:vMerge w:val="restart"/>
            <w:shd w:val="clear" w:color="auto" w:fill="DEEAF6"/>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color w:val="000000"/>
                <w:sz w:val="20"/>
                <w:szCs w:val="20"/>
                <w:lang w:eastAsia="ro-RO"/>
              </w:rPr>
            </w:pPr>
            <w:r w:rsidRPr="00AA3AD0">
              <w:rPr>
                <w:rFonts w:ascii="Trebuchet MS" w:hAnsi="Trebuchet MS" w:cs="Arial"/>
                <w:b/>
                <w:bCs/>
                <w:color w:val="000000"/>
                <w:sz w:val="20"/>
                <w:szCs w:val="20"/>
                <w:lang w:eastAsia="ro-RO"/>
              </w:rPr>
              <w:t>Principalele activități economice</w:t>
            </w:r>
          </w:p>
        </w:tc>
        <w:tc>
          <w:tcPr>
            <w:tcW w:w="8255" w:type="dxa"/>
            <w:gridSpan w:val="9"/>
            <w:shd w:val="clear" w:color="auto" w:fill="DEEAF6"/>
            <w:noWrap/>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color w:val="000000"/>
                <w:sz w:val="20"/>
                <w:szCs w:val="20"/>
                <w:lang w:eastAsia="ro-RO"/>
              </w:rPr>
            </w:pPr>
            <w:r w:rsidRPr="00AA3AD0">
              <w:rPr>
                <w:rFonts w:ascii="Trebuchet MS" w:hAnsi="Trebuchet MS" w:cs="Arial"/>
                <w:b/>
                <w:bCs/>
                <w:color w:val="000000"/>
                <w:sz w:val="20"/>
                <w:szCs w:val="20"/>
                <w:lang w:eastAsia="ro-RO"/>
              </w:rPr>
              <w:t>Ponderea încărcării principalilor indicatori de calitate din apele uzate evacuate în receptorii naturali în anul 2023 (%)</w:t>
            </w:r>
          </w:p>
        </w:tc>
      </w:tr>
      <w:tr w:rsidR="00041F6F" w:rsidRPr="00AA3AD0" w:rsidTr="00E13AA6">
        <w:trPr>
          <w:trHeight w:val="459"/>
          <w:jc w:val="center"/>
        </w:trPr>
        <w:tc>
          <w:tcPr>
            <w:tcW w:w="1802" w:type="dxa"/>
            <w:vMerge/>
            <w:shd w:val="clear" w:color="auto" w:fill="DEEAF6"/>
            <w:vAlign w:val="center"/>
            <w:hideMark/>
          </w:tcPr>
          <w:p w:rsidR="00041F6F" w:rsidRPr="00AA3AD0" w:rsidRDefault="00041F6F" w:rsidP="00E13AA6">
            <w:pPr>
              <w:jc w:val="center"/>
              <w:rPr>
                <w:rFonts w:ascii="Trebuchet MS" w:hAnsi="Trebuchet MS" w:cs="Arial"/>
                <w:b/>
                <w:bCs/>
                <w:color w:val="000000"/>
                <w:sz w:val="20"/>
                <w:szCs w:val="20"/>
                <w:lang w:eastAsia="ro-RO"/>
              </w:rPr>
            </w:pPr>
          </w:p>
        </w:tc>
        <w:tc>
          <w:tcPr>
            <w:tcW w:w="813" w:type="dxa"/>
            <w:shd w:val="clear" w:color="auto" w:fill="DEEAF6"/>
            <w:noWrap/>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color w:val="000000"/>
                <w:sz w:val="20"/>
                <w:szCs w:val="20"/>
                <w:lang w:eastAsia="ro-RO"/>
              </w:rPr>
            </w:pPr>
            <w:r w:rsidRPr="00AA3AD0">
              <w:rPr>
                <w:rFonts w:ascii="Trebuchet MS" w:hAnsi="Trebuchet MS" w:cs="Arial"/>
                <w:b/>
                <w:bCs/>
                <w:color w:val="000000"/>
                <w:sz w:val="20"/>
                <w:szCs w:val="20"/>
                <w:lang w:eastAsia="ro-RO"/>
              </w:rPr>
              <w:t>CBO5</w:t>
            </w:r>
          </w:p>
        </w:tc>
        <w:tc>
          <w:tcPr>
            <w:tcW w:w="990" w:type="dxa"/>
            <w:shd w:val="clear" w:color="auto" w:fill="DEEAF6"/>
            <w:noWrap/>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color w:val="000000"/>
                <w:sz w:val="20"/>
                <w:szCs w:val="20"/>
                <w:lang w:eastAsia="ro-RO"/>
              </w:rPr>
            </w:pPr>
            <w:r w:rsidRPr="00AA3AD0">
              <w:rPr>
                <w:rFonts w:ascii="Trebuchet MS" w:hAnsi="Trebuchet MS" w:cs="Arial"/>
                <w:b/>
                <w:bCs/>
                <w:color w:val="000000"/>
                <w:sz w:val="20"/>
                <w:szCs w:val="20"/>
                <w:lang w:eastAsia="ro-RO"/>
              </w:rPr>
              <w:t>CCO-Cr</w:t>
            </w:r>
          </w:p>
        </w:tc>
        <w:tc>
          <w:tcPr>
            <w:tcW w:w="900" w:type="dxa"/>
            <w:shd w:val="clear" w:color="auto" w:fill="DEEAF6"/>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sz w:val="20"/>
                <w:szCs w:val="20"/>
                <w:lang w:eastAsia="ro-RO"/>
              </w:rPr>
            </w:pPr>
            <w:r w:rsidRPr="00AA3AD0">
              <w:rPr>
                <w:rFonts w:ascii="Trebuchet MS" w:hAnsi="Trebuchet MS" w:cs="Arial"/>
                <w:b/>
                <w:bCs/>
                <w:sz w:val="20"/>
                <w:szCs w:val="20"/>
                <w:lang w:eastAsia="ro-RO"/>
              </w:rPr>
              <w:t>Azot total</w:t>
            </w:r>
          </w:p>
        </w:tc>
        <w:tc>
          <w:tcPr>
            <w:tcW w:w="900" w:type="dxa"/>
            <w:shd w:val="clear" w:color="auto" w:fill="DEEAF6"/>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sz w:val="20"/>
                <w:szCs w:val="20"/>
                <w:lang w:eastAsia="ro-RO"/>
              </w:rPr>
            </w:pPr>
            <w:r w:rsidRPr="00AA3AD0">
              <w:rPr>
                <w:rFonts w:ascii="Trebuchet MS" w:hAnsi="Trebuchet MS" w:cs="Arial"/>
                <w:b/>
                <w:bCs/>
                <w:sz w:val="20"/>
                <w:szCs w:val="20"/>
                <w:lang w:eastAsia="ro-RO"/>
              </w:rPr>
              <w:t>Fosfor total</w:t>
            </w:r>
          </w:p>
        </w:tc>
        <w:tc>
          <w:tcPr>
            <w:tcW w:w="990" w:type="dxa"/>
            <w:shd w:val="clear" w:color="auto" w:fill="DEEAF6"/>
            <w:tcMar>
              <w:top w:w="0" w:type="dxa"/>
              <w:left w:w="108" w:type="dxa"/>
              <w:bottom w:w="0" w:type="dxa"/>
              <w:right w:w="108" w:type="dxa"/>
            </w:tcMar>
            <w:vAlign w:val="center"/>
          </w:tcPr>
          <w:p w:rsidR="00041F6F" w:rsidRPr="00AA3AD0" w:rsidRDefault="00041F6F" w:rsidP="00E13AA6">
            <w:pPr>
              <w:jc w:val="center"/>
              <w:rPr>
                <w:rFonts w:ascii="Trebuchet MS" w:hAnsi="Trebuchet MS" w:cs="Arial"/>
                <w:b/>
                <w:bCs/>
                <w:sz w:val="20"/>
                <w:szCs w:val="20"/>
                <w:lang w:eastAsia="ro-RO"/>
              </w:rPr>
            </w:pPr>
            <w:r w:rsidRPr="00AA3AD0">
              <w:rPr>
                <w:rFonts w:ascii="Trebuchet MS" w:hAnsi="Trebuchet MS" w:cs="Arial"/>
                <w:b/>
                <w:bCs/>
                <w:sz w:val="20"/>
                <w:szCs w:val="20"/>
                <w:lang w:eastAsia="ro-RO"/>
              </w:rPr>
              <w:t>Amoniu</w:t>
            </w:r>
          </w:p>
        </w:tc>
        <w:tc>
          <w:tcPr>
            <w:tcW w:w="1230" w:type="dxa"/>
            <w:gridSpan w:val="2"/>
            <w:shd w:val="clear" w:color="auto" w:fill="DEEAF6"/>
            <w:tcMar>
              <w:top w:w="0" w:type="dxa"/>
              <w:left w:w="108" w:type="dxa"/>
              <w:bottom w:w="0" w:type="dxa"/>
              <w:right w:w="108" w:type="dxa"/>
            </w:tcMar>
            <w:vAlign w:val="center"/>
          </w:tcPr>
          <w:p w:rsidR="00041F6F" w:rsidRPr="00AA3AD0" w:rsidRDefault="00041F6F" w:rsidP="00E13AA6">
            <w:pPr>
              <w:jc w:val="center"/>
              <w:rPr>
                <w:rFonts w:ascii="Trebuchet MS" w:hAnsi="Trebuchet MS" w:cs="Arial"/>
                <w:b/>
                <w:bCs/>
                <w:sz w:val="20"/>
                <w:szCs w:val="20"/>
                <w:lang w:eastAsia="ro-RO"/>
              </w:rPr>
            </w:pPr>
            <w:r w:rsidRPr="00AA3AD0">
              <w:rPr>
                <w:rFonts w:ascii="Trebuchet MS" w:hAnsi="Trebuchet MS" w:cs="Arial"/>
                <w:b/>
                <w:bCs/>
                <w:sz w:val="20"/>
                <w:szCs w:val="20"/>
                <w:lang w:eastAsia="ro-RO"/>
              </w:rPr>
              <w:t>Materii în suspensie</w:t>
            </w:r>
          </w:p>
        </w:tc>
        <w:tc>
          <w:tcPr>
            <w:tcW w:w="1280" w:type="dxa"/>
            <w:shd w:val="clear" w:color="auto" w:fill="DEEAF6"/>
            <w:tcMar>
              <w:top w:w="0" w:type="dxa"/>
              <w:left w:w="108" w:type="dxa"/>
              <w:bottom w:w="0" w:type="dxa"/>
              <w:right w:w="108" w:type="dxa"/>
            </w:tcMar>
            <w:vAlign w:val="center"/>
          </w:tcPr>
          <w:p w:rsidR="00041F6F" w:rsidRPr="00AA3AD0" w:rsidRDefault="00041F6F" w:rsidP="00E13AA6">
            <w:pPr>
              <w:jc w:val="center"/>
              <w:rPr>
                <w:rFonts w:ascii="Trebuchet MS" w:hAnsi="Trebuchet MS" w:cs="Arial"/>
                <w:b/>
                <w:bCs/>
                <w:sz w:val="20"/>
                <w:szCs w:val="20"/>
                <w:lang w:eastAsia="ro-RO"/>
              </w:rPr>
            </w:pPr>
            <w:r w:rsidRPr="00AA3AD0">
              <w:rPr>
                <w:rFonts w:ascii="Trebuchet MS" w:hAnsi="Trebuchet MS" w:cs="Arial"/>
                <w:b/>
                <w:bCs/>
                <w:sz w:val="20"/>
                <w:szCs w:val="20"/>
                <w:lang w:eastAsia="ro-RO"/>
              </w:rPr>
              <w:t>Detergenţi sintetici</w:t>
            </w:r>
          </w:p>
        </w:tc>
        <w:tc>
          <w:tcPr>
            <w:tcW w:w="1159" w:type="dxa"/>
            <w:gridSpan w:val="2"/>
            <w:shd w:val="clear" w:color="auto" w:fill="DEEAF6"/>
            <w:vAlign w:val="center"/>
          </w:tcPr>
          <w:p w:rsidR="00041F6F" w:rsidRPr="00AA3AD0" w:rsidRDefault="00041F6F" w:rsidP="00E13AA6">
            <w:pPr>
              <w:jc w:val="center"/>
              <w:rPr>
                <w:rFonts w:ascii="Trebuchet MS" w:hAnsi="Trebuchet MS" w:cs="Arial"/>
                <w:b/>
                <w:bCs/>
                <w:sz w:val="20"/>
                <w:szCs w:val="20"/>
                <w:lang w:eastAsia="ro-RO"/>
              </w:rPr>
            </w:pPr>
            <w:r w:rsidRPr="00AA3AD0">
              <w:rPr>
                <w:rFonts w:ascii="Trebuchet MS" w:hAnsi="Trebuchet MS" w:cs="Arial"/>
                <w:b/>
                <w:bCs/>
                <w:sz w:val="20"/>
                <w:szCs w:val="20"/>
                <w:lang w:eastAsia="ro-RO"/>
              </w:rPr>
              <w:t>Substanţe extractibile</w:t>
            </w:r>
          </w:p>
        </w:tc>
      </w:tr>
      <w:tr w:rsidR="00041F6F" w:rsidRPr="00AA3AD0" w:rsidTr="00E13AA6">
        <w:trPr>
          <w:gridAfter w:val="1"/>
          <w:wAfter w:w="7" w:type="dxa"/>
          <w:trHeight w:val="754"/>
          <w:jc w:val="center"/>
        </w:trPr>
        <w:tc>
          <w:tcPr>
            <w:tcW w:w="1802" w:type="dxa"/>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color w:val="000000"/>
                <w:sz w:val="20"/>
                <w:szCs w:val="20"/>
                <w:lang w:eastAsia="ro-RO"/>
              </w:rPr>
            </w:pPr>
            <w:r w:rsidRPr="00AA3AD0">
              <w:rPr>
                <w:rFonts w:ascii="Trebuchet MS" w:hAnsi="Trebuchet MS" w:cs="Arial"/>
                <w:sz w:val="20"/>
                <w:szCs w:val="20"/>
                <w:lang w:val="it-IT"/>
              </w:rPr>
              <w:t>Colectarea și epurarea apelor uzate urbane</w:t>
            </w:r>
          </w:p>
        </w:tc>
        <w:tc>
          <w:tcPr>
            <w:tcW w:w="81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71,49</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71,76</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95,91</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95,35</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96,67</w:t>
            </w:r>
          </w:p>
        </w:tc>
        <w:tc>
          <w:tcPr>
            <w:tcW w:w="122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42,68</w:t>
            </w:r>
          </w:p>
        </w:tc>
        <w:tc>
          <w:tcPr>
            <w:tcW w:w="1287" w:type="dxa"/>
            <w:gridSpan w:val="2"/>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97,10</w:t>
            </w:r>
          </w:p>
        </w:tc>
        <w:tc>
          <w:tcPr>
            <w:tcW w:w="1152" w:type="dxa"/>
            <w:shd w:val="clear" w:color="auto" w:fill="auto"/>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71,43</w:t>
            </w:r>
          </w:p>
        </w:tc>
      </w:tr>
      <w:tr w:rsidR="00041F6F" w:rsidRPr="00AA3AD0" w:rsidTr="00E13AA6">
        <w:trPr>
          <w:gridAfter w:val="1"/>
          <w:wAfter w:w="7" w:type="dxa"/>
          <w:trHeight w:val="525"/>
          <w:jc w:val="center"/>
        </w:trPr>
        <w:tc>
          <w:tcPr>
            <w:tcW w:w="1802" w:type="dxa"/>
            <w:tcMar>
              <w:top w:w="0" w:type="dxa"/>
              <w:left w:w="108" w:type="dxa"/>
              <w:bottom w:w="0" w:type="dxa"/>
              <w:right w:w="108" w:type="dxa"/>
            </w:tcMar>
            <w:vAlign w:val="center"/>
            <w:hideMark/>
          </w:tcPr>
          <w:p w:rsidR="00041F6F" w:rsidRPr="00AA3AD0" w:rsidRDefault="00041F6F" w:rsidP="00E13AA6">
            <w:pPr>
              <w:jc w:val="center"/>
              <w:rPr>
                <w:rFonts w:ascii="Trebuchet MS" w:hAnsi="Trebuchet MS" w:cs="Arial"/>
                <w:b/>
                <w:bCs/>
                <w:color w:val="000000"/>
                <w:sz w:val="20"/>
                <w:szCs w:val="20"/>
                <w:lang w:eastAsia="ro-RO"/>
              </w:rPr>
            </w:pPr>
            <w:r w:rsidRPr="00AA3AD0">
              <w:rPr>
                <w:rFonts w:ascii="Trebuchet MS" w:hAnsi="Trebuchet MS" w:cs="Arial"/>
                <w:bCs/>
                <w:iCs/>
                <w:sz w:val="20"/>
                <w:szCs w:val="20"/>
                <w:lang w:val="it-IT"/>
              </w:rPr>
              <w:t>Fabricarea  produselor chimice</w:t>
            </w:r>
          </w:p>
        </w:tc>
        <w:tc>
          <w:tcPr>
            <w:tcW w:w="81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18,23</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13,63</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0,57</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0,22</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0,25</w:t>
            </w:r>
          </w:p>
        </w:tc>
        <w:tc>
          <w:tcPr>
            <w:tcW w:w="122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7,47</w:t>
            </w:r>
          </w:p>
        </w:tc>
        <w:tc>
          <w:tcPr>
            <w:tcW w:w="1287" w:type="dxa"/>
            <w:gridSpan w:val="2"/>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highlight w:val="yellow"/>
              </w:rPr>
            </w:pPr>
            <w:r w:rsidRPr="00AA3AD0">
              <w:rPr>
                <w:rFonts w:ascii="Trebuchet MS" w:hAnsi="Trebuchet MS" w:cs="Arial"/>
                <w:sz w:val="20"/>
                <w:szCs w:val="20"/>
              </w:rPr>
              <w:t>0,02</w:t>
            </w:r>
          </w:p>
        </w:tc>
        <w:tc>
          <w:tcPr>
            <w:tcW w:w="1152" w:type="dxa"/>
            <w:shd w:val="clear" w:color="auto" w:fill="auto"/>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1,31</w:t>
            </w:r>
          </w:p>
        </w:tc>
      </w:tr>
      <w:tr w:rsidR="00041F6F" w:rsidRPr="00AA3AD0" w:rsidTr="00E13AA6">
        <w:trPr>
          <w:gridAfter w:val="1"/>
          <w:wAfter w:w="7" w:type="dxa"/>
          <w:trHeight w:val="525"/>
          <w:jc w:val="center"/>
        </w:trPr>
        <w:tc>
          <w:tcPr>
            <w:tcW w:w="1802" w:type="dxa"/>
            <w:tcMar>
              <w:top w:w="0" w:type="dxa"/>
              <w:left w:w="108" w:type="dxa"/>
              <w:bottom w:w="0" w:type="dxa"/>
              <w:right w:w="108" w:type="dxa"/>
            </w:tcMar>
            <w:vAlign w:val="center"/>
          </w:tcPr>
          <w:p w:rsidR="00041F6F" w:rsidRPr="00AA3AD0" w:rsidRDefault="00041F6F" w:rsidP="00E13AA6">
            <w:pPr>
              <w:jc w:val="center"/>
              <w:rPr>
                <w:rFonts w:ascii="Trebuchet MS" w:hAnsi="Trebuchet MS" w:cs="Arial"/>
                <w:b/>
                <w:bCs/>
                <w:color w:val="000000"/>
                <w:sz w:val="20"/>
                <w:szCs w:val="20"/>
                <w:lang w:eastAsia="ro-RO"/>
              </w:rPr>
            </w:pPr>
            <w:r w:rsidRPr="00AA3AD0">
              <w:rPr>
                <w:rFonts w:ascii="Trebuchet MS" w:hAnsi="Trebuchet MS" w:cs="Arial"/>
                <w:bCs/>
                <w:iCs/>
                <w:sz w:val="20"/>
                <w:szCs w:val="20"/>
                <w:lang w:val="it-IT"/>
              </w:rPr>
              <w:t xml:space="preserve">Ind.metalurgică / construcţii </w:t>
            </w:r>
            <w:r w:rsidRPr="00AA3AD0">
              <w:rPr>
                <w:rFonts w:ascii="Trebuchet MS" w:hAnsi="Trebuchet MS" w:cs="Arial"/>
                <w:sz w:val="20"/>
                <w:szCs w:val="20"/>
                <w:lang w:val="it-IT"/>
              </w:rPr>
              <w:t>metalice</w:t>
            </w:r>
          </w:p>
        </w:tc>
        <w:tc>
          <w:tcPr>
            <w:tcW w:w="81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2,13</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3,58</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0,056</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0,04</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0,45</w:t>
            </w:r>
          </w:p>
        </w:tc>
        <w:tc>
          <w:tcPr>
            <w:tcW w:w="122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4,33</w:t>
            </w:r>
          </w:p>
        </w:tc>
        <w:tc>
          <w:tcPr>
            <w:tcW w:w="1287" w:type="dxa"/>
            <w:gridSpan w:val="2"/>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highlight w:val="yellow"/>
              </w:rPr>
            </w:pPr>
            <w:r w:rsidRPr="00AA3AD0">
              <w:rPr>
                <w:rFonts w:ascii="Trebuchet MS" w:hAnsi="Trebuchet MS" w:cs="Arial"/>
                <w:sz w:val="20"/>
                <w:szCs w:val="20"/>
              </w:rPr>
              <w:t>0,11</w:t>
            </w:r>
          </w:p>
        </w:tc>
        <w:tc>
          <w:tcPr>
            <w:tcW w:w="1152" w:type="dxa"/>
            <w:shd w:val="clear" w:color="auto" w:fill="auto"/>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4,04</w:t>
            </w:r>
          </w:p>
        </w:tc>
      </w:tr>
      <w:tr w:rsidR="00041F6F" w:rsidRPr="00AA3AD0" w:rsidTr="00E13AA6">
        <w:trPr>
          <w:gridAfter w:val="1"/>
          <w:wAfter w:w="7" w:type="dxa"/>
          <w:trHeight w:val="525"/>
          <w:jc w:val="center"/>
        </w:trPr>
        <w:tc>
          <w:tcPr>
            <w:tcW w:w="1802" w:type="dxa"/>
            <w:tcMar>
              <w:top w:w="0" w:type="dxa"/>
              <w:left w:w="108" w:type="dxa"/>
              <w:bottom w:w="0" w:type="dxa"/>
              <w:right w:w="108" w:type="dxa"/>
            </w:tcMar>
            <w:vAlign w:val="center"/>
          </w:tcPr>
          <w:p w:rsidR="00041F6F" w:rsidRPr="00AA3AD0" w:rsidRDefault="00041F6F" w:rsidP="00E13AA6">
            <w:pPr>
              <w:jc w:val="center"/>
              <w:rPr>
                <w:rFonts w:ascii="Trebuchet MS" w:hAnsi="Trebuchet MS" w:cs="Arial"/>
                <w:bCs/>
                <w:iCs/>
                <w:sz w:val="20"/>
                <w:szCs w:val="20"/>
                <w:lang w:val="it-IT"/>
              </w:rPr>
            </w:pPr>
            <w:r w:rsidRPr="00AA3AD0">
              <w:rPr>
                <w:rFonts w:ascii="Trebuchet MS" w:hAnsi="Trebuchet MS" w:cs="Arial"/>
                <w:bCs/>
                <w:iCs/>
                <w:sz w:val="20"/>
                <w:szCs w:val="20"/>
                <w:lang w:val="it-IT"/>
              </w:rPr>
              <w:t>Producția și furnizarea de energie electrică, termică, apă caldă</w:t>
            </w:r>
          </w:p>
        </w:tc>
        <w:tc>
          <w:tcPr>
            <w:tcW w:w="81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2,93</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5,12</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0,002</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0,004</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0,46</w:t>
            </w:r>
          </w:p>
        </w:tc>
        <w:tc>
          <w:tcPr>
            <w:tcW w:w="122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25,26</w:t>
            </w:r>
          </w:p>
        </w:tc>
        <w:tc>
          <w:tcPr>
            <w:tcW w:w="1287" w:type="dxa"/>
            <w:gridSpan w:val="2"/>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highlight w:val="yellow"/>
              </w:rPr>
            </w:pPr>
            <w:r w:rsidRPr="00AA3AD0">
              <w:rPr>
                <w:rFonts w:ascii="Trebuchet MS" w:hAnsi="Trebuchet MS" w:cs="Arial"/>
                <w:sz w:val="20"/>
                <w:szCs w:val="20"/>
              </w:rPr>
              <w:t>0,01</w:t>
            </w:r>
          </w:p>
        </w:tc>
        <w:tc>
          <w:tcPr>
            <w:tcW w:w="1152" w:type="dxa"/>
            <w:shd w:val="clear" w:color="auto" w:fill="auto"/>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18,52</w:t>
            </w:r>
          </w:p>
        </w:tc>
      </w:tr>
      <w:tr w:rsidR="00041F6F" w:rsidRPr="00AA3AD0" w:rsidTr="00E13AA6">
        <w:trPr>
          <w:gridAfter w:val="1"/>
          <w:wAfter w:w="7" w:type="dxa"/>
          <w:trHeight w:val="525"/>
          <w:jc w:val="center"/>
        </w:trPr>
        <w:tc>
          <w:tcPr>
            <w:tcW w:w="1802" w:type="dxa"/>
            <w:tcMar>
              <w:top w:w="0" w:type="dxa"/>
              <w:left w:w="108" w:type="dxa"/>
              <w:bottom w:w="0" w:type="dxa"/>
              <w:right w:w="108" w:type="dxa"/>
            </w:tcMar>
            <w:vAlign w:val="center"/>
          </w:tcPr>
          <w:p w:rsidR="00041F6F" w:rsidRPr="00AA3AD0" w:rsidRDefault="00041F6F" w:rsidP="00E13AA6">
            <w:pPr>
              <w:jc w:val="center"/>
              <w:rPr>
                <w:rFonts w:ascii="Trebuchet MS" w:hAnsi="Trebuchet MS" w:cs="Arial"/>
                <w:bCs/>
                <w:iCs/>
                <w:sz w:val="20"/>
                <w:szCs w:val="20"/>
                <w:lang w:val="it-IT"/>
              </w:rPr>
            </w:pPr>
            <w:r w:rsidRPr="00AA3AD0">
              <w:rPr>
                <w:rFonts w:ascii="Trebuchet MS" w:hAnsi="Trebuchet MS" w:cs="Arial"/>
                <w:bCs/>
                <w:iCs/>
                <w:sz w:val="20"/>
                <w:szCs w:val="20"/>
                <w:lang w:val="it-IT"/>
              </w:rPr>
              <w:t>Comerț/ Servicii către populație</w:t>
            </w:r>
          </w:p>
        </w:tc>
        <w:tc>
          <w:tcPr>
            <w:tcW w:w="81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0,32</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0,31</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0,17</w:t>
            </w:r>
          </w:p>
        </w:tc>
        <w:tc>
          <w:tcPr>
            <w:tcW w:w="90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0,18</w:t>
            </w:r>
          </w:p>
        </w:tc>
        <w:tc>
          <w:tcPr>
            <w:tcW w:w="990"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0,29</w:t>
            </w:r>
          </w:p>
        </w:tc>
        <w:tc>
          <w:tcPr>
            <w:tcW w:w="1223" w:type="dxa"/>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0,22</w:t>
            </w:r>
          </w:p>
        </w:tc>
        <w:tc>
          <w:tcPr>
            <w:tcW w:w="1287" w:type="dxa"/>
            <w:gridSpan w:val="2"/>
            <w:shd w:val="clear" w:color="auto" w:fill="auto"/>
            <w:noWrap/>
            <w:tcMar>
              <w:top w:w="0" w:type="dxa"/>
              <w:left w:w="108" w:type="dxa"/>
              <w:bottom w:w="0" w:type="dxa"/>
              <w:right w:w="108" w:type="dxa"/>
            </w:tcMar>
            <w:vAlign w:val="center"/>
          </w:tcPr>
          <w:p w:rsidR="00041F6F" w:rsidRPr="00AA3AD0" w:rsidRDefault="00041F6F" w:rsidP="00E13AA6">
            <w:pPr>
              <w:jc w:val="center"/>
              <w:rPr>
                <w:rFonts w:ascii="Trebuchet MS" w:hAnsi="Trebuchet MS" w:cs="Arial"/>
                <w:sz w:val="20"/>
                <w:szCs w:val="20"/>
                <w:highlight w:val="yellow"/>
              </w:rPr>
            </w:pPr>
            <w:r w:rsidRPr="00AA3AD0">
              <w:rPr>
                <w:rFonts w:ascii="Trebuchet MS" w:hAnsi="Trebuchet MS" w:cs="Arial"/>
                <w:sz w:val="20"/>
                <w:szCs w:val="20"/>
              </w:rPr>
              <w:t>0,47</w:t>
            </w:r>
          </w:p>
        </w:tc>
        <w:tc>
          <w:tcPr>
            <w:tcW w:w="1152" w:type="dxa"/>
            <w:shd w:val="clear" w:color="auto" w:fill="auto"/>
            <w:vAlign w:val="center"/>
          </w:tcPr>
          <w:p w:rsidR="00041F6F" w:rsidRPr="00AA3AD0" w:rsidRDefault="00041F6F" w:rsidP="00E13AA6">
            <w:pPr>
              <w:jc w:val="center"/>
              <w:rPr>
                <w:rFonts w:ascii="Trebuchet MS" w:hAnsi="Trebuchet MS" w:cs="Arial"/>
                <w:sz w:val="20"/>
                <w:szCs w:val="20"/>
              </w:rPr>
            </w:pPr>
            <w:r w:rsidRPr="00AA3AD0">
              <w:rPr>
                <w:rFonts w:ascii="Trebuchet MS" w:hAnsi="Trebuchet MS" w:cs="Arial"/>
                <w:sz w:val="20"/>
                <w:szCs w:val="20"/>
              </w:rPr>
              <w:t>0,33</w:t>
            </w:r>
          </w:p>
        </w:tc>
      </w:tr>
    </w:tbl>
    <w:p w:rsidR="00041F6F" w:rsidRPr="00AA3AD0" w:rsidRDefault="00041F6F" w:rsidP="00041F6F">
      <w:pPr>
        <w:ind w:left="900" w:hanging="900"/>
        <w:jc w:val="both"/>
        <w:rPr>
          <w:rFonts w:ascii="Trebuchet MS" w:hAnsi="Trebuchet MS" w:cs="Arial"/>
          <w:i/>
          <w:iCs/>
          <w:color w:val="000000"/>
          <w:sz w:val="20"/>
          <w:szCs w:val="20"/>
          <w:lang w:eastAsia="ro-RO"/>
        </w:rPr>
      </w:pPr>
      <w:r w:rsidRPr="00AA3AD0">
        <w:rPr>
          <w:rFonts w:ascii="Trebuchet MS" w:hAnsi="Trebuchet MS" w:cs="Arial"/>
          <w:i/>
          <w:iCs/>
          <w:color w:val="000000"/>
          <w:sz w:val="20"/>
          <w:szCs w:val="20"/>
          <w:lang w:eastAsia="ro-RO"/>
        </w:rPr>
        <w:t xml:space="preserve"> (Sursa: Administraţia Naţională “Apele Române”, Sinteza calităţii apelor din România în anul 2023)</w:t>
      </w:r>
    </w:p>
    <w:p w:rsidR="00041F6F" w:rsidRPr="00130BE7" w:rsidRDefault="00041F6F" w:rsidP="00041F6F">
      <w:pPr>
        <w:tabs>
          <w:tab w:val="left" w:pos="1620"/>
        </w:tabs>
        <w:rPr>
          <w:rFonts w:ascii="Trebuchet MS" w:hAnsi="Trebuchet MS"/>
        </w:rPr>
      </w:pPr>
    </w:p>
    <w:p w:rsidR="00041F6F" w:rsidRPr="00130BE7" w:rsidRDefault="00041F6F" w:rsidP="00041F6F">
      <w:pPr>
        <w:tabs>
          <w:tab w:val="left" w:pos="1620"/>
        </w:tabs>
        <w:rPr>
          <w:rFonts w:ascii="Trebuchet MS" w:hAnsi="Trebuchet MS"/>
        </w:rPr>
      </w:pPr>
      <w:r>
        <w:rPr>
          <w:rFonts w:ascii="Trebuchet MS" w:hAnsi="Trebuchet MS"/>
          <w:noProof/>
          <w:lang w:val="en-US"/>
        </w:rPr>
        <w:drawing>
          <wp:inline distT="0" distB="0" distL="0" distR="0" wp14:anchorId="7BC0A786" wp14:editId="28E7C2F5">
            <wp:extent cx="6316345" cy="3399155"/>
            <wp:effectExtent l="0" t="0" r="8255" b="0"/>
            <wp:docPr id="1349278132" name="Picture 1349278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16345" cy="3399155"/>
                    </a:xfrm>
                    <a:prstGeom prst="rect">
                      <a:avLst/>
                    </a:prstGeom>
                    <a:noFill/>
                  </pic:spPr>
                </pic:pic>
              </a:graphicData>
            </a:graphic>
          </wp:inline>
        </w:drawing>
      </w:r>
    </w:p>
    <w:p w:rsidR="00041F6F" w:rsidRDefault="00041F6F" w:rsidP="00041F6F">
      <w:pPr>
        <w:tabs>
          <w:tab w:val="left" w:pos="1620"/>
        </w:tabs>
        <w:rPr>
          <w:rFonts w:ascii="Trebuchet MS" w:hAnsi="Trebuchet MS" w:cs="Arial"/>
          <w:i/>
          <w:iCs/>
          <w:color w:val="000000"/>
          <w:lang w:eastAsia="ro-RO"/>
        </w:rPr>
      </w:pPr>
      <w:r w:rsidRPr="00130BE7">
        <w:rPr>
          <w:rFonts w:ascii="Trebuchet MS" w:hAnsi="Trebuchet MS" w:cs="Arial"/>
          <w:b/>
          <w:bCs/>
          <w:i/>
          <w:color w:val="000000"/>
          <w:lang w:eastAsia="ro-RO"/>
        </w:rPr>
        <w:t>Figura II.2.2.2.2 Ponderea încărcării principalilor indicatori de calitate din apele uzate evacuate în  receptorii naturali în anul 2023 (%)</w:t>
      </w:r>
      <w:r w:rsidRPr="00130BE7">
        <w:rPr>
          <w:rFonts w:ascii="Trebuchet MS" w:hAnsi="Trebuchet MS" w:cs="Arial"/>
          <w:i/>
          <w:iCs/>
          <w:color w:val="000000"/>
          <w:lang w:eastAsia="ro-RO"/>
        </w:rPr>
        <w:t xml:space="preserve"> </w:t>
      </w:r>
    </w:p>
    <w:p w:rsidR="00041F6F" w:rsidRPr="00AA3AD0" w:rsidRDefault="00041F6F" w:rsidP="00041F6F">
      <w:pPr>
        <w:tabs>
          <w:tab w:val="left" w:pos="1620"/>
        </w:tabs>
        <w:jc w:val="center"/>
        <w:rPr>
          <w:rFonts w:ascii="Trebuchet MS" w:hAnsi="Trebuchet MS" w:cs="Arial"/>
          <w:i/>
          <w:iCs/>
          <w:color w:val="000000"/>
          <w:sz w:val="20"/>
          <w:szCs w:val="20"/>
          <w:lang w:eastAsia="ro-RO"/>
        </w:rPr>
      </w:pPr>
      <w:r w:rsidRPr="00AA3AD0">
        <w:rPr>
          <w:rFonts w:ascii="Trebuchet MS" w:hAnsi="Trebuchet MS" w:cs="Arial"/>
          <w:i/>
          <w:iCs/>
          <w:color w:val="000000"/>
          <w:sz w:val="20"/>
          <w:szCs w:val="20"/>
          <w:lang w:eastAsia="ro-RO"/>
        </w:rPr>
        <w:t>(Sursa: Administraţia Naţională “Apele Române”, Sinteza calităţii apelor din România în anul 2023)</w:t>
      </w:r>
    </w:p>
    <w:p w:rsidR="00E62FDB" w:rsidRDefault="00E62FDB" w:rsidP="00F746AF">
      <w:pPr>
        <w:ind w:firstLine="562"/>
        <w:jc w:val="both"/>
        <w:rPr>
          <w:rFonts w:ascii="Trebuchet MS" w:hAnsi="Trebuchet MS" w:cs="Arial"/>
        </w:rPr>
      </w:pPr>
    </w:p>
    <w:p w:rsidR="00041F6F" w:rsidRPr="00E62FDB" w:rsidRDefault="00041F6F" w:rsidP="00F746AF">
      <w:pPr>
        <w:ind w:firstLine="562"/>
        <w:jc w:val="both"/>
        <w:rPr>
          <w:rFonts w:ascii="Trebuchet MS" w:hAnsi="Trebuchet MS" w:cs="Arial"/>
          <w:sz w:val="22"/>
          <w:szCs w:val="22"/>
        </w:rPr>
      </w:pPr>
      <w:r w:rsidRPr="00E62FDB">
        <w:rPr>
          <w:rFonts w:ascii="Trebuchet MS" w:hAnsi="Trebuchet MS" w:cs="Arial"/>
          <w:sz w:val="22"/>
          <w:szCs w:val="22"/>
        </w:rPr>
        <w:t>Statisticile întocmite şi prezentate anual în ”Sinteza calităţii apelor din România” dovedesc faptul că dintre apele uzate care necesită epurare, cel mai mare impact îl au apele uzate provenite de la aglomerările urbane, în special în ceea ce priveşte poluarea cu substanţe organice (CBO5 şi CCO-Cr) şi nutrienţi (azot total şi fosfor total).</w:t>
      </w:r>
    </w:p>
    <w:p w:rsidR="00041F6F" w:rsidRPr="00E62FDB" w:rsidRDefault="00041F6F" w:rsidP="00F746AF">
      <w:pPr>
        <w:ind w:firstLine="562"/>
        <w:jc w:val="both"/>
        <w:rPr>
          <w:rFonts w:ascii="Trebuchet MS" w:hAnsi="Trebuchet MS" w:cs="Arial"/>
          <w:sz w:val="22"/>
          <w:szCs w:val="22"/>
        </w:rPr>
      </w:pPr>
      <w:r w:rsidRPr="00E62FDB">
        <w:rPr>
          <w:rFonts w:ascii="Trebuchet MS" w:hAnsi="Trebuchet MS" w:cs="Arial"/>
          <w:i/>
          <w:sz w:val="22"/>
          <w:szCs w:val="22"/>
        </w:rPr>
        <w:t xml:space="preserve"> Tabele </w:t>
      </w:r>
      <w:r w:rsidRPr="00E62FDB">
        <w:rPr>
          <w:rFonts w:ascii="Trebuchet MS" w:hAnsi="Trebuchet MS" w:cs="Arial"/>
          <w:i/>
          <w:sz w:val="22"/>
          <w:szCs w:val="22"/>
          <w:lang w:eastAsia="ro-RO"/>
        </w:rPr>
        <w:t xml:space="preserve">II.2.2.2.3 și II.2.2.2.4 </w:t>
      </w:r>
      <w:r w:rsidRPr="00E62FDB">
        <w:rPr>
          <w:rFonts w:ascii="Trebuchet MS" w:hAnsi="Trebuchet MS" w:cs="Arial"/>
          <w:sz w:val="22"/>
          <w:szCs w:val="22"/>
        </w:rPr>
        <w:t>evidențiază cele afirmate mai sus.</w:t>
      </w:r>
    </w:p>
    <w:p w:rsidR="00041F6F" w:rsidRPr="00E62FDB" w:rsidRDefault="00041F6F" w:rsidP="00F746AF">
      <w:pPr>
        <w:autoSpaceDE w:val="0"/>
        <w:autoSpaceDN w:val="0"/>
        <w:adjustRightInd w:val="0"/>
        <w:rPr>
          <w:rFonts w:ascii="Trebuchet MS" w:hAnsi="Trebuchet MS" w:cs="Arial"/>
          <w:b/>
          <w:i/>
          <w:sz w:val="22"/>
          <w:szCs w:val="22"/>
        </w:rPr>
      </w:pPr>
      <w:r w:rsidRPr="00E62FDB">
        <w:rPr>
          <w:rFonts w:ascii="Trebuchet MS" w:hAnsi="Trebuchet MS" w:cs="Arial"/>
          <w:b/>
          <w:i/>
          <w:sz w:val="22"/>
          <w:szCs w:val="22"/>
        </w:rPr>
        <w:t xml:space="preserve">Tabel </w:t>
      </w:r>
      <w:r w:rsidRPr="00E62FDB">
        <w:rPr>
          <w:rFonts w:ascii="Trebuchet MS" w:hAnsi="Trebuchet MS" w:cs="Arial"/>
          <w:b/>
          <w:i/>
          <w:sz w:val="22"/>
          <w:szCs w:val="22"/>
          <w:lang w:eastAsia="ro-RO"/>
        </w:rPr>
        <w:t xml:space="preserve">II.2.2.2.3 </w:t>
      </w:r>
      <w:r w:rsidRPr="00E62FDB">
        <w:rPr>
          <w:rFonts w:ascii="Trebuchet MS" w:hAnsi="Trebuchet MS" w:cs="Arial"/>
          <w:b/>
          <w:i/>
          <w:sz w:val="22"/>
          <w:szCs w:val="22"/>
        </w:rPr>
        <w:t>Volumul total de ape uzate urbane evacuate în receptorii naturali în anul 2023 (mil. m</w:t>
      </w:r>
      <w:r w:rsidRPr="00E62FDB">
        <w:rPr>
          <w:rFonts w:ascii="Trebuchet MS" w:hAnsi="Trebuchet MS" w:cs="Arial"/>
          <w:b/>
          <w:i/>
          <w:sz w:val="22"/>
          <w:szCs w:val="22"/>
          <w:vertAlign w:val="superscript"/>
        </w:rPr>
        <w:t>3</w:t>
      </w:r>
      <w:r w:rsidRPr="00E62FDB">
        <w:rPr>
          <w:rFonts w:ascii="Trebuchet MS" w:hAnsi="Trebuchet MS" w:cs="Arial"/>
          <w:b/>
          <w:i/>
          <w:sz w:val="22"/>
          <w:szCs w:val="22"/>
        </w:rPr>
        <w:t>/an)</w:t>
      </w:r>
    </w:p>
    <w:tbl>
      <w:tblPr>
        <w:tblW w:w="74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92"/>
        <w:gridCol w:w="1251"/>
        <w:gridCol w:w="1771"/>
        <w:gridCol w:w="2126"/>
        <w:gridCol w:w="1232"/>
        <w:gridCol w:w="10"/>
      </w:tblGrid>
      <w:tr w:rsidR="00041F6F" w:rsidRPr="00E62FDB" w:rsidTr="00E13AA6">
        <w:trPr>
          <w:trHeight w:val="503"/>
          <w:jc w:val="center"/>
        </w:trPr>
        <w:tc>
          <w:tcPr>
            <w:tcW w:w="1092" w:type="dxa"/>
            <w:vMerge w:val="restart"/>
            <w:shd w:val="clear" w:color="auto" w:fill="DEEAF6"/>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lang w:val="it-IT"/>
              </w:rPr>
              <w:t>Anul</w:t>
            </w:r>
          </w:p>
        </w:tc>
        <w:tc>
          <w:tcPr>
            <w:tcW w:w="6390" w:type="dxa"/>
            <w:gridSpan w:val="5"/>
            <w:shd w:val="clear" w:color="auto" w:fill="DEEAF6"/>
            <w:vAlign w:val="center"/>
          </w:tcPr>
          <w:p w:rsidR="00041F6F" w:rsidRPr="00E62FDB" w:rsidRDefault="00041F6F" w:rsidP="00E13AA6">
            <w:pPr>
              <w:jc w:val="center"/>
              <w:rPr>
                <w:rFonts w:ascii="Trebuchet MS" w:hAnsi="Trebuchet MS" w:cs="Arial"/>
                <w:b/>
                <w:sz w:val="22"/>
                <w:szCs w:val="22"/>
              </w:rPr>
            </w:pPr>
            <w:r w:rsidRPr="00E62FDB">
              <w:rPr>
                <w:rFonts w:ascii="Trebuchet MS" w:hAnsi="Trebuchet MS" w:cs="Arial"/>
                <w:b/>
                <w:sz w:val="22"/>
                <w:szCs w:val="22"/>
              </w:rPr>
              <w:t>Volum ape uzate urbane evacuate în receptorii naturali</w:t>
            </w:r>
          </w:p>
          <w:p w:rsidR="00041F6F" w:rsidRPr="00E62FDB" w:rsidRDefault="00041F6F" w:rsidP="00E13AA6">
            <w:pPr>
              <w:jc w:val="center"/>
              <w:rPr>
                <w:rFonts w:ascii="Trebuchet MS" w:hAnsi="Trebuchet MS" w:cs="Arial"/>
                <w:b/>
                <w:sz w:val="22"/>
                <w:szCs w:val="22"/>
              </w:rPr>
            </w:pPr>
            <w:r w:rsidRPr="00E62FDB">
              <w:rPr>
                <w:rFonts w:ascii="Trebuchet MS" w:hAnsi="Trebuchet MS" w:cs="Arial"/>
                <w:b/>
                <w:sz w:val="22"/>
                <w:szCs w:val="22"/>
              </w:rPr>
              <w:t>(mil. m</w:t>
            </w:r>
            <w:r w:rsidRPr="00E62FDB">
              <w:rPr>
                <w:rFonts w:ascii="Trebuchet MS" w:hAnsi="Trebuchet MS" w:cs="Arial"/>
                <w:b/>
                <w:sz w:val="22"/>
                <w:szCs w:val="22"/>
                <w:vertAlign w:val="superscript"/>
              </w:rPr>
              <w:t>3</w:t>
            </w:r>
            <w:r w:rsidRPr="00E62FDB">
              <w:rPr>
                <w:rFonts w:ascii="Trebuchet MS" w:hAnsi="Trebuchet MS" w:cs="Arial"/>
                <w:b/>
                <w:sz w:val="22"/>
                <w:szCs w:val="22"/>
              </w:rPr>
              <w:t>/an)</w:t>
            </w:r>
          </w:p>
        </w:tc>
      </w:tr>
      <w:tr w:rsidR="00041F6F" w:rsidRPr="00E62FDB" w:rsidTr="00E13AA6">
        <w:trPr>
          <w:gridAfter w:val="1"/>
          <w:wAfter w:w="10" w:type="dxa"/>
          <w:jc w:val="center"/>
        </w:trPr>
        <w:tc>
          <w:tcPr>
            <w:tcW w:w="1092" w:type="dxa"/>
            <w:vMerge/>
            <w:shd w:val="clear" w:color="auto" w:fill="DEEAF6"/>
            <w:vAlign w:val="center"/>
          </w:tcPr>
          <w:p w:rsidR="00041F6F" w:rsidRPr="00E62FDB" w:rsidRDefault="00041F6F" w:rsidP="00E13AA6">
            <w:pPr>
              <w:jc w:val="center"/>
              <w:rPr>
                <w:rFonts w:ascii="Trebuchet MS" w:hAnsi="Trebuchet MS" w:cs="Arial"/>
                <w:sz w:val="22"/>
                <w:szCs w:val="22"/>
              </w:rPr>
            </w:pPr>
          </w:p>
        </w:tc>
        <w:tc>
          <w:tcPr>
            <w:tcW w:w="1251" w:type="dxa"/>
            <w:shd w:val="clear" w:color="auto" w:fill="DEEAF6"/>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rPr>
              <w:t>Total</w:t>
            </w:r>
          </w:p>
        </w:tc>
        <w:tc>
          <w:tcPr>
            <w:tcW w:w="1771" w:type="dxa"/>
            <w:shd w:val="clear" w:color="auto" w:fill="DEEAF6"/>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lang w:val="it-IT"/>
              </w:rPr>
              <w:t>Corespunzător</w:t>
            </w:r>
          </w:p>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lang w:val="it-IT"/>
              </w:rPr>
              <w:t>epurate</w:t>
            </w:r>
          </w:p>
        </w:tc>
        <w:tc>
          <w:tcPr>
            <w:tcW w:w="2126" w:type="dxa"/>
            <w:shd w:val="clear" w:color="auto" w:fill="DEEAF6"/>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lang w:val="it-IT"/>
              </w:rPr>
              <w:t>Necorespunzător</w:t>
            </w:r>
          </w:p>
          <w:p w:rsidR="00041F6F" w:rsidRPr="00E62FDB" w:rsidRDefault="00041F6F" w:rsidP="00E13AA6">
            <w:pPr>
              <w:jc w:val="center"/>
              <w:rPr>
                <w:rFonts w:ascii="Trebuchet MS" w:hAnsi="Trebuchet MS" w:cs="Arial"/>
                <w:b/>
                <w:sz w:val="22"/>
                <w:szCs w:val="22"/>
              </w:rPr>
            </w:pPr>
            <w:r w:rsidRPr="00E62FDB">
              <w:rPr>
                <w:rFonts w:ascii="Trebuchet MS" w:hAnsi="Trebuchet MS" w:cs="Arial"/>
                <w:b/>
                <w:sz w:val="22"/>
                <w:szCs w:val="22"/>
                <w:lang w:val="it-IT"/>
              </w:rPr>
              <w:t>epurate</w:t>
            </w:r>
          </w:p>
        </w:tc>
        <w:tc>
          <w:tcPr>
            <w:tcW w:w="1232" w:type="dxa"/>
            <w:shd w:val="clear" w:color="auto" w:fill="DEEAF6"/>
            <w:vAlign w:val="center"/>
          </w:tcPr>
          <w:p w:rsidR="00041F6F" w:rsidRPr="00E62FDB" w:rsidRDefault="00041F6F" w:rsidP="00E13AA6">
            <w:pPr>
              <w:jc w:val="center"/>
              <w:rPr>
                <w:rFonts w:ascii="Trebuchet MS" w:hAnsi="Trebuchet MS" w:cs="Arial"/>
                <w:b/>
                <w:bCs/>
                <w:color w:val="000000"/>
                <w:sz w:val="22"/>
                <w:szCs w:val="22"/>
                <w:lang w:eastAsia="ro-RO"/>
              </w:rPr>
            </w:pPr>
            <w:r w:rsidRPr="00E62FDB">
              <w:rPr>
                <w:rFonts w:ascii="Trebuchet MS" w:hAnsi="Trebuchet MS" w:cs="Arial"/>
                <w:b/>
                <w:bCs/>
                <w:color w:val="000000"/>
                <w:sz w:val="22"/>
                <w:szCs w:val="22"/>
                <w:lang w:eastAsia="ro-RO"/>
              </w:rPr>
              <w:t>Nu se epurează</w:t>
            </w:r>
          </w:p>
        </w:tc>
      </w:tr>
      <w:tr w:rsidR="00041F6F" w:rsidRPr="00E62FDB" w:rsidTr="00E13AA6">
        <w:trPr>
          <w:gridAfter w:val="1"/>
          <w:wAfter w:w="10" w:type="dxa"/>
          <w:trHeight w:val="512"/>
          <w:jc w:val="center"/>
        </w:trPr>
        <w:tc>
          <w:tcPr>
            <w:tcW w:w="1092" w:type="dxa"/>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2023</w:t>
            </w:r>
          </w:p>
        </w:tc>
        <w:tc>
          <w:tcPr>
            <w:tcW w:w="1251" w:type="dxa"/>
            <w:vAlign w:val="center"/>
          </w:tcPr>
          <w:p w:rsidR="00041F6F" w:rsidRPr="00E62FDB" w:rsidRDefault="00041F6F" w:rsidP="00E13AA6">
            <w:pPr>
              <w:jc w:val="center"/>
              <w:rPr>
                <w:rFonts w:ascii="Trebuchet MS" w:hAnsi="Trebuchet MS" w:cs="Arial"/>
                <w:sz w:val="22"/>
                <w:szCs w:val="22"/>
              </w:rPr>
            </w:pPr>
            <w:r w:rsidRPr="00E62FDB">
              <w:rPr>
                <w:rFonts w:ascii="Trebuchet MS" w:hAnsi="Trebuchet MS" w:cs="Arial"/>
                <w:sz w:val="22"/>
                <w:szCs w:val="22"/>
              </w:rPr>
              <w:t>1074,18</w:t>
            </w:r>
          </w:p>
        </w:tc>
        <w:tc>
          <w:tcPr>
            <w:tcW w:w="1771" w:type="dxa"/>
            <w:vAlign w:val="center"/>
          </w:tcPr>
          <w:p w:rsidR="00041F6F" w:rsidRPr="00E62FDB" w:rsidRDefault="00041F6F" w:rsidP="00E13AA6">
            <w:pPr>
              <w:jc w:val="center"/>
              <w:rPr>
                <w:rFonts w:ascii="Trebuchet MS" w:hAnsi="Trebuchet MS" w:cs="Arial"/>
                <w:sz w:val="22"/>
                <w:szCs w:val="22"/>
              </w:rPr>
            </w:pPr>
            <w:r w:rsidRPr="00E62FDB">
              <w:rPr>
                <w:rFonts w:ascii="Trebuchet MS" w:hAnsi="Trebuchet MS" w:cs="Arial"/>
                <w:sz w:val="22"/>
                <w:szCs w:val="22"/>
              </w:rPr>
              <w:t>783,92</w:t>
            </w:r>
          </w:p>
        </w:tc>
        <w:tc>
          <w:tcPr>
            <w:tcW w:w="2126" w:type="dxa"/>
            <w:vAlign w:val="center"/>
          </w:tcPr>
          <w:p w:rsidR="00041F6F" w:rsidRPr="00E62FDB" w:rsidRDefault="00041F6F" w:rsidP="00E13AA6">
            <w:pPr>
              <w:jc w:val="center"/>
              <w:rPr>
                <w:rFonts w:ascii="Trebuchet MS" w:hAnsi="Trebuchet MS" w:cs="Arial"/>
                <w:sz w:val="22"/>
                <w:szCs w:val="22"/>
              </w:rPr>
            </w:pPr>
            <w:r w:rsidRPr="00E62FDB">
              <w:rPr>
                <w:rFonts w:ascii="Trebuchet MS" w:hAnsi="Trebuchet MS" w:cs="Arial"/>
                <w:sz w:val="22"/>
                <w:szCs w:val="22"/>
              </w:rPr>
              <w:t>276,99</w:t>
            </w:r>
          </w:p>
        </w:tc>
        <w:tc>
          <w:tcPr>
            <w:tcW w:w="1232" w:type="dxa"/>
            <w:vAlign w:val="center"/>
          </w:tcPr>
          <w:p w:rsidR="00041F6F" w:rsidRPr="00E62FDB" w:rsidRDefault="00041F6F" w:rsidP="00E13AA6">
            <w:pPr>
              <w:jc w:val="center"/>
              <w:rPr>
                <w:rFonts w:ascii="Trebuchet MS" w:hAnsi="Trebuchet MS" w:cs="Arial"/>
                <w:sz w:val="22"/>
                <w:szCs w:val="22"/>
              </w:rPr>
            </w:pPr>
            <w:r w:rsidRPr="00E62FDB">
              <w:rPr>
                <w:rFonts w:ascii="Trebuchet MS" w:hAnsi="Trebuchet MS" w:cs="Arial"/>
                <w:sz w:val="22"/>
                <w:szCs w:val="22"/>
              </w:rPr>
              <w:t>13,26</w:t>
            </w:r>
          </w:p>
        </w:tc>
      </w:tr>
    </w:tbl>
    <w:p w:rsidR="00041F6F" w:rsidRPr="00E62FDB" w:rsidRDefault="00041F6F" w:rsidP="00041F6F">
      <w:pPr>
        <w:autoSpaceDE w:val="0"/>
        <w:autoSpaceDN w:val="0"/>
        <w:adjustRightInd w:val="0"/>
        <w:spacing w:before="120" w:after="120"/>
        <w:rPr>
          <w:rFonts w:ascii="Trebuchet MS" w:hAnsi="Trebuchet MS" w:cs="Arial"/>
          <w:b/>
          <w:bCs/>
          <w:i/>
          <w:color w:val="000000"/>
          <w:sz w:val="22"/>
          <w:szCs w:val="22"/>
          <w:lang w:eastAsia="ro-RO"/>
        </w:rPr>
      </w:pPr>
      <w:r w:rsidRPr="00E62FDB">
        <w:rPr>
          <w:rFonts w:ascii="Trebuchet MS" w:hAnsi="Trebuchet MS" w:cs="Arial"/>
          <w:b/>
          <w:i/>
          <w:sz w:val="22"/>
          <w:szCs w:val="22"/>
          <w:lang w:eastAsia="ro-RO"/>
        </w:rPr>
        <w:t xml:space="preserve">Tabel II.2.2.2.4 </w:t>
      </w:r>
      <w:r w:rsidRPr="00E62FDB">
        <w:rPr>
          <w:rFonts w:ascii="Trebuchet MS" w:hAnsi="Trebuchet MS" w:cs="Arial"/>
          <w:b/>
          <w:bCs/>
          <w:i/>
          <w:color w:val="000000"/>
          <w:sz w:val="22"/>
          <w:szCs w:val="22"/>
          <w:lang w:eastAsia="ro-RO"/>
        </w:rPr>
        <w:t>Încărcarea cu poluanți (tone/an) a efluenților evacuaţi de la aglomerările urbane în receptorii naturali în anul 2023</w:t>
      </w:r>
    </w:p>
    <w:tbl>
      <w:tblPr>
        <w:tblW w:w="5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68"/>
        <w:gridCol w:w="2937"/>
      </w:tblGrid>
      <w:tr w:rsidR="00041F6F" w:rsidRPr="00E62FDB" w:rsidTr="00E13AA6">
        <w:trPr>
          <w:trHeight w:val="329"/>
          <w:jc w:val="center"/>
        </w:trPr>
        <w:tc>
          <w:tcPr>
            <w:tcW w:w="2468" w:type="dxa"/>
            <w:vMerge w:val="restart"/>
            <w:shd w:val="clear" w:color="auto" w:fill="DEEAF6"/>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lang w:val="it-IT"/>
              </w:rPr>
              <w:t>Poluant</w:t>
            </w:r>
          </w:p>
        </w:tc>
        <w:tc>
          <w:tcPr>
            <w:tcW w:w="2937" w:type="dxa"/>
            <w:shd w:val="clear" w:color="auto" w:fill="DEEAF6"/>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lang w:val="it-IT"/>
              </w:rPr>
              <w:t>Cantitatea de poluan</w:t>
            </w:r>
            <w:r w:rsidRPr="00E62FDB">
              <w:rPr>
                <w:rFonts w:ascii="Trebuchet MS" w:hAnsi="Trebuchet MS" w:cs="Arial"/>
                <w:b/>
                <w:sz w:val="22"/>
                <w:szCs w:val="22"/>
              </w:rPr>
              <w:t>ţ</w:t>
            </w:r>
            <w:r w:rsidRPr="00E62FDB">
              <w:rPr>
                <w:rFonts w:ascii="Trebuchet MS" w:hAnsi="Trebuchet MS" w:cs="Arial"/>
                <w:b/>
                <w:sz w:val="22"/>
                <w:szCs w:val="22"/>
                <w:lang w:val="it-IT"/>
              </w:rPr>
              <w:t>i (tone/an)</w:t>
            </w:r>
          </w:p>
        </w:tc>
      </w:tr>
      <w:tr w:rsidR="00041F6F" w:rsidRPr="00E62FDB" w:rsidTr="00E13AA6">
        <w:trPr>
          <w:trHeight w:val="418"/>
          <w:jc w:val="center"/>
        </w:trPr>
        <w:tc>
          <w:tcPr>
            <w:tcW w:w="2468" w:type="dxa"/>
            <w:vMerge/>
            <w:shd w:val="clear" w:color="auto" w:fill="DEEAF6"/>
            <w:vAlign w:val="center"/>
          </w:tcPr>
          <w:p w:rsidR="00041F6F" w:rsidRPr="00E62FDB" w:rsidRDefault="00041F6F" w:rsidP="00E13AA6">
            <w:pPr>
              <w:jc w:val="center"/>
              <w:rPr>
                <w:rFonts w:ascii="Trebuchet MS" w:hAnsi="Trebuchet MS" w:cs="Arial"/>
                <w:sz w:val="22"/>
                <w:szCs w:val="22"/>
                <w:lang w:val="it-IT"/>
              </w:rPr>
            </w:pPr>
          </w:p>
        </w:tc>
        <w:tc>
          <w:tcPr>
            <w:tcW w:w="2937" w:type="dxa"/>
            <w:shd w:val="clear" w:color="auto" w:fill="DEEAF6"/>
            <w:vAlign w:val="center"/>
          </w:tcPr>
          <w:p w:rsidR="00041F6F" w:rsidRPr="00E62FDB" w:rsidRDefault="00041F6F" w:rsidP="00E13AA6">
            <w:pPr>
              <w:jc w:val="center"/>
              <w:rPr>
                <w:rFonts w:ascii="Trebuchet MS" w:hAnsi="Trebuchet MS" w:cs="Arial"/>
                <w:b/>
                <w:sz w:val="22"/>
                <w:szCs w:val="22"/>
              </w:rPr>
            </w:pPr>
            <w:r w:rsidRPr="00E62FDB">
              <w:rPr>
                <w:rFonts w:ascii="Trebuchet MS" w:hAnsi="Trebuchet MS" w:cs="Arial"/>
                <w:b/>
                <w:sz w:val="22"/>
                <w:szCs w:val="22"/>
              </w:rPr>
              <w:t>2023</w:t>
            </w:r>
          </w:p>
        </w:tc>
      </w:tr>
      <w:tr w:rsidR="00041F6F" w:rsidRPr="00E62FDB" w:rsidTr="00E13AA6">
        <w:trPr>
          <w:trHeight w:val="413"/>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rPr>
              <w:t>CBO</w:t>
            </w:r>
            <w:r w:rsidRPr="00E62FDB">
              <w:rPr>
                <w:rFonts w:ascii="Trebuchet MS" w:hAnsi="Trebuchet MS" w:cs="Arial"/>
                <w:b/>
                <w:sz w:val="22"/>
                <w:szCs w:val="22"/>
                <w:vertAlign w:val="subscript"/>
              </w:rPr>
              <w:t>5</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19817,38</w:t>
            </w:r>
          </w:p>
        </w:tc>
      </w:tr>
      <w:tr w:rsidR="00041F6F" w:rsidRPr="00E62FDB" w:rsidTr="00E13AA6">
        <w:trPr>
          <w:trHeight w:val="404"/>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rPr>
              <w:t>CCO-Cr</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58222,53</w:t>
            </w:r>
          </w:p>
        </w:tc>
      </w:tr>
      <w:tr w:rsidR="00041F6F" w:rsidRPr="00E62FDB" w:rsidTr="00E13AA6">
        <w:trPr>
          <w:trHeight w:val="413"/>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rPr>
              <w:t>Azot total</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10846,34</w:t>
            </w:r>
          </w:p>
        </w:tc>
      </w:tr>
      <w:tr w:rsidR="00041F6F" w:rsidRPr="00E62FDB" w:rsidTr="00E13AA6">
        <w:trPr>
          <w:trHeight w:val="404"/>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rPr>
              <w:t>Fosfor total</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1055,65</w:t>
            </w:r>
          </w:p>
        </w:tc>
      </w:tr>
      <w:tr w:rsidR="00041F6F" w:rsidRPr="00E62FDB" w:rsidTr="00E13AA6">
        <w:trPr>
          <w:trHeight w:val="350"/>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rPr>
            </w:pPr>
            <w:r w:rsidRPr="00E62FDB">
              <w:rPr>
                <w:rFonts w:ascii="Trebuchet MS" w:hAnsi="Trebuchet MS" w:cs="Arial"/>
                <w:b/>
                <w:sz w:val="22"/>
                <w:szCs w:val="22"/>
              </w:rPr>
              <w:t>Amoniu</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9191,46</w:t>
            </w:r>
          </w:p>
        </w:tc>
      </w:tr>
      <w:tr w:rsidR="00041F6F" w:rsidRPr="00E62FDB" w:rsidTr="00E13AA6">
        <w:trPr>
          <w:trHeight w:val="350"/>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rPr>
              <w:t>Materii în suspensie</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20642,32</w:t>
            </w:r>
          </w:p>
        </w:tc>
      </w:tr>
      <w:tr w:rsidR="00041F6F" w:rsidRPr="00E62FDB" w:rsidTr="00E13AA6">
        <w:trPr>
          <w:trHeight w:val="350"/>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lang w:val="it-IT"/>
              </w:rPr>
            </w:pPr>
            <w:r w:rsidRPr="00E62FDB">
              <w:rPr>
                <w:rFonts w:ascii="Trebuchet MS" w:hAnsi="Trebuchet MS" w:cs="Arial"/>
                <w:b/>
                <w:sz w:val="22"/>
                <w:szCs w:val="22"/>
              </w:rPr>
              <w:t>Detergenți sintetici</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lang w:val="it-IT"/>
              </w:rPr>
            </w:pPr>
            <w:r w:rsidRPr="00E62FDB">
              <w:rPr>
                <w:rFonts w:ascii="Trebuchet MS" w:hAnsi="Trebuchet MS" w:cs="Arial"/>
                <w:sz w:val="22"/>
                <w:szCs w:val="22"/>
                <w:lang w:val="it-IT"/>
              </w:rPr>
              <w:t>445,11</w:t>
            </w:r>
          </w:p>
        </w:tc>
      </w:tr>
      <w:tr w:rsidR="00041F6F" w:rsidRPr="00E62FDB" w:rsidTr="00E13AA6">
        <w:trPr>
          <w:trHeight w:val="359"/>
          <w:jc w:val="center"/>
        </w:trPr>
        <w:tc>
          <w:tcPr>
            <w:tcW w:w="2468" w:type="dxa"/>
            <w:shd w:val="clear" w:color="auto" w:fill="auto"/>
            <w:vAlign w:val="center"/>
          </w:tcPr>
          <w:p w:rsidR="00041F6F" w:rsidRPr="00E62FDB" w:rsidRDefault="00041F6F" w:rsidP="00E13AA6">
            <w:pPr>
              <w:jc w:val="center"/>
              <w:rPr>
                <w:rFonts w:ascii="Trebuchet MS" w:hAnsi="Trebuchet MS" w:cs="Arial"/>
                <w:b/>
                <w:sz w:val="22"/>
                <w:szCs w:val="22"/>
              </w:rPr>
            </w:pPr>
            <w:r w:rsidRPr="00E62FDB">
              <w:rPr>
                <w:rFonts w:ascii="Trebuchet MS" w:hAnsi="Trebuchet MS" w:cs="Arial"/>
                <w:b/>
                <w:sz w:val="22"/>
                <w:szCs w:val="22"/>
              </w:rPr>
              <w:t>Substanțe exractibile</w:t>
            </w:r>
          </w:p>
        </w:tc>
        <w:tc>
          <w:tcPr>
            <w:tcW w:w="2937" w:type="dxa"/>
            <w:shd w:val="clear" w:color="auto" w:fill="auto"/>
            <w:vAlign w:val="center"/>
          </w:tcPr>
          <w:p w:rsidR="00041F6F" w:rsidRPr="00E62FDB" w:rsidRDefault="00041F6F" w:rsidP="00E13AA6">
            <w:pPr>
              <w:jc w:val="center"/>
              <w:rPr>
                <w:rFonts w:ascii="Trebuchet MS" w:hAnsi="Trebuchet MS" w:cs="Arial"/>
                <w:sz w:val="22"/>
                <w:szCs w:val="22"/>
                <w:highlight w:val="yellow"/>
                <w:lang w:val="it-IT"/>
              </w:rPr>
            </w:pPr>
            <w:r w:rsidRPr="00E62FDB">
              <w:rPr>
                <w:rFonts w:ascii="Trebuchet MS" w:hAnsi="Trebuchet MS" w:cs="Arial"/>
                <w:sz w:val="22"/>
                <w:szCs w:val="22"/>
                <w:lang w:val="it-IT"/>
              </w:rPr>
              <w:t>2864,87</w:t>
            </w:r>
          </w:p>
        </w:tc>
      </w:tr>
    </w:tbl>
    <w:p w:rsidR="00041F6F" w:rsidRPr="00AA3AD0" w:rsidRDefault="00041F6F" w:rsidP="00041F6F">
      <w:pPr>
        <w:ind w:left="810" w:hanging="810"/>
        <w:jc w:val="both"/>
        <w:rPr>
          <w:rFonts w:ascii="Trebuchet MS" w:hAnsi="Trebuchet MS" w:cs="Arial"/>
          <w:i/>
          <w:iCs/>
          <w:color w:val="000000"/>
          <w:sz w:val="20"/>
          <w:szCs w:val="20"/>
          <w:lang w:eastAsia="ro-RO"/>
        </w:rPr>
      </w:pPr>
      <w:r w:rsidRPr="00AA3AD0">
        <w:rPr>
          <w:rFonts w:ascii="Trebuchet MS" w:hAnsi="Trebuchet MS" w:cs="Arial"/>
          <w:i/>
          <w:iCs/>
          <w:color w:val="000000"/>
          <w:sz w:val="20"/>
          <w:szCs w:val="20"/>
          <w:lang w:eastAsia="ro-RO"/>
        </w:rPr>
        <w:t>(Sursa: Administraţia Naţională “Apele Române”, Sinteza calităţii apelor din România în anul 2023)</w:t>
      </w:r>
    </w:p>
    <w:p w:rsidR="00041F6F" w:rsidRPr="00F746AF" w:rsidRDefault="00041F6F" w:rsidP="00F746AF">
      <w:pPr>
        <w:ind w:firstLine="567"/>
        <w:jc w:val="both"/>
        <w:rPr>
          <w:rFonts w:ascii="Trebuchet MS" w:hAnsi="Trebuchet MS" w:cs="Arial"/>
          <w:b/>
          <w:bCs/>
          <w:u w:val="single"/>
        </w:rPr>
      </w:pPr>
    </w:p>
    <w:p w:rsidR="00041F6F" w:rsidRPr="00E62FDB" w:rsidRDefault="00041F6F" w:rsidP="00F746AF">
      <w:pPr>
        <w:ind w:firstLine="567"/>
        <w:jc w:val="both"/>
        <w:rPr>
          <w:rFonts w:ascii="Trebuchet MS" w:hAnsi="Trebuchet MS" w:cs="Arial"/>
          <w:b/>
          <w:bCs/>
          <w:sz w:val="22"/>
          <w:szCs w:val="22"/>
          <w:u w:val="single"/>
        </w:rPr>
      </w:pPr>
      <w:r w:rsidRPr="00E62FDB">
        <w:rPr>
          <w:rFonts w:ascii="Trebuchet MS" w:hAnsi="Trebuchet MS" w:cs="Arial"/>
          <w:b/>
          <w:bCs/>
          <w:sz w:val="22"/>
          <w:szCs w:val="22"/>
          <w:u w:val="single"/>
        </w:rPr>
        <w:t xml:space="preserve">Nivelul de colectare și epurare a apelor uzate urbane </w:t>
      </w:r>
    </w:p>
    <w:p w:rsidR="00041F6F" w:rsidRPr="00E62FDB" w:rsidRDefault="00041F6F" w:rsidP="00F746AF">
      <w:pPr>
        <w:ind w:firstLine="567"/>
        <w:jc w:val="both"/>
        <w:rPr>
          <w:rFonts w:ascii="Trebuchet MS" w:hAnsi="Trebuchet MS" w:cs="Arial"/>
          <w:sz w:val="22"/>
          <w:szCs w:val="22"/>
          <w:lang w:val="it-IT"/>
        </w:rPr>
      </w:pP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rsidR="00041F6F" w:rsidRPr="00E62FDB" w:rsidRDefault="00041F6F" w:rsidP="00F746AF">
      <w:pPr>
        <w:pStyle w:val="Default"/>
        <w:ind w:firstLine="567"/>
        <w:jc w:val="both"/>
        <w:rPr>
          <w:rFonts w:ascii="Trebuchet MS" w:hAnsi="Trebuchet MS"/>
          <w:i/>
          <w:sz w:val="22"/>
          <w:szCs w:val="22"/>
        </w:rPr>
      </w:pPr>
      <w:r w:rsidRPr="00E62FDB">
        <w:rPr>
          <w:rFonts w:ascii="Trebuchet MS" w:hAnsi="Trebuchet MS"/>
          <w:sz w:val="22"/>
          <w:szCs w:val="22"/>
        </w:rPr>
        <w:t xml:space="preserve">Potrivit Institutului Național de Statistică, în anul 2022, un număr de 11.276.660   locuitori aveau locuinţele conectate la sistemele de canalizare, aceştia reprezentând cca. 59,2% din populaţia României. În ceea ce priveşte epurarea apelor uzate, populaţia cu locuinţele conectate la sistemele de canalizare prevăzute cu staţii de epurare a fost de 11.062.432   persoane, reprezentând cca. 58,1% din populaţia ţării. De asemenea, gradele de racordare al populaţiei la sistemele de colectare şi epurare a apelor uzate diferențiate pe nivele de epurare sunt prezentate în </w:t>
      </w:r>
      <w:r w:rsidRPr="00E62FDB">
        <w:rPr>
          <w:rFonts w:ascii="Trebuchet MS" w:hAnsi="Trebuchet MS"/>
          <w:i/>
          <w:sz w:val="22"/>
          <w:szCs w:val="22"/>
        </w:rPr>
        <w:t xml:space="preserve">Figura II.2.2.2.3.  </w:t>
      </w:r>
    </w:p>
    <w:p w:rsidR="00041F6F" w:rsidRPr="00E62FDB" w:rsidRDefault="00041F6F" w:rsidP="00F746AF">
      <w:pPr>
        <w:pStyle w:val="Default"/>
        <w:ind w:firstLine="567"/>
        <w:jc w:val="both"/>
        <w:rPr>
          <w:rFonts w:ascii="Trebuchet MS" w:hAnsi="Trebuchet MS"/>
          <w:sz w:val="22"/>
          <w:szCs w:val="22"/>
          <w:lang w:val="it-IT"/>
        </w:rPr>
      </w:pPr>
      <w:r w:rsidRPr="00E62FDB">
        <w:rPr>
          <w:rFonts w:ascii="Trebuchet MS" w:hAnsi="Trebuchet MS"/>
          <w:sz w:val="22"/>
          <w:szCs w:val="22"/>
        </w:rPr>
        <w:t>Evoluţia gradului de racordare al populaţiei la sistemele de colectare şi epurare a apelor uzate în funcție de tipul procesului de epurare aplicat (</w:t>
      </w:r>
      <w:r w:rsidRPr="00E62FDB">
        <w:rPr>
          <w:rFonts w:ascii="Trebuchet MS" w:hAnsi="Trebuchet MS"/>
          <w:i/>
          <w:iCs/>
          <w:sz w:val="22"/>
          <w:szCs w:val="22"/>
        </w:rPr>
        <w:t xml:space="preserve">Figura </w:t>
      </w:r>
      <w:r w:rsidRPr="00E62FDB">
        <w:rPr>
          <w:rFonts w:ascii="Trebuchet MS" w:hAnsi="Trebuchet MS"/>
          <w:i/>
          <w:sz w:val="22"/>
          <w:szCs w:val="22"/>
        </w:rPr>
        <w:t xml:space="preserve">II.2.2.2.4 </w:t>
      </w:r>
      <w:r w:rsidRPr="00E62FDB">
        <w:rPr>
          <w:rFonts w:ascii="Trebuchet MS" w:hAnsi="Trebuchet MS"/>
          <w:i/>
          <w:iCs/>
          <w:sz w:val="22"/>
          <w:szCs w:val="22"/>
        </w:rPr>
        <w:t>)</w:t>
      </w:r>
      <w:r w:rsidRPr="00E62FDB">
        <w:rPr>
          <w:rFonts w:ascii="Trebuchet MS" w:hAnsi="Trebuchet MS"/>
          <w:sz w:val="22"/>
          <w:szCs w:val="22"/>
        </w:rPr>
        <w:t xml:space="preserve"> indică o creștere constantă a numărului populației care beneficiază de servicii de apă uzată, consecință a extinderii și construirii infrastructurii aferente. Se observă că în ultima perioadă a crescut îndeosebi proporția de sisteme de colectare cu epurare terțiară. </w:t>
      </w:r>
      <w:r w:rsidRPr="00E62FDB">
        <w:rPr>
          <w:rFonts w:ascii="Trebuchet MS" w:hAnsi="Trebuchet MS"/>
          <w:sz w:val="22"/>
          <w:szCs w:val="22"/>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o parte din nutrienţi (cca. 20-30%). Epurarea terţiară (avansată) înlătură eficient materiile organice, compuşii cu fosfor şi compuşii cu azot. </w:t>
      </w:r>
    </w:p>
    <w:p w:rsidR="00041F6F" w:rsidRPr="00E62FDB" w:rsidRDefault="00041F6F" w:rsidP="00F746AF">
      <w:pPr>
        <w:pStyle w:val="Default"/>
        <w:ind w:firstLine="567"/>
        <w:jc w:val="both"/>
        <w:rPr>
          <w:rFonts w:ascii="Trebuchet MS" w:hAnsi="Trebuchet MS"/>
          <w:sz w:val="22"/>
          <w:szCs w:val="22"/>
          <w:lang w:val="it-IT"/>
        </w:rPr>
      </w:pPr>
    </w:p>
    <w:p w:rsidR="00041F6F" w:rsidRPr="00E62FDB" w:rsidRDefault="00041F6F" w:rsidP="00F746AF">
      <w:pPr>
        <w:rPr>
          <w:rFonts w:ascii="Trebuchet MS" w:hAnsi="Trebuchet MS" w:cs="Arial"/>
          <w:b/>
          <w:bCs/>
          <w:i/>
          <w:iCs/>
          <w:sz w:val="22"/>
          <w:szCs w:val="22"/>
          <w:lang w:val="it-IT"/>
        </w:rPr>
      </w:pPr>
      <w:r w:rsidRPr="00E62FDB">
        <w:rPr>
          <w:rFonts w:ascii="Trebuchet MS" w:hAnsi="Trebuchet MS" w:cs="Arial"/>
          <w:b/>
          <w:noProof/>
          <w:sz w:val="22"/>
          <w:szCs w:val="22"/>
          <w:lang w:eastAsia="ro-RO"/>
        </w:rPr>
        <w:t>Figura II.2.2.2.3.</w:t>
      </w:r>
    </w:p>
    <w:p w:rsidR="00041F6F" w:rsidRPr="00130BE7" w:rsidRDefault="00041F6F" w:rsidP="00041F6F">
      <w:pPr>
        <w:pStyle w:val="Default"/>
        <w:spacing w:line="300" w:lineRule="auto"/>
        <w:jc w:val="center"/>
        <w:rPr>
          <w:rFonts w:ascii="Trebuchet MS" w:hAnsi="Trebuchet MS"/>
          <w:sz w:val="22"/>
          <w:szCs w:val="22"/>
          <w:lang w:val="it-IT"/>
        </w:rPr>
      </w:pPr>
      <w:r>
        <w:rPr>
          <w:rFonts w:ascii="Trebuchet MS" w:hAnsi="Trebuchet MS"/>
          <w:noProof/>
          <w:sz w:val="22"/>
          <w:szCs w:val="22"/>
        </w:rPr>
        <w:drawing>
          <wp:inline distT="0" distB="0" distL="0" distR="0" wp14:anchorId="34513A14" wp14:editId="2B2DECC1">
            <wp:extent cx="4257040" cy="2268855"/>
            <wp:effectExtent l="0" t="0" r="10160" b="17145"/>
            <wp:docPr id="1349278122" name="Chart 13492781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041F6F" w:rsidRPr="00AA3AD0" w:rsidRDefault="00041F6F" w:rsidP="00041F6F">
      <w:pPr>
        <w:spacing w:line="300" w:lineRule="auto"/>
        <w:rPr>
          <w:rFonts w:ascii="Trebuchet MS" w:hAnsi="Trebuchet MS" w:cs="Arial"/>
          <w:i/>
          <w:noProof/>
          <w:sz w:val="20"/>
          <w:szCs w:val="20"/>
          <w:lang w:eastAsia="ro-RO"/>
        </w:rPr>
      </w:pPr>
      <w:r w:rsidRPr="00AA3AD0">
        <w:rPr>
          <w:rFonts w:ascii="Trebuchet MS" w:hAnsi="Trebuchet MS" w:cs="Arial"/>
          <w:i/>
          <w:noProof/>
          <w:sz w:val="20"/>
          <w:szCs w:val="20"/>
          <w:lang w:eastAsia="ro-RO"/>
        </w:rPr>
        <w:t>(Sursa</w:t>
      </w:r>
      <w:r w:rsidRPr="00AA3AD0">
        <w:rPr>
          <w:rFonts w:ascii="Trebuchet MS" w:hAnsi="Trebuchet MS" w:cs="Arial"/>
          <w:i/>
          <w:iCs/>
          <w:sz w:val="20"/>
          <w:szCs w:val="20"/>
          <w:lang w:eastAsia="ro-RO"/>
        </w:rPr>
        <w:t>:</w:t>
      </w:r>
      <w:r w:rsidRPr="00AA3AD0">
        <w:rPr>
          <w:rFonts w:ascii="Trebuchet MS" w:hAnsi="Trebuchet MS" w:cs="Arial"/>
          <w:i/>
          <w:noProof/>
          <w:sz w:val="20"/>
          <w:szCs w:val="20"/>
          <w:lang w:eastAsia="ro-RO"/>
        </w:rPr>
        <w:t xml:space="preserve"> Institutul Național de statistică, </w:t>
      </w:r>
      <w:hyperlink r:id="rId92" w:history="1">
        <w:r w:rsidRPr="00AA3AD0">
          <w:rPr>
            <w:rStyle w:val="Hyperlink"/>
            <w:rFonts w:ascii="Trebuchet MS" w:hAnsi="Trebuchet MS" w:cs="Arial"/>
            <w:i/>
            <w:noProof/>
            <w:sz w:val="20"/>
            <w:szCs w:val="20"/>
            <w:lang w:eastAsia="ro-RO"/>
          </w:rPr>
          <w:t>www.insse.ro</w:t>
        </w:r>
      </w:hyperlink>
      <w:r w:rsidRPr="00AA3AD0">
        <w:rPr>
          <w:rFonts w:ascii="Trebuchet MS" w:hAnsi="Trebuchet MS" w:cs="Arial"/>
          <w:i/>
          <w:noProof/>
          <w:sz w:val="20"/>
          <w:szCs w:val="20"/>
          <w:lang w:eastAsia="ro-RO"/>
        </w:rPr>
        <w:t>)</w:t>
      </w:r>
    </w:p>
    <w:p w:rsidR="00F746AF" w:rsidRDefault="00F746AF" w:rsidP="00041F6F">
      <w:pPr>
        <w:spacing w:line="300" w:lineRule="auto"/>
        <w:jc w:val="both"/>
        <w:rPr>
          <w:rFonts w:ascii="Trebuchet MS" w:hAnsi="Trebuchet MS" w:cs="Arial"/>
          <w:b/>
          <w:bCs/>
        </w:rPr>
      </w:pPr>
    </w:p>
    <w:p w:rsidR="00041F6F" w:rsidRPr="00130BE7" w:rsidRDefault="00041F6F" w:rsidP="00041F6F">
      <w:pPr>
        <w:spacing w:line="300" w:lineRule="auto"/>
        <w:jc w:val="both"/>
        <w:rPr>
          <w:rFonts w:ascii="Trebuchet MS" w:hAnsi="Trebuchet MS" w:cs="Arial"/>
          <w:b/>
          <w:bCs/>
        </w:rPr>
      </w:pPr>
      <w:r w:rsidRPr="00130BE7">
        <w:rPr>
          <w:rFonts w:ascii="Trebuchet MS" w:hAnsi="Trebuchet MS" w:cs="Arial"/>
          <w:b/>
          <w:bCs/>
        </w:rPr>
        <w:t>Figura II</w:t>
      </w:r>
      <w:r w:rsidRPr="00130BE7">
        <w:rPr>
          <w:rFonts w:ascii="Trebuchet MS" w:hAnsi="Trebuchet MS" w:cs="Arial"/>
          <w:b/>
          <w:bCs/>
          <w:lang w:val="fr-FR"/>
        </w:rPr>
        <w:t>.2.2.2.4</w:t>
      </w:r>
    </w:p>
    <w:p w:rsidR="00041F6F" w:rsidRPr="00130BE7" w:rsidRDefault="00041F6F" w:rsidP="00041F6F">
      <w:pPr>
        <w:spacing w:line="300" w:lineRule="auto"/>
        <w:jc w:val="center"/>
        <w:rPr>
          <w:rFonts w:ascii="Trebuchet MS" w:hAnsi="Trebuchet MS" w:cs="Arial"/>
          <w:b/>
          <w:bCs/>
        </w:rPr>
      </w:pPr>
      <w:r>
        <w:rPr>
          <w:rFonts w:ascii="Trebuchet MS" w:hAnsi="Trebuchet MS" w:cs="Arial"/>
          <w:b/>
          <w:bCs/>
          <w:noProof/>
          <w:lang w:val="en-US"/>
        </w:rPr>
        <w:drawing>
          <wp:inline distT="0" distB="0" distL="0" distR="0" wp14:anchorId="1BE079A3" wp14:editId="0DA72DAC">
            <wp:extent cx="4529455" cy="2737485"/>
            <wp:effectExtent l="0" t="0" r="4445" b="5715"/>
            <wp:docPr id="1349278131" name="Picture 1349278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29455" cy="2737485"/>
                    </a:xfrm>
                    <a:prstGeom prst="rect">
                      <a:avLst/>
                    </a:prstGeom>
                    <a:noFill/>
                  </pic:spPr>
                </pic:pic>
              </a:graphicData>
            </a:graphic>
          </wp:inline>
        </w:drawing>
      </w:r>
    </w:p>
    <w:p w:rsidR="00041F6F" w:rsidRPr="00AA3AD0" w:rsidRDefault="00041F6F" w:rsidP="00041F6F">
      <w:pPr>
        <w:spacing w:line="300" w:lineRule="auto"/>
        <w:rPr>
          <w:rFonts w:ascii="Trebuchet MS" w:eastAsia="Times New Roman" w:hAnsi="Trebuchet MS" w:cs="Arial"/>
          <w:b/>
          <w:bCs/>
          <w:color w:val="000000"/>
          <w:sz w:val="20"/>
          <w:szCs w:val="20"/>
          <w:shd w:val="clear" w:color="auto" w:fill="FFFFFF"/>
          <w:lang w:val="fr-FR" w:eastAsia="ro-RO"/>
        </w:rPr>
      </w:pPr>
      <w:r w:rsidRPr="00AA3AD0">
        <w:rPr>
          <w:rFonts w:ascii="Trebuchet MS" w:hAnsi="Trebuchet MS" w:cs="Arial"/>
          <w:i/>
          <w:noProof/>
          <w:sz w:val="20"/>
          <w:szCs w:val="20"/>
          <w:lang w:eastAsia="ro-RO"/>
        </w:rPr>
        <w:t>(Sursa</w:t>
      </w:r>
      <w:r w:rsidRPr="00AA3AD0">
        <w:rPr>
          <w:rFonts w:ascii="Trebuchet MS" w:hAnsi="Trebuchet MS" w:cs="Arial"/>
          <w:i/>
          <w:iCs/>
          <w:sz w:val="20"/>
          <w:szCs w:val="20"/>
          <w:lang w:eastAsia="ro-RO"/>
        </w:rPr>
        <w:t>:</w:t>
      </w:r>
      <w:r w:rsidRPr="00AA3AD0">
        <w:rPr>
          <w:rFonts w:ascii="Trebuchet MS" w:hAnsi="Trebuchet MS" w:cs="Arial"/>
          <w:i/>
          <w:noProof/>
          <w:sz w:val="20"/>
          <w:szCs w:val="20"/>
          <w:lang w:eastAsia="ro-RO"/>
        </w:rPr>
        <w:t xml:space="preserve"> Institutul Național de statistică, </w:t>
      </w:r>
      <w:hyperlink r:id="rId94" w:history="1">
        <w:r w:rsidRPr="00AA3AD0">
          <w:rPr>
            <w:rStyle w:val="Hyperlink"/>
            <w:rFonts w:ascii="Trebuchet MS" w:hAnsi="Trebuchet MS" w:cs="Arial"/>
            <w:i/>
            <w:noProof/>
            <w:sz w:val="20"/>
            <w:szCs w:val="20"/>
            <w:lang w:eastAsia="ro-RO"/>
          </w:rPr>
          <w:t>www.insse.ro</w:t>
        </w:r>
      </w:hyperlink>
      <w:r w:rsidRPr="00AA3AD0">
        <w:rPr>
          <w:rFonts w:ascii="Trebuchet MS" w:hAnsi="Trebuchet MS" w:cs="Arial"/>
          <w:i/>
          <w:noProof/>
          <w:sz w:val="20"/>
          <w:szCs w:val="20"/>
          <w:lang w:eastAsia="ro-RO"/>
        </w:rPr>
        <w:t>)</w:t>
      </w:r>
    </w:p>
    <w:p w:rsidR="00041F6F" w:rsidRPr="00130BE7" w:rsidRDefault="00041F6F" w:rsidP="00041F6F">
      <w:pPr>
        <w:spacing w:line="300" w:lineRule="auto"/>
        <w:ind w:firstLine="567"/>
        <w:jc w:val="both"/>
        <w:rPr>
          <w:rFonts w:ascii="Trebuchet MS" w:hAnsi="Trebuchet MS" w:cs="Arial"/>
          <w:lang w:val="it-IT"/>
        </w:rPr>
      </w:pP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 xml:space="preserve">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 Ţintele propuse pentru implementarea prevederilor Directivei 91/271/CEE , 98/15/CE şi 2000/60/CE sunt: </w:t>
      </w:r>
    </w:p>
    <w:p w:rsidR="00041F6F" w:rsidRPr="00E62FDB" w:rsidRDefault="00041F6F" w:rsidP="00F746AF">
      <w:pPr>
        <w:numPr>
          <w:ilvl w:val="1"/>
          <w:numId w:val="74"/>
        </w:numPr>
        <w:ind w:left="284" w:hanging="284"/>
        <w:jc w:val="both"/>
        <w:rPr>
          <w:rFonts w:ascii="Trebuchet MS" w:hAnsi="Trebuchet MS" w:cs="Arial"/>
          <w:sz w:val="22"/>
          <w:szCs w:val="22"/>
          <w:lang w:val="it-IT"/>
        </w:rPr>
      </w:pPr>
      <w:r w:rsidRPr="00E62FDB">
        <w:rPr>
          <w:rFonts w:ascii="Trebuchet MS" w:hAnsi="Trebuchet MS" w:cs="Arial"/>
          <w:sz w:val="22"/>
          <w:szCs w:val="22"/>
          <w:lang w:val="it-IT"/>
        </w:rPr>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041F6F" w:rsidRPr="00E62FDB" w:rsidRDefault="00041F6F" w:rsidP="00F746AF">
      <w:pPr>
        <w:numPr>
          <w:ilvl w:val="1"/>
          <w:numId w:val="74"/>
        </w:numPr>
        <w:ind w:left="284" w:hanging="284"/>
        <w:jc w:val="both"/>
        <w:rPr>
          <w:rFonts w:ascii="Trebuchet MS" w:hAnsi="Trebuchet MS" w:cs="Arial"/>
          <w:sz w:val="22"/>
          <w:szCs w:val="22"/>
          <w:lang w:val="it-IT"/>
        </w:rPr>
      </w:pPr>
      <w:r w:rsidRPr="00E62FDB">
        <w:rPr>
          <w:rFonts w:ascii="Trebuchet MS" w:hAnsi="Trebuchet MS" w:cs="Arial"/>
          <w:sz w:val="22"/>
          <w:szCs w:val="22"/>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041F6F" w:rsidRPr="00E62FDB" w:rsidRDefault="00041F6F" w:rsidP="00F746AF">
      <w:pPr>
        <w:jc w:val="both"/>
        <w:rPr>
          <w:rFonts w:ascii="Trebuchet MS" w:hAnsi="Trebuchet MS" w:cs="Arial"/>
          <w:b/>
          <w:bCs/>
          <w:i/>
          <w:iCs/>
          <w:sz w:val="22"/>
          <w:szCs w:val="22"/>
        </w:rPr>
      </w:pPr>
      <w:r w:rsidRPr="00E62FDB">
        <w:rPr>
          <w:rFonts w:ascii="Trebuchet MS" w:hAnsi="Trebuchet MS" w:cs="Arial"/>
          <w:sz w:val="22"/>
          <w:szCs w:val="22"/>
          <w:lang w:val="it-IT"/>
        </w:rPr>
        <w:t>Se precizeaz</w:t>
      </w:r>
      <w:r w:rsidRPr="00E62FDB">
        <w:rPr>
          <w:rFonts w:ascii="Trebuchet MS" w:hAnsi="Trebuchet MS" w:cs="Arial"/>
          <w:sz w:val="22"/>
          <w:szCs w:val="22"/>
        </w:rPr>
        <w:t xml:space="preserve">ă faptul că </w:t>
      </w:r>
      <w:r w:rsidRPr="00E62FDB">
        <w:rPr>
          <w:rFonts w:ascii="Trebuchet MS" w:hAnsi="Trebuchet MS" w:cs="Arial"/>
          <w:b/>
          <w:bCs/>
          <w:sz w:val="22"/>
          <w:szCs w:val="22"/>
        </w:rPr>
        <w:t>noțiunea de „locuitor-echivalent”</w:t>
      </w:r>
      <w:r w:rsidRPr="00E62FDB">
        <w:rPr>
          <w:rFonts w:ascii="Trebuchet MS" w:hAnsi="Trebuchet MS" w:cs="Arial"/>
          <w:sz w:val="22"/>
          <w:szCs w:val="22"/>
        </w:rPr>
        <w:t xml:space="preserve"> este un termen specific al Directivei 91/271/CEE privind epurarea apelor uzate care reprezintă unitatea de măsura pentru poluarea biodegradabilă şi stabileşte dimensiunea poluării provenită de la o aglomerare umană, respectiv poluarea rezultată atât de populație, cât și de la activitățile industriale care evacuează ape uzate în rețeaua de canalizare a aglomerării. Astfel </w:t>
      </w:r>
      <w:r w:rsidRPr="00E62FDB">
        <w:rPr>
          <w:rFonts w:ascii="Trebuchet MS" w:hAnsi="Trebuchet MS" w:cs="Arial"/>
          <w:b/>
          <w:bCs/>
          <w:i/>
          <w:iCs/>
          <w:sz w:val="22"/>
          <w:szCs w:val="22"/>
        </w:rPr>
        <w:t>„un locuitor echivalent (l.e.) înseamnă încărcarea organică biodegradabilă cu un  consum biochimic de oxigen în cinci zile (CBO</w:t>
      </w:r>
      <w:r w:rsidRPr="00E62FDB">
        <w:rPr>
          <w:rFonts w:ascii="Trebuchet MS" w:hAnsi="Trebuchet MS" w:cs="Arial"/>
          <w:b/>
          <w:bCs/>
          <w:i/>
          <w:iCs/>
          <w:sz w:val="22"/>
          <w:szCs w:val="22"/>
          <w:vertAlign w:val="subscript"/>
        </w:rPr>
        <w:t>5</w:t>
      </w:r>
      <w:r w:rsidRPr="00E62FDB">
        <w:rPr>
          <w:rFonts w:ascii="Trebuchet MS" w:hAnsi="Trebuchet MS" w:cs="Arial"/>
          <w:b/>
          <w:bCs/>
          <w:i/>
          <w:iCs/>
          <w:sz w:val="22"/>
          <w:szCs w:val="22"/>
        </w:rPr>
        <w:t xml:space="preserve">) de 60 de grame de oxigen pe zi; </w:t>
      </w:r>
    </w:p>
    <w:p w:rsidR="00041F6F" w:rsidRPr="00E62FDB" w:rsidRDefault="00041F6F" w:rsidP="00F746AF">
      <w:pPr>
        <w:jc w:val="both"/>
        <w:rPr>
          <w:rFonts w:ascii="Trebuchet MS" w:hAnsi="Trebuchet MS" w:cs="Arial"/>
          <w:b/>
          <w:bCs/>
          <w:i/>
          <w:iCs/>
          <w:sz w:val="22"/>
          <w:szCs w:val="22"/>
        </w:rPr>
      </w:pPr>
      <w:r w:rsidRPr="00E62FDB">
        <w:rPr>
          <w:rFonts w:ascii="Trebuchet MS" w:hAnsi="Trebuchet MS" w:cs="Arial"/>
          <w:b/>
          <w:bCs/>
          <w:i/>
          <w:iCs/>
          <w:sz w:val="22"/>
          <w:szCs w:val="22"/>
        </w:rPr>
        <w:t>se exprimă ca media acelei poluări produsă de o persoană într-o zi.</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Programul Naţional de Reformă 2017, Planul de Dezvoltare Naţională, Planul de Dezvoltare Regională, Cadrul Strategic Naţional de referinţă pentru perioada de programare 2007-2013, Planul Național de implementare al Directivei 91/271/CEE privind epurarea apelor uzate orășenești, modificată prin Directiva 98/15/CE, Programul Național de Dezvoltare Rurală 2007-2013 și 2014-2020, Programul Operaţional Sectorial de Mediu 2007-2013,</w:t>
      </w:r>
      <w:r w:rsidRPr="00E62FDB">
        <w:rPr>
          <w:rFonts w:ascii="Trebuchet MS" w:hAnsi="Trebuchet MS" w:cs="Helvetica"/>
          <w:color w:val="444444"/>
          <w:sz w:val="22"/>
          <w:szCs w:val="22"/>
        </w:rPr>
        <w:t xml:space="preserve"> </w:t>
      </w:r>
      <w:r w:rsidRPr="00E62FDB">
        <w:rPr>
          <w:rFonts w:ascii="Trebuchet MS" w:hAnsi="Trebuchet MS" w:cs="Arial"/>
          <w:color w:val="444444"/>
          <w:sz w:val="22"/>
          <w:szCs w:val="22"/>
        </w:rPr>
        <w:t>Programul Operațional Infrastructura Mare 2014-2020 (POIM)</w:t>
      </w:r>
      <w:r w:rsidRPr="00E62FDB">
        <w:rPr>
          <w:rFonts w:ascii="Trebuchet MS" w:hAnsi="Trebuchet MS" w:cs="Arial"/>
          <w:sz w:val="22"/>
          <w:szCs w:val="22"/>
          <w:lang w:val="it-IT"/>
        </w:rPr>
        <w:t>. De asemenea, la nivel regional au fost elaborate Planuri pentru Protecţia Mediului, iar la nivel local toţi agenţii economici au fost obligaţi să elaboreze şi să implementeze planuri de conformare.</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Directiva privind epurarea apelor uzate (91/271/CEE şi 98/15/CE) are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041F6F" w:rsidRPr="00E62FDB" w:rsidRDefault="00041F6F" w:rsidP="00F746AF">
      <w:pPr>
        <w:ind w:left="284" w:hanging="284"/>
        <w:jc w:val="both"/>
        <w:rPr>
          <w:rFonts w:ascii="Trebuchet MS" w:hAnsi="Trebuchet MS" w:cs="Arial"/>
          <w:sz w:val="22"/>
          <w:szCs w:val="22"/>
          <w:lang w:val="it-IT"/>
        </w:rPr>
      </w:pPr>
      <w:r w:rsidRPr="00E62FDB">
        <w:rPr>
          <w:rFonts w:ascii="Trebuchet MS" w:hAnsi="Trebuchet MS" w:cs="Arial"/>
          <w:sz w:val="22"/>
          <w:szCs w:val="22"/>
          <w:lang w:val="it-IT"/>
        </w:rPr>
        <w:t>•</w:t>
      </w:r>
      <w:r w:rsidRPr="00E62FDB">
        <w:rPr>
          <w:rFonts w:ascii="Trebuchet MS" w:hAnsi="Trebuchet MS" w:cs="Arial"/>
          <w:sz w:val="22"/>
          <w:szCs w:val="22"/>
          <w:lang w:val="it-IT"/>
        </w:rPr>
        <w:tab/>
        <w:t>sisteme de colectare şi epurare secundară pentru toate aglomerările cu peste 2.000 locuitori echivalenţi (l.e.) care au evacuare directă în resursele de apă;</w:t>
      </w:r>
    </w:p>
    <w:p w:rsidR="00041F6F" w:rsidRPr="00E62FDB" w:rsidRDefault="00041F6F" w:rsidP="00F746AF">
      <w:pPr>
        <w:ind w:left="284" w:hanging="284"/>
        <w:jc w:val="both"/>
        <w:rPr>
          <w:rFonts w:ascii="Trebuchet MS" w:hAnsi="Trebuchet MS" w:cs="Arial"/>
          <w:sz w:val="22"/>
          <w:szCs w:val="22"/>
          <w:lang w:val="it-IT"/>
        </w:rPr>
      </w:pPr>
      <w:r w:rsidRPr="00E62FDB">
        <w:rPr>
          <w:rFonts w:ascii="Trebuchet MS" w:hAnsi="Trebuchet MS" w:cs="Arial"/>
          <w:sz w:val="22"/>
          <w:szCs w:val="22"/>
          <w:lang w:val="it-IT"/>
        </w:rPr>
        <w:t>•</w:t>
      </w:r>
      <w:r w:rsidRPr="00E62FDB">
        <w:rPr>
          <w:rFonts w:ascii="Trebuchet MS" w:hAnsi="Trebuchet MS" w:cs="Arial"/>
          <w:sz w:val="22"/>
          <w:szCs w:val="22"/>
          <w:lang w:val="it-IT"/>
        </w:rPr>
        <w:tab/>
        <w:t>sisteme de colectare şi epurare terţiară pentru toate aglomerările cu peste 10.000 l.e. care au evacuare în resursele de apă considerate zone sensibile.</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Având în vedere atât poziţionarea României în bazinul hidrografic al fluviului Dunărea şi bazinul Mării Negre, cât şi necesitatea protecţiei mediului în aceste zone, România a declarat întregul său teritoriu ca zonă sensibilă. Această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aglomerările mai mici de 10.000 locuitori echivalenţi.</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2027 a stării bune pentru toate corpurile de apă.</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 xml:space="preserve">Directiva privind epurarea apelor uzate a fost transpusă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041F6F" w:rsidRPr="00E62FDB" w:rsidRDefault="00041F6F" w:rsidP="00F746AF">
      <w:pPr>
        <w:ind w:firstLine="567"/>
        <w:jc w:val="both"/>
        <w:rPr>
          <w:rFonts w:ascii="Trebuchet MS" w:hAnsi="Trebuchet MS" w:cs="Arial"/>
          <w:sz w:val="22"/>
          <w:szCs w:val="22"/>
          <w:lang w:val="it-IT"/>
        </w:rPr>
      </w:pPr>
      <w:r w:rsidRPr="00E62FDB">
        <w:rPr>
          <w:rFonts w:ascii="Trebuchet MS" w:hAnsi="Trebuchet MS" w:cs="Arial"/>
          <w:sz w:val="22"/>
          <w:szCs w:val="22"/>
          <w:lang w:val="it-IT"/>
        </w:rPr>
        <w:t xml:space="preserve">Din datele Administrației Naționale “Apele Române”, referitoare la lucrările privind infrastructura de apă/apă uzată, la nivel naţional, nivelele de colectare şi epurare a încărcării organice biodegradabile (exprimat în %) din aglomerările umane cu mai mult de 2.000 l.e. a crescut în ultimii ani. În anul 2022, valorile nivelelor de colectare şi epurare a încărcării organice biodegradabile au fost de 73,2% pentru colectarea apelor uzate, respectiv 72,1% pentru epurarea apelor uzate. </w:t>
      </w:r>
    </w:p>
    <w:p w:rsidR="00041F6F" w:rsidRPr="00E62FDB" w:rsidRDefault="00041F6F" w:rsidP="00F746AF">
      <w:pPr>
        <w:autoSpaceDE w:val="0"/>
        <w:autoSpaceDN w:val="0"/>
        <w:adjustRightInd w:val="0"/>
        <w:ind w:firstLine="567"/>
        <w:jc w:val="both"/>
        <w:rPr>
          <w:rFonts w:ascii="Trebuchet MS" w:hAnsi="Trebuchet MS" w:cs="Arial"/>
          <w:sz w:val="22"/>
          <w:szCs w:val="22"/>
          <w:lang w:eastAsia="ro-RO"/>
        </w:rPr>
      </w:pPr>
      <w:r w:rsidRPr="00E62FDB">
        <w:rPr>
          <w:rFonts w:ascii="Trebuchet MS" w:hAnsi="Trebuchet MS" w:cs="Arial"/>
          <w:sz w:val="22"/>
          <w:szCs w:val="22"/>
          <w:lang w:eastAsia="ro-RO"/>
        </w:rPr>
        <w:t xml:space="preserve">Conform raportului realizat de Administraţia Naţională “Apele Române”, în aglomerările umane mai mari de 2000 l.e., gradul de racordare la sistemul de colectare a apelor uzate a înregistrat o creştere de cca. 32% la sfârşitul anului 2022 față de anul 2007 </w:t>
      </w:r>
      <w:r w:rsidRPr="00E62FDB">
        <w:rPr>
          <w:rFonts w:ascii="Trebuchet MS" w:hAnsi="Trebuchet MS" w:cs="Arial"/>
          <w:i/>
          <w:sz w:val="22"/>
          <w:szCs w:val="22"/>
          <w:lang w:eastAsia="ro-RO"/>
        </w:rPr>
        <w:t>(Figura II.2.2.2.5).</w:t>
      </w:r>
      <w:r w:rsidRPr="00E62FDB">
        <w:rPr>
          <w:rFonts w:ascii="Trebuchet MS" w:hAnsi="Trebuchet MS" w:cs="Arial"/>
          <w:sz w:val="22"/>
          <w:szCs w:val="22"/>
          <w:lang w:eastAsia="ro-RO"/>
        </w:rPr>
        <w:t xml:space="preserve"> În ceea ce privește gradul de conectare la staţiile de epurare urbane, acesta a crescut cu cca. 41% în perioada 2007- 2022.</w:t>
      </w:r>
    </w:p>
    <w:p w:rsidR="00041F6F" w:rsidRPr="00130BE7" w:rsidRDefault="00041F6F" w:rsidP="00F746AF">
      <w:pPr>
        <w:autoSpaceDE w:val="0"/>
        <w:autoSpaceDN w:val="0"/>
        <w:adjustRightInd w:val="0"/>
        <w:ind w:firstLine="567"/>
        <w:jc w:val="both"/>
        <w:rPr>
          <w:rFonts w:ascii="Trebuchet MS" w:hAnsi="Trebuchet MS" w:cs="Arial"/>
          <w:lang w:eastAsia="ro-RO"/>
        </w:rPr>
      </w:pPr>
    </w:p>
    <w:p w:rsidR="00041F6F" w:rsidRPr="00130BE7" w:rsidRDefault="00041F6F" w:rsidP="00041F6F">
      <w:pPr>
        <w:autoSpaceDE w:val="0"/>
        <w:autoSpaceDN w:val="0"/>
        <w:adjustRightInd w:val="0"/>
        <w:spacing w:line="300" w:lineRule="auto"/>
        <w:jc w:val="center"/>
        <w:rPr>
          <w:rFonts w:ascii="Trebuchet MS" w:hAnsi="Trebuchet MS" w:cs="Arial"/>
          <w:lang w:eastAsia="ro-RO"/>
        </w:rPr>
      </w:pPr>
      <w:r>
        <w:rPr>
          <w:rFonts w:ascii="Trebuchet MS" w:hAnsi="Trebuchet MS" w:cs="Arial"/>
          <w:noProof/>
          <w:lang w:val="en-US"/>
        </w:rPr>
        <w:drawing>
          <wp:inline distT="0" distB="0" distL="0" distR="0" wp14:anchorId="618FCF96" wp14:editId="651B9EDB">
            <wp:extent cx="4842510" cy="2861945"/>
            <wp:effectExtent l="0" t="0" r="0" b="0"/>
            <wp:docPr id="1349278130" name="Picture 134927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42510" cy="2861945"/>
                    </a:xfrm>
                    <a:prstGeom prst="rect">
                      <a:avLst/>
                    </a:prstGeom>
                    <a:noFill/>
                  </pic:spPr>
                </pic:pic>
              </a:graphicData>
            </a:graphic>
          </wp:inline>
        </w:drawing>
      </w:r>
    </w:p>
    <w:p w:rsidR="00041F6F" w:rsidRPr="00E62FDB" w:rsidRDefault="00041F6F" w:rsidP="00041F6F">
      <w:pPr>
        <w:autoSpaceDE w:val="0"/>
        <w:autoSpaceDN w:val="0"/>
        <w:adjustRightInd w:val="0"/>
        <w:spacing w:line="300" w:lineRule="auto"/>
        <w:jc w:val="center"/>
        <w:rPr>
          <w:rFonts w:ascii="Trebuchet MS" w:hAnsi="Trebuchet MS" w:cs="Arial"/>
          <w:b/>
          <w:sz w:val="22"/>
          <w:szCs w:val="22"/>
          <w:lang w:eastAsia="ro-RO"/>
        </w:rPr>
      </w:pPr>
      <w:r w:rsidRPr="00E62FDB">
        <w:rPr>
          <w:rFonts w:ascii="Trebuchet MS" w:hAnsi="Trebuchet MS" w:cs="Arial"/>
          <w:b/>
          <w:sz w:val="22"/>
          <w:szCs w:val="22"/>
          <w:lang w:eastAsia="ro-RO"/>
        </w:rPr>
        <w:t>Figura II.2.2.2.5. Evoluția nivelelor de colectare și epurare (%) a încărcărilor organice biodegradabile (l.e.) a apelor uzate  la nivel național în perioda  2007-2022</w:t>
      </w:r>
    </w:p>
    <w:p w:rsidR="00041F6F" w:rsidRPr="00E62FDB" w:rsidRDefault="00041F6F" w:rsidP="00041F6F">
      <w:pPr>
        <w:spacing w:line="300" w:lineRule="auto"/>
        <w:jc w:val="both"/>
        <w:rPr>
          <w:rFonts w:ascii="Trebuchet MS" w:hAnsi="Trebuchet MS" w:cs="Arial"/>
          <w:i/>
          <w:iCs/>
          <w:sz w:val="22"/>
          <w:szCs w:val="22"/>
          <w:lang w:eastAsia="ro-RO"/>
        </w:rPr>
      </w:pPr>
      <w:r w:rsidRPr="00E62FDB">
        <w:rPr>
          <w:rFonts w:ascii="Trebuchet MS" w:hAnsi="Trebuchet MS" w:cs="Arial"/>
          <w:i/>
          <w:iCs/>
          <w:sz w:val="22"/>
          <w:szCs w:val="22"/>
          <w:lang w:eastAsia="ro-RO"/>
        </w:rPr>
        <w:t>(Sursa: Administraţia Naţională “Apele Române”, raport „Stadiul realizării lucrărilor pentru epurarea apelor uzate urbane şi a capacităţilor în execuţie şi puse în funcţiune pentru aglomerări umane”)</w:t>
      </w:r>
    </w:p>
    <w:p w:rsidR="00041F6F" w:rsidRPr="00E62FDB" w:rsidRDefault="00041F6F" w:rsidP="00F746AF">
      <w:pPr>
        <w:ind w:firstLine="708"/>
        <w:jc w:val="both"/>
        <w:rPr>
          <w:rFonts w:ascii="Trebuchet MS" w:hAnsi="Trebuchet MS" w:cs="Arial"/>
          <w:sz w:val="22"/>
          <w:szCs w:val="22"/>
          <w:lang w:val="it-IT"/>
        </w:rPr>
      </w:pPr>
      <w:r w:rsidRPr="00E62FDB">
        <w:rPr>
          <w:rFonts w:ascii="Trebuchet MS" w:hAnsi="Trebuchet MS" w:cs="Arial"/>
          <w:sz w:val="22"/>
          <w:szCs w:val="22"/>
          <w:lang w:val="it-IT"/>
        </w:rPr>
        <w:t>Se observă o creștere a nivelelor naționale de colectare și epurare față de anul 2021 care are principale cauze: modificarea numărului și dimensiunilor aglomerărilor, urmare a elaborării studiilor de fezabilitate pentru finanțare europeană în perioada 2014-2020 și în continuare pentru perioada 2021-2027. Astfel, modificarea nivelelor naționale de colectare și epurare are mai multe cauze, dintre care se menționează în principal:</w:t>
      </w:r>
    </w:p>
    <w:p w:rsidR="00041F6F" w:rsidRPr="00E62FDB" w:rsidRDefault="00041F6F" w:rsidP="00F746AF">
      <w:pPr>
        <w:numPr>
          <w:ilvl w:val="0"/>
          <w:numId w:val="67"/>
        </w:numPr>
        <w:tabs>
          <w:tab w:val="left" w:pos="993"/>
        </w:tabs>
        <w:ind w:left="0" w:firstLine="709"/>
        <w:jc w:val="both"/>
        <w:rPr>
          <w:rFonts w:ascii="Trebuchet MS" w:hAnsi="Trebuchet MS" w:cs="Arial"/>
          <w:sz w:val="22"/>
          <w:szCs w:val="22"/>
          <w:lang w:val="it-IT" w:eastAsia="ja-JP"/>
        </w:rPr>
      </w:pPr>
      <w:r w:rsidRPr="00E62FDB">
        <w:rPr>
          <w:rFonts w:ascii="Trebuchet MS" w:hAnsi="Trebuchet MS" w:cs="Arial"/>
          <w:b/>
          <w:sz w:val="22"/>
          <w:szCs w:val="22"/>
          <w:lang w:val="it-IT" w:eastAsia="ja-JP"/>
        </w:rPr>
        <w:t>modificarea numărului și dimensiunilor aglomerărilor</w:t>
      </w:r>
      <w:r w:rsidRPr="00E62FDB">
        <w:rPr>
          <w:rFonts w:ascii="Trebuchet MS" w:hAnsi="Trebuchet MS" w:cs="Arial"/>
          <w:sz w:val="22"/>
          <w:szCs w:val="22"/>
          <w:lang w:val="it-IT" w:eastAsia="ja-JP"/>
        </w:rPr>
        <w:t xml:space="preserve"> – se observă că numărul aglomerărilor mai mari de 2.000 l.e. a scăzut, urmare a redelimitării aglomerărilor, pe baza reactualizării documentelor de planificare, respectiv: Planul național de implementare al Directivei 91/271/CEE privind epurarea apelor uzate urbane în urma căruia se va realiza o planificare a necesarului de infrastructură de apă uzată în vederea prioritizării finanțării lucrărilor, Master Planurile Județene și aplicațiilor de finanțare pentru realizarea lucrărilor necesare pentru realizarea sistemelor de colectare și epurare a apelor uzate din aglomerări umane; de asemenea, la actualizarea dimensiunii aglomer</w:t>
      </w:r>
      <w:r w:rsidRPr="00E62FDB">
        <w:rPr>
          <w:rFonts w:ascii="Trebuchet MS" w:hAnsi="Trebuchet MS" w:cs="Arial"/>
          <w:sz w:val="22"/>
          <w:szCs w:val="22"/>
          <w:lang w:eastAsia="ja-JP"/>
        </w:rPr>
        <w:t>ă</w:t>
      </w:r>
      <w:r w:rsidRPr="00E62FDB">
        <w:rPr>
          <w:rFonts w:ascii="Trebuchet MS" w:hAnsi="Trebuchet MS" w:cs="Arial"/>
          <w:sz w:val="22"/>
          <w:szCs w:val="22"/>
          <w:lang w:val="it-IT" w:eastAsia="ja-JP"/>
        </w:rPr>
        <w:t xml:space="preserve">rilor contribuie și scăderea numărului populației și a activităților economice, care a condus la modificarea încadrării aglomerărilor pe categorii de dimensiuni și implicit la modificarea numărului și dimensiunii acestora. În acest sens este necesară obținerea unui inventar al aglomerărilor umane stabil/final, pe baza căruia să se actualizeze Planul național de implementare al Directivei 91/271/CEE privind epurarea apelor uzate urbane, fapt care va fi posibil după definitivarea tuturor aplicațiilor de finanțare europeană pentru cea de-a doua perioadă de planificare financiară europeană 2014-2020 și finalizarea unor proiecte de fundamentare a strategiei în sectorul de apă și apă uzată; </w:t>
      </w:r>
    </w:p>
    <w:p w:rsidR="00041F6F" w:rsidRPr="00E62FDB" w:rsidRDefault="00041F6F" w:rsidP="00F746AF">
      <w:pPr>
        <w:tabs>
          <w:tab w:val="left" w:pos="270"/>
        </w:tabs>
        <w:ind w:firstLine="720"/>
        <w:jc w:val="both"/>
        <w:rPr>
          <w:rFonts w:ascii="Trebuchet MS" w:hAnsi="Trebuchet MS" w:cs="Arial"/>
          <w:sz w:val="22"/>
          <w:szCs w:val="22"/>
          <w:lang w:val="it-IT" w:eastAsia="ja-JP"/>
        </w:rPr>
      </w:pPr>
      <w:r w:rsidRPr="00E62FDB">
        <w:rPr>
          <w:rFonts w:ascii="Trebuchet MS" w:hAnsi="Trebuchet MS" w:cs="Arial"/>
          <w:sz w:val="22"/>
          <w:szCs w:val="22"/>
          <w:lang w:val="it-IT" w:eastAsia="ja-JP"/>
        </w:rPr>
        <w:t xml:space="preserve">De la adoptarea Planului de implementare a Directivei privind epurarea  apelor uzate urbane în 2004 (intrare în aplicare din 2007), numărul aglomerărilor din România s-a modificat, urmând o tendință generală descendentă, ca urmare a 1) reorganizării/redelimitării aglomerărilor în urma pregătirii și revizuirii planurilor generale județene privind sectorul apă/apă uzată; 2) modificări în amenajarea rețelelor de canalizare și amplasarea stațiilor de epurare a apelor uzate (WWTP) în timpul pregătirii studiilor de fezabilitate (SF) și a proiectării de inginerie; și 3) scăderea populației ca urmare, în principal, a emigrației. Prin urmare, numărul de aglomerări a scăzut de la 2,609 în 2004 (estimat în absența unei metodologii de definire a aglomerărilor) la 1870 în 2016, când numărul acestora s-a stabilizat. </w:t>
      </w:r>
    </w:p>
    <w:p w:rsidR="00041F6F" w:rsidRPr="00E62FDB" w:rsidRDefault="00041F6F" w:rsidP="00F746AF">
      <w:pPr>
        <w:ind w:firstLine="720"/>
        <w:jc w:val="both"/>
        <w:rPr>
          <w:rFonts w:ascii="Trebuchet MS" w:hAnsi="Trebuchet MS"/>
          <w:sz w:val="22"/>
          <w:szCs w:val="22"/>
        </w:rPr>
      </w:pPr>
      <w:r w:rsidRPr="00E62FDB">
        <w:rPr>
          <w:rFonts w:ascii="Trebuchet MS" w:hAnsi="Trebuchet MS" w:cs="Arial"/>
          <w:sz w:val="22"/>
          <w:szCs w:val="22"/>
          <w:lang w:val="it-IT" w:eastAsia="ja-JP"/>
        </w:rPr>
        <w:t>Cu toate acestea, s-a efectuat o investigare detaliată privind delimitarea aglomerărilor în cadrul proiectului: „Sprijin tehnic pentru România în analiza și abordarea provocărilor legate de îndeplinirea cerințelor Directivei privind epurarea apelor uzate urbane ” (P167925, implementat de Banca Mondială). Reevaluarea aglomerărilor realizată în 2020 a ținut seama de schimbările demografice care au persistat în ultima vreme în România, în special de reducere a populației totale și de tendința de creștere a urbanizării care a condus la depopularea așezărilor rurale mai mici, precum și de încetinirea activităților economice și de schimbarea abordării metodologice.</w:t>
      </w:r>
      <w:r w:rsidRPr="00E62FDB">
        <w:rPr>
          <w:rFonts w:ascii="Trebuchet MS" w:hAnsi="Trebuchet MS"/>
          <w:sz w:val="22"/>
          <w:szCs w:val="22"/>
        </w:rPr>
        <w:t xml:space="preserve"> </w:t>
      </w:r>
    </w:p>
    <w:p w:rsidR="00041F6F" w:rsidRPr="00E62FDB" w:rsidRDefault="00041F6F" w:rsidP="00F746AF">
      <w:pPr>
        <w:ind w:firstLine="720"/>
        <w:jc w:val="both"/>
        <w:rPr>
          <w:rFonts w:ascii="Trebuchet MS" w:hAnsi="Trebuchet MS" w:cs="Arial"/>
          <w:sz w:val="22"/>
          <w:szCs w:val="22"/>
          <w:lang w:val="it-IT" w:eastAsia="ja-JP"/>
        </w:rPr>
      </w:pPr>
      <w:r w:rsidRPr="00E62FDB">
        <w:rPr>
          <w:rFonts w:ascii="Trebuchet MS" w:hAnsi="Trebuchet MS" w:cs="Arial"/>
          <w:sz w:val="22"/>
          <w:szCs w:val="22"/>
          <w:lang w:val="it-IT" w:eastAsia="ja-JP"/>
        </w:rPr>
        <w:t>În plus, abordarea revizuită a delimitării este cauzată de lipsa inițială a unei abordări uniforme la nivel național, deoarece multe aglomerări raportate inițial s-au dovedit a fi mai multe așezări cu doar câteva sute de locuitori organizați ca și comună, care nu îndeplinesc criteriul „concentrării suficiente” din directivă.</w:t>
      </w:r>
    </w:p>
    <w:p w:rsidR="00041F6F" w:rsidRPr="00E62FDB" w:rsidRDefault="00041F6F" w:rsidP="00F746AF">
      <w:pPr>
        <w:ind w:firstLine="720"/>
        <w:jc w:val="both"/>
        <w:rPr>
          <w:rFonts w:ascii="Trebuchet MS" w:hAnsi="Trebuchet MS" w:cs="Arial"/>
          <w:sz w:val="22"/>
          <w:szCs w:val="22"/>
          <w:lang w:val="it-IT" w:eastAsia="ja-JP"/>
        </w:rPr>
      </w:pPr>
      <w:r w:rsidRPr="00E62FDB">
        <w:rPr>
          <w:rFonts w:ascii="Trebuchet MS" w:hAnsi="Trebuchet MS" w:cs="Arial"/>
          <w:sz w:val="22"/>
          <w:szCs w:val="22"/>
          <w:lang w:val="it-IT" w:eastAsia="ja-JP"/>
        </w:rPr>
        <w:t>„Lista nouă” rezultată a aglomerărilor conține 1219 aglomerări cu o încărcare de poluare de 15 297 342 l.e. Lista actualizată a aglomerărilor este prezentată în apendicele la Planul de Redresare și Reziliență COM(2021) 608 final și aprobat în decembrie 2022 prin „Memorandumul de aprobare a Planului accelerat de conformare cu Directiva privind epurarea apelor uzate urbane pentru aglomerările de peste 2 000 l.e.</w:t>
      </w:r>
    </w:p>
    <w:p w:rsidR="00041F6F" w:rsidRPr="00FB34BB" w:rsidRDefault="00041F6F" w:rsidP="00041F6F">
      <w:pPr>
        <w:spacing w:line="300" w:lineRule="auto"/>
        <w:rPr>
          <w:rFonts w:ascii="Trebuchet MS" w:hAnsi="Trebuchet MS"/>
          <w:b/>
          <w:sz w:val="14"/>
          <w:szCs w:val="14"/>
        </w:rPr>
      </w:pPr>
    </w:p>
    <w:p w:rsidR="00041F6F" w:rsidRPr="00130BE7" w:rsidRDefault="00041F6F" w:rsidP="00041F6F">
      <w:pPr>
        <w:spacing w:line="300" w:lineRule="auto"/>
        <w:rPr>
          <w:rFonts w:ascii="Trebuchet MS" w:hAnsi="Trebuchet MS"/>
          <w:b/>
          <w:bCs/>
        </w:rPr>
      </w:pPr>
      <w:r w:rsidRPr="00130BE7">
        <w:rPr>
          <w:rFonts w:ascii="Trebuchet MS" w:hAnsi="Trebuchet MS"/>
          <w:b/>
        </w:rPr>
        <w:t xml:space="preserve">Tabel II.2.2.2.5. Delimitarea </w:t>
      </w:r>
      <w:r w:rsidRPr="00130BE7">
        <w:rPr>
          <w:rFonts w:ascii="Trebuchet MS" w:hAnsi="Trebuchet MS"/>
          <w:b/>
          <w:bCs/>
        </w:rPr>
        <w:t>revizuită a aglomerărilor pentru 2023</w:t>
      </w:r>
      <w:r w:rsidRPr="00130BE7">
        <w:rPr>
          <w:rStyle w:val="FootnoteReference"/>
          <w:rFonts w:ascii="Trebuchet MS" w:hAnsi="Trebuchet MS"/>
          <w:b/>
          <w:bCs/>
        </w:rPr>
        <w:footnoteReference w:id="1"/>
      </w: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660" w:firstRow="1" w:lastRow="1" w:firstColumn="0" w:lastColumn="0" w:noHBand="1" w:noVBand="1"/>
      </w:tblPr>
      <w:tblGrid>
        <w:gridCol w:w="2028"/>
        <w:gridCol w:w="1156"/>
        <w:gridCol w:w="1409"/>
        <w:gridCol w:w="1247"/>
        <w:gridCol w:w="1409"/>
        <w:gridCol w:w="1124"/>
        <w:gridCol w:w="1200"/>
      </w:tblGrid>
      <w:tr w:rsidR="00041F6F" w:rsidRPr="00130BE7" w:rsidTr="00E13AA6">
        <w:tc>
          <w:tcPr>
            <w:tcW w:w="2028" w:type="dxa"/>
            <w:tcBorders>
              <w:top w:val="single" w:sz="4" w:space="0" w:color="4472C4"/>
              <w:left w:val="single" w:sz="4" w:space="0" w:color="4472C4"/>
              <w:bottom w:val="single" w:sz="4" w:space="0" w:color="4472C4"/>
              <w:right w:val="nil"/>
            </w:tcBorders>
            <w:shd w:val="clear" w:color="auto" w:fill="4472C4"/>
          </w:tcPr>
          <w:p w:rsidR="00041F6F" w:rsidRPr="00130BE7" w:rsidRDefault="00041F6F" w:rsidP="00E13AA6">
            <w:pPr>
              <w:spacing w:line="300" w:lineRule="auto"/>
              <w:rPr>
                <w:rFonts w:ascii="Trebuchet MS" w:hAnsi="Trebuchet MS" w:cs="Calibri"/>
                <w:b/>
                <w:bCs/>
              </w:rPr>
            </w:pPr>
          </w:p>
        </w:tc>
        <w:tc>
          <w:tcPr>
            <w:tcW w:w="2565" w:type="dxa"/>
            <w:gridSpan w:val="2"/>
            <w:tcBorders>
              <w:top w:val="single" w:sz="4" w:space="0" w:color="4472C4"/>
              <w:left w:val="nil"/>
              <w:bottom w:val="single" w:sz="4" w:space="0" w:color="4472C4"/>
              <w:right w:val="nil"/>
            </w:tcBorders>
            <w:shd w:val="clear" w:color="auto" w:fill="4472C4"/>
          </w:tcPr>
          <w:p w:rsidR="00041F6F" w:rsidRPr="00130BE7" w:rsidRDefault="00041F6F" w:rsidP="00E13AA6">
            <w:pPr>
              <w:pStyle w:val="P68B1DB1-Normal17"/>
              <w:spacing w:after="0" w:line="300" w:lineRule="auto"/>
              <w:jc w:val="center"/>
              <w:rPr>
                <w:b/>
                <w:bCs/>
                <w:color w:val="FFFFFF"/>
                <w:szCs w:val="22"/>
              </w:rPr>
            </w:pPr>
            <w:r w:rsidRPr="00130BE7">
              <w:rPr>
                <w:b/>
                <w:bCs/>
                <w:color w:val="FFFFFF"/>
                <w:szCs w:val="22"/>
              </w:rPr>
              <w:t>Aglomerări înainte de revizuire</w:t>
            </w:r>
          </w:p>
        </w:tc>
        <w:tc>
          <w:tcPr>
            <w:tcW w:w="2656" w:type="dxa"/>
            <w:gridSpan w:val="2"/>
            <w:tcBorders>
              <w:top w:val="single" w:sz="4" w:space="0" w:color="4472C4"/>
              <w:left w:val="nil"/>
              <w:bottom w:val="single" w:sz="4" w:space="0" w:color="4472C4"/>
              <w:right w:val="nil"/>
            </w:tcBorders>
            <w:shd w:val="clear" w:color="auto" w:fill="4472C4"/>
          </w:tcPr>
          <w:p w:rsidR="00041F6F" w:rsidRPr="00130BE7" w:rsidRDefault="00041F6F" w:rsidP="00E13AA6">
            <w:pPr>
              <w:pStyle w:val="P68B1DB1-Normal17"/>
              <w:spacing w:after="0" w:line="300" w:lineRule="auto"/>
              <w:jc w:val="center"/>
              <w:rPr>
                <w:b/>
                <w:bCs/>
                <w:color w:val="FFFFFF"/>
                <w:szCs w:val="22"/>
              </w:rPr>
            </w:pPr>
            <w:r w:rsidRPr="00130BE7">
              <w:rPr>
                <w:b/>
                <w:bCs/>
                <w:color w:val="FFFFFF"/>
                <w:szCs w:val="22"/>
              </w:rPr>
              <w:t>Revizuire în 2022</w:t>
            </w:r>
          </w:p>
        </w:tc>
        <w:tc>
          <w:tcPr>
            <w:tcW w:w="2324" w:type="dxa"/>
            <w:gridSpan w:val="2"/>
            <w:tcBorders>
              <w:top w:val="single" w:sz="4" w:space="0" w:color="4472C4"/>
              <w:left w:val="nil"/>
              <w:bottom w:val="single" w:sz="4" w:space="0" w:color="4472C4"/>
              <w:right w:val="single" w:sz="4" w:space="0" w:color="4472C4"/>
            </w:tcBorders>
            <w:shd w:val="clear" w:color="auto" w:fill="4472C4"/>
          </w:tcPr>
          <w:p w:rsidR="00041F6F" w:rsidRPr="00130BE7" w:rsidRDefault="00041F6F" w:rsidP="00E13AA6">
            <w:pPr>
              <w:pStyle w:val="P68B1DB1-Normal17"/>
              <w:spacing w:after="0" w:line="300" w:lineRule="auto"/>
              <w:jc w:val="center"/>
              <w:rPr>
                <w:b/>
                <w:bCs/>
                <w:color w:val="FFFFFF"/>
                <w:szCs w:val="22"/>
              </w:rPr>
            </w:pPr>
            <w:r w:rsidRPr="00130BE7">
              <w:rPr>
                <w:b/>
                <w:bCs/>
                <w:color w:val="FFFFFF"/>
                <w:szCs w:val="22"/>
              </w:rPr>
              <w:t xml:space="preserve">Variația procentuală </w:t>
            </w:r>
          </w:p>
        </w:tc>
      </w:tr>
      <w:tr w:rsidR="00041F6F" w:rsidRPr="00130BE7" w:rsidTr="00E13AA6">
        <w:tc>
          <w:tcPr>
            <w:tcW w:w="2028" w:type="dxa"/>
            <w:shd w:val="clear" w:color="auto" w:fill="auto"/>
          </w:tcPr>
          <w:p w:rsidR="00041F6F" w:rsidRPr="00130BE7" w:rsidRDefault="00041F6F" w:rsidP="00E13AA6">
            <w:pPr>
              <w:pStyle w:val="P68B1DB1-Normal3"/>
              <w:spacing w:after="0" w:line="300" w:lineRule="auto"/>
              <w:rPr>
                <w:szCs w:val="22"/>
              </w:rPr>
            </w:pPr>
            <w:r w:rsidRPr="00130BE7">
              <w:rPr>
                <w:szCs w:val="22"/>
              </w:rPr>
              <w:t>Clasa de mărime</w:t>
            </w:r>
          </w:p>
        </w:tc>
        <w:tc>
          <w:tcPr>
            <w:tcW w:w="1156" w:type="dxa"/>
            <w:shd w:val="clear" w:color="auto" w:fill="auto"/>
          </w:tcPr>
          <w:p w:rsidR="00041F6F" w:rsidRPr="00130BE7" w:rsidRDefault="00041F6F" w:rsidP="00E13AA6">
            <w:pPr>
              <w:pStyle w:val="P68B1DB1-Normal3"/>
              <w:spacing w:after="0" w:line="300" w:lineRule="auto"/>
              <w:rPr>
                <w:szCs w:val="22"/>
              </w:rPr>
            </w:pPr>
            <w:r w:rsidRPr="00130BE7">
              <w:rPr>
                <w:szCs w:val="22"/>
              </w:rPr>
              <w:t>Număr</w:t>
            </w:r>
          </w:p>
        </w:tc>
        <w:tc>
          <w:tcPr>
            <w:tcW w:w="1409" w:type="dxa"/>
            <w:shd w:val="clear" w:color="auto" w:fill="auto"/>
          </w:tcPr>
          <w:p w:rsidR="00041F6F" w:rsidRPr="00130BE7" w:rsidRDefault="00041F6F" w:rsidP="00E13AA6">
            <w:pPr>
              <w:pStyle w:val="P68B1DB1-Normal3"/>
              <w:spacing w:after="0" w:line="300" w:lineRule="auto"/>
              <w:rPr>
                <w:szCs w:val="22"/>
              </w:rPr>
            </w:pPr>
            <w:r w:rsidRPr="00130BE7">
              <w:rPr>
                <w:szCs w:val="22"/>
              </w:rPr>
              <w:t>Total l.e.</w:t>
            </w:r>
          </w:p>
        </w:tc>
        <w:tc>
          <w:tcPr>
            <w:tcW w:w="1247" w:type="dxa"/>
            <w:shd w:val="clear" w:color="auto" w:fill="auto"/>
          </w:tcPr>
          <w:p w:rsidR="00041F6F" w:rsidRPr="00130BE7" w:rsidRDefault="00041F6F" w:rsidP="00E13AA6">
            <w:pPr>
              <w:pStyle w:val="P68B1DB1-Normal3"/>
              <w:spacing w:after="0" w:line="300" w:lineRule="auto"/>
              <w:rPr>
                <w:b/>
                <w:szCs w:val="22"/>
              </w:rPr>
            </w:pPr>
            <w:r w:rsidRPr="00130BE7">
              <w:rPr>
                <w:szCs w:val="22"/>
              </w:rPr>
              <w:t>Număr</w:t>
            </w:r>
          </w:p>
        </w:tc>
        <w:tc>
          <w:tcPr>
            <w:tcW w:w="1409" w:type="dxa"/>
            <w:shd w:val="clear" w:color="auto" w:fill="auto"/>
          </w:tcPr>
          <w:p w:rsidR="00041F6F" w:rsidRPr="00130BE7" w:rsidRDefault="00041F6F" w:rsidP="00E13AA6">
            <w:pPr>
              <w:pStyle w:val="P68B1DB1-Normal3"/>
              <w:spacing w:after="0" w:line="300" w:lineRule="auto"/>
              <w:rPr>
                <w:szCs w:val="22"/>
              </w:rPr>
            </w:pPr>
            <w:r w:rsidRPr="00130BE7">
              <w:rPr>
                <w:szCs w:val="22"/>
              </w:rPr>
              <w:t>Total l.e.</w:t>
            </w:r>
          </w:p>
        </w:tc>
        <w:tc>
          <w:tcPr>
            <w:tcW w:w="1124" w:type="dxa"/>
            <w:shd w:val="clear" w:color="auto" w:fill="auto"/>
          </w:tcPr>
          <w:p w:rsidR="00041F6F" w:rsidRPr="00130BE7" w:rsidRDefault="00041F6F" w:rsidP="00E13AA6">
            <w:pPr>
              <w:pStyle w:val="P68B1DB1-Normal3"/>
              <w:spacing w:after="0" w:line="300" w:lineRule="auto"/>
              <w:rPr>
                <w:szCs w:val="22"/>
              </w:rPr>
            </w:pPr>
            <w:r w:rsidRPr="00130BE7">
              <w:rPr>
                <w:szCs w:val="22"/>
              </w:rPr>
              <w:t>Număr</w:t>
            </w:r>
          </w:p>
        </w:tc>
        <w:tc>
          <w:tcPr>
            <w:tcW w:w="1200" w:type="dxa"/>
            <w:shd w:val="clear" w:color="auto" w:fill="auto"/>
          </w:tcPr>
          <w:p w:rsidR="00041F6F" w:rsidRPr="00130BE7" w:rsidRDefault="00041F6F" w:rsidP="00E13AA6">
            <w:pPr>
              <w:pStyle w:val="P68B1DB1-Normal3"/>
              <w:spacing w:after="0" w:line="300" w:lineRule="auto"/>
              <w:rPr>
                <w:szCs w:val="22"/>
              </w:rPr>
            </w:pPr>
            <w:r w:rsidRPr="00130BE7">
              <w:rPr>
                <w:szCs w:val="22"/>
              </w:rPr>
              <w:t>Total l.e.</w:t>
            </w:r>
          </w:p>
        </w:tc>
      </w:tr>
      <w:tr w:rsidR="00041F6F" w:rsidRPr="00130BE7" w:rsidTr="00E13AA6">
        <w:tc>
          <w:tcPr>
            <w:tcW w:w="2028" w:type="dxa"/>
            <w:shd w:val="clear" w:color="auto" w:fill="auto"/>
          </w:tcPr>
          <w:p w:rsidR="00041F6F" w:rsidRPr="00130BE7" w:rsidRDefault="00041F6F" w:rsidP="00E13AA6">
            <w:pPr>
              <w:pStyle w:val="P68B1DB1-Normal3"/>
              <w:spacing w:after="0" w:line="300" w:lineRule="auto"/>
              <w:rPr>
                <w:szCs w:val="22"/>
              </w:rPr>
            </w:pPr>
            <w:r w:rsidRPr="00130BE7">
              <w:rPr>
                <w:szCs w:val="22"/>
              </w:rPr>
              <w:t>&gt; 100</w:t>
            </w:r>
            <w:r>
              <w:rPr>
                <w:szCs w:val="22"/>
              </w:rPr>
              <w:t>.</w:t>
            </w:r>
            <w:r w:rsidRPr="00130BE7">
              <w:rPr>
                <w:szCs w:val="22"/>
              </w:rPr>
              <w:t>000</w:t>
            </w:r>
          </w:p>
        </w:tc>
        <w:tc>
          <w:tcPr>
            <w:tcW w:w="1156"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23</w:t>
            </w:r>
          </w:p>
        </w:tc>
        <w:tc>
          <w:tcPr>
            <w:tcW w:w="1409" w:type="dxa"/>
            <w:shd w:val="clear" w:color="auto" w:fill="auto"/>
          </w:tcPr>
          <w:p w:rsidR="00041F6F" w:rsidRPr="00130BE7" w:rsidRDefault="00041F6F" w:rsidP="00E13AA6">
            <w:pPr>
              <w:pStyle w:val="P68B1DB1-Default18"/>
              <w:spacing w:line="300" w:lineRule="auto"/>
              <w:jc w:val="right"/>
              <w:rPr>
                <w:szCs w:val="22"/>
              </w:rPr>
            </w:pPr>
            <w:r w:rsidRPr="00130BE7">
              <w:rPr>
                <w:szCs w:val="22"/>
              </w:rPr>
              <w:t>7</w:t>
            </w:r>
            <w:r>
              <w:rPr>
                <w:szCs w:val="22"/>
              </w:rPr>
              <w:t>.</w:t>
            </w:r>
            <w:r w:rsidRPr="00130BE7">
              <w:rPr>
                <w:szCs w:val="22"/>
              </w:rPr>
              <w:t>421</w:t>
            </w:r>
            <w:r>
              <w:rPr>
                <w:szCs w:val="22"/>
              </w:rPr>
              <w:t>.</w:t>
            </w:r>
            <w:r w:rsidRPr="00130BE7">
              <w:rPr>
                <w:szCs w:val="22"/>
              </w:rPr>
              <w:t>719</w:t>
            </w:r>
          </w:p>
        </w:tc>
        <w:tc>
          <w:tcPr>
            <w:tcW w:w="1247"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23</w:t>
            </w:r>
          </w:p>
        </w:tc>
        <w:tc>
          <w:tcPr>
            <w:tcW w:w="1409"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6</w:t>
            </w:r>
            <w:r>
              <w:rPr>
                <w:szCs w:val="22"/>
              </w:rPr>
              <w:t>.</w:t>
            </w:r>
            <w:r w:rsidRPr="00130BE7">
              <w:rPr>
                <w:szCs w:val="22"/>
              </w:rPr>
              <w:t>827</w:t>
            </w:r>
            <w:r>
              <w:rPr>
                <w:szCs w:val="22"/>
              </w:rPr>
              <w:t>.</w:t>
            </w:r>
            <w:r w:rsidRPr="00130BE7">
              <w:rPr>
                <w:szCs w:val="22"/>
              </w:rPr>
              <w:t>395</w:t>
            </w:r>
          </w:p>
        </w:tc>
        <w:tc>
          <w:tcPr>
            <w:tcW w:w="1124"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0 %</w:t>
            </w:r>
          </w:p>
        </w:tc>
        <w:tc>
          <w:tcPr>
            <w:tcW w:w="1200"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—9 %</w:t>
            </w:r>
          </w:p>
        </w:tc>
      </w:tr>
      <w:tr w:rsidR="00041F6F" w:rsidRPr="00130BE7" w:rsidTr="00E13AA6">
        <w:tc>
          <w:tcPr>
            <w:tcW w:w="2028" w:type="dxa"/>
            <w:shd w:val="clear" w:color="auto" w:fill="auto"/>
          </w:tcPr>
          <w:p w:rsidR="00041F6F" w:rsidRPr="00130BE7" w:rsidRDefault="00041F6F" w:rsidP="00E13AA6">
            <w:pPr>
              <w:pStyle w:val="P68B1DB1-Normal3"/>
              <w:spacing w:after="0" w:line="300" w:lineRule="auto"/>
              <w:rPr>
                <w:szCs w:val="22"/>
              </w:rPr>
            </w:pPr>
            <w:r w:rsidRPr="00130BE7">
              <w:rPr>
                <w:szCs w:val="22"/>
              </w:rPr>
              <w:t>10</w:t>
            </w:r>
            <w:r>
              <w:rPr>
                <w:szCs w:val="22"/>
              </w:rPr>
              <w:t>.</w:t>
            </w:r>
            <w:r w:rsidRPr="00130BE7">
              <w:rPr>
                <w:szCs w:val="22"/>
              </w:rPr>
              <w:t>000-100</w:t>
            </w:r>
            <w:r>
              <w:rPr>
                <w:szCs w:val="22"/>
              </w:rPr>
              <w:t>.</w:t>
            </w:r>
            <w:r w:rsidRPr="00130BE7">
              <w:rPr>
                <w:szCs w:val="22"/>
              </w:rPr>
              <w:t>000</w:t>
            </w:r>
          </w:p>
        </w:tc>
        <w:tc>
          <w:tcPr>
            <w:tcW w:w="1156"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173</w:t>
            </w:r>
          </w:p>
        </w:tc>
        <w:tc>
          <w:tcPr>
            <w:tcW w:w="1409" w:type="dxa"/>
            <w:shd w:val="clear" w:color="auto" w:fill="auto"/>
          </w:tcPr>
          <w:p w:rsidR="00041F6F" w:rsidRPr="00130BE7" w:rsidRDefault="00041F6F" w:rsidP="00E13AA6">
            <w:pPr>
              <w:pStyle w:val="P68B1DB1-Default18"/>
              <w:spacing w:line="300" w:lineRule="auto"/>
              <w:jc w:val="right"/>
              <w:rPr>
                <w:szCs w:val="22"/>
              </w:rPr>
            </w:pPr>
            <w:r w:rsidRPr="00130BE7">
              <w:rPr>
                <w:szCs w:val="22"/>
              </w:rPr>
              <w:t>6</w:t>
            </w:r>
            <w:r>
              <w:rPr>
                <w:szCs w:val="22"/>
              </w:rPr>
              <w:t>.</w:t>
            </w:r>
            <w:r w:rsidRPr="00130BE7">
              <w:rPr>
                <w:szCs w:val="22"/>
              </w:rPr>
              <w:t>255</w:t>
            </w:r>
            <w:r>
              <w:rPr>
                <w:szCs w:val="22"/>
              </w:rPr>
              <w:t>.</w:t>
            </w:r>
            <w:r w:rsidRPr="00130BE7">
              <w:rPr>
                <w:szCs w:val="22"/>
              </w:rPr>
              <w:t>752</w:t>
            </w:r>
          </w:p>
        </w:tc>
        <w:tc>
          <w:tcPr>
            <w:tcW w:w="1247"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158</w:t>
            </w:r>
          </w:p>
        </w:tc>
        <w:tc>
          <w:tcPr>
            <w:tcW w:w="1409"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4</w:t>
            </w:r>
            <w:r>
              <w:rPr>
                <w:szCs w:val="22"/>
              </w:rPr>
              <w:t>.</w:t>
            </w:r>
            <w:r w:rsidRPr="00130BE7">
              <w:rPr>
                <w:szCs w:val="22"/>
              </w:rPr>
              <w:t>472</w:t>
            </w:r>
            <w:r>
              <w:rPr>
                <w:szCs w:val="22"/>
              </w:rPr>
              <w:t>.</w:t>
            </w:r>
            <w:r w:rsidRPr="00130BE7">
              <w:rPr>
                <w:szCs w:val="22"/>
              </w:rPr>
              <w:t>893</w:t>
            </w:r>
          </w:p>
        </w:tc>
        <w:tc>
          <w:tcPr>
            <w:tcW w:w="1124"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—9 %</w:t>
            </w:r>
          </w:p>
        </w:tc>
        <w:tc>
          <w:tcPr>
            <w:tcW w:w="1200"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—40 %</w:t>
            </w:r>
          </w:p>
        </w:tc>
      </w:tr>
      <w:tr w:rsidR="00041F6F" w:rsidRPr="00130BE7" w:rsidTr="00E13AA6">
        <w:tc>
          <w:tcPr>
            <w:tcW w:w="2028" w:type="dxa"/>
            <w:shd w:val="clear" w:color="auto" w:fill="auto"/>
          </w:tcPr>
          <w:p w:rsidR="00041F6F" w:rsidRPr="00130BE7" w:rsidRDefault="00041F6F" w:rsidP="00E13AA6">
            <w:pPr>
              <w:pStyle w:val="P68B1DB1-Normal3"/>
              <w:spacing w:after="0" w:line="300" w:lineRule="auto"/>
              <w:rPr>
                <w:szCs w:val="22"/>
              </w:rPr>
            </w:pPr>
            <w:r w:rsidRPr="00130BE7">
              <w:rPr>
                <w:szCs w:val="22"/>
              </w:rPr>
              <w:t>2000-10</w:t>
            </w:r>
            <w:r>
              <w:rPr>
                <w:szCs w:val="22"/>
              </w:rPr>
              <w:t>.</w:t>
            </w:r>
            <w:r w:rsidRPr="00130BE7">
              <w:rPr>
                <w:szCs w:val="22"/>
              </w:rPr>
              <w:t>000</w:t>
            </w:r>
          </w:p>
        </w:tc>
        <w:tc>
          <w:tcPr>
            <w:tcW w:w="1156"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1</w:t>
            </w:r>
            <w:r>
              <w:rPr>
                <w:szCs w:val="22"/>
              </w:rPr>
              <w:t>.</w:t>
            </w:r>
            <w:r w:rsidRPr="00130BE7">
              <w:rPr>
                <w:szCs w:val="22"/>
              </w:rPr>
              <w:t>628</w:t>
            </w:r>
          </w:p>
        </w:tc>
        <w:tc>
          <w:tcPr>
            <w:tcW w:w="1409" w:type="dxa"/>
            <w:shd w:val="clear" w:color="auto" w:fill="auto"/>
          </w:tcPr>
          <w:p w:rsidR="00041F6F" w:rsidRPr="00130BE7" w:rsidRDefault="00041F6F" w:rsidP="00E13AA6">
            <w:pPr>
              <w:pStyle w:val="P68B1DB1-Default18"/>
              <w:spacing w:line="300" w:lineRule="auto"/>
              <w:jc w:val="right"/>
              <w:rPr>
                <w:szCs w:val="22"/>
              </w:rPr>
            </w:pPr>
            <w:r w:rsidRPr="00130BE7">
              <w:rPr>
                <w:szCs w:val="22"/>
              </w:rPr>
              <w:t>6</w:t>
            </w:r>
            <w:r>
              <w:rPr>
                <w:szCs w:val="22"/>
              </w:rPr>
              <w:t>.</w:t>
            </w:r>
            <w:r w:rsidRPr="00130BE7">
              <w:rPr>
                <w:szCs w:val="22"/>
              </w:rPr>
              <w:t>101</w:t>
            </w:r>
            <w:r>
              <w:rPr>
                <w:szCs w:val="22"/>
              </w:rPr>
              <w:t>.</w:t>
            </w:r>
            <w:r w:rsidRPr="00130BE7">
              <w:rPr>
                <w:szCs w:val="22"/>
              </w:rPr>
              <w:t>163</w:t>
            </w:r>
          </w:p>
        </w:tc>
        <w:tc>
          <w:tcPr>
            <w:tcW w:w="1247"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1</w:t>
            </w:r>
            <w:r>
              <w:rPr>
                <w:szCs w:val="22"/>
              </w:rPr>
              <w:t>.</w:t>
            </w:r>
            <w:r w:rsidRPr="00130BE7">
              <w:rPr>
                <w:szCs w:val="22"/>
              </w:rPr>
              <w:t>038</w:t>
            </w:r>
          </w:p>
        </w:tc>
        <w:tc>
          <w:tcPr>
            <w:tcW w:w="1409"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3</w:t>
            </w:r>
            <w:r>
              <w:rPr>
                <w:szCs w:val="22"/>
              </w:rPr>
              <w:t>.</w:t>
            </w:r>
            <w:r w:rsidRPr="00130BE7">
              <w:rPr>
                <w:szCs w:val="22"/>
              </w:rPr>
              <w:t>997</w:t>
            </w:r>
            <w:r>
              <w:rPr>
                <w:szCs w:val="22"/>
              </w:rPr>
              <w:t>.</w:t>
            </w:r>
            <w:r w:rsidRPr="00130BE7">
              <w:rPr>
                <w:szCs w:val="22"/>
              </w:rPr>
              <w:t>049</w:t>
            </w:r>
          </w:p>
        </w:tc>
        <w:tc>
          <w:tcPr>
            <w:tcW w:w="1124"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—57 %</w:t>
            </w:r>
          </w:p>
        </w:tc>
        <w:tc>
          <w:tcPr>
            <w:tcW w:w="1200" w:type="dxa"/>
            <w:shd w:val="clear" w:color="auto" w:fill="auto"/>
          </w:tcPr>
          <w:p w:rsidR="00041F6F" w:rsidRPr="00130BE7" w:rsidRDefault="00041F6F" w:rsidP="00E13AA6">
            <w:pPr>
              <w:pStyle w:val="P68B1DB1-Normal7"/>
              <w:spacing w:after="0" w:line="300" w:lineRule="auto"/>
              <w:jc w:val="right"/>
              <w:rPr>
                <w:rFonts w:cs="Calibri"/>
                <w:szCs w:val="22"/>
              </w:rPr>
            </w:pPr>
            <w:r w:rsidRPr="00130BE7">
              <w:rPr>
                <w:szCs w:val="22"/>
              </w:rPr>
              <w:t>—53 %</w:t>
            </w:r>
          </w:p>
        </w:tc>
      </w:tr>
      <w:tr w:rsidR="00041F6F" w:rsidRPr="00130BE7" w:rsidTr="00E13AA6">
        <w:tc>
          <w:tcPr>
            <w:tcW w:w="2028" w:type="dxa"/>
            <w:tcBorders>
              <w:top w:val="double" w:sz="4" w:space="0" w:color="4472C4"/>
            </w:tcBorders>
            <w:shd w:val="clear" w:color="auto" w:fill="auto"/>
          </w:tcPr>
          <w:p w:rsidR="00041F6F" w:rsidRPr="00130BE7" w:rsidRDefault="00041F6F" w:rsidP="00E13AA6">
            <w:pPr>
              <w:pStyle w:val="P68B1DB1-Normal3"/>
              <w:spacing w:after="0" w:line="300" w:lineRule="auto"/>
              <w:rPr>
                <w:b/>
                <w:bCs/>
                <w:szCs w:val="22"/>
              </w:rPr>
            </w:pPr>
            <w:r w:rsidRPr="00130BE7">
              <w:rPr>
                <w:b/>
                <w:bCs/>
                <w:szCs w:val="22"/>
              </w:rPr>
              <w:t>Total</w:t>
            </w:r>
          </w:p>
        </w:tc>
        <w:tc>
          <w:tcPr>
            <w:tcW w:w="1156" w:type="dxa"/>
            <w:tcBorders>
              <w:top w:val="double" w:sz="4" w:space="0" w:color="4472C4"/>
            </w:tcBorders>
            <w:shd w:val="clear" w:color="auto" w:fill="auto"/>
          </w:tcPr>
          <w:p w:rsidR="00041F6F" w:rsidRPr="00130BE7" w:rsidRDefault="00041F6F" w:rsidP="00E13AA6">
            <w:pPr>
              <w:pStyle w:val="P68B1DB1-Normal7"/>
              <w:spacing w:after="0" w:line="300" w:lineRule="auto"/>
              <w:jc w:val="right"/>
              <w:rPr>
                <w:rFonts w:cs="Calibri"/>
                <w:b/>
                <w:bCs/>
                <w:szCs w:val="22"/>
              </w:rPr>
            </w:pPr>
            <w:r w:rsidRPr="00130BE7">
              <w:rPr>
                <w:b/>
                <w:bCs/>
                <w:szCs w:val="22"/>
              </w:rPr>
              <w:t>1</w:t>
            </w:r>
            <w:r>
              <w:rPr>
                <w:b/>
                <w:bCs/>
                <w:szCs w:val="22"/>
              </w:rPr>
              <w:t>.</w:t>
            </w:r>
            <w:r w:rsidRPr="00130BE7">
              <w:rPr>
                <w:b/>
                <w:bCs/>
                <w:szCs w:val="22"/>
              </w:rPr>
              <w:t>828</w:t>
            </w:r>
          </w:p>
        </w:tc>
        <w:tc>
          <w:tcPr>
            <w:tcW w:w="1409" w:type="dxa"/>
            <w:tcBorders>
              <w:top w:val="double" w:sz="4" w:space="0" w:color="4472C4"/>
            </w:tcBorders>
            <w:shd w:val="clear" w:color="auto" w:fill="auto"/>
          </w:tcPr>
          <w:p w:rsidR="00041F6F" w:rsidRPr="00130BE7" w:rsidRDefault="00041F6F" w:rsidP="00E13AA6">
            <w:pPr>
              <w:pStyle w:val="P68B1DB1-Default18"/>
              <w:spacing w:line="300" w:lineRule="auto"/>
              <w:jc w:val="right"/>
              <w:rPr>
                <w:b/>
                <w:bCs/>
                <w:szCs w:val="22"/>
              </w:rPr>
            </w:pPr>
            <w:r w:rsidRPr="00130BE7">
              <w:rPr>
                <w:b/>
                <w:bCs/>
                <w:szCs w:val="22"/>
              </w:rPr>
              <w:t>19</w:t>
            </w:r>
            <w:r>
              <w:rPr>
                <w:b/>
                <w:bCs/>
                <w:szCs w:val="22"/>
              </w:rPr>
              <w:t>.</w:t>
            </w:r>
            <w:r w:rsidRPr="00130BE7">
              <w:rPr>
                <w:b/>
                <w:bCs/>
                <w:szCs w:val="22"/>
              </w:rPr>
              <w:t>778</w:t>
            </w:r>
            <w:r>
              <w:rPr>
                <w:b/>
                <w:bCs/>
                <w:szCs w:val="22"/>
              </w:rPr>
              <w:t>.</w:t>
            </w:r>
            <w:r w:rsidRPr="00130BE7">
              <w:rPr>
                <w:b/>
                <w:bCs/>
                <w:szCs w:val="22"/>
              </w:rPr>
              <w:t>634</w:t>
            </w:r>
          </w:p>
        </w:tc>
        <w:tc>
          <w:tcPr>
            <w:tcW w:w="1247" w:type="dxa"/>
            <w:tcBorders>
              <w:top w:val="double" w:sz="4" w:space="0" w:color="4472C4"/>
            </w:tcBorders>
            <w:shd w:val="clear" w:color="auto" w:fill="auto"/>
          </w:tcPr>
          <w:p w:rsidR="00041F6F" w:rsidRPr="00130BE7" w:rsidRDefault="00041F6F" w:rsidP="00E13AA6">
            <w:pPr>
              <w:pStyle w:val="P68B1DB1-Normal7"/>
              <w:spacing w:after="0" w:line="300" w:lineRule="auto"/>
              <w:jc w:val="right"/>
              <w:rPr>
                <w:rFonts w:cs="Calibri"/>
                <w:b/>
                <w:bCs/>
                <w:szCs w:val="22"/>
              </w:rPr>
            </w:pPr>
            <w:r w:rsidRPr="00130BE7">
              <w:rPr>
                <w:b/>
                <w:bCs/>
                <w:szCs w:val="22"/>
              </w:rPr>
              <w:t>1</w:t>
            </w:r>
            <w:r>
              <w:rPr>
                <w:b/>
                <w:bCs/>
                <w:szCs w:val="22"/>
              </w:rPr>
              <w:t>.</w:t>
            </w:r>
            <w:r w:rsidRPr="00130BE7">
              <w:rPr>
                <w:b/>
                <w:bCs/>
                <w:szCs w:val="22"/>
              </w:rPr>
              <w:t>219</w:t>
            </w:r>
          </w:p>
        </w:tc>
        <w:tc>
          <w:tcPr>
            <w:tcW w:w="1409" w:type="dxa"/>
            <w:tcBorders>
              <w:top w:val="double" w:sz="4" w:space="0" w:color="4472C4"/>
            </w:tcBorders>
            <w:shd w:val="clear" w:color="auto" w:fill="auto"/>
          </w:tcPr>
          <w:p w:rsidR="00041F6F" w:rsidRPr="00130BE7" w:rsidRDefault="00041F6F" w:rsidP="00E13AA6">
            <w:pPr>
              <w:pStyle w:val="P68B1DB1-Normal7"/>
              <w:spacing w:after="0" w:line="300" w:lineRule="auto"/>
              <w:jc w:val="right"/>
              <w:rPr>
                <w:rFonts w:cs="Calibri"/>
                <w:b/>
                <w:bCs/>
                <w:szCs w:val="22"/>
              </w:rPr>
            </w:pPr>
            <w:r w:rsidRPr="00130BE7">
              <w:rPr>
                <w:b/>
                <w:bCs/>
                <w:szCs w:val="22"/>
              </w:rPr>
              <w:t>15</w:t>
            </w:r>
            <w:r>
              <w:rPr>
                <w:b/>
                <w:bCs/>
                <w:szCs w:val="22"/>
              </w:rPr>
              <w:t>.</w:t>
            </w:r>
            <w:r w:rsidRPr="00130BE7">
              <w:rPr>
                <w:b/>
                <w:bCs/>
                <w:szCs w:val="22"/>
              </w:rPr>
              <w:t>297</w:t>
            </w:r>
            <w:r>
              <w:rPr>
                <w:b/>
                <w:bCs/>
                <w:szCs w:val="22"/>
              </w:rPr>
              <w:t>.</w:t>
            </w:r>
            <w:r w:rsidRPr="00130BE7">
              <w:rPr>
                <w:b/>
                <w:bCs/>
                <w:szCs w:val="22"/>
              </w:rPr>
              <w:t>337</w:t>
            </w:r>
          </w:p>
        </w:tc>
        <w:tc>
          <w:tcPr>
            <w:tcW w:w="1124" w:type="dxa"/>
            <w:tcBorders>
              <w:top w:val="double" w:sz="4" w:space="0" w:color="4472C4"/>
            </w:tcBorders>
            <w:shd w:val="clear" w:color="auto" w:fill="auto"/>
          </w:tcPr>
          <w:p w:rsidR="00041F6F" w:rsidRPr="00130BE7" w:rsidRDefault="00041F6F" w:rsidP="00E13AA6">
            <w:pPr>
              <w:pStyle w:val="P68B1DB1-Normal7"/>
              <w:spacing w:after="0" w:line="300" w:lineRule="auto"/>
              <w:jc w:val="right"/>
              <w:rPr>
                <w:rFonts w:cs="Calibri"/>
                <w:b/>
                <w:bCs/>
                <w:szCs w:val="22"/>
              </w:rPr>
            </w:pPr>
            <w:r w:rsidRPr="00130BE7">
              <w:rPr>
                <w:b/>
                <w:bCs/>
                <w:szCs w:val="22"/>
              </w:rPr>
              <w:t>—33 %</w:t>
            </w:r>
          </w:p>
        </w:tc>
        <w:tc>
          <w:tcPr>
            <w:tcW w:w="1200" w:type="dxa"/>
            <w:tcBorders>
              <w:top w:val="double" w:sz="4" w:space="0" w:color="4472C4"/>
            </w:tcBorders>
            <w:shd w:val="clear" w:color="auto" w:fill="auto"/>
          </w:tcPr>
          <w:p w:rsidR="00041F6F" w:rsidRPr="00130BE7" w:rsidRDefault="00041F6F" w:rsidP="00E13AA6">
            <w:pPr>
              <w:pStyle w:val="P68B1DB1-Normal7"/>
              <w:spacing w:after="0" w:line="300" w:lineRule="auto"/>
              <w:jc w:val="right"/>
              <w:rPr>
                <w:rFonts w:cs="Calibri"/>
                <w:b/>
                <w:bCs/>
                <w:szCs w:val="22"/>
              </w:rPr>
            </w:pPr>
            <w:r w:rsidRPr="00130BE7">
              <w:rPr>
                <w:b/>
                <w:bCs/>
                <w:szCs w:val="22"/>
              </w:rPr>
              <w:t>—29 %</w:t>
            </w:r>
          </w:p>
        </w:tc>
      </w:tr>
    </w:tbl>
    <w:p w:rsidR="00041F6F" w:rsidRPr="00E62FDB" w:rsidRDefault="00041F6F" w:rsidP="00F746AF">
      <w:pPr>
        <w:numPr>
          <w:ilvl w:val="0"/>
          <w:numId w:val="67"/>
        </w:numPr>
        <w:tabs>
          <w:tab w:val="left" w:pos="993"/>
        </w:tabs>
        <w:ind w:left="0" w:firstLine="709"/>
        <w:jc w:val="both"/>
        <w:rPr>
          <w:rFonts w:ascii="Trebuchet MS" w:hAnsi="Trebuchet MS" w:cs="Arial"/>
          <w:sz w:val="22"/>
          <w:szCs w:val="22"/>
          <w:lang w:val="it-IT" w:eastAsia="ja-JP"/>
        </w:rPr>
      </w:pPr>
      <w:r w:rsidRPr="00E62FDB">
        <w:rPr>
          <w:rFonts w:ascii="Trebuchet MS" w:hAnsi="Trebuchet MS" w:cs="Arial"/>
          <w:b/>
          <w:sz w:val="22"/>
          <w:szCs w:val="22"/>
          <w:lang w:val="it-IT" w:eastAsia="ja-JP"/>
        </w:rPr>
        <w:t>nivelul de încredere sc</w:t>
      </w:r>
      <w:r w:rsidRPr="00E62FDB">
        <w:rPr>
          <w:rFonts w:ascii="Trebuchet MS" w:hAnsi="Trebuchet MS" w:cs="Arial"/>
          <w:b/>
          <w:sz w:val="22"/>
          <w:szCs w:val="22"/>
          <w:lang w:eastAsia="ja-JP"/>
        </w:rPr>
        <w:t>ă</w:t>
      </w:r>
      <w:r w:rsidRPr="00E62FDB">
        <w:rPr>
          <w:rFonts w:ascii="Trebuchet MS" w:hAnsi="Trebuchet MS" w:cs="Arial"/>
          <w:b/>
          <w:sz w:val="22"/>
          <w:szCs w:val="22"/>
          <w:lang w:val="it-IT" w:eastAsia="ja-JP"/>
        </w:rPr>
        <w:t>zut al datelor și informațiilor transmise</w:t>
      </w:r>
      <w:r w:rsidRPr="00E62FDB">
        <w:rPr>
          <w:rFonts w:ascii="Trebuchet MS" w:hAnsi="Trebuchet MS" w:cs="Arial"/>
          <w:sz w:val="22"/>
          <w:szCs w:val="22"/>
          <w:lang w:val="it-IT" w:eastAsia="ja-JP"/>
        </w:rPr>
        <w:t>, datorat atât unor interpretări eronate ale cerințelor Directivei și a datelor solicitate pentru raportare, dar și a inconsecvenței informațiilor furnizate de către operatorii de servicii de apă și autoritățile locale; astfel, au fost identificate probleme serioase în interpretarea noțiunilor de aglomerare versus cluster, delimitarea și dimensiunea în locuitori echivalenți a aglomerărilor (confuzie între aglomerare și unitate administrativ teritorială), calculul gradului de conectare al locuitorilor echivalenți la sistemele centralizate de colectare și epurare (la calcularea gradului de conectare trebuie sa se ia în calcul nr. l.e. conectați efectiv la sistemul de canalizare și nu se ia in calcul rețeaua de canalizare realizată, și gradul se raportează la întreaga dimensiune a aglomerării). Aceste probleme au necesitat refacerea chestionarelor de colectarea datelor pentru raportare, în special a celor referitoare la aglomerările mai mari de 10.000 l.e., cu corecții conform recomandărilor reprezentanților Administrațiilor Bazinale de Apă. În condițiile în care la nivelul consultanților care fundamentează aplicațiile de finanțare nu este abordat corect modul de determinare a locuitorilor echivalenți, există o dinamică greu de înțeles în privința modificării localităților componente ale aglomerărilor. Acest lucru va avea implicații în permanență în evaluarea gradelor de colectare și epurare care va fi de regulă mai mic decât la raportările anterioare. În acest context, o metodologie aprobată pentru calculul locuitorilor echivalenți și pentru criterii de verificare a conformității privind colectarea epurarea și validarea datelor, ar fi utilă în surmontarea acestor probleme.</w:t>
      </w:r>
    </w:p>
    <w:p w:rsidR="00041F6F" w:rsidRPr="00E62FDB" w:rsidRDefault="00041F6F" w:rsidP="00F746AF">
      <w:pPr>
        <w:ind w:firstLine="709"/>
        <w:jc w:val="both"/>
        <w:rPr>
          <w:rFonts w:ascii="Trebuchet MS" w:hAnsi="Trebuchet MS" w:cs="Arial"/>
          <w:sz w:val="22"/>
          <w:szCs w:val="22"/>
          <w:lang w:val="it-IT" w:eastAsia="ja-JP"/>
        </w:rPr>
      </w:pPr>
      <w:r w:rsidRPr="00E62FDB">
        <w:rPr>
          <w:rFonts w:ascii="Trebuchet MS" w:hAnsi="Trebuchet MS" w:cs="Arial"/>
          <w:sz w:val="22"/>
          <w:szCs w:val="22"/>
          <w:lang w:val="it-IT" w:eastAsia="ja-JP"/>
        </w:rPr>
        <w:t>În vederea creșterii nivelului de încredere al datelor și informațiilor transmise, a fost dezvoltată o aplicație informatică la nivelul Administrației Naționale „Apele Române” pentru digitalizarea și raportarea de către operatorii de servicii de apă uzată și autorități ale administrației publice locale a datelor și informațiilor validate din domeniul apelor uzate. Finanțat prin Programul Operaţional Capacitate Administrativă 2014-2020, proiectul</w:t>
      </w:r>
      <w:r w:rsidRPr="00E62FDB">
        <w:rPr>
          <w:rStyle w:val="FootnoteReference"/>
          <w:rFonts w:ascii="Trebuchet MS" w:hAnsi="Trebuchet MS" w:cs="Arial"/>
          <w:sz w:val="22"/>
          <w:szCs w:val="22"/>
          <w:lang w:val="it-IT" w:eastAsia="ja-JP"/>
        </w:rPr>
        <w:footnoteReference w:id="2"/>
      </w:r>
      <w:r w:rsidRPr="00E62FDB">
        <w:rPr>
          <w:rFonts w:ascii="Trebuchet MS" w:hAnsi="Trebuchet MS" w:cs="Arial"/>
          <w:sz w:val="22"/>
          <w:szCs w:val="22"/>
          <w:lang w:val="it-IT" w:eastAsia="ja-JP"/>
        </w:rPr>
        <w:t xml:space="preserve"> „</w:t>
      </w:r>
      <w:r w:rsidRPr="00E62FDB">
        <w:rPr>
          <w:rFonts w:ascii="Trebuchet MS" w:hAnsi="Trebuchet MS" w:cs="Arial"/>
          <w:i/>
          <w:iCs/>
          <w:sz w:val="22"/>
          <w:szCs w:val="22"/>
          <w:lang w:val="it-IT" w:eastAsia="ja-JP"/>
        </w:rPr>
        <w:t>Îmbunătățirea capacității autorității publice centrale în domeniul managementului apelor în ceea ce privește planificarea, implementarea și raportarea cerințelor europene din domeniul apelor”</w:t>
      </w:r>
      <w:r w:rsidRPr="00E62FDB">
        <w:rPr>
          <w:rFonts w:ascii="Trebuchet MS" w:hAnsi="Trebuchet MS" w:cs="Arial"/>
          <w:sz w:val="22"/>
          <w:szCs w:val="22"/>
          <w:lang w:val="it-IT" w:eastAsia="ja-JP"/>
        </w:rPr>
        <w:t xml:space="preserve"> (SIPOCA 588)  a fost necesar pentru a gestiona eficient problematica sectorului de apă uzată.</w:t>
      </w:r>
    </w:p>
    <w:p w:rsidR="00041F6F" w:rsidRPr="00130BE7" w:rsidRDefault="00041F6F" w:rsidP="00F746AF">
      <w:pPr>
        <w:ind w:firstLine="720"/>
        <w:jc w:val="both"/>
        <w:rPr>
          <w:rFonts w:ascii="Trebuchet MS" w:hAnsi="Trebuchet MS" w:cs="Arial"/>
          <w:lang w:val="it-IT" w:eastAsia="ja-JP"/>
        </w:rPr>
      </w:pPr>
      <w:r w:rsidRPr="00E62FDB">
        <w:rPr>
          <w:rFonts w:ascii="Trebuchet MS" w:hAnsi="Trebuchet MS" w:cs="Arial"/>
          <w:sz w:val="22"/>
          <w:szCs w:val="22"/>
          <w:lang w:val="it-IT"/>
        </w:rPr>
        <w:t xml:space="preserve">La nivel de județe </w:t>
      </w:r>
      <w:r w:rsidRPr="00E62FDB">
        <w:rPr>
          <w:rFonts w:ascii="Trebuchet MS" w:hAnsi="Trebuchet MS" w:cs="Arial"/>
          <w:i/>
          <w:sz w:val="22"/>
          <w:szCs w:val="22"/>
          <w:lang w:val="it-IT"/>
        </w:rPr>
        <w:t xml:space="preserve">(Figura </w:t>
      </w:r>
      <w:r w:rsidRPr="00E62FDB">
        <w:rPr>
          <w:rFonts w:ascii="Trebuchet MS" w:hAnsi="Trebuchet MS" w:cs="Arial"/>
          <w:i/>
          <w:noProof/>
          <w:sz w:val="22"/>
          <w:szCs w:val="22"/>
          <w:lang w:eastAsia="ro-RO"/>
        </w:rPr>
        <w:t xml:space="preserve">II.2.2.2.6), </w:t>
      </w:r>
      <w:r w:rsidRPr="00E62FDB">
        <w:rPr>
          <w:rFonts w:ascii="Trebuchet MS" w:hAnsi="Trebuchet MS" w:cs="Arial"/>
          <w:noProof/>
          <w:sz w:val="22"/>
          <w:szCs w:val="22"/>
          <w:lang w:eastAsia="ro-RO"/>
        </w:rPr>
        <w:t>c</w:t>
      </w:r>
      <w:r w:rsidRPr="00E62FDB">
        <w:rPr>
          <w:rFonts w:ascii="Trebuchet MS" w:hAnsi="Trebuchet MS" w:cs="Arial"/>
          <w:sz w:val="22"/>
          <w:szCs w:val="22"/>
          <w:lang w:val="it-IT"/>
        </w:rPr>
        <w:t xml:space="preserve">ele mai ridicate grade de racordare la reţele de canalizare (peste 80%) sunt identificate în </w:t>
      </w:r>
      <w:r w:rsidRPr="00E62FDB">
        <w:rPr>
          <w:rFonts w:ascii="Trebuchet MS" w:hAnsi="Trebuchet MS" w:cs="Arial"/>
          <w:sz w:val="22"/>
          <w:szCs w:val="22"/>
          <w:lang w:val="it-IT" w:eastAsia="ja-JP"/>
        </w:rPr>
        <w:t>12 judeţe (</w:t>
      </w:r>
      <w:r w:rsidRPr="00E62FDB">
        <w:rPr>
          <w:rFonts w:ascii="Trebuchet MS" w:eastAsia="Times New Roman" w:hAnsi="Trebuchet MS" w:cs="Arial"/>
          <w:sz w:val="22"/>
          <w:szCs w:val="22"/>
          <w:lang w:val="it-IT"/>
        </w:rPr>
        <w:t>Alba,</w:t>
      </w:r>
      <w:r w:rsidRPr="00E62FDB">
        <w:rPr>
          <w:rFonts w:ascii="Trebuchet MS" w:hAnsi="Trebuchet MS" w:cs="Arial"/>
          <w:sz w:val="22"/>
          <w:szCs w:val="22"/>
        </w:rPr>
        <w:t xml:space="preserve"> </w:t>
      </w:r>
      <w:r w:rsidRPr="00E62FDB">
        <w:rPr>
          <w:rFonts w:ascii="Trebuchet MS" w:eastAsia="Times New Roman" w:hAnsi="Trebuchet MS" w:cs="Arial"/>
          <w:sz w:val="22"/>
          <w:szCs w:val="22"/>
          <w:lang w:val="it-IT"/>
        </w:rPr>
        <w:t>Botosani,</w:t>
      </w:r>
      <w:r w:rsidRPr="00E62FDB">
        <w:rPr>
          <w:rFonts w:ascii="Trebuchet MS" w:hAnsi="Trebuchet MS"/>
          <w:sz w:val="22"/>
          <w:szCs w:val="22"/>
        </w:rPr>
        <w:t xml:space="preserve"> </w:t>
      </w:r>
      <w:r w:rsidRPr="00E62FDB">
        <w:rPr>
          <w:rFonts w:ascii="Trebuchet MS" w:eastAsia="Times New Roman" w:hAnsi="Trebuchet MS" w:cs="Arial"/>
          <w:sz w:val="22"/>
          <w:szCs w:val="22"/>
          <w:lang w:val="it-IT"/>
        </w:rPr>
        <w:t xml:space="preserve">Brasov, </w:t>
      </w:r>
      <w:r w:rsidRPr="00E62FDB">
        <w:rPr>
          <w:rFonts w:ascii="Trebuchet MS" w:hAnsi="Trebuchet MS" w:cs="Arial"/>
          <w:sz w:val="22"/>
          <w:szCs w:val="22"/>
          <w:lang w:val="it-IT" w:eastAsia="ja-JP"/>
        </w:rPr>
        <w:t>Cluj, Constanța, Covasna, Hunedoara, Mehedinți, Mureș, Sălaj, Sibiu și Timiș) și în aglomerarea Bucureşti, iar la polul opus (între 40% - 50%) se află 6 județe (Călărași, Dâmbovița, Giurgiu, Ilfov, Olt și Teleorman).</w:t>
      </w:r>
      <w:r w:rsidRPr="00130BE7">
        <w:rPr>
          <w:rFonts w:ascii="Trebuchet MS" w:hAnsi="Trebuchet MS" w:cs="Arial"/>
          <w:lang w:val="it-IT" w:eastAsia="ja-JP"/>
        </w:rPr>
        <w:t xml:space="preserve"> </w:t>
      </w:r>
    </w:p>
    <w:p w:rsidR="00041F6F" w:rsidRDefault="00041F6F" w:rsidP="00041F6F">
      <w:pPr>
        <w:spacing w:line="300" w:lineRule="auto"/>
        <w:jc w:val="center"/>
        <w:rPr>
          <w:rFonts w:ascii="Trebuchet MS" w:hAnsi="Trebuchet MS" w:cs="Arial"/>
          <w:b/>
          <w:lang w:val="it-IT"/>
        </w:rPr>
      </w:pPr>
      <w:r>
        <w:rPr>
          <w:rFonts w:ascii="Trebuchet MS" w:hAnsi="Trebuchet MS"/>
          <w:noProof/>
          <w:lang w:val="en-US"/>
        </w:rPr>
        <mc:AlternateContent>
          <mc:Choice Requires="wps">
            <w:drawing>
              <wp:anchor distT="0" distB="0" distL="114300" distR="114300" simplePos="0" relativeHeight="251691520" behindDoc="0" locked="0" layoutInCell="1" allowOverlap="1" wp14:anchorId="2D37BA7E" wp14:editId="4DFA31D1">
                <wp:simplePos x="0" y="0"/>
                <wp:positionH relativeFrom="column">
                  <wp:posOffset>4139565</wp:posOffset>
                </wp:positionH>
                <wp:positionV relativeFrom="paragraph">
                  <wp:posOffset>628650</wp:posOffset>
                </wp:positionV>
                <wp:extent cx="74295" cy="468630"/>
                <wp:effectExtent l="19050" t="0" r="40005" b="45720"/>
                <wp:wrapNone/>
                <wp:docPr id="1349278129" name="Down Arrow 1349278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 cy="468630"/>
                        </a:xfrm>
                        <a:prstGeom prst="downArrow">
                          <a:avLst/>
                        </a:prstGeom>
                        <a:solidFill>
                          <a:srgbClr val="ED7D31"/>
                        </a:solidFill>
                        <a:ln w="1270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349278129" o:spid="_x0000_s1026" type="#_x0000_t67" style="position:absolute;margin-left:325.95pt;margin-top:49.5pt;width:5.85pt;height:36.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" adj="19888" fillcolor="#ed7d31" strokecolor="red" strokeweight="1pt">
                <v:path arrowok="t"/>
              </v:shape>
            </w:pict>
          </mc:Fallback>
        </mc:AlternateContent>
      </w:r>
      <w:r>
        <w:rPr>
          <w:rFonts w:ascii="Trebuchet MS" w:hAnsi="Trebuchet MS"/>
          <w:noProof/>
          <w:lang w:val="en-US"/>
        </w:rPr>
        <mc:AlternateContent>
          <mc:Choice Requires="wps">
            <w:drawing>
              <wp:anchor distT="0" distB="0" distL="114300" distR="114300" simplePos="0" relativeHeight="251692544" behindDoc="0" locked="0" layoutInCell="1" allowOverlap="1" wp14:anchorId="1255F8B1" wp14:editId="07326902">
                <wp:simplePos x="0" y="0"/>
                <wp:positionH relativeFrom="column">
                  <wp:posOffset>1135380</wp:posOffset>
                </wp:positionH>
                <wp:positionV relativeFrom="paragraph">
                  <wp:posOffset>283210</wp:posOffset>
                </wp:positionV>
                <wp:extent cx="58420" cy="753110"/>
                <wp:effectExtent l="19050" t="0" r="36830" b="46990"/>
                <wp:wrapNone/>
                <wp:docPr id="1349278128" name="Down Arrow 1349278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 cy="753110"/>
                        </a:xfrm>
                        <a:prstGeom prst="downArrow">
                          <a:avLst/>
                        </a:prstGeom>
                        <a:solidFill>
                          <a:srgbClr val="0070C0"/>
                        </a:solidFill>
                        <a:ln w="12700" cap="flat" cmpd="sng" algn="ctr">
                          <a:solidFill>
                            <a:srgbClr val="0070C0"/>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Down Arrow 1349278128" o:spid="_x0000_s1026" type="#_x0000_t67" style="position:absolute;margin-left:89.4pt;margin-top:22.3pt;width:4.6pt;height:59.3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" adj="20762" fillcolor="#0070c0" strokecolor="#0070c0" strokeweight="1pt">
                <v:path arrowok="t"/>
              </v:shape>
            </w:pict>
          </mc:Fallback>
        </mc:AlternateContent>
      </w:r>
      <w:r>
        <w:rPr>
          <w:rFonts w:ascii="Trebuchet MS" w:hAnsi="Trebuchet MS"/>
          <w:noProof/>
          <w:lang w:val="en-US"/>
        </w:rPr>
        <mc:AlternateContent>
          <mc:Choice Requires="wps">
            <w:drawing>
              <wp:anchor distT="0" distB="0" distL="114300" distR="114300" simplePos="0" relativeHeight="251689472" behindDoc="0" locked="0" layoutInCell="1" allowOverlap="1" wp14:anchorId="33F328E0" wp14:editId="1273E73B">
                <wp:simplePos x="0" y="0"/>
                <wp:positionH relativeFrom="column">
                  <wp:posOffset>229870</wp:posOffset>
                </wp:positionH>
                <wp:positionV relativeFrom="paragraph">
                  <wp:posOffset>85725</wp:posOffset>
                </wp:positionV>
                <wp:extent cx="3583940" cy="197485"/>
                <wp:effectExtent l="0" t="0" r="16510" b="12065"/>
                <wp:wrapNone/>
                <wp:docPr id="1349278127" name="Text Box 1349278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3940" cy="197485"/>
                        </a:xfrm>
                        <a:prstGeom prst="rect">
                          <a:avLst/>
                        </a:prstGeom>
                        <a:solidFill>
                          <a:sysClr val="window" lastClr="FFFFFF"/>
                        </a:solidFill>
                        <a:ln w="12700" cmpd="sng">
                          <a:solidFill>
                            <a:srgbClr val="0070C0"/>
                          </a:solidFill>
                        </a:ln>
                        <a:effectLst/>
                      </wps:spPr>
                      <wps:txbx>
                        <w:txbxContent>
                          <w:p w:rsidR="00DD46ED" w:rsidRDefault="00DD46ED" w:rsidP="00041F6F">
                            <w:pPr>
                              <w:rPr>
                                <w:rFonts w:ascii="Arial" w:hAnsi="Arial" w:cs="Arial"/>
                                <w:b/>
                                <w:bCs/>
                                <w:color w:val="0070C0"/>
                                <w:sz w:val="16"/>
                                <w:szCs w:val="16"/>
                              </w:rPr>
                            </w:pPr>
                            <w:r>
                              <w:rPr>
                                <w:rFonts w:ascii="Arial" w:hAnsi="Arial" w:cs="Arial"/>
                                <w:b/>
                                <w:bCs/>
                                <w:color w:val="0070C0"/>
                                <w:sz w:val="16"/>
                                <w:szCs w:val="16"/>
                              </w:rPr>
                              <w:t>- - -    Medie națională  (73,2%) pentru colectarea apelor uzate urbane</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9278127" o:spid="_x0000_s1026" type="#_x0000_t202" style="position:absolute;left:0;text-align:left;margin-left:18.1pt;margin-top:6.75pt;width:282.2pt;height:15.5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" fillcolor="window" strokecolor="#0070c0" strokeweight="1pt">
                <v:path arrowok="t"/>
                <v:textbox>
                  <w:txbxContent>
                    <w:p w:rsidR="00DD46ED" w:rsidRDefault="00DD46ED" w:rsidP="00041F6F">
                      <w:pPr>
                        <w:rPr>
                          <w:rFonts w:ascii="Arial" w:hAnsi="Arial" w:cs="Arial"/>
                          <w:b/>
                          <w:bCs/>
                          <w:color w:val="0070C0"/>
                          <w:sz w:val="16"/>
                          <w:szCs w:val="16"/>
                        </w:rPr>
                      </w:pPr>
                      <w:r>
                        <w:rPr>
                          <w:rFonts w:ascii="Arial" w:hAnsi="Arial" w:cs="Arial"/>
                          <w:b/>
                          <w:bCs/>
                          <w:color w:val="0070C0"/>
                          <w:sz w:val="16"/>
                          <w:szCs w:val="16"/>
                        </w:rPr>
                        <w:t>- - -    Medie națională  (73,2%) pentru colectarea apelor uzate urbane</w:t>
                      </w:r>
                    </w:p>
                  </w:txbxContent>
                </v:textbox>
              </v:shape>
            </w:pict>
          </mc:Fallback>
        </mc:AlternateContent>
      </w:r>
      <w:r>
        <w:rPr>
          <w:rFonts w:ascii="Trebuchet MS" w:hAnsi="Trebuchet MS"/>
          <w:noProof/>
          <w:lang w:val="en-US"/>
        </w:rPr>
        <mc:AlternateContent>
          <mc:Choice Requires="wps">
            <w:drawing>
              <wp:anchor distT="0" distB="0" distL="114300" distR="114300" simplePos="0" relativeHeight="251690496" behindDoc="0" locked="0" layoutInCell="1" allowOverlap="1" wp14:anchorId="037A6B59" wp14:editId="0A74EF8E">
                <wp:simplePos x="0" y="0"/>
                <wp:positionH relativeFrom="column">
                  <wp:posOffset>2259330</wp:posOffset>
                </wp:positionH>
                <wp:positionV relativeFrom="paragraph">
                  <wp:posOffset>390525</wp:posOffset>
                </wp:positionV>
                <wp:extent cx="3414395" cy="238125"/>
                <wp:effectExtent l="0" t="0" r="14605" b="28575"/>
                <wp:wrapNone/>
                <wp:docPr id="1349278126" name="Text Box 1349278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4395" cy="238125"/>
                        </a:xfrm>
                        <a:prstGeom prst="rect">
                          <a:avLst/>
                        </a:prstGeom>
                        <a:solidFill>
                          <a:sysClr val="window" lastClr="FFFFFF"/>
                        </a:solidFill>
                        <a:ln w="12700" cmpd="sng">
                          <a:solidFill>
                            <a:srgbClr val="FF0000"/>
                          </a:solidFill>
                        </a:ln>
                        <a:effectLst/>
                      </wps:spPr>
                      <wps:txbx>
                        <w:txbxContent>
                          <w:p w:rsidR="00DD46ED" w:rsidRDefault="00DD46ED" w:rsidP="00041F6F">
                            <w:pPr>
                              <w:rPr>
                                <w:rFonts w:ascii="Arial" w:hAnsi="Arial" w:cs="Arial"/>
                                <w:color w:val="FF0000"/>
                                <w:sz w:val="16"/>
                                <w:szCs w:val="16"/>
                              </w:rPr>
                            </w:pPr>
                            <w:r>
                              <w:rPr>
                                <w:rFonts w:ascii="Arial" w:hAnsi="Arial" w:cs="Arial"/>
                                <w:color w:val="FF0000"/>
                                <w:sz w:val="16"/>
                                <w:szCs w:val="16"/>
                              </w:rPr>
                              <w:t xml:space="preserve">- - -    </w:t>
                            </w:r>
                            <w:r>
                              <w:rPr>
                                <w:rFonts w:ascii="Arial" w:hAnsi="Arial" w:cs="Arial"/>
                                <w:b/>
                                <w:bCs/>
                                <w:color w:val="FF0000"/>
                                <w:sz w:val="16"/>
                                <w:szCs w:val="16"/>
                              </w:rPr>
                              <w:t>Medie națională  (72,1%) pentru epurarea apelor uzate urbane</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id="Text Box 1349278126" o:spid="_x0000_s1027" type="#_x0000_t202" style="position:absolute;left:0;text-align:left;margin-left:177.9pt;margin-top:30.75pt;width:268.85pt;height:18.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" fillcolor="window" strokecolor="red" strokeweight="1pt">
                <v:path arrowok="t"/>
                <v:textbox>
                  <w:txbxContent>
                    <w:p w:rsidR="00DD46ED" w:rsidRDefault="00DD46ED" w:rsidP="00041F6F">
                      <w:pPr>
                        <w:rPr>
                          <w:rFonts w:ascii="Arial" w:hAnsi="Arial" w:cs="Arial"/>
                          <w:color w:val="FF0000"/>
                          <w:sz w:val="16"/>
                          <w:szCs w:val="16"/>
                        </w:rPr>
                      </w:pPr>
                      <w:r>
                        <w:rPr>
                          <w:rFonts w:ascii="Arial" w:hAnsi="Arial" w:cs="Arial"/>
                          <w:color w:val="FF0000"/>
                          <w:sz w:val="16"/>
                          <w:szCs w:val="16"/>
                        </w:rPr>
                        <w:t xml:space="preserve">- - -    </w:t>
                      </w:r>
                      <w:r>
                        <w:rPr>
                          <w:rFonts w:ascii="Arial" w:hAnsi="Arial" w:cs="Arial"/>
                          <w:b/>
                          <w:bCs/>
                          <w:color w:val="FF0000"/>
                          <w:sz w:val="16"/>
                          <w:szCs w:val="16"/>
                        </w:rPr>
                        <w:t>Medie națională  (72,1%) pentru epurarea apelor uzate urbane</w:t>
                      </w:r>
                    </w:p>
                  </w:txbxContent>
                </v:textbox>
              </v:shape>
            </w:pict>
          </mc:Fallback>
        </mc:AlternateContent>
      </w:r>
      <w:r>
        <w:rPr>
          <w:rFonts w:ascii="Trebuchet MS" w:hAnsi="Trebuchet MS" w:cs="Arial"/>
          <w:b/>
          <w:noProof/>
          <w:lang w:val="en-US"/>
        </w:rPr>
        <w:drawing>
          <wp:inline distT="0" distB="0" distL="0" distR="0" wp14:anchorId="4316D33B" wp14:editId="5DB2648F">
            <wp:extent cx="5106670" cy="3334385"/>
            <wp:effectExtent l="0" t="0" r="0" b="0"/>
            <wp:docPr id="1349278125" name="Picture 134927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06670" cy="3334385"/>
                    </a:xfrm>
                    <a:prstGeom prst="rect">
                      <a:avLst/>
                    </a:prstGeom>
                    <a:noFill/>
                  </pic:spPr>
                </pic:pic>
              </a:graphicData>
            </a:graphic>
          </wp:inline>
        </w:drawing>
      </w:r>
      <w:r w:rsidRPr="00130BE7">
        <w:rPr>
          <w:rFonts w:ascii="Trebuchet MS" w:hAnsi="Trebuchet MS" w:cs="Arial"/>
          <w:b/>
          <w:lang w:val="it-IT"/>
        </w:rPr>
        <w:t xml:space="preserve"> </w:t>
      </w:r>
    </w:p>
    <w:p w:rsidR="00041F6F" w:rsidRPr="00E62FDB" w:rsidRDefault="00041F6F" w:rsidP="00F746AF">
      <w:pPr>
        <w:jc w:val="both"/>
        <w:rPr>
          <w:rFonts w:ascii="Trebuchet MS" w:hAnsi="Trebuchet MS" w:cs="Arial"/>
          <w:sz w:val="22"/>
          <w:szCs w:val="22"/>
          <w:lang w:val="it-IT"/>
        </w:rPr>
      </w:pPr>
      <w:r w:rsidRPr="00E62FDB">
        <w:rPr>
          <w:rFonts w:ascii="Trebuchet MS" w:hAnsi="Trebuchet MS" w:cs="Arial"/>
          <w:sz w:val="22"/>
          <w:szCs w:val="22"/>
          <w:lang w:val="it-IT"/>
        </w:rPr>
        <w:t>Figura II.2.2.2.6. Situaţia la nivel de judeţe a colectării şi epurării încărcării biodegradabile din apele uzate (l.e.) de la aglomerările umane cu mai mult de 2000 l.e., în anul 2022</w:t>
      </w:r>
    </w:p>
    <w:p w:rsidR="00041F6F" w:rsidRPr="00E62FDB" w:rsidRDefault="00041F6F" w:rsidP="00041F6F">
      <w:pPr>
        <w:jc w:val="both"/>
        <w:rPr>
          <w:rFonts w:ascii="Trebuchet MS" w:hAnsi="Trebuchet MS" w:cs="Arial"/>
          <w:b/>
          <w:sz w:val="22"/>
          <w:szCs w:val="22"/>
          <w:lang w:val="it-IT"/>
        </w:rPr>
      </w:pPr>
      <w:r w:rsidRPr="00E62FDB">
        <w:rPr>
          <w:rFonts w:ascii="Trebuchet MS" w:hAnsi="Trebuchet MS" w:cs="Arial"/>
          <w:b/>
          <w:sz w:val="22"/>
          <w:szCs w:val="22"/>
          <w:lang w:val="it-IT"/>
        </w:rPr>
        <w:t>(</w:t>
      </w:r>
      <w:r w:rsidRPr="00E62FDB">
        <w:rPr>
          <w:rFonts w:ascii="Trebuchet MS" w:hAnsi="Trebuchet MS" w:cs="Arial"/>
          <w:i/>
          <w:iCs/>
          <w:sz w:val="22"/>
          <w:szCs w:val="22"/>
          <w:lang w:eastAsia="ro-RO"/>
        </w:rPr>
        <w:t>Sursa: Administraţia Naţională “Apele Române”, raport „Stadiul realizării lucrărilor pentru epurarea apelor uzate urbane şi a capacităţilor în execuţie şi puse în funcţiune pentru aglomerări umane” în anul 2022)</w:t>
      </w:r>
    </w:p>
    <w:p w:rsidR="00041F6F" w:rsidRPr="00E62FDB" w:rsidRDefault="00041F6F" w:rsidP="0022652A">
      <w:pPr>
        <w:jc w:val="center"/>
        <w:rPr>
          <w:rFonts w:ascii="Trebuchet MS" w:hAnsi="Trebuchet MS" w:cs="Arial"/>
          <w:i/>
          <w:iCs/>
          <w:sz w:val="22"/>
          <w:szCs w:val="22"/>
          <w:lang w:eastAsia="ro-RO"/>
        </w:rPr>
      </w:pPr>
    </w:p>
    <w:p w:rsidR="00041F6F" w:rsidRPr="00E62FDB" w:rsidRDefault="00041F6F" w:rsidP="0022652A">
      <w:pPr>
        <w:ind w:firstLine="720"/>
        <w:jc w:val="both"/>
        <w:rPr>
          <w:rFonts w:ascii="Trebuchet MS" w:hAnsi="Trebuchet MS" w:cs="Arial"/>
          <w:sz w:val="22"/>
          <w:szCs w:val="22"/>
          <w:lang w:val="it-IT"/>
        </w:rPr>
      </w:pPr>
      <w:bookmarkStart w:id="129" w:name="_Hlk43455382"/>
      <w:r w:rsidRPr="00E62FDB">
        <w:rPr>
          <w:rFonts w:ascii="Trebuchet MS" w:hAnsi="Trebuchet MS" w:cs="Arial"/>
          <w:sz w:val="22"/>
          <w:szCs w:val="22"/>
          <w:lang w:val="it-IT" w:eastAsia="ja-JP"/>
        </w:rPr>
        <w:t>Se observă că niciun județ nu are un procent mai mic de 40% conectare la rețele de canalizare, însă cele mai multe județe care rămân cu procentele sub 50% sunt localizate preponderent în partea sudică a țării (zone sărace)</w:t>
      </w:r>
      <w:r w:rsidRPr="00E62FDB">
        <w:rPr>
          <w:rFonts w:ascii="Trebuchet MS" w:hAnsi="Trebuchet MS" w:cs="Arial"/>
          <w:sz w:val="22"/>
          <w:szCs w:val="22"/>
          <w:lang w:val="it-IT"/>
        </w:rPr>
        <w:t xml:space="preserve">. Referitor la gradul de epurare a apelor uzate urbane la nivel de județe, situaţia este următoarea: în 10 judeţe (Brașov, Cluj, Constanța, Covasna, Hunedoara, Mehedinți, Mureș, Sălaj, Sibiu, Timiș) și în aglomerarea Bucureşti s-au înregistrat valori ale nivelului de conectare la stația de epurare de peste 80%. În unele dintre județe procentul de epurare a crescut față de decembrie 2021, valori în intervalul 30% - 50%  înregistrându-se însă în județele Călărași, Dâmbovița, Giurgiu, Ilfov, Olt și Teleorman. Similar ca în situația conectării la rețele de canalizare, județele din partea sudică a țării sunt rămase în urmă în dezvoltarea stațiilor de epurare.  </w:t>
      </w:r>
    </w:p>
    <w:p w:rsidR="00041F6F" w:rsidRPr="00E62FDB" w:rsidRDefault="00041F6F" w:rsidP="0022652A">
      <w:pPr>
        <w:jc w:val="both"/>
        <w:rPr>
          <w:rFonts w:ascii="Trebuchet MS" w:hAnsi="Trebuchet MS" w:cs="Arial"/>
          <w:sz w:val="22"/>
          <w:szCs w:val="22"/>
          <w:lang w:val="it-IT"/>
        </w:rPr>
      </w:pPr>
      <w:r w:rsidRPr="00E62FDB">
        <w:rPr>
          <w:rFonts w:ascii="Trebuchet MS" w:hAnsi="Trebuchet MS" w:cs="Arial"/>
          <w:sz w:val="22"/>
          <w:szCs w:val="22"/>
          <w:lang w:val="it-IT"/>
        </w:rPr>
        <w:t>Situația dotării aglomerărilor umane cu sisteme de colectare și epurare este prezentată în</w:t>
      </w:r>
      <w:r w:rsidRPr="00E62FDB">
        <w:rPr>
          <w:rFonts w:ascii="Trebuchet MS" w:hAnsi="Trebuchet MS" w:cs="Arial"/>
          <w:i/>
          <w:sz w:val="22"/>
          <w:szCs w:val="22"/>
          <w:lang w:val="it-IT"/>
        </w:rPr>
        <w:t xml:space="preserve"> Figura II.2.2.2.7,</w:t>
      </w:r>
      <w:r w:rsidRPr="00E62FDB">
        <w:rPr>
          <w:rFonts w:ascii="Trebuchet MS" w:hAnsi="Trebuchet MS" w:cs="Arial"/>
          <w:sz w:val="22"/>
          <w:szCs w:val="22"/>
          <w:lang w:val="it-IT"/>
        </w:rPr>
        <w:t xml:space="preserve"> respectiv </w:t>
      </w:r>
      <w:r w:rsidRPr="00E62FDB">
        <w:rPr>
          <w:rFonts w:ascii="Trebuchet MS" w:hAnsi="Trebuchet MS" w:cs="Arial"/>
          <w:i/>
          <w:sz w:val="22"/>
          <w:szCs w:val="22"/>
          <w:lang w:val="it-IT"/>
        </w:rPr>
        <w:t>Figura II.2.2.2.8</w:t>
      </w:r>
      <w:r w:rsidRPr="00E62FDB">
        <w:rPr>
          <w:rFonts w:ascii="Trebuchet MS" w:hAnsi="Trebuchet MS" w:cs="Arial"/>
          <w:sz w:val="22"/>
          <w:szCs w:val="22"/>
          <w:lang w:val="it-IT"/>
        </w:rPr>
        <w:t>.</w:t>
      </w:r>
    </w:p>
    <w:p w:rsidR="00041F6F" w:rsidRPr="00130BE7" w:rsidRDefault="00041F6F" w:rsidP="00041F6F">
      <w:pPr>
        <w:jc w:val="center"/>
        <w:rPr>
          <w:rFonts w:ascii="Trebuchet MS" w:hAnsi="Trebuchet MS" w:cs="Arial"/>
          <w:i/>
          <w:iCs/>
          <w:lang w:eastAsia="ro-RO"/>
        </w:rPr>
      </w:pPr>
      <w:r>
        <w:rPr>
          <w:rFonts w:ascii="Trebuchet MS" w:hAnsi="Trebuchet MS"/>
          <w:noProof/>
          <w:lang w:val="en-US"/>
        </w:rPr>
        <w:drawing>
          <wp:inline distT="0" distB="0" distL="0" distR="0" wp14:anchorId="1FC8B1E5" wp14:editId="715D5FE7">
            <wp:extent cx="4648200" cy="3038475"/>
            <wp:effectExtent l="0" t="0" r="0" b="9525"/>
            <wp:docPr id="1349278120" name="Picture 134927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48200" cy="3038475"/>
                    </a:xfrm>
                    <a:prstGeom prst="rect">
                      <a:avLst/>
                    </a:prstGeom>
                    <a:noFill/>
                    <a:ln>
                      <a:noFill/>
                    </a:ln>
                  </pic:spPr>
                </pic:pic>
              </a:graphicData>
            </a:graphic>
          </wp:inline>
        </w:drawing>
      </w:r>
    </w:p>
    <w:p w:rsidR="00041F6F" w:rsidRPr="00130BE7" w:rsidRDefault="00041F6F" w:rsidP="00041F6F">
      <w:pPr>
        <w:jc w:val="center"/>
        <w:rPr>
          <w:rFonts w:ascii="Trebuchet MS" w:hAnsi="Trebuchet MS" w:cs="Arial"/>
          <w:i/>
          <w:iCs/>
          <w:lang w:eastAsia="ro-RO"/>
        </w:rPr>
      </w:pPr>
      <w:r w:rsidRPr="00130BE7">
        <w:rPr>
          <w:rFonts w:ascii="Trebuchet MS" w:hAnsi="Trebuchet MS" w:cs="Arial"/>
          <w:b/>
          <w:lang w:val="it-IT"/>
        </w:rPr>
        <w:t>Figura II.2.2.2.7. Situaţia la nivel de judeţe a colectării încărcării biodegradabile din apele uzate de la aglomerările umane cu mai mult de 2000 l.e., în decembrie 2022</w:t>
      </w:r>
    </w:p>
    <w:p w:rsidR="00041F6F" w:rsidRPr="00FB34BB" w:rsidRDefault="00041F6F" w:rsidP="00041F6F">
      <w:pPr>
        <w:spacing w:line="300" w:lineRule="auto"/>
        <w:jc w:val="both"/>
        <w:rPr>
          <w:rFonts w:ascii="Trebuchet MS" w:hAnsi="Trebuchet MS" w:cs="Arial"/>
          <w:i/>
          <w:iCs/>
          <w:sz w:val="20"/>
          <w:szCs w:val="20"/>
          <w:lang w:eastAsia="ro-RO"/>
        </w:rPr>
      </w:pPr>
      <w:r w:rsidRPr="00FB34BB">
        <w:rPr>
          <w:rFonts w:ascii="Trebuchet MS" w:hAnsi="Trebuchet MS" w:cs="Arial"/>
          <w:i/>
          <w:iCs/>
          <w:sz w:val="20"/>
          <w:szCs w:val="20"/>
          <w:lang w:eastAsia="ro-RO"/>
        </w:rPr>
        <w:t>(Sursa: Administraţia Naţională “Apele Române”, raport „Stadiul realizării lucrărilor pentru epurarea apelor uzate urbane şi a capacităţilor în execuţie şi puse în funcţiune pentru aglomerări umane” în anul 2022)</w:t>
      </w:r>
    </w:p>
    <w:p w:rsidR="00041F6F" w:rsidRDefault="00041F6F" w:rsidP="00041F6F">
      <w:pPr>
        <w:spacing w:line="300" w:lineRule="auto"/>
        <w:jc w:val="center"/>
        <w:rPr>
          <w:rFonts w:ascii="Trebuchet MS" w:hAnsi="Trebuchet MS"/>
          <w:noProof/>
          <w:lang w:val="it-IT" w:eastAsia="ja-JP"/>
        </w:rPr>
      </w:pPr>
    </w:p>
    <w:p w:rsidR="00041F6F" w:rsidRDefault="00041F6F" w:rsidP="00041F6F">
      <w:pPr>
        <w:spacing w:line="300" w:lineRule="auto"/>
        <w:jc w:val="center"/>
        <w:rPr>
          <w:rFonts w:ascii="Trebuchet MS" w:hAnsi="Trebuchet MS"/>
          <w:noProof/>
          <w:lang w:val="it-IT" w:eastAsia="ja-JP"/>
        </w:rPr>
      </w:pPr>
    </w:p>
    <w:p w:rsidR="00041F6F" w:rsidRDefault="00041F6F" w:rsidP="00041F6F">
      <w:pPr>
        <w:spacing w:line="300" w:lineRule="auto"/>
        <w:jc w:val="center"/>
        <w:rPr>
          <w:rFonts w:ascii="Trebuchet MS" w:hAnsi="Trebuchet MS"/>
          <w:noProof/>
          <w:lang w:val="it-IT" w:eastAsia="ja-JP"/>
        </w:rPr>
      </w:pPr>
    </w:p>
    <w:p w:rsidR="00041F6F" w:rsidRPr="00130BE7" w:rsidRDefault="00041F6F" w:rsidP="00041F6F">
      <w:pPr>
        <w:jc w:val="center"/>
        <w:rPr>
          <w:rFonts w:ascii="Trebuchet MS" w:hAnsi="Trebuchet MS" w:cs="Arial"/>
          <w:b/>
          <w:lang w:val="it-IT"/>
        </w:rPr>
      </w:pPr>
      <w:r>
        <w:rPr>
          <w:rFonts w:ascii="Trebuchet MS" w:hAnsi="Trebuchet MS"/>
          <w:noProof/>
          <w:lang w:val="en-US"/>
        </w:rPr>
        <w:drawing>
          <wp:inline distT="0" distB="0" distL="0" distR="0" wp14:anchorId="26350639" wp14:editId="5B3C825C">
            <wp:extent cx="4210050" cy="2676525"/>
            <wp:effectExtent l="0" t="0" r="0" b="9525"/>
            <wp:docPr id="1349278119" name="Picture 134927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10050" cy="2676525"/>
                    </a:xfrm>
                    <a:prstGeom prst="rect">
                      <a:avLst/>
                    </a:prstGeom>
                    <a:noFill/>
                    <a:ln>
                      <a:noFill/>
                    </a:ln>
                  </pic:spPr>
                </pic:pic>
              </a:graphicData>
            </a:graphic>
          </wp:inline>
        </w:drawing>
      </w:r>
    </w:p>
    <w:bookmarkEnd w:id="129"/>
    <w:p w:rsidR="00041F6F" w:rsidRPr="00130BE7" w:rsidRDefault="00041F6F" w:rsidP="00041F6F">
      <w:pPr>
        <w:autoSpaceDE w:val="0"/>
        <w:autoSpaceDN w:val="0"/>
        <w:adjustRightInd w:val="0"/>
        <w:spacing w:line="300" w:lineRule="auto"/>
        <w:jc w:val="center"/>
        <w:rPr>
          <w:rFonts w:ascii="Trebuchet MS" w:hAnsi="Trebuchet MS" w:cs="Arial"/>
          <w:b/>
          <w:lang w:val="it-IT"/>
        </w:rPr>
      </w:pPr>
      <w:r w:rsidRPr="00130BE7">
        <w:rPr>
          <w:rFonts w:ascii="Trebuchet MS" w:hAnsi="Trebuchet MS" w:cs="Arial"/>
          <w:b/>
          <w:lang w:val="it-IT"/>
        </w:rPr>
        <w:t>Figura II.2.2.2.8. Situaţia la nivel de judeţe a epurării încărcării biodegradabile din apele uzate de la aglomerările umane cu mai mult de 2000 l.e., în decembrie 2022</w:t>
      </w:r>
    </w:p>
    <w:p w:rsidR="00041F6F" w:rsidRPr="00FB34BB" w:rsidRDefault="00041F6F" w:rsidP="00041F6F">
      <w:pPr>
        <w:spacing w:line="300" w:lineRule="auto"/>
        <w:jc w:val="both"/>
        <w:rPr>
          <w:rFonts w:ascii="Trebuchet MS" w:hAnsi="Trebuchet MS" w:cs="Arial"/>
          <w:b/>
          <w:sz w:val="20"/>
          <w:szCs w:val="20"/>
          <w:lang w:val="it-IT"/>
        </w:rPr>
      </w:pPr>
      <w:r w:rsidRPr="00FB34BB">
        <w:rPr>
          <w:rFonts w:ascii="Trebuchet MS" w:hAnsi="Trebuchet MS" w:cs="Arial"/>
          <w:i/>
          <w:iCs/>
          <w:sz w:val="20"/>
          <w:szCs w:val="20"/>
          <w:lang w:eastAsia="ro-RO"/>
        </w:rPr>
        <w:t>(Sursa: Administraţia Naţională “Apele Române”, raport „Stadiul realizării lucrărilor pentru epurarea apelor uzate urbane şi a capacităţilor în execuţie şi puse în funcţiune pentru aglomerări umane” în anul 2022)</w:t>
      </w:r>
    </w:p>
    <w:p w:rsidR="00041F6F" w:rsidRPr="00130BE7" w:rsidRDefault="00041F6F" w:rsidP="0022652A">
      <w:pPr>
        <w:jc w:val="center"/>
        <w:rPr>
          <w:rFonts w:ascii="Trebuchet MS" w:hAnsi="Trebuchet MS" w:cs="Arial"/>
          <w:b/>
        </w:rPr>
      </w:pPr>
    </w:p>
    <w:p w:rsidR="00041F6F" w:rsidRPr="00E62FDB" w:rsidRDefault="00041F6F" w:rsidP="0022652A">
      <w:pPr>
        <w:ind w:firstLine="709"/>
        <w:jc w:val="both"/>
        <w:rPr>
          <w:rFonts w:ascii="Trebuchet MS" w:hAnsi="Trebuchet MS" w:cs="Arial"/>
          <w:bCs/>
          <w:sz w:val="22"/>
          <w:szCs w:val="22"/>
          <w:lang w:eastAsia="ro-RO"/>
        </w:rPr>
      </w:pPr>
      <w:r w:rsidRPr="00E62FDB">
        <w:rPr>
          <w:rFonts w:ascii="Trebuchet MS" w:hAnsi="Trebuchet MS" w:cs="Arial"/>
          <w:bCs/>
          <w:sz w:val="22"/>
          <w:szCs w:val="22"/>
          <w:lang w:eastAsia="ro-RO"/>
        </w:rPr>
        <w:t xml:space="preserve">În ceea ce privește profilul de activitate, majoritatea unităţilor agro-industriale se încadrează în domeniile de industrializare a cărnii şi laptelui, fabricarea băuturilor alcoolice, fabricarea produselor pe bază de legume şi fructe şi fabricarea şi îmbutelierea băuturilor nealcoolice </w:t>
      </w:r>
      <w:r w:rsidRPr="00E62FDB">
        <w:rPr>
          <w:rFonts w:ascii="Trebuchet MS" w:hAnsi="Trebuchet MS" w:cs="Arial"/>
          <w:bCs/>
          <w:i/>
          <w:sz w:val="22"/>
          <w:szCs w:val="22"/>
          <w:lang w:eastAsia="ro-RO"/>
        </w:rPr>
        <w:t xml:space="preserve">(Figura II.2.2.2.9). </w:t>
      </w:r>
      <w:r w:rsidRPr="00E62FDB">
        <w:rPr>
          <w:rFonts w:ascii="Trebuchet MS" w:hAnsi="Trebuchet MS" w:cs="Arial"/>
          <w:bCs/>
          <w:sz w:val="22"/>
          <w:szCs w:val="22"/>
          <w:lang w:eastAsia="ro-RO"/>
        </w:rPr>
        <w:t>Cea mai mare pondere procentuală a încărcării biodegradabile produsă de unităţile industriale agro-alimentare cu mai mult de 4000 l.e. la evacuare în resursele de apă a fost identificată pentru industria cărnii (cca. 53%) și industriei de prelucrarea laptelui (39%), iar unitățile din domeniul fabricării berii și îmbutelierea băuturilor nealcoolice fie sunt închise, fie şi-au redus foarte mult producţia (&lt;4.000 l.e.) sau și-au sistat activitatea.</w:t>
      </w:r>
    </w:p>
    <w:p w:rsidR="00041F6F" w:rsidRPr="00E62FDB" w:rsidRDefault="00041F6F" w:rsidP="00041F6F">
      <w:pPr>
        <w:autoSpaceDE w:val="0"/>
        <w:autoSpaceDN w:val="0"/>
        <w:adjustRightInd w:val="0"/>
        <w:spacing w:line="300" w:lineRule="auto"/>
        <w:jc w:val="both"/>
        <w:rPr>
          <w:rFonts w:ascii="Trebuchet MS" w:hAnsi="Trebuchet MS" w:cs="Arial"/>
          <w:b/>
          <w:sz w:val="22"/>
          <w:szCs w:val="22"/>
        </w:rPr>
      </w:pPr>
    </w:p>
    <w:p w:rsidR="00041F6F" w:rsidRPr="00130BE7" w:rsidRDefault="00041F6F" w:rsidP="00041F6F">
      <w:pPr>
        <w:autoSpaceDE w:val="0"/>
        <w:autoSpaceDN w:val="0"/>
        <w:adjustRightInd w:val="0"/>
        <w:spacing w:line="300" w:lineRule="auto"/>
        <w:jc w:val="center"/>
        <w:rPr>
          <w:rFonts w:ascii="Trebuchet MS" w:hAnsi="Trebuchet MS" w:cs="Arial"/>
          <w:bCs/>
          <w:i/>
          <w:lang w:eastAsia="ro-RO"/>
        </w:rPr>
      </w:pPr>
      <w:r>
        <w:rPr>
          <w:rFonts w:ascii="Trebuchet MS" w:hAnsi="Trebuchet MS"/>
          <w:noProof/>
          <w:lang w:val="en-US"/>
        </w:rPr>
        <w:drawing>
          <wp:inline distT="0" distB="0" distL="0" distR="0" wp14:anchorId="3B61F277" wp14:editId="379FA06A">
            <wp:extent cx="3886200" cy="2438400"/>
            <wp:effectExtent l="19050" t="19050" r="19050" b="19050"/>
            <wp:docPr id="1349278118" name="Picture 134927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l="4068" r="7933" b="4497"/>
                    <a:stretch>
                      <a:fillRect/>
                    </a:stretch>
                  </pic:blipFill>
                  <pic:spPr bwMode="auto">
                    <a:xfrm>
                      <a:off x="0" y="0"/>
                      <a:ext cx="3886200" cy="2438400"/>
                    </a:xfrm>
                    <a:prstGeom prst="rect">
                      <a:avLst/>
                    </a:prstGeom>
                    <a:noFill/>
                    <a:ln w="6350" cmpd="sng">
                      <a:solidFill>
                        <a:srgbClr val="000000"/>
                      </a:solidFill>
                      <a:miter lim="800000"/>
                      <a:headEnd/>
                      <a:tailEnd/>
                    </a:ln>
                    <a:effectLst/>
                  </pic:spPr>
                </pic:pic>
              </a:graphicData>
            </a:graphic>
          </wp:inline>
        </w:drawing>
      </w:r>
    </w:p>
    <w:p w:rsidR="00041F6F" w:rsidRPr="00E62FDB" w:rsidRDefault="00041F6F" w:rsidP="00041F6F">
      <w:pPr>
        <w:spacing w:line="300" w:lineRule="auto"/>
        <w:jc w:val="center"/>
        <w:rPr>
          <w:rFonts w:ascii="Trebuchet MS" w:hAnsi="Trebuchet MS" w:cs="Arial"/>
          <w:b/>
          <w:sz w:val="22"/>
          <w:szCs w:val="22"/>
          <w:lang w:eastAsia="ro-RO"/>
        </w:rPr>
      </w:pPr>
      <w:r w:rsidRPr="00E62FDB">
        <w:rPr>
          <w:rFonts w:ascii="Trebuchet MS" w:hAnsi="Trebuchet MS" w:cs="Arial"/>
          <w:b/>
          <w:sz w:val="22"/>
          <w:szCs w:val="22"/>
        </w:rPr>
        <w:t xml:space="preserve">Figura II.2.2.2.9. Ponderea </w:t>
      </w:r>
      <w:r w:rsidRPr="00E62FDB">
        <w:rPr>
          <w:rFonts w:ascii="Trebuchet MS" w:hAnsi="Trebuchet MS" w:cs="Arial"/>
          <w:b/>
          <w:sz w:val="22"/>
          <w:szCs w:val="22"/>
          <w:lang w:eastAsia="ro-RO"/>
        </w:rPr>
        <w:t>încărcării biodegradabile produsă de unităţile industriale agro-alimentare cu mai mult de 4000 l.e. la evacuare în resursele de apă</w:t>
      </w:r>
    </w:p>
    <w:p w:rsidR="00041F6F" w:rsidRDefault="00041F6F" w:rsidP="00041F6F">
      <w:pPr>
        <w:jc w:val="both"/>
        <w:rPr>
          <w:rFonts w:ascii="Trebuchet MS" w:hAnsi="Trebuchet MS" w:cs="Arial"/>
          <w:i/>
          <w:iCs/>
          <w:sz w:val="20"/>
          <w:szCs w:val="20"/>
          <w:lang w:eastAsia="ro-RO"/>
        </w:rPr>
      </w:pPr>
      <w:r w:rsidRPr="00FB34BB">
        <w:rPr>
          <w:rFonts w:ascii="Trebuchet MS" w:hAnsi="Trebuchet MS" w:cs="Arial"/>
          <w:i/>
          <w:iCs/>
          <w:sz w:val="20"/>
          <w:szCs w:val="20"/>
          <w:lang w:eastAsia="ro-RO"/>
        </w:rPr>
        <w:t>(Sursa: Administraţia Naţională “Apele Române”, raport „Stadiul realizării lucrărilor pentru epurarea apelor uzate urbane şi a capacităţilor în execuţie şi puse în funcţiune pentru aglomerări umane” în anul 2021)</w:t>
      </w:r>
    </w:p>
    <w:p w:rsidR="00041F6F" w:rsidRPr="00E62FDB" w:rsidRDefault="00041F6F" w:rsidP="0022652A">
      <w:pPr>
        <w:ind w:firstLine="708"/>
        <w:jc w:val="both"/>
        <w:rPr>
          <w:rFonts w:ascii="Trebuchet MS" w:hAnsi="Trebuchet MS" w:cs="Arial"/>
          <w:i/>
          <w:iCs/>
          <w:sz w:val="22"/>
          <w:szCs w:val="22"/>
          <w:lang w:eastAsia="ro-RO"/>
        </w:rPr>
      </w:pPr>
      <w:r w:rsidRPr="00E62FDB">
        <w:rPr>
          <w:rFonts w:ascii="Trebuchet MS" w:hAnsi="Trebuchet MS" w:cs="Arial"/>
          <w:sz w:val="22"/>
          <w:szCs w:val="22"/>
          <w:lang w:eastAsia="ro-RO"/>
        </w:rPr>
        <w:t>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2022 (</w:t>
      </w:r>
      <w:r w:rsidRPr="00E62FDB">
        <w:rPr>
          <w:rFonts w:ascii="Trebuchet MS" w:hAnsi="Trebuchet MS" w:cs="Arial"/>
          <w:i/>
          <w:sz w:val="22"/>
          <w:szCs w:val="22"/>
          <w:lang w:eastAsia="ro-RO"/>
        </w:rPr>
        <w:t>Tabel II.2.2.2.6</w:t>
      </w:r>
      <w:r w:rsidRPr="00E62FDB">
        <w:rPr>
          <w:rFonts w:ascii="Trebuchet MS" w:hAnsi="Trebuchet MS" w:cs="Arial"/>
          <w:sz w:val="22"/>
          <w:szCs w:val="22"/>
          <w:lang w:eastAsia="ro-RO"/>
        </w:rPr>
        <w:t>) se observă că, din cantitatea totală de nămol generată în stațiile de epurare cca. 30,44% a fost utilizată în agricultură.</w:t>
      </w:r>
    </w:p>
    <w:p w:rsidR="00041F6F" w:rsidRPr="00E62FDB" w:rsidRDefault="00041F6F" w:rsidP="0022652A">
      <w:pPr>
        <w:autoSpaceDE w:val="0"/>
        <w:autoSpaceDN w:val="0"/>
        <w:adjustRightInd w:val="0"/>
        <w:ind w:firstLine="709"/>
        <w:jc w:val="both"/>
        <w:rPr>
          <w:rFonts w:ascii="Trebuchet MS" w:hAnsi="Trebuchet MS" w:cs="Arial"/>
          <w:color w:val="000000"/>
          <w:sz w:val="22"/>
          <w:szCs w:val="22"/>
          <w:lang w:eastAsia="ro-RO"/>
        </w:rPr>
      </w:pPr>
      <w:r w:rsidRPr="00E62FDB">
        <w:rPr>
          <w:rFonts w:ascii="Trebuchet MS" w:hAnsi="Trebuchet MS" w:cs="Arial"/>
          <w:color w:val="000000"/>
          <w:sz w:val="22"/>
          <w:szCs w:val="22"/>
          <w:lang w:eastAsia="ro-RO"/>
        </w:rPr>
        <w:t xml:space="preserve">Conform primului Plan Naţional de  Management al bazinelor/spațiilor hidrografice din România (elaborat în 2009), s-a estimat că la sfârșitul perioadei de conformare (anul 2018) se va obţine o cantitate de nămol de cca. 520.850 tone substanţă uscată/an faţă de cca. 172.529 tone substanţă uscată/an obţinute în anul 2007 </w:t>
      </w:r>
      <w:r w:rsidRPr="00E62FDB">
        <w:rPr>
          <w:rFonts w:ascii="Trebuchet MS" w:hAnsi="Trebuchet MS" w:cs="Arial"/>
          <w:i/>
          <w:color w:val="000000"/>
          <w:sz w:val="22"/>
          <w:szCs w:val="22"/>
          <w:lang w:eastAsia="ro-RO"/>
        </w:rPr>
        <w:t>(Figura II.2.2.2.10).</w:t>
      </w:r>
      <w:r w:rsidRPr="00E62FDB">
        <w:rPr>
          <w:rFonts w:ascii="Trebuchet MS" w:hAnsi="Trebuchet MS" w:cs="Arial"/>
          <w:color w:val="000000"/>
          <w:sz w:val="22"/>
          <w:szCs w:val="22"/>
          <w:lang w:eastAsia="ro-RO"/>
        </w:rPr>
        <w:t xml:space="preserve"> Această prognoză corespunde situației planificate privind conformarea aglomerărilor în anul 2004, potrivit Planului Național de implementare al Directivei 91/271/CEE privind epurarea apelor uzate urbane. </w:t>
      </w:r>
    </w:p>
    <w:p w:rsidR="00041F6F" w:rsidRPr="00E62FDB" w:rsidRDefault="00041F6F" w:rsidP="0022652A">
      <w:pPr>
        <w:jc w:val="both"/>
        <w:rPr>
          <w:rFonts w:ascii="Trebuchet MS" w:eastAsia="MS Mincho" w:hAnsi="Trebuchet MS" w:cs="Arial"/>
          <w:b/>
          <w:sz w:val="22"/>
          <w:szCs w:val="22"/>
          <w:lang w:eastAsia="ja-JP"/>
        </w:rPr>
      </w:pPr>
      <w:r w:rsidRPr="00E62FDB">
        <w:rPr>
          <w:rFonts w:ascii="Trebuchet MS" w:eastAsia="MS Mincho" w:hAnsi="Trebuchet MS" w:cs="Arial"/>
          <w:b/>
          <w:sz w:val="22"/>
          <w:szCs w:val="22"/>
          <w:lang w:eastAsia="ja-JP"/>
        </w:rPr>
        <w:t>Tabel II.2.2.2.6. Utilizarea la nivel național a nămolului de la staţiile de epurare urbane în anul 2022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3084"/>
      </w:tblGrid>
      <w:tr w:rsidR="00041F6F" w:rsidRPr="00130BE7" w:rsidTr="00E13AA6">
        <w:trPr>
          <w:jc w:val="center"/>
        </w:trPr>
        <w:tc>
          <w:tcPr>
            <w:tcW w:w="4465" w:type="dxa"/>
            <w:shd w:val="clear" w:color="auto" w:fill="BDD6EE"/>
            <w:vAlign w:val="center"/>
          </w:tcPr>
          <w:p w:rsidR="00041F6F" w:rsidRPr="00130BE7" w:rsidRDefault="00041F6F" w:rsidP="00411A89">
            <w:pPr>
              <w:jc w:val="center"/>
              <w:rPr>
                <w:rFonts w:ascii="Trebuchet MS" w:hAnsi="Trebuchet MS" w:cs="Arial"/>
                <w:b/>
              </w:rPr>
            </w:pPr>
            <w:r w:rsidRPr="00130BE7">
              <w:rPr>
                <w:rFonts w:ascii="Trebuchet MS" w:hAnsi="Trebuchet MS" w:cs="Arial"/>
                <w:b/>
              </w:rPr>
              <w:t>Utilizări ale nămolului</w:t>
            </w:r>
          </w:p>
        </w:tc>
        <w:tc>
          <w:tcPr>
            <w:tcW w:w="3084" w:type="dxa"/>
            <w:shd w:val="clear" w:color="auto" w:fill="BDD6EE"/>
            <w:vAlign w:val="center"/>
          </w:tcPr>
          <w:p w:rsidR="00041F6F" w:rsidRPr="00130BE7" w:rsidRDefault="00041F6F" w:rsidP="00411A89">
            <w:pPr>
              <w:jc w:val="center"/>
              <w:rPr>
                <w:rFonts w:ascii="Trebuchet MS" w:hAnsi="Trebuchet MS" w:cs="Arial"/>
                <w:b/>
              </w:rPr>
            </w:pPr>
            <w:r w:rsidRPr="00130BE7">
              <w:rPr>
                <w:rFonts w:ascii="Trebuchet MS" w:hAnsi="Trebuchet MS" w:cs="Arial"/>
                <w:b/>
              </w:rPr>
              <w:t xml:space="preserve">Cantitate nămol </w:t>
            </w:r>
          </w:p>
          <w:p w:rsidR="00041F6F" w:rsidRPr="00130BE7" w:rsidRDefault="00041F6F" w:rsidP="00411A89">
            <w:pPr>
              <w:jc w:val="center"/>
              <w:rPr>
                <w:rFonts w:ascii="Trebuchet MS" w:hAnsi="Trebuchet MS" w:cs="Arial"/>
                <w:b/>
              </w:rPr>
            </w:pPr>
            <w:r w:rsidRPr="00130BE7">
              <w:rPr>
                <w:rFonts w:ascii="Trebuchet MS" w:hAnsi="Trebuchet MS" w:cs="Arial"/>
                <w:b/>
              </w:rPr>
              <w:t>(mii tone s.u./an)</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b/>
              </w:rPr>
            </w:pPr>
            <w:r w:rsidRPr="00130BE7">
              <w:rPr>
                <w:rFonts w:ascii="Trebuchet MS" w:hAnsi="Trebuchet MS" w:cs="Arial"/>
                <w:b/>
              </w:rPr>
              <w:t>Cantitate totală produsă</w:t>
            </w:r>
          </w:p>
        </w:tc>
        <w:tc>
          <w:tcPr>
            <w:tcW w:w="3084" w:type="dxa"/>
            <w:shd w:val="clear" w:color="auto" w:fill="auto"/>
            <w:vAlign w:val="center"/>
          </w:tcPr>
          <w:p w:rsidR="00041F6F" w:rsidRPr="00130BE7" w:rsidRDefault="00041F6F" w:rsidP="00411A89">
            <w:pPr>
              <w:jc w:val="center"/>
              <w:rPr>
                <w:rFonts w:ascii="Trebuchet MS" w:hAnsi="Trebuchet MS" w:cs="Arial"/>
                <w:b/>
              </w:rPr>
            </w:pPr>
            <w:r w:rsidRPr="00130BE7">
              <w:rPr>
                <w:rFonts w:ascii="Trebuchet MS" w:hAnsi="Trebuchet MS" w:cs="Arial"/>
              </w:rPr>
              <w:t>207,21</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b/>
              </w:rPr>
            </w:pPr>
            <w:r w:rsidRPr="00130BE7">
              <w:rPr>
                <w:rFonts w:ascii="Trebuchet MS" w:hAnsi="Trebuchet MS" w:cs="Arial"/>
                <w:b/>
              </w:rPr>
              <w:t xml:space="preserve">Cantitate totală eliminată, </w:t>
            </w:r>
            <w:r w:rsidRPr="00130BE7">
              <w:rPr>
                <w:rFonts w:ascii="Trebuchet MS" w:hAnsi="Trebuchet MS" w:cs="Arial"/>
                <w:i/>
              </w:rPr>
              <w:t>din care:</w:t>
            </w:r>
          </w:p>
        </w:tc>
        <w:tc>
          <w:tcPr>
            <w:tcW w:w="3084" w:type="dxa"/>
            <w:shd w:val="clear" w:color="auto" w:fill="auto"/>
            <w:vAlign w:val="center"/>
          </w:tcPr>
          <w:p w:rsidR="00041F6F" w:rsidRPr="00130BE7" w:rsidRDefault="00041F6F" w:rsidP="00411A89">
            <w:pPr>
              <w:jc w:val="center"/>
              <w:rPr>
                <w:rFonts w:ascii="Trebuchet MS" w:hAnsi="Trebuchet MS" w:cs="Arial"/>
                <w:b/>
              </w:rPr>
            </w:pPr>
            <w:r w:rsidRPr="00130BE7">
              <w:rPr>
                <w:rFonts w:ascii="Trebuchet MS" w:hAnsi="Trebuchet MS" w:cs="Arial"/>
              </w:rPr>
              <w:t>207,21</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Utilizare în agricultură</w:t>
            </w:r>
          </w:p>
        </w:tc>
        <w:tc>
          <w:tcPr>
            <w:tcW w:w="3084"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63,08</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Compostare şi alte aplicaţii</w:t>
            </w:r>
          </w:p>
        </w:tc>
        <w:tc>
          <w:tcPr>
            <w:tcW w:w="3084"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1,78</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Depozitare pe platforme amenajate</w:t>
            </w:r>
          </w:p>
        </w:tc>
        <w:tc>
          <w:tcPr>
            <w:tcW w:w="3084"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77,42</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Evacuare în mare</w:t>
            </w:r>
          </w:p>
        </w:tc>
        <w:tc>
          <w:tcPr>
            <w:tcW w:w="3084"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0</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Incinerare</w:t>
            </w:r>
          </w:p>
        </w:tc>
        <w:tc>
          <w:tcPr>
            <w:tcW w:w="3084"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0,56</w:t>
            </w:r>
          </w:p>
        </w:tc>
      </w:tr>
      <w:tr w:rsidR="00041F6F" w:rsidRPr="00130BE7" w:rsidTr="00E13AA6">
        <w:trPr>
          <w:jc w:val="center"/>
        </w:trPr>
        <w:tc>
          <w:tcPr>
            <w:tcW w:w="4465"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Altele</w:t>
            </w:r>
          </w:p>
        </w:tc>
        <w:tc>
          <w:tcPr>
            <w:tcW w:w="3084" w:type="dxa"/>
            <w:shd w:val="clear" w:color="auto" w:fill="auto"/>
            <w:vAlign w:val="center"/>
          </w:tcPr>
          <w:p w:rsidR="00041F6F" w:rsidRPr="00130BE7" w:rsidRDefault="00041F6F" w:rsidP="00411A89">
            <w:pPr>
              <w:jc w:val="center"/>
              <w:rPr>
                <w:rFonts w:ascii="Trebuchet MS" w:hAnsi="Trebuchet MS" w:cs="Arial"/>
              </w:rPr>
            </w:pPr>
            <w:r w:rsidRPr="00130BE7">
              <w:rPr>
                <w:rFonts w:ascii="Trebuchet MS" w:hAnsi="Trebuchet MS" w:cs="Arial"/>
              </w:rPr>
              <w:t>64,37</w:t>
            </w:r>
          </w:p>
        </w:tc>
      </w:tr>
    </w:tbl>
    <w:p w:rsidR="00041F6F" w:rsidRPr="00FB34BB" w:rsidRDefault="00041F6F" w:rsidP="00041F6F">
      <w:pPr>
        <w:spacing w:line="300" w:lineRule="auto"/>
        <w:jc w:val="center"/>
        <w:rPr>
          <w:rFonts w:ascii="Trebuchet MS" w:hAnsi="Trebuchet MS" w:cs="Arial"/>
          <w:i/>
          <w:sz w:val="20"/>
          <w:szCs w:val="20"/>
          <w:lang w:val="it-IT"/>
        </w:rPr>
      </w:pPr>
      <w:r w:rsidRPr="00FB34BB">
        <w:rPr>
          <w:rFonts w:ascii="Trebuchet MS" w:hAnsi="Trebuchet MS" w:cs="Arial"/>
          <w:i/>
          <w:sz w:val="20"/>
          <w:szCs w:val="20"/>
          <w:lang w:val="it-IT"/>
        </w:rPr>
        <w:t xml:space="preserve">(Sursa datelor: Institutul Naţional de Statistică, Baza de date TEMPO online, </w:t>
      </w:r>
      <w:hyperlink r:id="rId100" w:history="1">
        <w:r w:rsidRPr="00FB34BB">
          <w:rPr>
            <w:rStyle w:val="Hyperlink"/>
            <w:rFonts w:ascii="Trebuchet MS" w:hAnsi="Trebuchet MS" w:cs="Arial"/>
            <w:i/>
            <w:sz w:val="20"/>
            <w:szCs w:val="20"/>
            <w:lang w:val="it-IT"/>
          </w:rPr>
          <w:t>www.insse.ro</w:t>
        </w:r>
      </w:hyperlink>
      <w:r w:rsidRPr="00FB34BB">
        <w:rPr>
          <w:rFonts w:ascii="Trebuchet MS" w:hAnsi="Trebuchet MS" w:cs="Arial"/>
          <w:i/>
          <w:sz w:val="20"/>
          <w:szCs w:val="20"/>
          <w:lang w:val="it-IT"/>
        </w:rPr>
        <w:t>)</w:t>
      </w:r>
    </w:p>
    <w:p w:rsidR="00041F6F" w:rsidRPr="00130BE7" w:rsidRDefault="00041F6F" w:rsidP="00041F6F">
      <w:pPr>
        <w:autoSpaceDE w:val="0"/>
        <w:autoSpaceDN w:val="0"/>
        <w:adjustRightInd w:val="0"/>
        <w:spacing w:line="300" w:lineRule="auto"/>
        <w:jc w:val="center"/>
        <w:rPr>
          <w:rFonts w:ascii="Trebuchet MS" w:hAnsi="Trebuchet MS" w:cs="Arial"/>
          <w:color w:val="000000"/>
          <w:lang w:eastAsia="ro-RO"/>
        </w:rPr>
      </w:pPr>
      <w:r>
        <w:rPr>
          <w:rFonts w:ascii="Trebuchet MS" w:hAnsi="Trebuchet MS" w:cs="Arial"/>
          <w:noProof/>
          <w:lang w:val="en-US"/>
        </w:rPr>
        <w:drawing>
          <wp:anchor distT="0" distB="0" distL="114300" distR="114300" simplePos="0" relativeHeight="251688448" behindDoc="1" locked="0" layoutInCell="1" allowOverlap="1" wp14:anchorId="3393172B" wp14:editId="2CEC9BD2">
            <wp:simplePos x="0" y="0"/>
            <wp:positionH relativeFrom="column">
              <wp:posOffset>170180</wp:posOffset>
            </wp:positionH>
            <wp:positionV relativeFrom="paragraph">
              <wp:posOffset>13970</wp:posOffset>
            </wp:positionV>
            <wp:extent cx="5857875" cy="2333625"/>
            <wp:effectExtent l="0" t="0" r="9525" b="9525"/>
            <wp:wrapTight wrapText="bothSides">
              <wp:wrapPolygon edited="0">
                <wp:start x="0" y="0"/>
                <wp:lineTo x="0" y="21512"/>
                <wp:lineTo x="21565" y="21512"/>
                <wp:lineTo x="21565" y="0"/>
                <wp:lineTo x="0" y="0"/>
              </wp:wrapPolygon>
            </wp:wrapTight>
            <wp:docPr id="1349278124" name="Picture 134927812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57875"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F6F" w:rsidRPr="00130BE7" w:rsidRDefault="00041F6F" w:rsidP="00041F6F">
      <w:pPr>
        <w:autoSpaceDE w:val="0"/>
        <w:autoSpaceDN w:val="0"/>
        <w:adjustRightInd w:val="0"/>
        <w:spacing w:line="300" w:lineRule="auto"/>
        <w:jc w:val="center"/>
        <w:rPr>
          <w:rFonts w:ascii="Trebuchet MS" w:hAnsi="Trebuchet MS"/>
          <w:b/>
          <w:lang w:eastAsia="ro-RO"/>
        </w:rPr>
      </w:pPr>
    </w:p>
    <w:p w:rsidR="00041F6F" w:rsidRPr="00130BE7" w:rsidRDefault="00041F6F" w:rsidP="00041F6F">
      <w:pPr>
        <w:autoSpaceDE w:val="0"/>
        <w:autoSpaceDN w:val="0"/>
        <w:adjustRightInd w:val="0"/>
        <w:spacing w:line="300" w:lineRule="auto"/>
        <w:jc w:val="center"/>
        <w:rPr>
          <w:rFonts w:ascii="Trebuchet MS" w:hAnsi="Trebuchet MS"/>
          <w:b/>
          <w:lang w:eastAsia="ro-RO"/>
        </w:rPr>
      </w:pPr>
    </w:p>
    <w:p w:rsidR="00041F6F" w:rsidRPr="00130BE7" w:rsidRDefault="00041F6F" w:rsidP="00041F6F">
      <w:pPr>
        <w:autoSpaceDE w:val="0"/>
        <w:autoSpaceDN w:val="0"/>
        <w:adjustRightInd w:val="0"/>
        <w:spacing w:line="300" w:lineRule="auto"/>
        <w:jc w:val="center"/>
        <w:rPr>
          <w:rFonts w:ascii="Trebuchet MS" w:hAnsi="Trebuchet MS"/>
          <w:b/>
          <w:lang w:eastAsia="ro-RO"/>
        </w:rPr>
      </w:pPr>
    </w:p>
    <w:p w:rsidR="00041F6F" w:rsidRPr="00130BE7" w:rsidRDefault="00041F6F" w:rsidP="00041F6F">
      <w:pPr>
        <w:autoSpaceDE w:val="0"/>
        <w:autoSpaceDN w:val="0"/>
        <w:adjustRightInd w:val="0"/>
        <w:spacing w:line="300" w:lineRule="auto"/>
        <w:jc w:val="center"/>
        <w:rPr>
          <w:rFonts w:ascii="Trebuchet MS" w:hAnsi="Trebuchet MS"/>
          <w:b/>
          <w:lang w:eastAsia="ro-RO"/>
        </w:rPr>
      </w:pPr>
    </w:p>
    <w:p w:rsidR="00041F6F" w:rsidRPr="00130BE7" w:rsidRDefault="00041F6F" w:rsidP="00041F6F">
      <w:pPr>
        <w:autoSpaceDE w:val="0"/>
        <w:autoSpaceDN w:val="0"/>
        <w:adjustRightInd w:val="0"/>
        <w:spacing w:line="300" w:lineRule="auto"/>
        <w:jc w:val="center"/>
        <w:rPr>
          <w:rFonts w:ascii="Trebuchet MS" w:hAnsi="Trebuchet MS"/>
          <w:b/>
          <w:lang w:eastAsia="ro-RO"/>
        </w:rPr>
      </w:pPr>
    </w:p>
    <w:p w:rsidR="00041F6F" w:rsidRPr="00130BE7" w:rsidRDefault="00041F6F" w:rsidP="00041F6F">
      <w:pPr>
        <w:autoSpaceDE w:val="0"/>
        <w:autoSpaceDN w:val="0"/>
        <w:adjustRightInd w:val="0"/>
        <w:spacing w:line="300" w:lineRule="auto"/>
        <w:jc w:val="center"/>
        <w:rPr>
          <w:rFonts w:ascii="Trebuchet MS" w:hAnsi="Trebuchet MS"/>
          <w:b/>
          <w:lang w:eastAsia="ro-RO"/>
        </w:rPr>
      </w:pPr>
    </w:p>
    <w:p w:rsidR="00041F6F" w:rsidRPr="00130BE7" w:rsidRDefault="00041F6F" w:rsidP="00041F6F">
      <w:pPr>
        <w:pStyle w:val="Default"/>
        <w:spacing w:line="300" w:lineRule="auto"/>
        <w:jc w:val="both"/>
        <w:rPr>
          <w:rFonts w:ascii="Trebuchet MS" w:hAnsi="Trebuchet MS"/>
          <w:i/>
          <w:iCs/>
          <w:sz w:val="22"/>
          <w:szCs w:val="22"/>
          <w:lang w:eastAsia="ro-RO"/>
        </w:rPr>
      </w:pPr>
    </w:p>
    <w:p w:rsidR="00041F6F" w:rsidRPr="00130BE7" w:rsidRDefault="00041F6F" w:rsidP="00041F6F">
      <w:pPr>
        <w:pStyle w:val="Default"/>
        <w:spacing w:line="300" w:lineRule="auto"/>
        <w:jc w:val="center"/>
        <w:rPr>
          <w:rFonts w:ascii="Trebuchet MS" w:hAnsi="Trebuchet MS"/>
          <w:i/>
          <w:iCs/>
          <w:sz w:val="22"/>
          <w:szCs w:val="22"/>
          <w:lang w:eastAsia="ro-RO"/>
        </w:rPr>
      </w:pPr>
    </w:p>
    <w:p w:rsidR="00041F6F" w:rsidRPr="00130BE7" w:rsidRDefault="00041F6F" w:rsidP="00041F6F">
      <w:pPr>
        <w:pStyle w:val="Default"/>
        <w:spacing w:line="300" w:lineRule="auto"/>
        <w:jc w:val="center"/>
        <w:rPr>
          <w:rFonts w:ascii="Trebuchet MS" w:hAnsi="Trebuchet MS"/>
          <w:i/>
          <w:iCs/>
          <w:sz w:val="22"/>
          <w:szCs w:val="22"/>
          <w:lang w:eastAsia="ro-RO"/>
        </w:rPr>
      </w:pPr>
    </w:p>
    <w:p w:rsidR="00041F6F" w:rsidRPr="00130BE7" w:rsidRDefault="00041F6F" w:rsidP="00041F6F">
      <w:pPr>
        <w:pStyle w:val="Default"/>
        <w:spacing w:line="300" w:lineRule="auto"/>
        <w:jc w:val="center"/>
        <w:rPr>
          <w:rFonts w:ascii="Trebuchet MS" w:hAnsi="Trebuchet MS"/>
          <w:i/>
          <w:iCs/>
          <w:sz w:val="22"/>
          <w:szCs w:val="22"/>
          <w:lang w:eastAsia="ro-RO"/>
        </w:rPr>
      </w:pPr>
    </w:p>
    <w:p w:rsidR="00041F6F" w:rsidRPr="00130BE7" w:rsidRDefault="00041F6F" w:rsidP="00041F6F">
      <w:pPr>
        <w:pStyle w:val="Default"/>
        <w:spacing w:line="300" w:lineRule="auto"/>
        <w:jc w:val="both"/>
        <w:rPr>
          <w:rFonts w:ascii="Trebuchet MS" w:hAnsi="Trebuchet MS"/>
          <w:i/>
          <w:iCs/>
          <w:sz w:val="22"/>
          <w:szCs w:val="22"/>
          <w:lang w:eastAsia="ro-RO"/>
        </w:rPr>
      </w:pPr>
    </w:p>
    <w:p w:rsidR="00041F6F" w:rsidRPr="00E62FDB" w:rsidRDefault="00041F6F" w:rsidP="0022652A">
      <w:pPr>
        <w:autoSpaceDE w:val="0"/>
        <w:autoSpaceDN w:val="0"/>
        <w:adjustRightInd w:val="0"/>
        <w:jc w:val="both"/>
        <w:rPr>
          <w:rFonts w:ascii="Trebuchet MS" w:hAnsi="Trebuchet MS" w:cs="Arial"/>
          <w:color w:val="000000"/>
          <w:sz w:val="22"/>
          <w:szCs w:val="22"/>
          <w:lang w:eastAsia="ro-RO"/>
        </w:rPr>
      </w:pPr>
      <w:r w:rsidRPr="00E62FDB">
        <w:rPr>
          <w:rFonts w:ascii="Trebuchet MS" w:hAnsi="Trebuchet MS" w:cs="Arial"/>
          <w:bCs/>
          <w:color w:val="000000"/>
          <w:sz w:val="22"/>
          <w:szCs w:val="22"/>
          <w:lang w:eastAsia="ro-RO"/>
        </w:rPr>
        <w:t>Figura II.2.2.2.10. Evoluţia cantităţilor de nămol generate de staţiile de epurare din România</w:t>
      </w:r>
    </w:p>
    <w:p w:rsidR="00041F6F" w:rsidRPr="00E62FDB" w:rsidRDefault="00041F6F" w:rsidP="00041F6F">
      <w:pPr>
        <w:pStyle w:val="Default"/>
        <w:spacing w:line="300" w:lineRule="auto"/>
        <w:jc w:val="both"/>
        <w:rPr>
          <w:rFonts w:ascii="Trebuchet MS" w:hAnsi="Trebuchet MS"/>
          <w:i/>
          <w:iCs/>
          <w:sz w:val="22"/>
          <w:szCs w:val="22"/>
          <w:lang w:eastAsia="ro-RO"/>
        </w:rPr>
      </w:pPr>
      <w:r w:rsidRPr="00E62FDB">
        <w:rPr>
          <w:rFonts w:ascii="Trebuchet MS" w:hAnsi="Trebuchet MS"/>
          <w:i/>
          <w:iCs/>
          <w:sz w:val="22"/>
          <w:szCs w:val="22"/>
          <w:lang w:eastAsia="ro-RO"/>
        </w:rPr>
        <w:t>(Sursa: Administraţia Naţională “Apele Române”, Planul Naţional de  Management al bazinelor/spațiilor hidrografice din România aprobat prin HG nr. 80/2011)</w:t>
      </w:r>
    </w:p>
    <w:p w:rsidR="00041F6F" w:rsidRPr="00E62FDB" w:rsidRDefault="00041F6F" w:rsidP="00041F6F">
      <w:pPr>
        <w:pStyle w:val="Default"/>
        <w:spacing w:line="300" w:lineRule="auto"/>
        <w:ind w:firstLine="6379"/>
        <w:jc w:val="both"/>
        <w:rPr>
          <w:rFonts w:ascii="Trebuchet MS" w:hAnsi="Trebuchet MS"/>
          <w:b/>
          <w:sz w:val="22"/>
          <w:szCs w:val="22"/>
          <w:lang w:eastAsia="ro-RO"/>
        </w:rPr>
      </w:pPr>
    </w:p>
    <w:p w:rsidR="00041F6F" w:rsidRPr="00E62FDB" w:rsidRDefault="00041F6F" w:rsidP="00693D46">
      <w:pPr>
        <w:autoSpaceDE w:val="0"/>
        <w:autoSpaceDN w:val="0"/>
        <w:adjustRightInd w:val="0"/>
        <w:ind w:firstLine="567"/>
        <w:jc w:val="both"/>
        <w:rPr>
          <w:rFonts w:ascii="Trebuchet MS" w:hAnsi="Trebuchet MS" w:cs="Arial"/>
          <w:color w:val="000000"/>
          <w:sz w:val="22"/>
          <w:szCs w:val="22"/>
          <w:lang w:eastAsia="ro-RO"/>
        </w:rPr>
      </w:pPr>
      <w:r w:rsidRPr="00E62FDB">
        <w:rPr>
          <w:rFonts w:ascii="Trebuchet MS" w:hAnsi="Trebuchet MS" w:cs="Arial"/>
          <w:color w:val="000000"/>
          <w:sz w:val="22"/>
          <w:szCs w:val="22"/>
          <w:lang w:eastAsia="ro-RO"/>
        </w:rPr>
        <w:t xml:space="preserve">În </w:t>
      </w:r>
      <w:r w:rsidRPr="00E62FDB">
        <w:rPr>
          <w:rFonts w:ascii="Trebuchet MS" w:hAnsi="Trebuchet MS" w:cs="Arial"/>
          <w:i/>
          <w:sz w:val="22"/>
          <w:szCs w:val="22"/>
        </w:rPr>
        <w:t>Strategia naţională de gestionare a nămolurilor de epurare</w:t>
      </w:r>
      <w:r w:rsidRPr="00E62FDB">
        <w:rPr>
          <w:rFonts w:ascii="Trebuchet MS" w:hAnsi="Trebuchet MS" w:cs="Arial"/>
          <w:sz w:val="22"/>
          <w:szCs w:val="22"/>
        </w:rPr>
        <w:t xml:space="preserve">, elaborată în cadrul asistenței tehnice a POS Mediu, oferă un cadru pentru planificarea și implementarea măsurilor pentru gestionarea volumelor în creștere de nămol de la stațiile de epurare urbane existente, reabilitate și noi din România. Cantitățile viitoare estimate de nămol produs au fost evaluate conform </w:t>
      </w:r>
      <w:r w:rsidRPr="00E62FDB">
        <w:rPr>
          <w:rFonts w:ascii="Trebuchet MS" w:hAnsi="Trebuchet MS" w:cs="Arial"/>
          <w:i/>
          <w:sz w:val="22"/>
          <w:szCs w:val="22"/>
        </w:rPr>
        <w:t>Figurii II.2.2.2.11</w:t>
      </w:r>
      <w:r w:rsidRPr="00E62FDB">
        <w:rPr>
          <w:rFonts w:ascii="Trebuchet MS" w:hAnsi="Trebuchet MS" w:cs="Arial"/>
          <w:sz w:val="22"/>
          <w:szCs w:val="22"/>
        </w:rPr>
        <w:t xml:space="preserve">. </w:t>
      </w:r>
      <w:r w:rsidRPr="00E62FDB">
        <w:rPr>
          <w:rFonts w:ascii="Trebuchet MS" w:hAnsi="Trebuchet MS" w:cs="Arial"/>
          <w:color w:val="000000"/>
          <w:sz w:val="22"/>
          <w:szCs w:val="22"/>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rsidR="00041F6F" w:rsidRPr="00130BE7" w:rsidRDefault="00041F6F" w:rsidP="00041F6F">
      <w:pPr>
        <w:autoSpaceDE w:val="0"/>
        <w:autoSpaceDN w:val="0"/>
        <w:adjustRightInd w:val="0"/>
        <w:spacing w:line="300" w:lineRule="auto"/>
        <w:ind w:firstLine="1440"/>
        <w:jc w:val="both"/>
        <w:rPr>
          <w:rFonts w:ascii="Trebuchet MS" w:hAnsi="Trebuchet MS" w:cs="Arial"/>
          <w:b/>
          <w:bCs/>
          <w:color w:val="000000"/>
          <w:lang w:eastAsia="ro-RO"/>
        </w:rPr>
      </w:pPr>
      <w:r>
        <w:rPr>
          <w:rFonts w:ascii="Trebuchet MS" w:hAnsi="Trebuchet MS" w:cs="Arial"/>
          <w:b/>
          <w:bCs/>
          <w:noProof/>
          <w:color w:val="000000"/>
          <w:lang w:val="en-US"/>
        </w:rPr>
        <w:drawing>
          <wp:inline distT="0" distB="0" distL="0" distR="0" wp14:anchorId="0C22A0E8" wp14:editId="2783A10D">
            <wp:extent cx="3699510" cy="2578100"/>
            <wp:effectExtent l="0" t="0" r="0" b="0"/>
            <wp:docPr id="1349278123" name="Picture 134927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99510" cy="2578100"/>
                    </a:xfrm>
                    <a:prstGeom prst="rect">
                      <a:avLst/>
                    </a:prstGeom>
                    <a:noFill/>
                  </pic:spPr>
                </pic:pic>
              </a:graphicData>
            </a:graphic>
          </wp:inline>
        </w:drawing>
      </w:r>
    </w:p>
    <w:p w:rsidR="00041F6F" w:rsidRPr="00130BE7" w:rsidRDefault="00041F6F" w:rsidP="00041F6F">
      <w:pPr>
        <w:autoSpaceDE w:val="0"/>
        <w:autoSpaceDN w:val="0"/>
        <w:adjustRightInd w:val="0"/>
        <w:spacing w:line="300" w:lineRule="auto"/>
        <w:jc w:val="center"/>
        <w:rPr>
          <w:rFonts w:ascii="Trebuchet MS" w:hAnsi="Trebuchet MS" w:cs="Arial"/>
          <w:i/>
          <w:iCs/>
          <w:lang w:eastAsia="ro-RO"/>
        </w:rPr>
      </w:pPr>
      <w:r w:rsidRPr="00130BE7">
        <w:rPr>
          <w:rFonts w:ascii="Trebuchet MS" w:hAnsi="Trebuchet MS" w:cs="Arial"/>
          <w:b/>
          <w:lang w:eastAsia="ro-RO"/>
        </w:rPr>
        <w:t>Figura II.2.2.2.11.</w:t>
      </w:r>
      <w:r w:rsidRPr="00130BE7">
        <w:rPr>
          <w:rFonts w:ascii="Trebuchet MS" w:hAnsi="Trebuchet MS" w:cs="Arial"/>
          <w:i/>
          <w:iCs/>
          <w:lang w:eastAsia="ro-RO"/>
        </w:rPr>
        <w:t xml:space="preserve"> </w:t>
      </w:r>
      <w:r w:rsidRPr="00130BE7">
        <w:rPr>
          <w:rFonts w:ascii="Trebuchet MS" w:hAnsi="Trebuchet MS" w:cs="Arial"/>
          <w:b/>
          <w:bCs/>
          <w:color w:val="000000"/>
          <w:lang w:eastAsia="ro-RO"/>
        </w:rPr>
        <w:t>Evoluţia cantităţilor de nămol generate de staţiile de epurare din România</w:t>
      </w:r>
    </w:p>
    <w:p w:rsidR="00041F6F" w:rsidRPr="00FB34BB" w:rsidRDefault="00041F6F" w:rsidP="00041F6F">
      <w:pPr>
        <w:pStyle w:val="Default"/>
        <w:spacing w:line="300" w:lineRule="auto"/>
        <w:jc w:val="both"/>
        <w:rPr>
          <w:rFonts w:ascii="Trebuchet MS" w:hAnsi="Trebuchet MS"/>
          <w:sz w:val="20"/>
          <w:szCs w:val="20"/>
          <w:lang w:eastAsia="ro-RO"/>
        </w:rPr>
      </w:pPr>
      <w:r w:rsidRPr="00FB34BB">
        <w:rPr>
          <w:rFonts w:ascii="Trebuchet MS" w:hAnsi="Trebuchet MS"/>
          <w:i/>
          <w:iCs/>
          <w:sz w:val="20"/>
          <w:szCs w:val="20"/>
          <w:lang w:eastAsia="ro-RO"/>
        </w:rPr>
        <w:t>(Sursa: Ministerul Mediului, Apelor și Pădurilor,  Strategia naţională de gestionare a nămolurilor de epurare - proiect POSM/6/AT/I.1.2010, "Elaborarea politicii naționale de gestionare a nămolului de epurare")</w:t>
      </w:r>
    </w:p>
    <w:p w:rsidR="00041F6F" w:rsidRPr="00130BE7" w:rsidRDefault="00041F6F" w:rsidP="00041F6F">
      <w:pPr>
        <w:spacing w:line="300" w:lineRule="auto"/>
        <w:ind w:firstLine="720"/>
        <w:jc w:val="both"/>
        <w:rPr>
          <w:rFonts w:ascii="Trebuchet MS" w:hAnsi="Trebuchet MS" w:cs="Arial"/>
          <w:lang w:val="it-IT"/>
        </w:rPr>
      </w:pPr>
    </w:p>
    <w:p w:rsidR="00041F6F" w:rsidRPr="00E62FDB" w:rsidRDefault="00041F6F" w:rsidP="00693D46">
      <w:pPr>
        <w:ind w:firstLine="720"/>
        <w:jc w:val="both"/>
        <w:rPr>
          <w:rFonts w:ascii="Trebuchet MS" w:hAnsi="Trebuchet MS" w:cs="Arial"/>
          <w:sz w:val="22"/>
          <w:szCs w:val="22"/>
          <w:lang w:val="it-IT"/>
        </w:rPr>
      </w:pPr>
      <w:r w:rsidRPr="00E62FDB">
        <w:rPr>
          <w:rFonts w:ascii="Trebuchet MS" w:hAnsi="Trebuchet MS" w:cs="Arial"/>
          <w:sz w:val="22"/>
          <w:szCs w:val="22"/>
          <w:lang w:val="it-IT"/>
        </w:rPr>
        <w:t>Din analiza comparativă a datelor din Tabelul II.2.2.2.6 și Figurile</w:t>
      </w:r>
      <w:r w:rsidRPr="00E62FDB">
        <w:rPr>
          <w:rFonts w:ascii="Trebuchet MS" w:hAnsi="Trebuchet MS"/>
          <w:sz w:val="22"/>
          <w:szCs w:val="22"/>
        </w:rPr>
        <w:t xml:space="preserve"> </w:t>
      </w:r>
      <w:r w:rsidRPr="00E62FDB">
        <w:rPr>
          <w:rFonts w:ascii="Trebuchet MS" w:hAnsi="Trebuchet MS" w:cs="Arial"/>
          <w:sz w:val="22"/>
          <w:szCs w:val="22"/>
          <w:lang w:val="it-IT"/>
        </w:rPr>
        <w:t xml:space="preserve">II.2.2.2.10 și II.2.2.2.11, scenariul planificării pentru anul 2018 este optimist, având în vedere că acesta a plecat de la ipoteza că aglomerările umane cu mai mult de 2.000 l.e. vor fi dotate toate cu stații de epurare corespunzătoare, ceea ce de fapt nu s-a realizat practic. Astfel, la nivelul anului 2022, cantitatea de nămol generată în stațiile de epurare urbană a atins aprox. 49% valoarea planificată din anul 2015 și cca. 40% din valoarea aferentă anului 2018. </w:t>
      </w:r>
    </w:p>
    <w:p w:rsidR="00041F6F" w:rsidRPr="00E62FDB" w:rsidRDefault="00041F6F" w:rsidP="00693D46">
      <w:pPr>
        <w:ind w:firstLine="720"/>
        <w:jc w:val="both"/>
        <w:rPr>
          <w:rFonts w:ascii="Trebuchet MS" w:hAnsi="Trebuchet MS" w:cs="Arial"/>
          <w:sz w:val="22"/>
          <w:szCs w:val="22"/>
          <w:lang w:val="it-IT"/>
        </w:rPr>
      </w:pPr>
      <w:r w:rsidRPr="00E62FDB">
        <w:rPr>
          <w:rFonts w:ascii="Trebuchet MS" w:hAnsi="Trebuchet MS" w:cs="Arial"/>
          <w:sz w:val="22"/>
          <w:szCs w:val="22"/>
          <w:lang w:val="it-IT"/>
        </w:rPr>
        <w:t xml:space="preserve">În vederea accelerării procesului de conformare, Planul de conformare pentru implementare a directivei privind epurarea apelor uzate urbane este în curs de actualizare, constituind unul dintre obiectivele proiectului de asistență tehnică, denumit </w:t>
      </w:r>
      <w:r w:rsidRPr="00E62FDB">
        <w:rPr>
          <w:rFonts w:ascii="Trebuchet MS" w:hAnsi="Trebuchet MS" w:cs="Arial"/>
          <w:b/>
          <w:bCs/>
          <w:sz w:val="22"/>
          <w:szCs w:val="22"/>
          <w:lang w:val="it-IT"/>
        </w:rPr>
        <w:t>„Îmbunătățirea capacității autorității publice centrale în domeniul managementului apelor în ceea ce privește  planificarea, implementarea și raportarea cerințelor europene din domeniul apelor”.</w:t>
      </w:r>
      <w:r w:rsidRPr="00E62FDB">
        <w:rPr>
          <w:rFonts w:ascii="Trebuchet MS" w:hAnsi="Trebuchet MS"/>
          <w:sz w:val="22"/>
          <w:szCs w:val="22"/>
        </w:rPr>
        <w:t xml:space="preserve"> </w:t>
      </w:r>
      <w:r w:rsidRPr="00E62FDB">
        <w:rPr>
          <w:rFonts w:ascii="Trebuchet MS" w:hAnsi="Trebuchet MS" w:cs="Arial"/>
          <w:sz w:val="22"/>
          <w:szCs w:val="22"/>
          <w:lang w:val="it-IT"/>
        </w:rPr>
        <w:t xml:space="preserve">Proiectul este finanțat din fonduri europene prin Programul Operațional Capacitate Administrativă 2014-2020, Axa prioritară Administrație publică și sistem judiciar eficiente, obiectivul specific OS 1.1 Dezvoltarea și introducerea de sisteme și standarde comune în administrația publică ce optimizează procesele decizionale orientate către cetățeni și mediul de afaceri în concordanță cu SCAP.  Liderul de proiect este Ministerul Mediului, Apelor și Pădurilor, Administrația Națională  „Apele Române” partener de implementare, iar consultanții Băncii Mondiale asigură asistență  tehnică pe durata celor 31 luni de desfășurare a proiectului (2019-2022). </w:t>
      </w:r>
    </w:p>
    <w:p w:rsidR="00041F6F" w:rsidRPr="00E62FDB" w:rsidRDefault="00041F6F" w:rsidP="00693D46">
      <w:pPr>
        <w:ind w:firstLine="720"/>
        <w:jc w:val="both"/>
        <w:rPr>
          <w:rFonts w:ascii="Trebuchet MS" w:hAnsi="Trebuchet MS" w:cs="Arial"/>
          <w:sz w:val="22"/>
          <w:szCs w:val="22"/>
          <w:lang w:val="it-IT"/>
        </w:rPr>
      </w:pPr>
      <w:r w:rsidRPr="00E62FDB">
        <w:rPr>
          <w:rFonts w:ascii="Trebuchet MS" w:hAnsi="Trebuchet MS" w:cs="Arial"/>
          <w:sz w:val="22"/>
          <w:szCs w:val="22"/>
          <w:lang w:val="it-IT"/>
        </w:rPr>
        <w:t xml:space="preserve">Proiectul contribuie la fundamentarea și sprijinirea măsurilor ce vizează adaptarea structurilor, optimizarea proceselor și pregătirea resurselor umane necesare îndeplinirii obligațiilor asumate prin aquis-ul comunitar, respectiv conformarea acceleartă cu cerințele Directivei 91/271/CEE privind epurarea apelor uzate provenite de la aglomerări umane în scopul consolidării capacității autorităților și instituțiilor publice din domeniul gospodăririi apelor. Obiectivele și activitățile specifice ale proiectului vizează în principal: reactualizarea Planului de Implementare al Directivei 91/271/CEE privind epurarea apelor uzate urbane, pe baza unei noi metodologii de delimitare a aglomerărilor umane și de calcul al încărcării acestora; elaborarea Strategiei naționale privind alimentarea cu apa, colectarea si epurarea apelor uzate urbane; dezvoltarea si implementarea la nivelul Administrației Naționale „Apele Române” a unui sistem electronic de colectare, prelucrare si raportare a datelor; elaborarea și promovarea unui proiect de act normativ pentru definirea obligațiilor și responsabilitățile legate de colectarea și epurarea apelor uzate urbane. </w:t>
      </w:r>
    </w:p>
    <w:p w:rsidR="00041F6F" w:rsidRPr="00E62FDB" w:rsidRDefault="00041F6F" w:rsidP="00693D46">
      <w:pPr>
        <w:ind w:firstLine="720"/>
        <w:jc w:val="both"/>
        <w:rPr>
          <w:rFonts w:ascii="Trebuchet MS" w:hAnsi="Trebuchet MS" w:cs="Arial"/>
          <w:sz w:val="22"/>
          <w:szCs w:val="22"/>
          <w:lang w:val="it-IT"/>
        </w:rPr>
      </w:pPr>
      <w:r w:rsidRPr="00E62FDB">
        <w:rPr>
          <w:rFonts w:ascii="Trebuchet MS" w:hAnsi="Trebuchet MS" w:cs="Arial"/>
          <w:sz w:val="22"/>
          <w:szCs w:val="22"/>
          <w:lang w:val="it-IT"/>
        </w:rPr>
        <w:t xml:space="preserve">Informații privind proiectul și derularea activităților de implementare pot fi accesate pe website-ul Administrației Naționale „Apele Române”, la adresa: </w:t>
      </w:r>
      <w:hyperlink r:id="rId103" w:history="1">
        <w:r w:rsidRPr="00E62FDB">
          <w:rPr>
            <w:rStyle w:val="Hyperlink"/>
            <w:rFonts w:ascii="Trebuchet MS" w:hAnsi="Trebuchet MS" w:cs="Arial"/>
            <w:sz w:val="22"/>
            <w:szCs w:val="22"/>
          </w:rPr>
          <w:t>Proiectul SIPOCA 588 – Administrația Națională Apele Române (rowater.ro)</w:t>
        </w:r>
      </w:hyperlink>
      <w:r w:rsidRPr="00E62FDB">
        <w:rPr>
          <w:rFonts w:ascii="Trebuchet MS" w:hAnsi="Trebuchet MS" w:cs="Arial"/>
          <w:sz w:val="22"/>
          <w:szCs w:val="22"/>
          <w:lang w:val="it-IT"/>
        </w:rPr>
        <w:t>, precum și pe cele ale Administrațiilor Bazinale de Apă.</w:t>
      </w:r>
    </w:p>
    <w:p w:rsidR="00041F6F" w:rsidRPr="00E62FDB" w:rsidRDefault="00041F6F" w:rsidP="00693D46">
      <w:pPr>
        <w:ind w:firstLine="709"/>
        <w:jc w:val="both"/>
        <w:rPr>
          <w:rFonts w:ascii="Trebuchet MS" w:hAnsi="Trebuchet MS" w:cs="Arial"/>
          <w:sz w:val="22"/>
          <w:szCs w:val="22"/>
          <w:lang w:val="it-IT"/>
        </w:rPr>
      </w:pPr>
      <w:r w:rsidRPr="00E62FDB">
        <w:rPr>
          <w:rFonts w:ascii="Trebuchet MS" w:hAnsi="Trebuchet MS" w:cs="Arial"/>
          <w:sz w:val="22"/>
          <w:szCs w:val="22"/>
          <w:lang w:val="it-IT"/>
        </w:rPr>
        <w:t xml:space="preserve">Autoritățile române competente consideră că actualizarea Planului de implementare  accelerată este parte integrantă din 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 De asemenea, în cadrul acestui proiect va fi dezvoltată, de către Ministerul Mediului, Apelor și Pădurilor o </w:t>
      </w:r>
      <w:r w:rsidRPr="00E62FDB">
        <w:rPr>
          <w:rFonts w:ascii="Trebuchet MS" w:hAnsi="Trebuchet MS" w:cs="Arial"/>
          <w:b/>
          <w:bCs/>
          <w:sz w:val="22"/>
          <w:szCs w:val="22"/>
          <w:lang w:val="it-IT"/>
        </w:rPr>
        <w:t>Strategie națională privind alimentarea cu apă, colectarea și epurarea apelor uzate și revizuirea reglementărilor în vederea creșterii eficienței în aplicarea legislației specifice</w:t>
      </w:r>
      <w:r w:rsidRPr="00E62FDB">
        <w:rPr>
          <w:rFonts w:ascii="Trebuchet MS" w:hAnsi="Trebuchet MS" w:cs="Arial"/>
          <w:sz w:val="22"/>
          <w:szCs w:val="22"/>
          <w:lang w:val="it-IT"/>
        </w:rPr>
        <w:t>. În cadrul Strategiei naționale se va stabili modul în care vor continua planificarea, finanțarea și realizarea infrastructurii specifice. Autoritățile române competente estimează că Strategia națională va fi finalizată, similar cu Planul de conformare, la un termen corelat cu termenul ce se va stabili în cadrul memorandumului pentru evaluarea națională și planul de acțiune privind îndeplinirea condiției favorizante.</w:t>
      </w:r>
    </w:p>
    <w:p w:rsidR="00041F6F" w:rsidRPr="00E62FDB" w:rsidRDefault="00041F6F" w:rsidP="00693D46">
      <w:pPr>
        <w:ind w:firstLine="709"/>
        <w:jc w:val="both"/>
        <w:rPr>
          <w:rFonts w:ascii="Trebuchet MS" w:hAnsi="Trebuchet MS" w:cs="Arial"/>
          <w:sz w:val="22"/>
          <w:szCs w:val="22"/>
          <w:lang w:val="it-IT"/>
        </w:rPr>
      </w:pPr>
      <w:r w:rsidRPr="00E62FDB">
        <w:rPr>
          <w:rFonts w:ascii="Trebuchet MS" w:hAnsi="Trebuchet MS" w:cs="Arial"/>
          <w:sz w:val="22"/>
          <w:szCs w:val="22"/>
          <w:lang w:val="it-IT"/>
        </w:rPr>
        <w:t xml:space="preserve">Proiectul s-a finalizat la 15 decembrie 2023 și a avut ca rezultate în principal: </w:t>
      </w:r>
    </w:p>
    <w:p w:rsidR="00041F6F" w:rsidRPr="00E62FDB" w:rsidRDefault="00041F6F" w:rsidP="00693D46">
      <w:pPr>
        <w:numPr>
          <w:ilvl w:val="0"/>
          <w:numId w:val="8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actualizarea listei aglomerărilor umane din cadrul Planului accelerat de conformare cu directivele europene din domeniul apei și apei uzate, ca bază a planificării investițiilor pentru conformarea aglomerărilor umane;</w:t>
      </w:r>
    </w:p>
    <w:p w:rsidR="00041F6F" w:rsidRPr="00E62FDB" w:rsidRDefault="00041F6F" w:rsidP="00693D46">
      <w:pPr>
        <w:numPr>
          <w:ilvl w:val="0"/>
          <w:numId w:val="8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contribuții pentru actualizarea Planului Național de Investiții necesare în sectorul apei și apelor uzate, componentă a Strategiei Națională privind alimentarea cu apă potabilă, colectarea și epurarea apelor uzate urbane;</w:t>
      </w:r>
    </w:p>
    <w:p w:rsidR="00041F6F" w:rsidRPr="00E62FDB" w:rsidRDefault="00041F6F" w:rsidP="00693D46">
      <w:pPr>
        <w:numPr>
          <w:ilvl w:val="0"/>
          <w:numId w:val="8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dezvoltarea, implementarea și operaționalizarea aplicației/ platformei informatice „Epurarea Apelor Uzate Urbane” (</w:t>
      </w:r>
      <w:hyperlink r:id="rId104" w:history="1">
        <w:r w:rsidRPr="00E62FDB">
          <w:rPr>
            <w:rStyle w:val="Hyperlink"/>
            <w:rFonts w:ascii="Trebuchet MS" w:hAnsi="Trebuchet MS" w:cs="Arial"/>
            <w:sz w:val="22"/>
            <w:szCs w:val="22"/>
            <w:lang w:val="it-IT"/>
          </w:rPr>
          <w:t>https://epurare-ape-uzate-urbane.rowater.ro/en/</w:t>
        </w:r>
      </w:hyperlink>
      <w:r w:rsidRPr="00E62FDB">
        <w:rPr>
          <w:rFonts w:ascii="Trebuchet MS" w:hAnsi="Trebuchet MS" w:cs="Arial"/>
          <w:sz w:val="22"/>
          <w:szCs w:val="22"/>
          <w:lang w:val="it-IT"/>
        </w:rPr>
        <w:t>) pentru dezvoltarea sistemului de colectare, prelucrare și raportare a datelor în procesul de implementare a DEAUU (cerințe art. 15 și 17), inclusiv instruirea personalului MMAP, ANAR, ABA și SGA pentru  aplicarea programului;</w:t>
      </w:r>
    </w:p>
    <w:p w:rsidR="00041F6F" w:rsidRPr="00E62FDB" w:rsidRDefault="00041F6F" w:rsidP="00693D46">
      <w:pPr>
        <w:numPr>
          <w:ilvl w:val="0"/>
          <w:numId w:val="8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elaborarea de puncte de vedere referitoare la îmbunătățirea legislației în domeniul apelor uzate (modificare Legea Apelor nr. 107/1996 cu modificările și completările ulterioare, Ordonanță de urgență nr. 52/2023 pentru completarea și modificarea unor acte normative in domeniul apelor, HG nr. 188/2002 pentru aprobarea unor norme privind condițiile de descărcare în mediul acvatic a apelor uzate, elaborare HG nr. 714/2022 privind aprobarea criteriilor pentru autorizarea, constrcţia, înscrierea/înregistrarea, controlul, exploatarea şi întreţinerea sistemelor individuale adecvate de colectare şi epurare a apelor uzate).</w:t>
      </w:r>
    </w:p>
    <w:p w:rsidR="00041F6F" w:rsidRPr="00E62FDB" w:rsidRDefault="00041F6F" w:rsidP="00693D46">
      <w:pPr>
        <w:ind w:firstLine="634"/>
        <w:jc w:val="both"/>
        <w:rPr>
          <w:rFonts w:ascii="Trebuchet MS" w:hAnsi="Trebuchet MS" w:cs="Arial"/>
          <w:sz w:val="22"/>
          <w:szCs w:val="22"/>
          <w:lang w:val="it-IT"/>
        </w:rPr>
      </w:pPr>
      <w:r w:rsidRPr="00E62FDB">
        <w:rPr>
          <w:rFonts w:ascii="Trebuchet MS" w:hAnsi="Trebuchet MS" w:cs="Arial"/>
          <w:sz w:val="22"/>
          <w:szCs w:val="22"/>
          <w:lang w:val="it-IT"/>
        </w:rPr>
        <w:t xml:space="preserve">Proiectul mai sus menționat se va sprijini și pe rezultatele obținute din alt proiect de asistență tehnică finanțat din Programul Operațional Asistență Tehnică 2014-2020, implementat de Ministerul Fondurilor Europene, prin Autoritatea de Management pentru Programul Operațional Infrastructură Mare (AM POIM), sub asistența tehnică a  Băncii Europene de Reconstrucție și Dezvoltare (BERD) și în colaborare cu Ministerul Apelor și Pădurilor, Asociația Română a Apei și Autoritatea Națională de Reglementare pentru Serviciile Comunitare de Utilități Publice. </w:t>
      </w:r>
    </w:p>
    <w:p w:rsidR="00041F6F" w:rsidRPr="00E62FDB" w:rsidRDefault="00041F6F" w:rsidP="00693D46">
      <w:pPr>
        <w:ind w:firstLine="634"/>
        <w:jc w:val="both"/>
        <w:rPr>
          <w:rFonts w:ascii="Trebuchet MS" w:hAnsi="Trebuchet MS" w:cs="Arial"/>
          <w:sz w:val="22"/>
          <w:szCs w:val="22"/>
          <w:lang w:val="it-IT"/>
        </w:rPr>
      </w:pPr>
      <w:r w:rsidRPr="00E62FDB">
        <w:rPr>
          <w:rFonts w:ascii="Trebuchet MS" w:hAnsi="Trebuchet MS" w:cs="Arial"/>
          <w:sz w:val="22"/>
          <w:szCs w:val="22"/>
          <w:lang w:val="it-IT"/>
        </w:rPr>
        <w:t>Proiectul prevede:</w:t>
      </w:r>
    </w:p>
    <w:p w:rsidR="00041F6F" w:rsidRPr="00E62FDB" w:rsidRDefault="00041F6F" w:rsidP="00693D46">
      <w:pPr>
        <w:numPr>
          <w:ilvl w:val="0"/>
          <w:numId w:val="7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o analiză completă a sectorului de apă și apă uzată;</w:t>
      </w:r>
    </w:p>
    <w:p w:rsidR="00041F6F" w:rsidRPr="00E62FDB" w:rsidRDefault="00041F6F" w:rsidP="00693D46">
      <w:pPr>
        <w:numPr>
          <w:ilvl w:val="0"/>
          <w:numId w:val="7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opțiuni strategice privind dezvoltarea și consolidarea politicii de regionalizare;</w:t>
      </w:r>
    </w:p>
    <w:p w:rsidR="00041F6F" w:rsidRPr="00E62FDB" w:rsidRDefault="00041F6F" w:rsidP="00693D46">
      <w:pPr>
        <w:numPr>
          <w:ilvl w:val="0"/>
          <w:numId w:val="7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stabilirea acelorași tipuri de indicatori în contractul de delegare, calculați în baza unei metodologii comune;</w:t>
      </w:r>
    </w:p>
    <w:p w:rsidR="00041F6F" w:rsidRPr="00E62FDB" w:rsidRDefault="00041F6F" w:rsidP="00693D46">
      <w:pPr>
        <w:numPr>
          <w:ilvl w:val="0"/>
          <w:numId w:val="7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dezvoltarea actualei platforme de benchmarking;</w:t>
      </w:r>
    </w:p>
    <w:p w:rsidR="00041F6F" w:rsidRPr="00E62FDB" w:rsidRDefault="00041F6F" w:rsidP="00693D46">
      <w:pPr>
        <w:numPr>
          <w:ilvl w:val="0"/>
          <w:numId w:val="76"/>
        </w:numPr>
        <w:ind w:left="270" w:hanging="270"/>
        <w:jc w:val="both"/>
        <w:rPr>
          <w:rFonts w:ascii="Trebuchet MS" w:hAnsi="Trebuchet MS" w:cs="Arial"/>
          <w:sz w:val="22"/>
          <w:szCs w:val="22"/>
          <w:lang w:val="it-IT"/>
        </w:rPr>
      </w:pPr>
      <w:r w:rsidRPr="00E62FDB">
        <w:rPr>
          <w:rFonts w:ascii="Trebuchet MS" w:hAnsi="Trebuchet MS" w:cs="Arial"/>
          <w:sz w:val="22"/>
          <w:szCs w:val="22"/>
          <w:lang w:val="it-IT"/>
        </w:rPr>
        <w:t>analiza și revizuirea contractului-cadru de delegare, inclusiv elaborarea unei metodologii de revizuire a acestuia la fiecare 5 ani.</w:t>
      </w:r>
    </w:p>
    <w:p w:rsidR="00041F6F" w:rsidRPr="00E62FDB" w:rsidRDefault="00041F6F" w:rsidP="00693D46">
      <w:pPr>
        <w:ind w:firstLine="708"/>
        <w:jc w:val="both"/>
        <w:rPr>
          <w:rFonts w:ascii="Trebuchet MS" w:hAnsi="Trebuchet MS" w:cs="Arial"/>
          <w:sz w:val="22"/>
          <w:szCs w:val="22"/>
          <w:lang w:val="it-IT"/>
        </w:rPr>
      </w:pPr>
      <w:r w:rsidRPr="00E62FDB">
        <w:rPr>
          <w:rFonts w:ascii="Trebuchet MS" w:hAnsi="Trebuchet MS" w:cs="Arial"/>
          <w:sz w:val="22"/>
          <w:szCs w:val="22"/>
          <w:lang w:val="it-IT"/>
        </w:rPr>
        <w:t xml:space="preserve">În cadrul acestui proiect finalizat a fost implementată acțiunea privind analiza sectorului de apă și apă uzată, precum și realizarea documentului privind opțiunile strategice, documente ce au fost circulate pentru observații și comentarii către toți factorii implicați în sectorul de apă. De asemenea, au fost realizate rapoartele privind metodologia de benchmarking si a avut loc serii de seminarii regionale având ca temă apa nefacturată, contractele pe bază de performanță, managementul activelor și managementul contractului de delegare, precum și îmbunătățirea relațiilor instituționale. Principalele rezultate finale ale proiectului au constat în: elaborarea „Raportului privind optiunile strategice pentru consolidarea si dezvoltarea sectorului de apa din Romania 2020-2035”, actualizarea platformei de benchmarking (H2O BENCHMARK </w:t>
      </w:r>
      <w:hyperlink r:id="rId105" w:anchor="!/Pages/Proiecte" w:history="1">
        <w:r w:rsidRPr="00E62FDB">
          <w:rPr>
            <w:rStyle w:val="Hyperlink"/>
            <w:rFonts w:ascii="Trebuchet MS" w:hAnsi="Trebuchet MS" w:cs="Arial"/>
            <w:sz w:val="22"/>
            <w:szCs w:val="22"/>
            <w:lang w:val="it-IT"/>
          </w:rPr>
          <w:t>http://h2obenchmark.org/#!/Pages/Proiecte</w:t>
        </w:r>
      </w:hyperlink>
      <w:r w:rsidRPr="00E62FDB">
        <w:rPr>
          <w:rFonts w:ascii="Trebuchet MS" w:hAnsi="Trebuchet MS" w:cs="Arial"/>
          <w:sz w:val="22"/>
          <w:szCs w:val="22"/>
          <w:lang w:val="it-IT"/>
        </w:rPr>
        <w:t>), raport privind metodologia de tarifare, etc.</w:t>
      </w:r>
    </w:p>
    <w:p w:rsidR="00041F6F" w:rsidRPr="00E62FDB" w:rsidRDefault="00041F6F" w:rsidP="00693D46">
      <w:pPr>
        <w:jc w:val="both"/>
        <w:rPr>
          <w:rFonts w:ascii="Trebuchet MS" w:hAnsi="Trebuchet MS" w:cs="Arial"/>
          <w:sz w:val="22"/>
          <w:szCs w:val="22"/>
          <w:lang w:val="it-IT"/>
        </w:rPr>
      </w:pPr>
    </w:p>
    <w:p w:rsidR="00C51059" w:rsidRPr="00AB6BD7" w:rsidRDefault="00C51059" w:rsidP="00693D46">
      <w:pPr>
        <w:jc w:val="both"/>
        <w:rPr>
          <w:rFonts w:ascii="Arial" w:hAnsi="Arial" w:cs="Arial"/>
          <w:lang w:val="it-IT"/>
        </w:rPr>
      </w:pPr>
    </w:p>
    <w:p w:rsidR="000420D8" w:rsidRPr="00693D46" w:rsidRDefault="000420D8" w:rsidP="00693D46">
      <w:pPr>
        <w:ind w:firstLine="630"/>
        <w:rPr>
          <w:rFonts w:ascii="Trebuchet MS" w:hAnsi="Trebuchet MS" w:cstheme="minorBidi"/>
          <w:b/>
          <w:bCs/>
        </w:rPr>
      </w:pPr>
      <w:r w:rsidRPr="00693D46">
        <w:rPr>
          <w:rFonts w:ascii="Trebuchet MS" w:hAnsi="Trebuchet MS" w:cstheme="minorBidi"/>
          <w:b/>
          <w:bCs/>
        </w:rPr>
        <w:t>II.2.3 Tendinţe şi prognoze privind calitatea apei</w:t>
      </w:r>
    </w:p>
    <w:p w:rsidR="000420D8" w:rsidRPr="00693D46" w:rsidRDefault="000420D8" w:rsidP="00693D46">
      <w:pPr>
        <w:ind w:firstLine="567"/>
        <w:jc w:val="both"/>
        <w:rPr>
          <w:rFonts w:ascii="Trebuchet MS" w:hAnsi="Trebuchet MS" w:cstheme="minorBidi"/>
          <w:lang w:val="it-IT"/>
        </w:rPr>
      </w:pP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Având în vedere natura substanţelor poluante din apele uzate, cât şi sursele de poluare aferente, gospodărirea apelor uzate se realizează în acord cu prevederile europene în domeniul apelor, în special cu cele ale Directivei Cadru a Apei (Directiva 2000/60/CE), care stabileşte cadrul politic de gestionare a apelor în Uniunea Europeană, bazat pe principiile dezvoltării durabile şi care integrează toate problemele apei. Sub umbrela Directivei Cadru a Apei sunt reunite cerinţele de calitate a apei corespunzătoare şi celorlalte cerinţe ale directivelor europene în domeniul apelor.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Planurile de management ale bazinelor hidrografice reprezintă principalul instrument de implementare a Directivei Cadru privind Apa 2000/60/CE și a majorităţii prevederilor din celelalte directive europene din domeniul calităţii apei. Cele mai importante directive a căror implementare asigură reducerea poluării apelor uzate sunt Directiva 91/271/CEE privind epurarea apelor uzate urbane, amendată de Directiva 98/15/EC şi de Regulamentul (CE) nr. 1882/2003, Directiva 2006/11/CE privind poluarea cauzată de anumite substanţe periculoase evacuate în mediul acvatic al Comunităţii şi Directivele “fiice” 82/176/CEE, 83/513/CEE, 84/156/CEE, 84/491/CEE și 86/280/CEE, modificate prin 88/347/CEE și 90/415/CEE, Directiva 91/676/CEE privind protecția apelor împotriva poluării cauzate de nitraţii proveniţi din surse agricole, amendată de Regulamentul (CE) nr. 1882/2003.</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Directiva Cadru 2000/60/CE în domeniul apei constituie o abordare nouă în domeniul gospodăririi apelor, bazându-se pe principiul bazinal şi impunând termene stricte pentru realizarea programului de măsuri. Obiectivul central al Directivei Cadru în domeniul Apei (DCA) este acela de a obţine o „stare bună” pentru toate corpurile de apă, atât pentru cele de suprafaţă cât şi pentru cele subterane, cu excepţia corpurilor puternic modificate și artificiale, pentru care se defineşte „potenţialul ecologic bun”. Conform acestei Directive, Statele Membre din Uniunea Europeană trebuie să asigure atingerea stării bune a tuturor apelor de suprafaţă până în anul 2015, mai puţin corpurile de apă pentru care se cer excepţii de la atingerea obiectivelor de mediu.</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În conformitate cu cerinţele art. 14(1b) al Directivei Cadru Apă, la 22 decembrie 2019 a fost publicat </w:t>
      </w:r>
      <w:r w:rsidRPr="00E62FDB">
        <w:rPr>
          <w:rFonts w:ascii="Trebuchet MS" w:hAnsi="Trebuchet MS" w:cstheme="minorBidi"/>
          <w:b/>
          <w:i/>
          <w:sz w:val="22"/>
          <w:szCs w:val="22"/>
          <w:lang w:val="it-IT"/>
        </w:rPr>
        <w:t xml:space="preserve">Documentul privind problemele importante de gospodărirea apelor </w:t>
      </w:r>
      <w:r w:rsidRPr="00E62FDB">
        <w:rPr>
          <w:rFonts w:ascii="Trebuchet MS" w:hAnsi="Trebuchet MS" w:cstheme="minorBidi"/>
          <w:sz w:val="22"/>
          <w:szCs w:val="22"/>
          <w:lang w:val="it-IT"/>
        </w:rPr>
        <w:t>realizat la nivel bazinal şi naţional, care a inclus și rezultatele procesului de informare şi consultare a publicului pe o durată de 6 luni (iunie - decembrie 2019).</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 (</w:t>
      </w:r>
      <w:hyperlink r:id="rId106" w:history="1">
        <w:r w:rsidRPr="00E62FDB">
          <w:rPr>
            <w:rStyle w:val="Hyperlink"/>
            <w:rFonts w:ascii="Trebuchet MS" w:hAnsi="Trebuchet MS" w:cstheme="minorBidi"/>
            <w:sz w:val="22"/>
            <w:szCs w:val="22"/>
            <w:lang w:val="it-IT"/>
          </w:rPr>
          <w:t>https://rowater.ro/wp-content/uploads/2020/12/Probleme-Importante-de-Gospodarire-a-Apelor-Sinteza-Nationala-2019.pdf</w:t>
        </w:r>
      </w:hyperlink>
      <w:r w:rsidRPr="00E62FDB">
        <w:rPr>
          <w:rFonts w:ascii="Trebuchet MS" w:hAnsi="Trebuchet MS" w:cstheme="minorBidi"/>
          <w:i/>
          <w:sz w:val="22"/>
          <w:szCs w:val="22"/>
          <w:lang w:val="it-IT"/>
        </w:rPr>
        <w:t>).</w:t>
      </w:r>
      <w:r w:rsidRPr="00E62FDB">
        <w:rPr>
          <w:rFonts w:ascii="Trebuchet MS" w:hAnsi="Trebuchet MS" w:cstheme="minorBidi"/>
          <w:sz w:val="22"/>
          <w:szCs w:val="22"/>
          <w:lang w:val="it-IT"/>
        </w:rPr>
        <w:t xml:space="preserve">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Documentul își propune să evidențieze problemele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riscul neatingerii obiectivelor de mediu, precum şi a sectoarelor economice aferente acestor presiuni și sunt în concordanță cu problemele de gospodărire a apelor de la nivelul Districtului Internațional al Dunării în cadrul documentului Significant Water Management Issues 2019, elaborat de către  Comisia Internațională pentru Protecția fluviului Dunărea (ICPDR), cu contribuția țărilor dunărene (</w:t>
      </w:r>
      <w:hyperlink r:id="rId107" w:history="1">
        <w:r w:rsidRPr="00E62FDB">
          <w:rPr>
            <w:rStyle w:val="Hyperlink"/>
            <w:rFonts w:ascii="Trebuchet MS" w:hAnsi="Trebuchet MS" w:cstheme="minorBidi"/>
            <w:sz w:val="22"/>
            <w:szCs w:val="22"/>
            <w:lang w:val="it-IT"/>
          </w:rPr>
          <w:t>https://www.icpdr.org/main/public-participation-interim-overview-swmi</w:t>
        </w:r>
      </w:hyperlink>
      <w:r w:rsidRPr="00E62FDB">
        <w:rPr>
          <w:rFonts w:ascii="Trebuchet MS" w:hAnsi="Trebuchet MS" w:cstheme="minorBidi"/>
          <w:sz w:val="22"/>
          <w:szCs w:val="22"/>
          <w:lang w:val="it-IT"/>
        </w:rPr>
        <w:t>).</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Următoarele problematici importante privind gospodărirea apelor care afectează în mod direct sau indirect starea apelor de suprafaţă şi apelor subterane, cu impact major în gestiunea resurselor de apă au fost identificate: poluarea cu substanţe organice, poluarea cu nutrienţi, poluarea cu substanţe periculoase și alterările hidromorfologice.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b/>
          <w:i/>
          <w:sz w:val="22"/>
          <w:szCs w:val="22"/>
          <w:lang w:val="it-IT"/>
        </w:rPr>
        <w:t>Poluarea cu substanţe organice</w:t>
      </w:r>
      <w:r w:rsidRPr="00E62FDB">
        <w:rPr>
          <w:rFonts w:ascii="Trebuchet MS" w:hAnsi="Trebuchet MS" w:cstheme="minorBidi"/>
          <w:sz w:val="22"/>
          <w:szCs w:val="22"/>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O problemă importantă de gospodărirea apelor este </w:t>
      </w:r>
      <w:r w:rsidRPr="00E62FDB">
        <w:rPr>
          <w:rFonts w:ascii="Trebuchet MS" w:hAnsi="Trebuchet MS" w:cstheme="minorBidi"/>
          <w:b/>
          <w:i/>
          <w:sz w:val="22"/>
          <w:szCs w:val="22"/>
          <w:lang w:val="it-IT"/>
        </w:rPr>
        <w:t>poluarea cu nutrienți</w:t>
      </w:r>
      <w:r w:rsidRPr="00E62FDB">
        <w:rPr>
          <w:rFonts w:ascii="Trebuchet MS" w:hAnsi="Trebuchet MS" w:cstheme="minorBidi"/>
          <w:sz w:val="22"/>
          <w:szCs w:val="22"/>
          <w:lang w:val="it-IT"/>
        </w:rPr>
        <w:t>, în special cu azot și fosfor. Nutrienţii în exces conduc la eutrofizarea apelor, ceea ce determină schimbarea compoziţiei și scăderea biodiversității speciilor, precum şi reducerea posibilității de utilizare a resurselor de apă în scop potabil, recreațional, etc. Ca şi în cazul substanţelor organice, emisiile de nutrienţi provin atât din surse punctiforme (ape uzate urbane, industriale şi agricole neepurate sau insuficient epurate), cât şi din surse difuze (în special, cele agricole: creşterea animalelor, utilizarea fertilizanţilor, etc).</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Directiva </w:t>
      </w:r>
      <w:r w:rsidRPr="00E62FDB">
        <w:rPr>
          <w:rFonts w:ascii="Trebuchet MS" w:hAnsi="Trebuchet MS" w:cstheme="minorBidi"/>
          <w:i/>
          <w:sz w:val="22"/>
          <w:szCs w:val="22"/>
          <w:lang w:val="it-IT"/>
        </w:rPr>
        <w:t>Consiliului 91/676/EEC privind Protecţia apelor împotriva poluării cu nitraţi din surse agricole</w:t>
      </w:r>
      <w:r w:rsidRPr="00E62FDB">
        <w:rPr>
          <w:rFonts w:ascii="Trebuchet MS" w:hAnsi="Trebuchet MS" w:cstheme="minorBidi"/>
          <w:sz w:val="22"/>
          <w:szCs w:val="22"/>
          <w:lang w:val="it-IT"/>
        </w:rPr>
        <w:t xml:space="preserve"> </w:t>
      </w:r>
      <w:r w:rsidRPr="00E62FDB">
        <w:rPr>
          <w:rFonts w:ascii="Trebuchet MS" w:hAnsi="Trebuchet MS" w:cstheme="minorBidi"/>
          <w:color w:val="000000"/>
          <w:sz w:val="22"/>
          <w:szCs w:val="22"/>
        </w:rPr>
        <w:t>(numită Directiva Nitrați)</w:t>
      </w:r>
      <w:r w:rsidRPr="00E62FDB">
        <w:rPr>
          <w:rFonts w:ascii="Trebuchet MS" w:hAnsi="Trebuchet MS" w:cstheme="minorBidi"/>
          <w:b/>
          <w:color w:val="000000"/>
          <w:sz w:val="22"/>
          <w:szCs w:val="22"/>
        </w:rPr>
        <w:t xml:space="preserve"> </w:t>
      </w:r>
      <w:r w:rsidRPr="00E62FDB">
        <w:rPr>
          <w:rFonts w:ascii="Trebuchet MS" w:hAnsi="Trebuchet MS" w:cstheme="minorBidi"/>
          <w:sz w:val="22"/>
          <w:szCs w:val="22"/>
          <w:lang w:val="it-IT"/>
        </w:rPr>
        <w:t>este principalul instrument comunitar care reglementează poluarea cu nitrați provenită din agricultură. Principalele obiective ale acestei directive sunt reducerea poluării produsă sau indusă de nitraţii proveni</w:t>
      </w:r>
      <w:r w:rsidRPr="00E62FDB">
        <w:rPr>
          <w:rFonts w:ascii="Trebuchet MS" w:hAnsi="Trebuchet MS" w:cstheme="minorBidi"/>
          <w:sz w:val="22"/>
          <w:szCs w:val="22"/>
        </w:rPr>
        <w:t>ți</w:t>
      </w:r>
      <w:r w:rsidRPr="00E62FDB">
        <w:rPr>
          <w:rFonts w:ascii="Trebuchet MS" w:hAnsi="Trebuchet MS" w:cstheme="minorBidi"/>
          <w:sz w:val="22"/>
          <w:szCs w:val="22"/>
          <w:lang w:val="it-IT"/>
        </w:rPr>
        <w:t xml:space="preserve"> din surse agricole, raţionalizarea şi optimizarea utilizării îngrăşămintelor chimice şi organice ce conţin compuşi ai azotului şi prevenirea poluării apelor cu nitraţi. Aceste obiective sunt cuprinse în planuri de acţiune.</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Conform planului de acțiune și articolelor 4 și 5 ale Directivei 91/676/EEC au fost elaborate şi aplicate Coduri de bune practici agricole, cât şi Programe de Acţiune pentru protecţia apelor împotriva poluării cu nitraţi din surse agricole. Acestea s-au aplicat la 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având, în principal, în vedere aplicarea principiului de prevenire a poluării.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Implementarea Directivei 91/676/EEC este pusă în practică în România prin Planul de acţiune pentru protecţia apelor împotriva poluării cu nitrati proveniţi din surse agricole, aprobat prin HG 964/2000 </w:t>
      </w:r>
      <w:r w:rsidRPr="00E62FDB">
        <w:rPr>
          <w:rFonts w:ascii="Trebuchet MS" w:hAnsi="Trebuchet MS" w:cstheme="minorBidi"/>
          <w:color w:val="000000"/>
          <w:sz w:val="22"/>
          <w:szCs w:val="22"/>
        </w:rPr>
        <w:t xml:space="preserve">și HG nr. 587/2021 pentru modificarea şi completarea anexei la Hotărârea Guvernului nr. 964/2000 </w:t>
      </w:r>
      <w:r w:rsidRPr="00E62FDB">
        <w:rPr>
          <w:rFonts w:ascii="Trebuchet MS" w:hAnsi="Trebuchet MS" w:cstheme="minorBidi"/>
          <w:sz w:val="22"/>
          <w:szCs w:val="22"/>
          <w:lang w:val="it-IT"/>
        </w:rPr>
        <w:t>privind aprobarea Planului de acţiune pentru protecţia apelor împotriva poluării cu nitrați proveniţi din surse agricole, cu completările şi modificările ulterioare, survenite în urma deciziei de aplicare a Programului de Acțiune pe întreg teritoriul României.</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În vederea reducerii și prevenirii poluării cu nitraţi din surse agricole, s-a prevăzut ca măsură generală de bază, pe întreg teritoriul României, aplicarea programelor de acţiune pe întreg teritoriul României.</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Hotărârea de Guvern nr. 964/2000, prin care Directiva 91/676/CEE privind protecția apelor împotriva poluării cu nitrați din surse agricole a fost transpusă în legislația internă din România a suferit modificări ce au intrat în vigoare începând cu data de 4 iunie 2021, când HG nr. 587/2021 a fost publicată în Monitorul Oficial.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Cea mai importantă modificare, în ceea ce îi privește pe fermieri, se referă la obligațiile legale ale acestora, care sunt acum cuprinse în Programul de acțiune pentru protecția apelor împotriva poluării cu nitrați proveniți din surse agricole (Programul de acțiune). Până la modificarea adusă de această Hotărâre de Guvern, prevederile obligatorii erau cuprinse în Codul de bune practici agricole. Prin separarea normelor obligatorii de recomandări se simplifică textul legislativ și, pe cale de consecință, se ușurează înțelegerea și aplicarea prevederilor legale.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Totodată, Codul de bune practici agricole a devenit un document consultativ pentru fermieri. Trebuie avut în vedere că aplicarea de agricultori în mod voluntar nu se referă și la acele măsuri care sunt cuprinse și în Programul de acțiune, acestea din urmă fiind obligatorii. De asemenea, în legătură cu codul de bune practici agricole, în cazul când prevederile acestuia sunt parte din cerinţele legale în materie de gestionare (SMR) şi standardele privind bunele condiţii agricole şi de mediu (GAEC), acestea sunt obligatorii în condițiile solicitării și aprobării oricărei forme de sprijin financiar.</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De asemenea, implementarea măsurilor conform cerințelor Directivei 91/271/CEE privind epurarea apelor uzate urbane, modificată și completată prin directiva 98/15/CE, contribuie la reducerea emisiilor de nutrienți. </w:t>
      </w:r>
    </w:p>
    <w:p w:rsidR="000420D8" w:rsidRPr="00E62FDB" w:rsidRDefault="000420D8" w:rsidP="00693D46">
      <w:pPr>
        <w:ind w:firstLine="720"/>
        <w:jc w:val="both"/>
        <w:rPr>
          <w:rFonts w:ascii="Trebuchet MS" w:hAnsi="Trebuchet MS" w:cstheme="minorBidi"/>
          <w:color w:val="000000"/>
          <w:sz w:val="22"/>
          <w:szCs w:val="22"/>
        </w:rPr>
      </w:pPr>
      <w:r w:rsidRPr="00E62FDB">
        <w:rPr>
          <w:rFonts w:ascii="Trebuchet MS" w:hAnsi="Trebuchet MS" w:cstheme="minorBidi"/>
          <w:color w:val="000000"/>
          <w:sz w:val="22"/>
          <w:szCs w:val="22"/>
        </w:rPr>
        <w:t xml:space="preserve">La nivel național sunt necesare </w:t>
      </w:r>
      <w:r w:rsidRPr="00E62FDB">
        <w:rPr>
          <w:rFonts w:ascii="Trebuchet MS" w:hAnsi="Trebuchet MS" w:cstheme="minorBidi"/>
          <w:b/>
          <w:color w:val="000000"/>
          <w:sz w:val="22"/>
          <w:szCs w:val="22"/>
        </w:rPr>
        <w:t xml:space="preserve">măsuri suplimentare pentru </w:t>
      </w:r>
      <w:r w:rsidRPr="00E62FDB">
        <w:rPr>
          <w:rFonts w:ascii="Trebuchet MS" w:hAnsi="Trebuchet MS" w:cstheme="minorBidi"/>
          <w:b/>
          <w:sz w:val="22"/>
          <w:szCs w:val="22"/>
        </w:rPr>
        <w:t xml:space="preserve">reducerea poluării generate de activitățile agricole (ferme zootehnice - poluare punctiformă, măsuri pentru reducerea poluării difuze generate de ferme zootehnice, vegetale și asupra terenurilor agricole), </w:t>
      </w:r>
      <w:r w:rsidRPr="00E62FDB">
        <w:rPr>
          <w:rFonts w:ascii="Trebuchet MS" w:hAnsi="Trebuchet MS" w:cstheme="minorBidi"/>
          <w:sz w:val="22"/>
          <w:szCs w:val="22"/>
        </w:rPr>
        <w:t xml:space="preserve">în </w:t>
      </w:r>
      <w:r w:rsidRPr="00E62FDB">
        <w:rPr>
          <w:rFonts w:ascii="Trebuchet MS" w:hAnsi="Trebuchet MS" w:cstheme="minorBidi"/>
          <w:color w:val="000000"/>
          <w:sz w:val="22"/>
          <w:szCs w:val="22"/>
        </w:rPr>
        <w:t xml:space="preserve">vederea atingerii obiectivelor de mediu ale corpurilor de apă. Măsurile propuse sunt altele decât măsurile de bază pentru punerea în aplicare a Directivelor europene, în principal Directiva Consiliului 91/676/EEC privind protecţia apelor împotriva poluării cu nitraţi proveniți din surse agricole, Directiva 2009/128/CE de stabilire a unui cadru de acțiune comunitară în vederea utilizării durabile a pesticidelor și Regulamentul (CE) nr. 1.107/2009 al Parlamentului European și al Consiliului din 21 octombrie 2009 privind introducerea pe piață a produselor fitosanitare și de abrogare a Directivelor 79/117/CEE și 91/414/ CEE ale Consiliului. </w:t>
      </w:r>
    </w:p>
    <w:p w:rsidR="000420D8" w:rsidRPr="00E62FDB" w:rsidRDefault="000420D8" w:rsidP="00693D46">
      <w:pPr>
        <w:ind w:firstLine="720"/>
        <w:jc w:val="both"/>
        <w:rPr>
          <w:rFonts w:ascii="Trebuchet MS" w:hAnsi="Trebuchet MS" w:cstheme="minorBidi"/>
          <w:b/>
          <w:color w:val="000000"/>
          <w:sz w:val="22"/>
          <w:szCs w:val="22"/>
        </w:rPr>
      </w:pPr>
      <w:r w:rsidRPr="00E62FDB">
        <w:rPr>
          <w:rFonts w:ascii="Trebuchet MS" w:hAnsi="Trebuchet MS" w:cstheme="minorBidi"/>
          <w:b/>
          <w:color w:val="000000"/>
          <w:sz w:val="22"/>
          <w:szCs w:val="22"/>
        </w:rPr>
        <w:t xml:space="preserve">În contextul actualizării legislației în ceea ce privește aplicarea Codului de bune practici agricole, prin </w:t>
      </w:r>
      <w:r w:rsidRPr="00E62FDB">
        <w:rPr>
          <w:rFonts w:ascii="Trebuchet MS" w:hAnsi="Trebuchet MS" w:cstheme="minorBidi"/>
          <w:b/>
          <w:i/>
          <w:iCs/>
          <w:color w:val="000000"/>
          <w:sz w:val="22"/>
          <w:szCs w:val="22"/>
        </w:rPr>
        <w:t>HG nr. 587/2021 pentru modificarea şi completarea anexei la Hotărârea Guvernului nr. 964/2000 privind aprobarea Planului de acţiune pentru protecţia apelor împotriva poluării cu nitraţi proveniţi din surse agricole</w:t>
      </w:r>
      <w:r w:rsidRPr="00E62FDB">
        <w:rPr>
          <w:rFonts w:ascii="Trebuchet MS" w:hAnsi="Trebuchet MS" w:cstheme="minorBidi"/>
          <w:b/>
          <w:color w:val="000000"/>
          <w:sz w:val="22"/>
          <w:szCs w:val="22"/>
        </w:rPr>
        <w:t xml:space="preserve">, la art. 5, aliniat (1), pct. a) al Anexei la Hotărârea Guvernului nr. 964/2000, se precizează că aplicarea Codului de bune practici agricole (CBPA)  se face în mod voluntar de către fermieri. În acest context, măsurile sub CBPA care în Planul Național de management actualizat, aprobat prin HG nr. 859/2016, erau considerate măsuri de bază pentru implementarea cerințelor Directivei Nitrați, începând cu 2021 devin măsuri suplimentare. </w:t>
      </w:r>
    </w:p>
    <w:p w:rsidR="000420D8" w:rsidRPr="00E62FDB" w:rsidRDefault="000420D8" w:rsidP="00693D46">
      <w:pPr>
        <w:pStyle w:val="Default"/>
        <w:ind w:firstLine="720"/>
        <w:jc w:val="both"/>
        <w:rPr>
          <w:rFonts w:ascii="Trebuchet MS" w:hAnsi="Trebuchet MS" w:cstheme="minorBidi"/>
          <w:sz w:val="22"/>
          <w:szCs w:val="22"/>
        </w:rPr>
      </w:pPr>
      <w:r w:rsidRPr="00E62FDB">
        <w:rPr>
          <w:rFonts w:ascii="Trebuchet MS" w:hAnsi="Trebuchet MS" w:cstheme="minorBidi"/>
          <w:b/>
          <w:sz w:val="22"/>
          <w:szCs w:val="22"/>
        </w:rPr>
        <w:t>Măsurile suplimentare pentru activităţile agricole planificate pentru perioada 2022-2027 se referă în general la</w:t>
      </w:r>
      <w:r w:rsidRPr="00E62FDB">
        <w:rPr>
          <w:rFonts w:ascii="Trebuchet MS" w:hAnsi="Trebuchet MS" w:cstheme="minorBidi"/>
          <w:sz w:val="22"/>
          <w:szCs w:val="22"/>
        </w:rPr>
        <w:t xml:space="preserve">: reducerea eroziunii solului, aplicarea practicilor de cultivare pentru reducerea utilizării/poluării cu produse fitosanitare, protejarea corpurilor de apă împotriva poluării cu pesticide, aplicarea codului de bune practici agricole, respectiv alte măsuri decât cele din Programul de Acțiune (descrise în Anexa 9.4), aplicarea codului de bune condiţii agricole şi de mediu şi a altor coduri de bună practică în ferme, consultanță / instruiri pentru fermieri, conversia terenurilor arabile în păşuni, realizarea şi menţinerea zonelor tampon de-a lungul apelor la o distanță mai mare decât cea prevăzută în legislația în vigoare, aplicarea agriculturii organice, prevenirea și combaterea poluării din activitățile agricole în zonele care se confruntă cu constrângeri naturale, constrângeri naturale semnificative sau cu alte constrângeri specifice (de ex. conversia terenurilor arabile în păşuni). </w:t>
      </w:r>
    </w:p>
    <w:p w:rsidR="000420D8" w:rsidRPr="00E62FDB" w:rsidRDefault="000420D8" w:rsidP="00693D46">
      <w:pPr>
        <w:pStyle w:val="Default"/>
        <w:ind w:firstLine="720"/>
        <w:jc w:val="both"/>
        <w:rPr>
          <w:rFonts w:ascii="Trebuchet MS" w:hAnsi="Trebuchet MS" w:cstheme="minorBidi"/>
          <w:sz w:val="22"/>
          <w:szCs w:val="22"/>
        </w:rPr>
      </w:pPr>
      <w:r w:rsidRPr="00E62FDB">
        <w:rPr>
          <w:rFonts w:ascii="Trebuchet MS" w:hAnsi="Trebuchet MS" w:cstheme="minorBidi"/>
          <w:sz w:val="22"/>
          <w:szCs w:val="22"/>
        </w:rPr>
        <w:t xml:space="preserve">Măsurile necesare a fi luate de către fermieri pentru atingerea obiectivelor Directivei Cadru Apă pot fi finanţate prin Fondul European Agricol pentru Dezvoltare Rurală 2014-2020 (FEADR), în conformitate cu prevederile Regulamentelor Consiliului privind sprijinul pentru dezvoltare rurală. Acest sprijin are la bază </w:t>
      </w:r>
      <w:r w:rsidRPr="00E62FDB">
        <w:rPr>
          <w:rFonts w:ascii="Trebuchet MS" w:hAnsi="Trebuchet MS" w:cstheme="minorBidi"/>
          <w:b/>
          <w:bCs/>
          <w:sz w:val="22"/>
          <w:szCs w:val="22"/>
        </w:rPr>
        <w:t>Programul Național de Dezvoltare Rurală (PNDR)</w:t>
      </w:r>
      <w:r w:rsidRPr="00E62FDB">
        <w:rPr>
          <w:rFonts w:ascii="Trebuchet MS" w:hAnsi="Trebuchet MS" w:cstheme="minorBidi"/>
          <w:sz w:val="22"/>
          <w:szCs w:val="22"/>
        </w:rPr>
        <w:t xml:space="preserve"> care acoperă perioada 2014-2020 și care conţine domeniile de intervenție şi măsurile care răspund acestor domenii de intervenție, precum şi un plan de finanţare. Prin PNDR 2014-2020 se implementează o serie de măsuri de mediu şi climă care contribuie direct sau indirect la Prioritatea 4 (P4) - Refacerea, conservarea şi consolidarea ecosistemelor care sunt legate de agricultură și silvicultură, Domeniul de Intervenție 4B - Ameliorarea gestionării apelor, inclusiv gestionarea îngrășămintelor și a pesticidelor. În PNDR 2014-2020 este disponibilă finanțarea măsurilor agricole pentru protejarea corpurilor de apă, prin intermediul domeniilor de intervenție, care pot sprijini atingerea obiectivelor Directivei Cadru Apă.</w:t>
      </w:r>
    </w:p>
    <w:p w:rsidR="000420D8" w:rsidRPr="00E62FDB" w:rsidRDefault="000420D8" w:rsidP="00693D46">
      <w:pPr>
        <w:pStyle w:val="Default"/>
        <w:ind w:firstLine="720"/>
        <w:jc w:val="both"/>
        <w:rPr>
          <w:rFonts w:ascii="Trebuchet MS" w:hAnsi="Trebuchet MS" w:cstheme="minorBidi"/>
          <w:sz w:val="22"/>
          <w:szCs w:val="22"/>
        </w:rPr>
      </w:pPr>
      <w:r w:rsidRPr="00E62FDB">
        <w:rPr>
          <w:rFonts w:ascii="Trebuchet MS" w:hAnsi="Trebuchet MS" w:cstheme="minorBidi"/>
          <w:b/>
          <w:bCs/>
          <w:sz w:val="22"/>
          <w:szCs w:val="22"/>
        </w:rPr>
        <w:t>Planul Național Strategic pentru PAC 2023-2027 (PNS)</w:t>
      </w:r>
      <w:r w:rsidRPr="00E62FDB">
        <w:rPr>
          <w:rFonts w:ascii="Trebuchet MS" w:hAnsi="Trebuchet MS" w:cstheme="minorBidi"/>
          <w:sz w:val="22"/>
          <w:szCs w:val="22"/>
        </w:rPr>
        <w:t>, aflat în procedura de evaluare strategică de mediu, reunește obiectivele și activitățile țintă pentru îmbunătățirea performanței socio-economice și de mediu a sectorului agricol și a zonelor rurale. PNS acordă o atenție deosebită criteriilor de referință și cerințelor privind obiectivele legate de mediu și climă. În plus, Comisia Europeană recomandă să fie incluse și criterii solide privind schimbările climatice pentru a reflecta pe deplin obiectivele strategice din Pactul Ecologic European, cu referire în special la strategia „De la fermă la consumator”.  Introducerea cerințelor Directivei cadru Apă și a Directivei privind utilizarea sustenabilă a pesticidelor în eco-condiționalitate sprijină punerea în aplicare și realizarea obiectivelor lor specifice. În plus, noul Cod de Bune Practici Agricole  ar putea avea un impact pozitiv asupra calității apei, prin optimizarea gestionării nutrienților la fermă, și a sechestrării dioxidului de carbon din soluri. Condiționalitatea îmbunătățită ar fi obligatorie pentru punere în aplicare și respectare de către fermierii care primesc plăți directe de la AFIR. Astfel, în cadrul obiectivului specific 5 - Promovarea dezvoltării durabile și a gestionării eficiente a resurselor naturale, cum ar fi apa, solul și aerul, inclusiv prin reducerea dependenței de substanțe chimice, promovarea de practici agricole extensive prin intervenția de agro-mediu și climă contribuie, totodată, la atingerea obiectivelor de mediu în cadrul Directivei Cadru Apă, Directivei Nitraţi şi Directivei privind gestionarea durabilă a pesticidelor, prin reducerea poluării apelor și atenuarea efectelor negative ale viiturilor.</w:t>
      </w:r>
    </w:p>
    <w:p w:rsidR="000420D8" w:rsidRPr="00E62FDB" w:rsidRDefault="000420D8" w:rsidP="00693D46">
      <w:pPr>
        <w:pStyle w:val="Default"/>
        <w:ind w:firstLine="720"/>
        <w:jc w:val="both"/>
        <w:rPr>
          <w:rFonts w:ascii="Trebuchet MS" w:hAnsi="Trebuchet MS" w:cstheme="minorBidi"/>
          <w:sz w:val="22"/>
          <w:szCs w:val="22"/>
        </w:rPr>
      </w:pPr>
      <w:r w:rsidRPr="00E62FDB">
        <w:rPr>
          <w:rFonts w:ascii="Trebuchet MS" w:hAnsi="Trebuchet MS" w:cstheme="minorBidi"/>
          <w:sz w:val="22"/>
          <w:szCs w:val="22"/>
        </w:rPr>
        <w:t xml:space="preserve">Una dintre măsurile suplimentare importante este </w:t>
      </w:r>
      <w:r w:rsidRPr="00E62FDB">
        <w:rPr>
          <w:rFonts w:ascii="Trebuchet MS" w:hAnsi="Trebuchet MS" w:cstheme="minorBidi"/>
          <w:b/>
          <w:sz w:val="22"/>
          <w:szCs w:val="22"/>
        </w:rPr>
        <w:t>construirea platformelor comunale de stocare a gunoiului de grajd.</w:t>
      </w:r>
      <w:r w:rsidRPr="00E62FDB">
        <w:rPr>
          <w:rFonts w:ascii="Trebuchet MS" w:hAnsi="Trebuchet MS" w:cstheme="minorBidi"/>
          <w:sz w:val="22"/>
          <w:szCs w:val="22"/>
        </w:rPr>
        <w:t xml:space="preserve"> Prin intermediul proiectului “</w:t>
      </w:r>
      <w:r w:rsidRPr="00E62FDB">
        <w:rPr>
          <w:rFonts w:ascii="Trebuchet MS" w:hAnsi="Trebuchet MS" w:cstheme="minorBidi"/>
          <w:i/>
          <w:sz w:val="22"/>
          <w:szCs w:val="22"/>
        </w:rPr>
        <w:t>Controlul integrat al poluării cu nutrienți din România</w:t>
      </w:r>
      <w:r w:rsidRPr="00E62FDB">
        <w:rPr>
          <w:rFonts w:ascii="Trebuchet MS" w:hAnsi="Trebuchet MS" w:cstheme="minorBidi"/>
          <w:sz w:val="22"/>
          <w:szCs w:val="22"/>
        </w:rPr>
        <w:t>” s-au realizat la nivel național costuri de investiții în perioada 2016-2021 pentru un număr de 79 platforme comunale de depozitare și managementul gunoiului de grajd în valoare de 33.200.575 Euro. Se precizează că pentru operarea și întreținerea platformelor comunale de stocare a gunoiului de grajd a fost estimat un cost mediu de cca. 25.000 euro/an/platformă. În perioada 2022-2027 sunt planificate să se realizeze 298</w:t>
      </w:r>
      <w:r w:rsidRPr="00E62FDB">
        <w:rPr>
          <w:rFonts w:ascii="Trebuchet MS" w:hAnsi="Trebuchet MS" w:cstheme="minorBidi"/>
          <w:b/>
          <w:sz w:val="22"/>
          <w:szCs w:val="22"/>
        </w:rPr>
        <w:t xml:space="preserve"> platforme comunale</w:t>
      </w:r>
      <w:r w:rsidRPr="00E62FDB">
        <w:rPr>
          <w:rFonts w:ascii="Trebuchet MS" w:hAnsi="Trebuchet MS" w:cstheme="minorBidi"/>
          <w:sz w:val="22"/>
          <w:szCs w:val="22"/>
        </w:rPr>
        <w:t xml:space="preserve"> de depozitare și managementul gunoiului de grajd în valoare de </w:t>
      </w:r>
      <w:r w:rsidRPr="00E62FDB">
        <w:rPr>
          <w:rFonts w:ascii="Trebuchet MS" w:hAnsi="Trebuchet MS" w:cstheme="minorBidi"/>
          <w:bCs/>
          <w:sz w:val="22"/>
          <w:szCs w:val="22"/>
        </w:rPr>
        <w:t>128.893.358 Euro</w:t>
      </w:r>
      <w:r w:rsidRPr="00E62FDB">
        <w:rPr>
          <w:rFonts w:ascii="Trebuchet MS" w:hAnsi="Trebuchet MS" w:cstheme="minorBidi"/>
          <w:b/>
          <w:sz w:val="22"/>
          <w:szCs w:val="22"/>
        </w:rPr>
        <w:t xml:space="preserve"> </w:t>
      </w:r>
      <w:r w:rsidRPr="00E62FDB">
        <w:rPr>
          <w:rFonts w:ascii="Trebuchet MS" w:hAnsi="Trebuchet MS" w:cstheme="minorBidi"/>
          <w:sz w:val="22"/>
          <w:szCs w:val="22"/>
        </w:rPr>
        <w:t xml:space="preserve">costuri de investiții și alte costuri. Se menționează faptul că în cadrul </w:t>
      </w:r>
      <w:r w:rsidRPr="00E62FDB">
        <w:rPr>
          <w:rFonts w:ascii="Trebuchet MS" w:hAnsi="Trebuchet MS" w:cstheme="minorBidi"/>
          <w:b/>
          <w:bCs/>
          <w:sz w:val="22"/>
          <w:szCs w:val="22"/>
        </w:rPr>
        <w:t>Planului Național de Redresare și Reziliență 2021-2026</w:t>
      </w:r>
      <w:r w:rsidRPr="00E62FDB">
        <w:rPr>
          <w:rFonts w:ascii="Trebuchet MS" w:hAnsi="Trebuchet MS" w:cstheme="minorBidi"/>
          <w:sz w:val="22"/>
          <w:szCs w:val="22"/>
        </w:rPr>
        <w:t>, sunt planificate să fie finanțate în perioada 2022-2026 măsuri pentru dezvoltarea infrastructurii pentru gunoiul de grajd (platforme comunale și echipamente) și managementul deșeurilor agricole compostabile, în valoare de 255 milioane Euro (fără TVA).</w:t>
      </w:r>
    </w:p>
    <w:p w:rsidR="000420D8" w:rsidRPr="00E62FDB" w:rsidRDefault="000420D8" w:rsidP="00693D46">
      <w:pPr>
        <w:pStyle w:val="Default"/>
        <w:ind w:firstLine="720"/>
        <w:jc w:val="both"/>
        <w:rPr>
          <w:rFonts w:ascii="Trebuchet MS" w:hAnsi="Trebuchet MS" w:cstheme="minorBidi"/>
          <w:sz w:val="22"/>
          <w:szCs w:val="22"/>
        </w:rPr>
      </w:pPr>
      <w:r w:rsidRPr="00E62FDB">
        <w:rPr>
          <w:rFonts w:ascii="Trebuchet MS" w:hAnsi="Trebuchet MS" w:cstheme="minorBidi"/>
          <w:sz w:val="22"/>
          <w:szCs w:val="22"/>
        </w:rPr>
        <w:t xml:space="preserve">Finanțarea măsurilor privind prevenirea și controlul poluării în agricultură va continua după anul 2022 în cadrul </w:t>
      </w:r>
      <w:r w:rsidRPr="00E62FDB">
        <w:rPr>
          <w:rFonts w:ascii="Trebuchet MS" w:hAnsi="Trebuchet MS" w:cstheme="minorBidi"/>
          <w:b/>
          <w:bCs/>
          <w:sz w:val="22"/>
          <w:szCs w:val="22"/>
        </w:rPr>
        <w:t>proiectului„Prevenirea și reducerea poluării din spațiul rural în România (RAPID)”</w:t>
      </w:r>
      <w:r w:rsidRPr="00E62FDB">
        <w:rPr>
          <w:rFonts w:ascii="Trebuchet MS" w:hAnsi="Trebuchet MS" w:cstheme="minorBidi"/>
          <w:sz w:val="22"/>
          <w:szCs w:val="22"/>
        </w:rPr>
        <w:t>, care este continuatorul proiectului „ Controlul Integrat al Poluării cu Nutrienți” pe următorii ani, măsuri care vor sprijini România pentru atingerea țintelor de reducere a poluării agricole stipulate în Strategia UE „De la fermă la consumator”. Proiectul a fost aprobat pentru finanțare în baza Legii nr. 332 din 7 noiembrie 2023 pentru ratificarea Acordului de împrumut (Proiectul privind prevenirea şi reducerea poluării din spaţiul rural în România) dintre România şi Banca Internaţională pentru Reconstrucţie şi Dezvoltare, semnat la Bucureşti la 6 aprilie 2023. Totodată, menționăm că proiectul (RAPID), prin Acordul de împrumut, are o finanțare rambursabilă contractată și de la un organism financiar internațional – Banca Mondială.</w:t>
      </w:r>
      <w:r w:rsidRPr="00E62FDB">
        <w:rPr>
          <w:rFonts w:ascii="Trebuchet MS" w:hAnsi="Trebuchet MS"/>
          <w:sz w:val="22"/>
          <w:szCs w:val="22"/>
        </w:rPr>
        <w:t xml:space="preserve"> </w:t>
      </w:r>
      <w:r w:rsidRPr="00E62FDB">
        <w:rPr>
          <w:rFonts w:ascii="Trebuchet MS" w:hAnsi="Trebuchet MS" w:cstheme="minorBidi"/>
          <w:sz w:val="22"/>
          <w:szCs w:val="22"/>
        </w:rPr>
        <w:t>Obiectivele Proiectului RAPID sunt consolidarea capacitații instituțională a entităților publice selectate în vederea monitorizării poluării din agricultură și transferul de cunoștințele către fermierii participanți pentru reducerea poluării agricole</w:t>
      </w:r>
      <w:r w:rsidRPr="00E62FDB">
        <w:rPr>
          <w:rStyle w:val="FootnoteReference"/>
          <w:rFonts w:ascii="Trebuchet MS" w:hAnsi="Trebuchet MS" w:cstheme="minorBidi"/>
          <w:sz w:val="22"/>
          <w:szCs w:val="22"/>
        </w:rPr>
        <w:footnoteReference w:id="3"/>
      </w:r>
      <w:r w:rsidRPr="00E62FDB">
        <w:rPr>
          <w:rFonts w:ascii="Trebuchet MS" w:hAnsi="Trebuchet MS" w:cstheme="minorBidi"/>
          <w:sz w:val="22"/>
          <w:szCs w:val="22"/>
        </w:rPr>
        <w:t>. Astfel, sunt avute în vedere măsuri de management, monitorizare și raportare a poluanților agricoli (pesticide, plastic și microplastice, alți poluanți emergenți), dezvoltarea rețelei naționale de transfer de cunoștințe (servicii de consultanță pentru fermieri privind ecoschemele și condiționalitatea PAC, agricultură ecologică și eco-inovație), campanii de conștientizare a publicului pentru prevenirea și reducerea poluării din agricultură etc.</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Pentru a aborda provocările multidimensionale și pentru a atinge obiectivele ambițioase ale Directivei Cadru Apă și ale noii Politici Agricole Comune, gestionarea apei agricultura și agricultura trebuie să fie bine aliniate prin strategii coordonate și acțiuni comune pentru a asigura atât protecția resurselor de apă, cât și mijloacele de trai economice a fermierilor și producția de alimente de înaltă calitate. În acest sens, un bun exemplu este  elaborarea la nivelul bazinului Dunării a unor documente de politică privind apa și agricultura și referitoare la aspecte practice, respectiv </w:t>
      </w:r>
      <w:r w:rsidRPr="00E62FDB">
        <w:rPr>
          <w:rFonts w:ascii="Trebuchet MS" w:hAnsi="Trebuchet MS" w:cstheme="minorBidi"/>
          <w:b/>
          <w:bCs/>
          <w:i/>
          <w:iCs/>
          <w:sz w:val="22"/>
          <w:szCs w:val="22"/>
          <w:lang w:val="it-IT"/>
        </w:rPr>
        <w:t>Documentul de politică privind Agricolă Comună după 2020 și Managementul Apei în Bazinul Fluviului Dunărea</w:t>
      </w:r>
      <w:r w:rsidRPr="00E62FDB">
        <w:rPr>
          <w:rFonts w:ascii="Trebuchet MS" w:hAnsi="Trebuchet MS" w:cstheme="minorBidi"/>
          <w:sz w:val="22"/>
          <w:szCs w:val="22"/>
          <w:lang w:val="it-IT"/>
        </w:rPr>
        <w:t xml:space="preserve"> și </w:t>
      </w:r>
      <w:r w:rsidRPr="00E62FDB">
        <w:rPr>
          <w:rFonts w:ascii="Trebuchet MS" w:hAnsi="Trebuchet MS" w:cstheme="minorBidi"/>
          <w:b/>
          <w:bCs/>
          <w:i/>
          <w:iCs/>
          <w:sz w:val="22"/>
          <w:szCs w:val="22"/>
          <w:lang w:val="it-IT"/>
        </w:rPr>
        <w:t xml:space="preserve">Ghidul privind agricultură durabilă la nivelul bazinului Dunării </w:t>
      </w:r>
      <w:r w:rsidRPr="00E62FDB">
        <w:rPr>
          <w:rFonts w:ascii="Trebuchet MS" w:hAnsi="Trebuchet MS" w:cstheme="minorBidi"/>
          <w:sz w:val="22"/>
          <w:szCs w:val="22"/>
          <w:lang w:val="it-IT"/>
        </w:rPr>
        <w:t>(https://www.icpdr.org/main/issues/agriculture). Documentul oferă țărilor dunărene sprijin pentru pregătirea și implementarea politicilor naționale de agro-mediu, a Planurilor Strategice ale PAC și a strategiilor relevante ale Planurilor de Management actualizate ale Bazinelor/Spațiilor Hidrografice. Acesta va oferi un cadru politic potrivit cu un set de instrumente recomandate, care să faciliteze luarea deciziilor la nivel național în domeniul apei și al agriculturii și să identifice obiective comune, să stabilească politici adecvate și să implementeze acțiuni comune și măsuri eficiente din punct de vedere al costurilor.</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Potrivit Planului Național de management actualizat aprobat prin HG nr. 859/2016 pentru aprobarea Planului naţional de management actualizat aferent porţiunii din bazinul hidrografic internaţional al fluviului Dunărea care este cuprinsă în teritoriul României, prin aplicarea </w:t>
      </w:r>
      <w:r w:rsidRPr="00E62FDB">
        <w:rPr>
          <w:rFonts w:ascii="Trebuchet MS" w:hAnsi="Trebuchet MS" w:cstheme="minorBidi"/>
          <w:b/>
          <w:sz w:val="22"/>
          <w:szCs w:val="22"/>
          <w:lang w:val="it-IT"/>
        </w:rPr>
        <w:t xml:space="preserve">modelului MONERIS </w:t>
      </w:r>
      <w:r w:rsidRPr="00E62FDB">
        <w:rPr>
          <w:rFonts w:ascii="Trebuchet MS" w:hAnsi="Trebuchet MS" w:cstheme="minorBidi"/>
          <w:sz w:val="22"/>
          <w:szCs w:val="22"/>
          <w:lang w:val="it-IT"/>
        </w:rPr>
        <w:t>(</w:t>
      </w:r>
      <w:r w:rsidRPr="00E62FDB">
        <w:rPr>
          <w:rFonts w:ascii="Trebuchet MS" w:hAnsi="Trebuchet MS" w:cstheme="minorBidi"/>
          <w:b/>
          <w:sz w:val="22"/>
          <w:szCs w:val="22"/>
          <w:lang w:val="it-IT"/>
        </w:rPr>
        <w:t>MO</w:t>
      </w:r>
      <w:r w:rsidRPr="00E62FDB">
        <w:rPr>
          <w:rFonts w:ascii="Trebuchet MS" w:hAnsi="Trebuchet MS" w:cstheme="minorBidi"/>
          <w:sz w:val="22"/>
          <w:szCs w:val="22"/>
          <w:lang w:val="it-IT"/>
        </w:rPr>
        <w:t xml:space="preserve">delling </w:t>
      </w:r>
      <w:r w:rsidRPr="00E62FDB">
        <w:rPr>
          <w:rFonts w:ascii="Trebuchet MS" w:hAnsi="Trebuchet MS" w:cstheme="minorBidi"/>
          <w:b/>
          <w:sz w:val="22"/>
          <w:szCs w:val="22"/>
          <w:lang w:val="it-IT"/>
        </w:rPr>
        <w:t>N</w:t>
      </w:r>
      <w:r w:rsidRPr="00E62FDB">
        <w:rPr>
          <w:rFonts w:ascii="Trebuchet MS" w:hAnsi="Trebuchet MS" w:cstheme="minorBidi"/>
          <w:sz w:val="22"/>
          <w:szCs w:val="22"/>
          <w:lang w:val="it-IT"/>
        </w:rPr>
        <w:t xml:space="preserve">utrient </w:t>
      </w:r>
      <w:r w:rsidRPr="00E62FDB">
        <w:rPr>
          <w:rFonts w:ascii="Trebuchet MS" w:hAnsi="Trebuchet MS" w:cstheme="minorBidi"/>
          <w:b/>
          <w:sz w:val="22"/>
          <w:szCs w:val="22"/>
          <w:lang w:val="it-IT"/>
        </w:rPr>
        <w:t>E</w:t>
      </w:r>
      <w:r w:rsidRPr="00E62FDB">
        <w:rPr>
          <w:rFonts w:ascii="Trebuchet MS" w:hAnsi="Trebuchet MS" w:cstheme="minorBidi"/>
          <w:sz w:val="22"/>
          <w:szCs w:val="22"/>
          <w:lang w:val="it-IT"/>
        </w:rPr>
        <w:t xml:space="preserve">missions in </w:t>
      </w:r>
      <w:r w:rsidRPr="00E62FDB">
        <w:rPr>
          <w:rFonts w:ascii="Trebuchet MS" w:hAnsi="Trebuchet MS" w:cstheme="minorBidi"/>
          <w:b/>
          <w:sz w:val="22"/>
          <w:szCs w:val="22"/>
          <w:lang w:val="it-IT"/>
        </w:rPr>
        <w:t>RI</w:t>
      </w:r>
      <w:r w:rsidRPr="00E62FDB">
        <w:rPr>
          <w:rFonts w:ascii="Trebuchet MS" w:hAnsi="Trebuchet MS" w:cstheme="minorBidi"/>
          <w:sz w:val="22"/>
          <w:szCs w:val="22"/>
          <w:lang w:val="it-IT"/>
        </w:rPr>
        <w:t xml:space="preserve">ver </w:t>
      </w:r>
      <w:r w:rsidRPr="00E62FDB">
        <w:rPr>
          <w:rFonts w:ascii="Trebuchet MS" w:hAnsi="Trebuchet MS" w:cstheme="minorBidi"/>
          <w:b/>
          <w:sz w:val="22"/>
          <w:szCs w:val="22"/>
          <w:lang w:val="it-IT"/>
        </w:rPr>
        <w:t>S</w:t>
      </w:r>
      <w:r w:rsidRPr="00E62FDB">
        <w:rPr>
          <w:rFonts w:ascii="Trebuchet MS" w:hAnsi="Trebuchet MS" w:cstheme="minorBidi"/>
          <w:sz w:val="22"/>
          <w:szCs w:val="22"/>
          <w:lang w:val="it-IT"/>
        </w:rPr>
        <w:t>ystems) se pot realiza același tip de scenarii privind prognoza calității apelor, respectiv evaluarea emisiilor de nutrienți și a potențialului și efectului măsurilor de bază și suplimentare de reducere a nutrienților. Modelul MONERIS este folosit pentru estimarea emisiilor provenind de la sursele de poluare punctiforme şi difuze. Modelul a fost elaborat şi aplicat în continuare în Planul Național de Management actualizat aferent porţiunii din bazinul hidrografic internaţional al fluviului Dunărea care este cuprinsă în teritoriul României (denumit în continuare Plan Național de management actualizat) – Sinteza Planurilor de management actualizate la nivel de bazine/spații hidrografice, aprobate prin HG nr. 392/2023 pentru aprobarea Planului naţional de management actualizat aferent porţiunii din bazinul hidrografic internaţional al fluviului Dunărea care este cuprinsă în teritoriul României, 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rsidR="000420D8" w:rsidRPr="00E62FDB" w:rsidRDefault="000420D8" w:rsidP="00693D46">
      <w:pPr>
        <w:ind w:firstLine="720"/>
        <w:jc w:val="both"/>
        <w:rPr>
          <w:rFonts w:ascii="Trebuchet MS" w:eastAsia="Times New Roman" w:hAnsi="Trebuchet MS" w:cstheme="minorBidi"/>
          <w:sz w:val="22"/>
          <w:szCs w:val="22"/>
          <w:lang w:val="it-IT"/>
        </w:rPr>
      </w:pPr>
      <w:r w:rsidRPr="00E62FDB">
        <w:rPr>
          <w:rFonts w:ascii="Trebuchet MS" w:eastAsia="Times New Roman" w:hAnsi="Trebuchet MS" w:cstheme="minorBidi"/>
          <w:sz w:val="22"/>
          <w:szCs w:val="22"/>
          <w:lang w:val="it-IT"/>
        </w:rPr>
        <w:t>Pentru estimarea modurilor (căilor) de producere a poluării difuze cu nutrienți și a emisiilor de nutrienți de la surse, precum și aportul acestora la emisiile totale, modelul MONERIS versiunea 3.0 (Venohr et al., 2017) a fost aplicat la nivelul întregului district internațional al Dunării și a avut în vedere condițiile hidrologice medii multianuale din perioada de referință 2015-2018. MONERIS necesită o varietate de date de intrare cuprinzând informații despre condiţiile hidro-climatice, geo-fizice și administrativ-demografice, care au fost actualizate pentru perioada de referință 2015-2018. Astfel, modelul poate estima distribuția regională a emisiilor de nutrienți care intră în apele de suprafață la scară de sub-bazin și poate determina cele mai importante surse și căi ale acestora cu o acuratețe rezonabilă. Mai mult, ținând cont de principalele procese de reținere în flux, pot fi calculate încărcările râului la capătul bazinului hidrografic, care pot fi apoi utilizate pentru calibrarea și validarea modelului.</w:t>
      </w:r>
    </w:p>
    <w:p w:rsidR="000420D8" w:rsidRPr="00E62FDB" w:rsidRDefault="000420D8" w:rsidP="00693D46">
      <w:pPr>
        <w:ind w:firstLine="720"/>
        <w:jc w:val="both"/>
        <w:rPr>
          <w:rFonts w:ascii="Trebuchet MS" w:hAnsi="Trebuchet MS" w:cstheme="minorBidi"/>
          <w:sz w:val="22"/>
          <w:szCs w:val="22"/>
        </w:rPr>
      </w:pPr>
      <w:r w:rsidRPr="00E62FDB">
        <w:rPr>
          <w:rFonts w:ascii="Trebuchet MS" w:hAnsi="Trebuchet MS" w:cstheme="minorBidi"/>
          <w:sz w:val="22"/>
          <w:szCs w:val="22"/>
        </w:rPr>
        <w:t>Modelul MONERIS este utilizat pentru aplicarea scenariilor de bază pentru reducerea emisiilor de  nutrienți din surse punctiforme și difuze pentru orizontul de timp 2027. Scenariul utilizat are la bază condițiile hidrologice din perioada 2015-2018, iar datele utilizate privind încărcările de nutrienți au avut ca an de referință anul 2018. Astfel,  sunt stabilite viziuni și obiective de management care să conducă la reducerea emisiilor de nutrienți prin aplicarea de măsuri și pentru care s-au realizat scenariile, și anume:</w:t>
      </w:r>
    </w:p>
    <w:p w:rsidR="000420D8" w:rsidRPr="00E62FDB" w:rsidRDefault="000420D8" w:rsidP="00693D46">
      <w:pPr>
        <w:ind w:left="360" w:hanging="36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scenariul de bază se referă în principal la implementarea până în anul 2027 a obligațiilor ce decurg din legislația europeană și națională (Directiva 91/271/CEE privind epurarea apelor uzate urbane, Directiva Nitrați, Regulamentul E-PRTR,  măsuri de agromediu sprijinite prin programele de dezvoltare rurală ale Politicii Agricole Comune, măsuri privind reducerea surplusului de azot, controlul eroziunii solului, zone tampon/fâșii de protecție în lungul cursurilor de apă, etc.);</w:t>
      </w:r>
    </w:p>
    <w:p w:rsidR="000420D8" w:rsidRPr="00E62FDB" w:rsidRDefault="000420D8" w:rsidP="00693D46">
      <w:pPr>
        <w:ind w:left="360" w:hanging="36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scenariul de viziune I – pe lângă scenariul de bază și măsurile aferente (mai sus descrise), sunt avute în vedere și alte tipuri de măsuri specifice, în funcție de sursele de emisii difuze și punctiforme (aglomerări, agricultură, industrie); de ex. utilizarea sistemelor individuale de colectare în diferite proporții, dezvoltarea agricolă durabilă și managementul echilibrat al nutrienților pentru realizarea țintelor din Pactul Ecologic European pentru nutrienți: reducere pierderi de nutrienți cu 50 %, până la o valoare medie a surplusului de azot la nivelul întregului bazin de 7,5 kg N/ha și an (plus depunerea atmosferică diferită la nivel regional), precum și pentru fosfor reducerea eroziunii solului până la maxim 1 tonă sol per hectar și an;</w:t>
      </w:r>
    </w:p>
    <w:p w:rsidR="000420D8" w:rsidRPr="00E62FDB" w:rsidRDefault="000420D8" w:rsidP="00693D46">
      <w:pPr>
        <w:ind w:left="360" w:hanging="36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scenariul de viziune II – pe lângă scenariul de viziune I se adaugă îmbunătățirea capacității de retenție prin stabilirea zonelor ripariene/eficiente prin fâșii tampon/cu vegetație pentru 50 % din corpurile de apă de suprafață aflate în zonele vulnerabile la nitrați;</w:t>
      </w:r>
    </w:p>
    <w:p w:rsidR="000420D8" w:rsidRPr="00E62FDB" w:rsidRDefault="000420D8" w:rsidP="00693D46">
      <w:pPr>
        <w:ind w:left="360" w:hanging="36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scenariul schimbări climatice (an cu ape mari și an secetos/„wet” și „dry”) ia în considerare efectele schimbărilor climatice prin calcularea emisiilor difuze de nutrienți pentru un regim hidrologic cu scurgere maximă (ape mari) și regim hidrologic cu scurgere minimă (ape mici), ambele luate ca extreme din ultimele două decenii, prin înlocuirea regimului hidrologic mediu cu precipitaţiile şi scurgerile anilor extremi şi presupunând implementarea măsurilor conform scenariului de viziune I.</w:t>
      </w:r>
    </w:p>
    <w:p w:rsidR="000420D8" w:rsidRPr="00E62FDB" w:rsidRDefault="000420D8" w:rsidP="00693D46">
      <w:pPr>
        <w:ind w:firstLine="720"/>
        <w:jc w:val="both"/>
        <w:rPr>
          <w:rFonts w:ascii="Trebuchet MS" w:eastAsia="Times New Roman" w:hAnsi="Trebuchet MS" w:cstheme="minorBidi"/>
          <w:sz w:val="22"/>
          <w:szCs w:val="22"/>
          <w:lang w:val="it-IT"/>
        </w:rPr>
      </w:pPr>
      <w:r w:rsidRPr="00E62FDB">
        <w:rPr>
          <w:rFonts w:ascii="Trebuchet MS" w:eastAsia="Times New Roman" w:hAnsi="Trebuchet MS" w:cstheme="minorBidi"/>
          <w:sz w:val="22"/>
          <w:szCs w:val="22"/>
          <w:lang w:val="it-IT"/>
        </w:rPr>
        <w:t>Scenariul de bază pentru anul 2027 se axează pe asumări privind implementarea măsurilor pentru sectoarele ape uzate urbane, activități industriale și agricole, în principal măsurile care conduc la creșterea nivelurilor de colectare și epurare a apelor uzate, modificări ale utilizării terenurilor, îmbunătățirea practicilor de rotație a culturilor și schimbarea emisiilor specifice de fosfor pe locuitor.</w:t>
      </w:r>
    </w:p>
    <w:p w:rsidR="000420D8" w:rsidRPr="00E62FDB" w:rsidRDefault="000420D8" w:rsidP="00693D46">
      <w:pPr>
        <w:ind w:firstLine="720"/>
        <w:jc w:val="both"/>
        <w:rPr>
          <w:rFonts w:ascii="Trebuchet MS" w:eastAsia="Times New Roman" w:hAnsi="Trebuchet MS" w:cstheme="minorBidi"/>
          <w:sz w:val="22"/>
          <w:szCs w:val="22"/>
          <w:lang w:val="it-IT"/>
        </w:rPr>
      </w:pPr>
      <w:r w:rsidRPr="00E62FDB">
        <w:rPr>
          <w:rFonts w:ascii="Trebuchet MS" w:eastAsia="Times New Roman" w:hAnsi="Trebuchet MS" w:cstheme="minorBidi"/>
          <w:sz w:val="22"/>
          <w:szCs w:val="22"/>
          <w:lang w:val="it-IT"/>
        </w:rPr>
        <w:t xml:space="preserve">S-a preconizat implementarea integrală a măsurilor de control la sursă pentru reducerea emisiilor de fosfor rezultate prin implementarea prevederilor Regulamentului (CE) nr. 648/2004 în ceea ce privește utilizarea fosfaților și a altor compuși ai fosforului în detergenții de rufe destinați consumatorilor și în detergenții pentru mașini automate de spălat vase destinați consumatorilor, ceea ce se reflectă în reducerea emisiei specifice de fosfor pe persoană. </w:t>
      </w:r>
    </w:p>
    <w:p w:rsidR="000420D8" w:rsidRPr="00E62FDB" w:rsidRDefault="000420D8" w:rsidP="00693D46">
      <w:pPr>
        <w:ind w:firstLine="720"/>
        <w:jc w:val="both"/>
        <w:rPr>
          <w:rFonts w:ascii="Trebuchet MS" w:eastAsia="Times New Roman" w:hAnsi="Trebuchet MS" w:cstheme="minorBidi"/>
          <w:sz w:val="22"/>
          <w:szCs w:val="22"/>
          <w:lang w:val="it-IT"/>
        </w:rPr>
      </w:pPr>
      <w:r w:rsidRPr="00E62FDB">
        <w:rPr>
          <w:rFonts w:ascii="Trebuchet MS" w:eastAsia="Times New Roman" w:hAnsi="Trebuchet MS" w:cstheme="minorBidi"/>
          <w:sz w:val="22"/>
          <w:szCs w:val="22"/>
          <w:lang w:val="it-IT"/>
        </w:rPr>
        <w:t xml:space="preserve">Astfel, se aplică o gamă largă de măsuri, inclusiv managementul nutrienților (de exemplu, calculul balanței de nutrienți, optimizarea fertilizării), modificarea metodelor de cultivare (conversia terenurilor arabile în pășuni, cultivarea terenurilor agricole fără utilizarea utilajelor), modificări în utilizarea terenurilor (întreținerea pajiștilor, realizarea benzilor tampon de-a lungul cursurilor de apă), conservarea solului (tehnici de control a eroziunii solului – rotația culturilor, eliminarea scurgerilor din rețele de drenaj de la ferme) și măsuri de retenție naturală a apei (zone umede, căi navigabile înierbate) și măsuri de protecție împotriva inundațiilor (de exemplu, refacerea și conservarea zonelor umede și a zonelor inundabile, stabilirea zonelor tampon riverane) au impact pozitiv asupra retenției de nutrienți în zonele adiacente ale cursurilor de apă. </w:t>
      </w:r>
    </w:p>
    <w:p w:rsidR="000420D8" w:rsidRPr="00E62FDB" w:rsidRDefault="000420D8" w:rsidP="00693D46">
      <w:pPr>
        <w:ind w:firstLine="720"/>
        <w:jc w:val="both"/>
        <w:rPr>
          <w:rFonts w:ascii="Trebuchet MS" w:hAnsi="Trebuchet MS" w:cstheme="minorBidi"/>
          <w:sz w:val="22"/>
          <w:szCs w:val="22"/>
        </w:rPr>
      </w:pPr>
      <w:r w:rsidRPr="00E62FDB">
        <w:rPr>
          <w:rFonts w:ascii="Trebuchet MS" w:hAnsi="Trebuchet MS" w:cstheme="minorBidi"/>
          <w:sz w:val="22"/>
          <w:szCs w:val="22"/>
        </w:rPr>
        <w:t>Modificările emisiilor totale de azot în funcție de scenariile viitoare și căile de emisie, în comparație cu starea de referință, indică faptul că emisiile au scăzut cu:</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13,9 % în scenariul de bază;</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17,2 % în scenariul de viziune I;</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19,4 % în scenariul de viziune II;</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23,4 % în scenariul de viziune I - regim hidrologic cu scurgere minimă (ape mici).</w:t>
      </w:r>
    </w:p>
    <w:p w:rsidR="000420D8" w:rsidRPr="00E62FDB" w:rsidRDefault="000420D8" w:rsidP="00693D46">
      <w:pPr>
        <w:ind w:firstLine="708"/>
        <w:jc w:val="both"/>
        <w:rPr>
          <w:rFonts w:ascii="Trebuchet MS" w:hAnsi="Trebuchet MS" w:cstheme="minorBidi"/>
          <w:sz w:val="22"/>
          <w:szCs w:val="22"/>
        </w:rPr>
      </w:pPr>
      <w:r w:rsidRPr="00E62FDB">
        <w:rPr>
          <w:rFonts w:ascii="Trebuchet MS" w:hAnsi="Trebuchet MS" w:cstheme="minorBidi"/>
          <w:sz w:val="22"/>
          <w:szCs w:val="22"/>
        </w:rPr>
        <w:t>În scenariul de viziune I - regim hidrologic cu scurgere maximă (ape mari), emisiile totale de azot au crescut cu 2 %.</w:t>
      </w:r>
    </w:p>
    <w:p w:rsidR="000420D8" w:rsidRPr="00E62FDB" w:rsidRDefault="000420D8" w:rsidP="00693D46">
      <w:pPr>
        <w:ind w:firstLine="708"/>
        <w:jc w:val="both"/>
        <w:rPr>
          <w:rFonts w:ascii="Trebuchet MS" w:hAnsi="Trebuchet MS" w:cstheme="minorBidi"/>
          <w:sz w:val="22"/>
          <w:szCs w:val="22"/>
        </w:rPr>
      </w:pPr>
      <w:r w:rsidRPr="00E62FDB">
        <w:rPr>
          <w:rFonts w:ascii="Trebuchet MS" w:hAnsi="Trebuchet MS" w:cstheme="minorBidi"/>
          <w:sz w:val="22"/>
          <w:szCs w:val="22"/>
        </w:rPr>
        <w:t>De asemenea, modificările emisiilor totale de fosfor în funcție de scenariile viitoare, în comparație cu starea de referință, indică faptul că reducerea emisiilor cu:</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5,4 % în scenariul de bază;</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15,4 %în scenariul de viziune I;</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26,8 % în scenariul de viziune II;</w:t>
      </w:r>
    </w:p>
    <w:p w:rsidR="000420D8" w:rsidRPr="00E62FDB" w:rsidRDefault="000420D8" w:rsidP="00693D46">
      <w:pPr>
        <w:ind w:left="270" w:hanging="270"/>
        <w:jc w:val="both"/>
        <w:rPr>
          <w:rFonts w:ascii="Trebuchet MS" w:hAnsi="Trebuchet MS" w:cstheme="minorBidi"/>
          <w:sz w:val="22"/>
          <w:szCs w:val="22"/>
        </w:rPr>
      </w:pPr>
      <w:r w:rsidRPr="00E62FDB">
        <w:rPr>
          <w:rFonts w:ascii="Trebuchet MS" w:hAnsi="Trebuchet MS" w:cstheme="minorBidi"/>
          <w:sz w:val="22"/>
          <w:szCs w:val="22"/>
        </w:rPr>
        <w:t>-</w:t>
      </w:r>
      <w:r w:rsidRPr="00E62FDB">
        <w:rPr>
          <w:rFonts w:ascii="Trebuchet MS" w:hAnsi="Trebuchet MS" w:cstheme="minorBidi"/>
          <w:sz w:val="22"/>
          <w:szCs w:val="22"/>
        </w:rPr>
        <w:tab/>
        <w:t>22,4 % în scenariul de viziune I - regim hidrologic cu scurgere minimă (ape mici).</w:t>
      </w:r>
    </w:p>
    <w:p w:rsidR="000420D8" w:rsidRPr="00E62FDB" w:rsidRDefault="000420D8" w:rsidP="00693D46">
      <w:pPr>
        <w:ind w:firstLine="708"/>
        <w:jc w:val="both"/>
        <w:rPr>
          <w:rFonts w:ascii="Trebuchet MS" w:hAnsi="Trebuchet MS" w:cstheme="minorBidi"/>
          <w:sz w:val="22"/>
          <w:szCs w:val="22"/>
        </w:rPr>
      </w:pPr>
      <w:r w:rsidRPr="00E62FDB">
        <w:rPr>
          <w:rFonts w:ascii="Trebuchet MS" w:hAnsi="Trebuchet MS" w:cstheme="minorBidi"/>
          <w:sz w:val="22"/>
          <w:szCs w:val="22"/>
        </w:rPr>
        <w:t>În scenariul de viziune I - regim hidrologic cu scurgere maximă (ape mari), emisiile totale de fosfor au crescut cu cca. 3 %.</w:t>
      </w:r>
    </w:p>
    <w:p w:rsidR="000420D8" w:rsidRPr="00E62FDB" w:rsidRDefault="000420D8" w:rsidP="00693D46">
      <w:pPr>
        <w:ind w:firstLine="720"/>
        <w:jc w:val="both"/>
        <w:rPr>
          <w:rFonts w:ascii="Trebuchet MS" w:hAnsi="Trebuchet MS" w:cstheme="minorBidi"/>
          <w:iCs/>
          <w:sz w:val="22"/>
          <w:szCs w:val="22"/>
        </w:rPr>
      </w:pPr>
      <w:r w:rsidRPr="00E62FDB">
        <w:rPr>
          <w:rFonts w:ascii="Trebuchet MS" w:hAnsi="Trebuchet MS" w:cstheme="minorBidi"/>
          <w:iCs/>
          <w:sz w:val="22"/>
          <w:szCs w:val="22"/>
        </w:rPr>
        <w:t>Comparativ cu situația de referință pentru azot total, în anul 2027 (scenariu de bază) depunerile atmosferice rămân relativ constante, scurgerea de suprafață crește cu 9,53 %, iar scurgerea subterană scade cu 21,3 %. Aceste tendințe confirmă efectul implementării măsurilor de realizare a sistemelor de colectare și epurare a apelor uzate care contribuie la scăderea scurgerii subterane.</w:t>
      </w:r>
    </w:p>
    <w:p w:rsidR="000420D8" w:rsidRPr="00E62FDB" w:rsidRDefault="000420D8" w:rsidP="00693D46">
      <w:pPr>
        <w:ind w:firstLine="720"/>
        <w:jc w:val="both"/>
        <w:rPr>
          <w:rFonts w:ascii="Trebuchet MS" w:hAnsi="Trebuchet MS" w:cstheme="minorBidi"/>
          <w:iCs/>
          <w:sz w:val="22"/>
          <w:szCs w:val="22"/>
        </w:rPr>
      </w:pPr>
      <w:r w:rsidRPr="00E62FDB">
        <w:rPr>
          <w:rFonts w:ascii="Trebuchet MS" w:hAnsi="Trebuchet MS" w:cstheme="minorBidi"/>
          <w:iCs/>
          <w:sz w:val="22"/>
          <w:szCs w:val="22"/>
        </w:rPr>
        <w:t>Similar, comparativ cu situația de referință pentru fosfor total, în anul 2027 (scenariu de bază) se observă că eroziunea solului/transportul sedimentelor se reduce cu 10,8 %, scurgerea din zone impermeabile orășenești scade cu 52,1 %, în timp ce crește aportul surselor punctiforme cu 43,6 %, ceea ce confirmă reducerea poluării difuze și creșterea poluării punctiforme produsă în zonele urbane, urmare a construirii rețelelor de canalizare și stațiilor de epurare în zonele urbane.</w:t>
      </w:r>
    </w:p>
    <w:p w:rsidR="000420D8" w:rsidRPr="00E62FDB" w:rsidRDefault="000420D8" w:rsidP="00693D46">
      <w:pPr>
        <w:ind w:firstLine="567"/>
        <w:jc w:val="both"/>
        <w:rPr>
          <w:rFonts w:ascii="Trebuchet MS" w:hAnsi="Trebuchet MS" w:cstheme="minorBidi"/>
          <w:sz w:val="22"/>
          <w:szCs w:val="22"/>
        </w:rPr>
      </w:pPr>
      <w:r w:rsidRPr="00E62FDB">
        <w:rPr>
          <w:rFonts w:ascii="Trebuchet MS" w:hAnsi="Trebuchet MS" w:cstheme="minorBidi"/>
          <w:sz w:val="22"/>
          <w:szCs w:val="22"/>
        </w:rPr>
        <w:t>În Figurile II.2.3.1 și II.2.3.2 sunt prezentate comparativ rezultatele aplicării scenariilor cu referire la căile de producere a poluării cu nutrienți.</w:t>
      </w:r>
    </w:p>
    <w:p w:rsidR="000420D8" w:rsidRPr="00E62FDB" w:rsidRDefault="000420D8" w:rsidP="00693D46">
      <w:pPr>
        <w:ind w:firstLine="567"/>
        <w:jc w:val="both"/>
        <w:rPr>
          <w:rFonts w:ascii="Trebuchet MS" w:hAnsi="Trebuchet MS" w:cstheme="minorBidi"/>
          <w:sz w:val="22"/>
          <w:szCs w:val="22"/>
        </w:rPr>
      </w:pPr>
      <w:r w:rsidRPr="00E62FDB">
        <w:rPr>
          <w:rFonts w:ascii="Trebuchet MS" w:hAnsi="Trebuchet MS" w:cstheme="minorBidi"/>
          <w:sz w:val="22"/>
          <w:szCs w:val="22"/>
        </w:rPr>
        <w:t>De asemenea, din Figurile II.2.3.3 și II.2.3.4 se observă evoluția privind sursele de emisii totale de azot și fosfor până în anul 2027 (scenariu de bază) și după (scenarii de viziune). În ceea ce privește aplicarea scenariilor de bază pentru emisiile totale de nutrienți la nivel național, se observă modificarea cantităților de nutrienți emise în anul 2027, comparativ cu perioada 2015-2018, respectiv cu 12.341 tone N/an (scădere cu cca. 13,9 %) și cu 356,9 tone P/an (scădere cu cca. 5,5 %).</w:t>
      </w:r>
    </w:p>
    <w:p w:rsidR="000420D8" w:rsidRPr="00E62FDB" w:rsidRDefault="000420D8" w:rsidP="00693D46">
      <w:pPr>
        <w:ind w:firstLine="567"/>
        <w:jc w:val="both"/>
        <w:rPr>
          <w:rFonts w:ascii="Trebuchet MS" w:hAnsi="Trebuchet MS" w:cstheme="minorBidi"/>
          <w:sz w:val="22"/>
          <w:szCs w:val="22"/>
        </w:rPr>
      </w:pPr>
    </w:p>
    <w:p w:rsidR="000420D8" w:rsidRPr="00264B20" w:rsidRDefault="000420D8" w:rsidP="000420D8">
      <w:pPr>
        <w:spacing w:before="120" w:after="120" w:line="300" w:lineRule="auto"/>
        <w:jc w:val="center"/>
        <w:rPr>
          <w:rFonts w:ascii="Trebuchet MS" w:hAnsi="Trebuchet MS" w:cstheme="minorBidi"/>
        </w:rPr>
      </w:pPr>
      <w:r w:rsidRPr="00264B20">
        <w:rPr>
          <w:rFonts w:ascii="Trebuchet MS" w:hAnsi="Trebuchet MS" w:cstheme="minorBidi"/>
          <w:noProof/>
          <w:lang w:val="en-US"/>
        </w:rPr>
        <w:drawing>
          <wp:inline distT="0" distB="0" distL="0" distR="0" wp14:anchorId="7FC62F1C" wp14:editId="710A38A2">
            <wp:extent cx="4923129" cy="2533488"/>
            <wp:effectExtent l="0" t="0" r="0" b="635"/>
            <wp:docPr id="1349278138" name="Picture 13492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39265" cy="2541792"/>
                    </a:xfrm>
                    <a:prstGeom prst="rect">
                      <a:avLst/>
                    </a:prstGeom>
                    <a:noFill/>
                  </pic:spPr>
                </pic:pic>
              </a:graphicData>
            </a:graphic>
          </wp:inline>
        </w:drawing>
      </w:r>
    </w:p>
    <w:p w:rsidR="000420D8" w:rsidRPr="00264B20" w:rsidRDefault="000420D8" w:rsidP="000420D8">
      <w:pPr>
        <w:spacing w:line="300" w:lineRule="auto"/>
        <w:jc w:val="center"/>
        <w:rPr>
          <w:rFonts w:ascii="Trebuchet MS" w:hAnsi="Trebuchet MS" w:cstheme="minorBidi"/>
          <w:b/>
          <w:bCs/>
        </w:rPr>
      </w:pPr>
      <w:r w:rsidRPr="00264B20">
        <w:rPr>
          <w:rFonts w:ascii="Trebuchet MS" w:hAnsi="Trebuchet MS" w:cstheme="minorBidi"/>
          <w:b/>
          <w:bCs/>
        </w:rPr>
        <w:t>Figura II.2.3.1 Evoluția emisiilor de azot total și a căilor de emisie în funcție de scenarii (exprimate în tone N pe an)</w:t>
      </w:r>
    </w:p>
    <w:p w:rsidR="000420D8" w:rsidRPr="00B95C32" w:rsidRDefault="000420D8" w:rsidP="000420D8">
      <w:pPr>
        <w:spacing w:line="300" w:lineRule="auto"/>
        <w:jc w:val="both"/>
        <w:rPr>
          <w:rFonts w:ascii="Trebuchet MS" w:hAnsi="Trebuchet MS" w:cstheme="minorBidi"/>
          <w:i/>
          <w:sz w:val="20"/>
          <w:szCs w:val="20"/>
        </w:rPr>
      </w:pPr>
      <w:r w:rsidRPr="00B95C32">
        <w:rPr>
          <w:rFonts w:ascii="Trebuchet MS" w:hAnsi="Trebuchet MS" w:cstheme="minorBidi"/>
          <w:i/>
          <w:sz w:val="20"/>
          <w:szCs w:val="20"/>
        </w:rPr>
        <w:t>(Sursa datelor: Administrația Națională „Apele Române”, Planul Național de Management actualizat)</w:t>
      </w:r>
    </w:p>
    <w:p w:rsidR="000420D8" w:rsidRPr="00264B20" w:rsidRDefault="000420D8" w:rsidP="000420D8">
      <w:pPr>
        <w:spacing w:before="120" w:after="120" w:line="300" w:lineRule="auto"/>
        <w:ind w:firstLine="567"/>
        <w:jc w:val="both"/>
        <w:rPr>
          <w:rFonts w:ascii="Trebuchet MS" w:hAnsi="Trebuchet MS" w:cstheme="minorBidi"/>
        </w:rPr>
      </w:pPr>
    </w:p>
    <w:p w:rsidR="000420D8" w:rsidRPr="00264B20" w:rsidRDefault="000420D8" w:rsidP="000420D8">
      <w:pPr>
        <w:spacing w:line="300" w:lineRule="auto"/>
        <w:jc w:val="center"/>
        <w:rPr>
          <w:rFonts w:ascii="Trebuchet MS" w:hAnsi="Trebuchet MS" w:cstheme="minorBidi"/>
        </w:rPr>
      </w:pPr>
      <w:r w:rsidRPr="00264B20">
        <w:rPr>
          <w:rFonts w:ascii="Trebuchet MS" w:hAnsi="Trebuchet MS" w:cs="Arial"/>
          <w:noProof/>
          <w:lang w:val="en-US"/>
        </w:rPr>
        <w:drawing>
          <wp:inline distT="0" distB="0" distL="0" distR="0" wp14:anchorId="302B9B9C" wp14:editId="13FD73C9">
            <wp:extent cx="4747564" cy="2339475"/>
            <wp:effectExtent l="0" t="0" r="0" b="3810"/>
            <wp:docPr id="1349278139" name="Picture 134927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0005" cy="2345605"/>
                    </a:xfrm>
                    <a:prstGeom prst="rect">
                      <a:avLst/>
                    </a:prstGeom>
                    <a:noFill/>
                  </pic:spPr>
                </pic:pic>
              </a:graphicData>
            </a:graphic>
          </wp:inline>
        </w:drawing>
      </w:r>
    </w:p>
    <w:p w:rsidR="000420D8" w:rsidRPr="00264B20" w:rsidRDefault="000420D8" w:rsidP="000420D8">
      <w:pPr>
        <w:spacing w:line="300" w:lineRule="auto"/>
        <w:jc w:val="center"/>
        <w:rPr>
          <w:rFonts w:ascii="Trebuchet MS" w:hAnsi="Trebuchet MS" w:cstheme="minorBidi"/>
          <w:b/>
          <w:bCs/>
        </w:rPr>
      </w:pPr>
      <w:r w:rsidRPr="00264B20">
        <w:rPr>
          <w:rFonts w:ascii="Trebuchet MS" w:hAnsi="Trebuchet MS" w:cstheme="minorBidi"/>
          <w:b/>
          <w:bCs/>
        </w:rPr>
        <w:t>Figura II.2.3.2 Evoluția emisiilor de fosfor total și a căilor de emisie în funcție de scenarii (exprimate în tone P pe an)</w:t>
      </w:r>
    </w:p>
    <w:p w:rsidR="000420D8" w:rsidRDefault="000420D8" w:rsidP="000420D8">
      <w:pPr>
        <w:spacing w:line="300" w:lineRule="auto"/>
        <w:jc w:val="center"/>
        <w:rPr>
          <w:rFonts w:ascii="Trebuchet MS" w:hAnsi="Trebuchet MS" w:cstheme="minorBidi"/>
          <w:i/>
          <w:sz w:val="20"/>
          <w:szCs w:val="20"/>
        </w:rPr>
      </w:pPr>
      <w:r w:rsidRPr="00B95C32">
        <w:rPr>
          <w:rFonts w:ascii="Trebuchet MS" w:hAnsi="Trebuchet MS" w:cstheme="minorBidi"/>
          <w:i/>
          <w:sz w:val="20"/>
          <w:szCs w:val="20"/>
        </w:rPr>
        <w:t>(Sursa datelor: Administrația Națională „Apele Române”, Planul Național de Management actualizat)</w:t>
      </w:r>
    </w:p>
    <w:p w:rsidR="000420D8" w:rsidRDefault="000420D8" w:rsidP="000420D8">
      <w:pPr>
        <w:spacing w:line="300" w:lineRule="auto"/>
        <w:jc w:val="center"/>
        <w:rPr>
          <w:rFonts w:ascii="Trebuchet MS" w:hAnsi="Trebuchet MS" w:cstheme="minorBidi"/>
          <w:i/>
          <w:sz w:val="20"/>
          <w:szCs w:val="20"/>
        </w:rPr>
      </w:pPr>
    </w:p>
    <w:p w:rsidR="000420D8" w:rsidRDefault="000420D8" w:rsidP="000420D8">
      <w:pPr>
        <w:spacing w:line="300" w:lineRule="auto"/>
        <w:jc w:val="center"/>
        <w:rPr>
          <w:rFonts w:ascii="Trebuchet MS" w:hAnsi="Trebuchet MS" w:cstheme="minorBidi"/>
          <w:i/>
          <w:sz w:val="20"/>
          <w:szCs w:val="20"/>
        </w:rPr>
      </w:pPr>
    </w:p>
    <w:p w:rsidR="000420D8" w:rsidRDefault="000420D8" w:rsidP="000420D8">
      <w:pPr>
        <w:spacing w:line="300" w:lineRule="auto"/>
        <w:jc w:val="center"/>
        <w:rPr>
          <w:rFonts w:ascii="Trebuchet MS" w:hAnsi="Trebuchet MS" w:cstheme="minorBidi"/>
          <w:i/>
          <w:sz w:val="20"/>
          <w:szCs w:val="20"/>
        </w:rPr>
      </w:pPr>
    </w:p>
    <w:p w:rsidR="000420D8" w:rsidRDefault="000420D8" w:rsidP="000420D8">
      <w:pPr>
        <w:spacing w:line="300" w:lineRule="auto"/>
        <w:jc w:val="center"/>
        <w:rPr>
          <w:rFonts w:ascii="Trebuchet MS" w:hAnsi="Trebuchet MS" w:cstheme="minorBidi"/>
          <w:i/>
          <w:sz w:val="20"/>
          <w:szCs w:val="20"/>
        </w:rPr>
      </w:pPr>
    </w:p>
    <w:p w:rsidR="000420D8" w:rsidRDefault="000420D8" w:rsidP="000420D8">
      <w:pPr>
        <w:spacing w:line="300" w:lineRule="auto"/>
        <w:jc w:val="center"/>
        <w:rPr>
          <w:rFonts w:ascii="Trebuchet MS" w:hAnsi="Trebuchet MS" w:cstheme="minorBidi"/>
          <w:i/>
          <w:sz w:val="20"/>
          <w:szCs w:val="20"/>
        </w:rPr>
      </w:pPr>
      <w:r w:rsidRPr="00264B20">
        <w:rPr>
          <w:rFonts w:ascii="Trebuchet MS" w:hAnsi="Trebuchet MS" w:cstheme="minorBidi"/>
          <w:b/>
          <w:bCs/>
          <w:noProof/>
          <w:lang w:val="en-US"/>
        </w:rPr>
        <w:drawing>
          <wp:inline distT="0" distB="0" distL="0" distR="0" wp14:anchorId="7D4F9DC3" wp14:editId="7264476F">
            <wp:extent cx="4805680" cy="2566670"/>
            <wp:effectExtent l="0" t="0" r="0" b="5080"/>
            <wp:docPr id="134927814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05680" cy="2566670"/>
                    </a:xfrm>
                    <a:prstGeom prst="rect">
                      <a:avLst/>
                    </a:prstGeom>
                    <a:noFill/>
                    <a:ln>
                      <a:noFill/>
                    </a:ln>
                  </pic:spPr>
                </pic:pic>
              </a:graphicData>
            </a:graphic>
          </wp:inline>
        </w:drawing>
      </w:r>
    </w:p>
    <w:p w:rsidR="000420D8" w:rsidRPr="00264B20" w:rsidRDefault="000420D8" w:rsidP="000420D8">
      <w:pPr>
        <w:spacing w:line="300" w:lineRule="auto"/>
        <w:jc w:val="center"/>
        <w:rPr>
          <w:rFonts w:ascii="Trebuchet MS" w:hAnsi="Trebuchet MS" w:cstheme="minorBidi"/>
          <w:b/>
          <w:bCs/>
        </w:rPr>
      </w:pPr>
      <w:r w:rsidRPr="00264B20">
        <w:rPr>
          <w:rFonts w:ascii="Trebuchet MS" w:hAnsi="Trebuchet MS" w:cstheme="minorBidi"/>
          <w:b/>
          <w:bCs/>
        </w:rPr>
        <w:t>Figura II.2.3.3 Evoluția emisiilor de azot total (pe surse) în funcție de scenarii) (exprimate în tone N pe an)</w:t>
      </w:r>
    </w:p>
    <w:p w:rsidR="000420D8" w:rsidRPr="00B95C32" w:rsidRDefault="000420D8" w:rsidP="000420D8">
      <w:pPr>
        <w:spacing w:line="300" w:lineRule="auto"/>
        <w:jc w:val="both"/>
        <w:rPr>
          <w:rFonts w:ascii="Trebuchet MS" w:hAnsi="Trebuchet MS" w:cstheme="minorBidi"/>
          <w:i/>
          <w:sz w:val="20"/>
          <w:szCs w:val="20"/>
        </w:rPr>
      </w:pPr>
      <w:r w:rsidRPr="00B95C32">
        <w:rPr>
          <w:rFonts w:ascii="Trebuchet MS" w:hAnsi="Trebuchet MS" w:cstheme="minorBidi"/>
          <w:i/>
          <w:sz w:val="20"/>
          <w:szCs w:val="20"/>
        </w:rPr>
        <w:t>(Sursa datelor: Administrația Națională „Apele Române”, Planul Național de Management actualizat)</w:t>
      </w:r>
    </w:p>
    <w:p w:rsidR="000420D8" w:rsidRPr="00264B20" w:rsidRDefault="000420D8" w:rsidP="000420D8">
      <w:pPr>
        <w:spacing w:before="120" w:after="120" w:line="300" w:lineRule="auto"/>
        <w:jc w:val="both"/>
        <w:rPr>
          <w:rFonts w:ascii="Trebuchet MS" w:hAnsi="Trebuchet MS" w:cstheme="minorBidi"/>
          <w:i/>
        </w:rPr>
      </w:pPr>
    </w:p>
    <w:p w:rsidR="000420D8" w:rsidRPr="00264B20" w:rsidRDefault="000420D8" w:rsidP="000420D8">
      <w:pPr>
        <w:spacing w:line="300" w:lineRule="auto"/>
        <w:jc w:val="both"/>
        <w:rPr>
          <w:rFonts w:ascii="Trebuchet MS" w:hAnsi="Trebuchet MS" w:cstheme="minorBidi"/>
          <w:iCs/>
        </w:rPr>
      </w:pPr>
      <w:r w:rsidRPr="00264B20">
        <w:rPr>
          <w:rFonts w:ascii="Trebuchet MS" w:hAnsi="Trebuchet MS" w:cstheme="minorBidi"/>
          <w:noProof/>
          <w:lang w:val="en-US"/>
        </w:rPr>
        <w:drawing>
          <wp:inline distT="0" distB="0" distL="0" distR="0" wp14:anchorId="0C15686F" wp14:editId="2C542E96">
            <wp:extent cx="5918835" cy="3141980"/>
            <wp:effectExtent l="0" t="0" r="0" b="0"/>
            <wp:docPr id="1349278141" name="Picture 134927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18835" cy="3141980"/>
                    </a:xfrm>
                    <a:prstGeom prst="rect">
                      <a:avLst/>
                    </a:prstGeom>
                    <a:noFill/>
                  </pic:spPr>
                </pic:pic>
              </a:graphicData>
            </a:graphic>
          </wp:inline>
        </w:drawing>
      </w:r>
    </w:p>
    <w:p w:rsidR="000420D8" w:rsidRPr="00264B20" w:rsidRDefault="000420D8" w:rsidP="00693D46">
      <w:pPr>
        <w:spacing w:line="300" w:lineRule="auto"/>
        <w:jc w:val="both"/>
        <w:rPr>
          <w:rFonts w:ascii="Trebuchet MS" w:hAnsi="Trebuchet MS" w:cstheme="minorBidi"/>
          <w:b/>
          <w:bCs/>
          <w:iCs/>
        </w:rPr>
      </w:pPr>
      <w:r w:rsidRPr="00264B20">
        <w:rPr>
          <w:rFonts w:ascii="Trebuchet MS" w:hAnsi="Trebuchet MS" w:cstheme="minorBidi"/>
          <w:b/>
          <w:bCs/>
        </w:rPr>
        <w:t xml:space="preserve">Figura II.2.3.4 </w:t>
      </w:r>
      <w:r w:rsidRPr="00264B20">
        <w:rPr>
          <w:rFonts w:ascii="Trebuchet MS" w:hAnsi="Trebuchet MS" w:cstheme="minorBidi"/>
          <w:b/>
          <w:bCs/>
          <w:iCs/>
        </w:rPr>
        <w:t>Evoluția emisiilor de fosfor total (pe surse) în funcție de scenarii</w:t>
      </w:r>
      <w:r>
        <w:rPr>
          <w:rFonts w:ascii="Trebuchet MS" w:hAnsi="Trebuchet MS" w:cstheme="minorBidi"/>
          <w:b/>
          <w:bCs/>
          <w:iCs/>
        </w:rPr>
        <w:t xml:space="preserve"> </w:t>
      </w:r>
      <w:r w:rsidRPr="00264B20">
        <w:rPr>
          <w:rFonts w:ascii="Trebuchet MS" w:hAnsi="Trebuchet MS" w:cstheme="minorBidi"/>
          <w:b/>
          <w:bCs/>
          <w:iCs/>
        </w:rPr>
        <w:t>(exprimate în tone P pe an)</w:t>
      </w:r>
    </w:p>
    <w:p w:rsidR="000420D8" w:rsidRPr="00B95C32" w:rsidRDefault="000420D8" w:rsidP="000420D8">
      <w:pPr>
        <w:spacing w:line="300" w:lineRule="auto"/>
        <w:jc w:val="both"/>
        <w:rPr>
          <w:rFonts w:ascii="Trebuchet MS" w:hAnsi="Trebuchet MS" w:cstheme="minorBidi"/>
          <w:i/>
          <w:sz w:val="20"/>
          <w:szCs w:val="20"/>
        </w:rPr>
      </w:pPr>
      <w:r w:rsidRPr="00B95C32">
        <w:rPr>
          <w:rFonts w:ascii="Trebuchet MS" w:hAnsi="Trebuchet MS" w:cstheme="minorBidi"/>
          <w:i/>
          <w:sz w:val="20"/>
          <w:szCs w:val="20"/>
        </w:rPr>
        <w:t>(Sursa datelor: Administrația Națională „Apele Române”, Planul Național de Management actualizat)</w:t>
      </w:r>
    </w:p>
    <w:p w:rsidR="000420D8" w:rsidRPr="00264B20" w:rsidRDefault="000420D8" w:rsidP="00693D46">
      <w:pPr>
        <w:tabs>
          <w:tab w:val="left" w:pos="6900"/>
        </w:tabs>
        <w:ind w:firstLine="720"/>
        <w:jc w:val="both"/>
        <w:rPr>
          <w:rFonts w:ascii="Trebuchet MS" w:eastAsia="Times New Roman" w:hAnsi="Trebuchet MS" w:cstheme="minorBidi"/>
        </w:rPr>
      </w:pPr>
    </w:p>
    <w:p w:rsidR="000420D8" w:rsidRPr="00E62FDB" w:rsidRDefault="000420D8" w:rsidP="00693D46">
      <w:pPr>
        <w:tabs>
          <w:tab w:val="left" w:pos="6900"/>
        </w:tabs>
        <w:ind w:firstLine="720"/>
        <w:jc w:val="both"/>
        <w:rPr>
          <w:rFonts w:ascii="Trebuchet MS" w:eastAsia="Times New Roman" w:hAnsi="Trebuchet MS" w:cstheme="minorBidi"/>
          <w:sz w:val="22"/>
          <w:szCs w:val="22"/>
          <w:lang w:val="fr-FR"/>
        </w:rPr>
      </w:pPr>
      <w:r w:rsidRPr="00E62FDB">
        <w:rPr>
          <w:rFonts w:ascii="Trebuchet MS" w:eastAsia="Times New Roman" w:hAnsi="Trebuchet MS" w:cstheme="minorBidi"/>
          <w:sz w:val="22"/>
          <w:szCs w:val="22"/>
        </w:rPr>
        <w:t xml:space="preserve">Scenariul de viziune I, care presupune surplusuri scăzute pe termen lung și utilizarea pe scară largă a celor mai bune practice agricole, previzionează o scădere substanțială a emisiilor din agricultură în apele de suprafață. Conform simulărilor modelului MONERIS, scăderea emisiilor față de situația de referință cu 41 % (N) și 29 % (P) din emisiile surselor agricole ar putea fi realizată la nivel de bazin prin aplicarea unui management agricol adecvat. Cu toate acestea, regiunile cu surplus de azot foarte scăzut în prezent vor indica o creștere a emisiilor de azot din agricultură ca urmare a intensificării (surplus de nutrienți mai mare) activităților agricole în scenariul de viziune I (după anul 2027), comparativ cu scenariul de referință (2015-2018). </w:t>
      </w:r>
      <w:r w:rsidRPr="00E62FDB">
        <w:rPr>
          <w:rFonts w:ascii="Trebuchet MS" w:eastAsia="Times New Roman" w:hAnsi="Trebuchet MS" w:cstheme="minorBidi"/>
          <w:sz w:val="22"/>
          <w:szCs w:val="22"/>
          <w:lang w:val="fr-FR"/>
        </w:rPr>
        <w:t>Emisiile de fosfor vor scădea datorită aplicării măsurilor eficiente de protecţie a solului.</w:t>
      </w:r>
    </w:p>
    <w:p w:rsidR="000420D8" w:rsidRPr="00E62FDB" w:rsidRDefault="000420D8" w:rsidP="00693D46">
      <w:pPr>
        <w:ind w:firstLine="720"/>
        <w:jc w:val="both"/>
        <w:rPr>
          <w:rFonts w:ascii="Trebuchet MS" w:eastAsia="Times New Roman" w:hAnsi="Trebuchet MS" w:cstheme="minorBidi"/>
          <w:sz w:val="22"/>
          <w:szCs w:val="22"/>
          <w:lang w:val="fr-FR"/>
        </w:rPr>
      </w:pPr>
      <w:r w:rsidRPr="00E62FDB">
        <w:rPr>
          <w:rFonts w:ascii="Trebuchet MS" w:eastAsia="Times New Roman" w:hAnsi="Trebuchet MS" w:cstheme="minorBidi"/>
          <w:sz w:val="22"/>
          <w:szCs w:val="22"/>
          <w:lang w:val="fr-FR"/>
        </w:rPr>
        <w:t>În ceea ce privește scenariile de viziune I pentru regimul hidrologic cu scurgere maximă (ape mari) și regimul hidrologic cu scurgere minimă (ape mici), acestea reprezintă impactul schimbării regimului hidrologic asupra emisiilor difuze. Pentru condițiile de ape mici (dry), sunt de așteptat emisii mai mici, prognozându-se o reducere a emisiilor cu 7,5 % (N) și 10 % (P) din totalul emisiilor de nutrienți în comparație cu scenariul de viziune I. Pe de altă parte, în anii cu scurgere maximă (ape mari), scurgerea și potențial eroziunea solului sunt mai importante, ducând la creșterea emisiilor. Astfel, în cazul condițiilor de scurgere maximă (wet), se preconizează o creștere față de scenariul de viziune I a emisiilor cu 23 % (N) și 20,2 % (P) din totalul emisiilor de nutrienți. Față de situația de referință (2015-2018), măsurile pentru scenariul de viziune I și impactul schimbărilor climatice (dry) ar putea reduce semnificativ emisiile difuze de nutrienți, în timp ce în anii ploioși emisiile ar putea fi similare cu valorile de referință.</w:t>
      </w:r>
    </w:p>
    <w:p w:rsidR="000420D8" w:rsidRPr="00E62FDB" w:rsidRDefault="000420D8" w:rsidP="00693D46">
      <w:pPr>
        <w:tabs>
          <w:tab w:val="left" w:pos="6900"/>
        </w:tabs>
        <w:ind w:firstLine="720"/>
        <w:jc w:val="both"/>
        <w:rPr>
          <w:rFonts w:ascii="Trebuchet MS" w:eastAsia="Times New Roman" w:hAnsi="Trebuchet MS" w:cstheme="minorBidi"/>
          <w:sz w:val="22"/>
          <w:szCs w:val="22"/>
          <w:lang w:val="fr-FR"/>
        </w:rPr>
      </w:pPr>
      <w:r w:rsidRPr="00E62FDB">
        <w:rPr>
          <w:rFonts w:ascii="Trebuchet MS" w:eastAsia="Times New Roman" w:hAnsi="Trebuchet MS" w:cstheme="minorBidi"/>
          <w:sz w:val="22"/>
          <w:szCs w:val="22"/>
          <w:lang w:val="fr-FR"/>
        </w:rPr>
        <w:t>Scenariul de viziune II ar conduce la o reducere mai mare a emisiilor față de scenariul de viziune I, de 44,5 % (N) și 40,3 % (P) din emisiile totale de nutrienți din agricultură, datorită aplicării măsurilor de retenție mai eficientă a nutrienților asigurată de zonele tampon riverane.</w:t>
      </w:r>
    </w:p>
    <w:p w:rsidR="000420D8" w:rsidRPr="00E62FDB" w:rsidRDefault="000420D8" w:rsidP="00693D46">
      <w:pPr>
        <w:widowControl w:val="0"/>
        <w:autoSpaceDE w:val="0"/>
        <w:autoSpaceDN w:val="0"/>
        <w:adjustRightInd w:val="0"/>
        <w:ind w:firstLine="720"/>
        <w:jc w:val="both"/>
        <w:rPr>
          <w:rFonts w:ascii="Trebuchet MS" w:eastAsia="Times New Roman" w:hAnsi="Trebuchet MS" w:cstheme="minorBidi"/>
          <w:sz w:val="22"/>
          <w:szCs w:val="22"/>
          <w:lang w:val="fr-FR"/>
        </w:rPr>
      </w:pPr>
      <w:r w:rsidRPr="00E62FDB">
        <w:rPr>
          <w:rFonts w:ascii="Trebuchet MS" w:eastAsia="Times New Roman" w:hAnsi="Trebuchet MS" w:cstheme="minorBidi"/>
          <w:sz w:val="22"/>
          <w:szCs w:val="22"/>
          <w:lang w:val="fr-FR"/>
        </w:rPr>
        <w:t xml:space="preserve">În </w:t>
      </w:r>
      <w:r w:rsidRPr="00E62FDB">
        <w:rPr>
          <w:rFonts w:ascii="Trebuchet MS" w:eastAsia="Times New Roman" w:hAnsi="Trebuchet MS" w:cstheme="minorBidi"/>
          <w:i/>
          <w:iCs/>
          <w:sz w:val="22"/>
          <w:szCs w:val="22"/>
          <w:lang w:val="fr-FR"/>
        </w:rPr>
        <w:t>Figurile II.2.3.5-</w:t>
      </w:r>
      <w:r w:rsidRPr="00E62FDB">
        <w:rPr>
          <w:rFonts w:ascii="Trebuchet MS" w:hAnsi="Trebuchet MS" w:cstheme="minorBidi"/>
          <w:sz w:val="22"/>
          <w:szCs w:val="22"/>
        </w:rPr>
        <w:t xml:space="preserve"> </w:t>
      </w:r>
      <w:r w:rsidRPr="00E62FDB">
        <w:rPr>
          <w:rFonts w:ascii="Trebuchet MS" w:eastAsia="Times New Roman" w:hAnsi="Trebuchet MS" w:cstheme="minorBidi"/>
          <w:i/>
          <w:iCs/>
          <w:sz w:val="22"/>
          <w:szCs w:val="22"/>
          <w:lang w:val="fr-FR"/>
        </w:rPr>
        <w:t xml:space="preserve">II.2.3.8 </w:t>
      </w:r>
      <w:r w:rsidRPr="00E62FDB">
        <w:rPr>
          <w:rFonts w:ascii="Trebuchet MS" w:eastAsia="Times New Roman" w:hAnsi="Trebuchet MS" w:cstheme="minorBidi"/>
          <w:sz w:val="22"/>
          <w:szCs w:val="22"/>
          <w:lang w:val="fr-FR"/>
        </w:rPr>
        <w:t>sunt reprezentate comparativ distribuțiile spațiale ale emisiilor de nutrienți, la nivel de sub-bazine (unități analitice) și la nivel de utilizare a terenului, pentru situația de referință (2015-2018) și scenariul de bază (2027). Se observă o scădere a emisiilor totale de nutrienți din surse difuze și punctiforme (cu 14 %N și 5,5 % P).</w:t>
      </w:r>
    </w:p>
    <w:p w:rsidR="000420D8" w:rsidRPr="00E62FDB" w:rsidRDefault="000420D8" w:rsidP="00693D46">
      <w:pPr>
        <w:widowControl w:val="0"/>
        <w:autoSpaceDE w:val="0"/>
        <w:autoSpaceDN w:val="0"/>
        <w:adjustRightInd w:val="0"/>
        <w:jc w:val="both"/>
        <w:rPr>
          <w:rFonts w:ascii="Trebuchet MS" w:eastAsia="Times New Roman" w:hAnsi="Trebuchet MS" w:cstheme="minorBidi"/>
          <w:b/>
          <w:bCs/>
          <w:sz w:val="22"/>
          <w:szCs w:val="22"/>
          <w:lang w:val="fr-FR"/>
        </w:rPr>
      </w:pPr>
    </w:p>
    <w:p w:rsidR="000420D8" w:rsidRPr="00264B20" w:rsidRDefault="000420D8" w:rsidP="000420D8">
      <w:pPr>
        <w:tabs>
          <w:tab w:val="left" w:pos="6900"/>
        </w:tabs>
        <w:spacing w:line="300" w:lineRule="auto"/>
        <w:jc w:val="center"/>
        <w:rPr>
          <w:rFonts w:ascii="Trebuchet MS" w:eastAsia="Times New Roman" w:hAnsi="Trebuchet MS" w:cstheme="minorBidi"/>
          <w:noProof/>
          <w:lang w:val="en-US"/>
        </w:rPr>
      </w:pPr>
      <w:r w:rsidRPr="00264B20">
        <w:rPr>
          <w:rFonts w:ascii="Trebuchet MS" w:eastAsia="Times New Roman" w:hAnsi="Trebuchet MS" w:cstheme="minorBidi"/>
          <w:noProof/>
          <w:lang w:val="en-US"/>
        </w:rPr>
        <w:drawing>
          <wp:inline distT="0" distB="0" distL="0" distR="0" wp14:anchorId="348BF62D" wp14:editId="786FF356">
            <wp:extent cx="2621280" cy="1879277"/>
            <wp:effectExtent l="0" t="0" r="7620" b="6985"/>
            <wp:docPr id="1349278142"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27608" cy="1883814"/>
                    </a:xfrm>
                    <a:prstGeom prst="rect">
                      <a:avLst/>
                    </a:prstGeom>
                    <a:noFill/>
                    <a:ln>
                      <a:noFill/>
                    </a:ln>
                  </pic:spPr>
                </pic:pic>
              </a:graphicData>
            </a:graphic>
          </wp:inline>
        </w:drawing>
      </w:r>
      <w:r w:rsidRPr="00264B20">
        <w:rPr>
          <w:rFonts w:ascii="Trebuchet MS" w:eastAsia="Times New Roman" w:hAnsi="Trebuchet MS" w:cstheme="minorBidi"/>
          <w:noProof/>
          <w:lang w:val="en-US"/>
        </w:rPr>
        <w:drawing>
          <wp:inline distT="0" distB="0" distL="0" distR="0" wp14:anchorId="79D72605" wp14:editId="4DDA90B7">
            <wp:extent cx="2722880" cy="1897551"/>
            <wp:effectExtent l="0" t="0" r="1270" b="7620"/>
            <wp:docPr id="1349278143"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39494" cy="1909129"/>
                    </a:xfrm>
                    <a:prstGeom prst="rect">
                      <a:avLst/>
                    </a:prstGeom>
                    <a:noFill/>
                    <a:ln>
                      <a:noFill/>
                    </a:ln>
                  </pic:spPr>
                </pic:pic>
              </a:graphicData>
            </a:graphic>
          </wp:inline>
        </w:drawing>
      </w:r>
    </w:p>
    <w:p w:rsidR="000420D8" w:rsidRDefault="000420D8" w:rsidP="00693D46">
      <w:pPr>
        <w:spacing w:line="300" w:lineRule="auto"/>
        <w:jc w:val="both"/>
        <w:rPr>
          <w:rFonts w:ascii="Trebuchet MS" w:hAnsi="Trebuchet MS" w:cstheme="minorBidi"/>
          <w:i/>
        </w:rPr>
      </w:pPr>
      <w:r w:rsidRPr="00264B20">
        <w:rPr>
          <w:rFonts w:ascii="Trebuchet MS" w:eastAsia="Times New Roman" w:hAnsi="Trebuchet MS" w:cstheme="minorBidi"/>
          <w:b/>
          <w:bCs/>
          <w:lang w:val="fr-FR"/>
        </w:rPr>
        <w:t xml:space="preserve">Figura II.2.3.5 </w:t>
      </w:r>
      <w:r w:rsidRPr="00264B20">
        <w:rPr>
          <w:rFonts w:ascii="Trebuchet MS" w:eastAsia="Times New Roman" w:hAnsi="Trebuchet MS" w:cstheme="minorBidi"/>
          <w:b/>
          <w:bCs/>
          <w:i/>
          <w:iCs/>
          <w:lang w:val="fr-FR" w:eastAsia="x-none"/>
        </w:rPr>
        <w:t>Emisia specifică de azot total din surse punctiforme și difuze la nivel de sub-bazine hidrografice:situația de referință 2015-2018 (stânga) și scenariu de bază 2027 (dreapta)</w:t>
      </w:r>
    </w:p>
    <w:p w:rsidR="000420D8" w:rsidRPr="00B95C32" w:rsidRDefault="000420D8" w:rsidP="000420D8">
      <w:pPr>
        <w:spacing w:line="300" w:lineRule="auto"/>
        <w:jc w:val="both"/>
        <w:rPr>
          <w:rFonts w:ascii="Trebuchet MS" w:hAnsi="Trebuchet MS" w:cstheme="minorBidi"/>
          <w:i/>
          <w:sz w:val="20"/>
          <w:szCs w:val="20"/>
        </w:rPr>
      </w:pPr>
      <w:r w:rsidRPr="00B95C32">
        <w:rPr>
          <w:rFonts w:ascii="Trebuchet MS" w:hAnsi="Trebuchet MS" w:cstheme="minorBidi"/>
          <w:i/>
          <w:sz w:val="20"/>
          <w:szCs w:val="20"/>
        </w:rPr>
        <w:t>(Sursa datelor: Administrația Națională „Apele Române”, Planul Național de Management actualizat)</w:t>
      </w:r>
    </w:p>
    <w:p w:rsidR="000420D8" w:rsidRPr="00264B20" w:rsidRDefault="000420D8" w:rsidP="000420D8">
      <w:pPr>
        <w:spacing w:before="120" w:after="120" w:line="300" w:lineRule="auto"/>
        <w:jc w:val="center"/>
        <w:rPr>
          <w:rFonts w:ascii="Trebuchet MS" w:eastAsia="Times New Roman" w:hAnsi="Trebuchet MS" w:cstheme="minorBidi"/>
          <w:b/>
          <w:bCs/>
          <w:i/>
          <w:iCs/>
          <w:lang w:val="fr-FR" w:eastAsia="x-none"/>
        </w:rPr>
      </w:pPr>
    </w:p>
    <w:p w:rsidR="000420D8" w:rsidRPr="00264B20" w:rsidRDefault="000420D8" w:rsidP="000420D8">
      <w:pPr>
        <w:tabs>
          <w:tab w:val="left" w:pos="6900"/>
        </w:tabs>
        <w:spacing w:line="300" w:lineRule="auto"/>
        <w:jc w:val="center"/>
        <w:rPr>
          <w:rFonts w:ascii="Trebuchet MS" w:eastAsia="Times New Roman" w:hAnsi="Trebuchet MS" w:cstheme="minorBidi"/>
        </w:rPr>
      </w:pPr>
      <w:r w:rsidRPr="00264B20">
        <w:rPr>
          <w:rFonts w:ascii="Trebuchet MS" w:eastAsia="Times New Roman" w:hAnsi="Trebuchet MS" w:cstheme="minorBidi"/>
          <w:noProof/>
          <w:lang w:val="en-US"/>
        </w:rPr>
        <w:drawing>
          <wp:inline distT="0" distB="0" distL="0" distR="0" wp14:anchorId="54EEA2E8" wp14:editId="61EC83BB">
            <wp:extent cx="2773680" cy="1956174"/>
            <wp:effectExtent l="0" t="0" r="7620" b="6350"/>
            <wp:docPr id="96"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77793" cy="1959075"/>
                    </a:xfrm>
                    <a:prstGeom prst="rect">
                      <a:avLst/>
                    </a:prstGeom>
                    <a:noFill/>
                    <a:ln>
                      <a:noFill/>
                    </a:ln>
                  </pic:spPr>
                </pic:pic>
              </a:graphicData>
            </a:graphic>
          </wp:inline>
        </w:drawing>
      </w:r>
      <w:r w:rsidRPr="00264B20">
        <w:rPr>
          <w:rFonts w:ascii="Trebuchet MS" w:eastAsia="Times New Roman" w:hAnsi="Trebuchet MS" w:cstheme="minorBidi"/>
          <w:noProof/>
          <w:lang w:val="en-US"/>
        </w:rPr>
        <w:drawing>
          <wp:inline distT="0" distB="0" distL="0" distR="0" wp14:anchorId="49869AE3" wp14:editId="4BF0DD44">
            <wp:extent cx="2763520" cy="1948173"/>
            <wp:effectExtent l="0" t="0" r="0" b="0"/>
            <wp:docPr id="103"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9802" cy="1952601"/>
                    </a:xfrm>
                    <a:prstGeom prst="rect">
                      <a:avLst/>
                    </a:prstGeom>
                    <a:noFill/>
                    <a:ln>
                      <a:noFill/>
                    </a:ln>
                  </pic:spPr>
                </pic:pic>
              </a:graphicData>
            </a:graphic>
          </wp:inline>
        </w:drawing>
      </w:r>
    </w:p>
    <w:p w:rsidR="000420D8" w:rsidRPr="00264B20" w:rsidRDefault="000420D8" w:rsidP="00693D46">
      <w:pPr>
        <w:widowControl w:val="0"/>
        <w:autoSpaceDE w:val="0"/>
        <w:autoSpaceDN w:val="0"/>
        <w:adjustRightInd w:val="0"/>
        <w:jc w:val="both"/>
        <w:rPr>
          <w:rFonts w:ascii="Trebuchet MS" w:eastAsia="Times New Roman" w:hAnsi="Trebuchet MS" w:cstheme="minorBidi"/>
          <w:b/>
          <w:bCs/>
          <w:lang w:val="fr-FR"/>
        </w:rPr>
      </w:pPr>
      <w:r w:rsidRPr="00264B20">
        <w:rPr>
          <w:rFonts w:ascii="Trebuchet MS" w:eastAsia="Times New Roman" w:hAnsi="Trebuchet MS" w:cstheme="minorBidi"/>
          <w:b/>
          <w:bCs/>
          <w:lang w:val="fr-FR"/>
        </w:rPr>
        <w:t xml:space="preserve">Figura II.2.3.6 </w:t>
      </w:r>
      <w:r w:rsidRPr="00264B20">
        <w:rPr>
          <w:rFonts w:ascii="Trebuchet MS" w:eastAsia="Times New Roman" w:hAnsi="Trebuchet MS" w:cstheme="minorBidi"/>
          <w:b/>
          <w:bCs/>
          <w:i/>
          <w:iCs/>
          <w:lang w:val="fr-FR" w:eastAsia="x-none"/>
        </w:rPr>
        <w:t>Emisia specifică de azot total din surse punctiforme și difuze la nivel de utilizare a terenului:  situația de referință 2015-2018 (stânga) și scenariu de bază 2027 (dreapta)</w:t>
      </w:r>
    </w:p>
    <w:p w:rsidR="000420D8" w:rsidRDefault="000420D8" w:rsidP="00693D46">
      <w:pPr>
        <w:jc w:val="both"/>
        <w:rPr>
          <w:rFonts w:ascii="Trebuchet MS" w:hAnsi="Trebuchet MS" w:cstheme="minorBidi"/>
          <w:i/>
          <w:sz w:val="20"/>
          <w:szCs w:val="20"/>
        </w:rPr>
      </w:pPr>
      <w:r w:rsidRPr="00B95C32">
        <w:rPr>
          <w:rFonts w:ascii="Trebuchet MS" w:hAnsi="Trebuchet MS" w:cstheme="minorBidi"/>
          <w:i/>
          <w:sz w:val="20"/>
          <w:szCs w:val="20"/>
        </w:rPr>
        <w:t>(Sursa datelor: Administrația Națională „Apele Române”, Planul Național de Management actualizat)</w:t>
      </w:r>
    </w:p>
    <w:p w:rsidR="000420D8" w:rsidRPr="00B95C32" w:rsidRDefault="000420D8" w:rsidP="000420D8">
      <w:pPr>
        <w:spacing w:line="300" w:lineRule="auto"/>
        <w:jc w:val="both"/>
        <w:rPr>
          <w:rFonts w:ascii="Trebuchet MS" w:hAnsi="Trebuchet MS" w:cstheme="minorBidi"/>
          <w:i/>
          <w:sz w:val="20"/>
          <w:szCs w:val="20"/>
        </w:rPr>
      </w:pPr>
    </w:p>
    <w:p w:rsidR="000420D8" w:rsidRPr="00264B20" w:rsidRDefault="000420D8" w:rsidP="000420D8">
      <w:pPr>
        <w:tabs>
          <w:tab w:val="left" w:pos="6900"/>
        </w:tabs>
        <w:spacing w:line="300" w:lineRule="auto"/>
        <w:jc w:val="center"/>
        <w:rPr>
          <w:rFonts w:ascii="Trebuchet MS" w:eastAsia="Times New Roman" w:hAnsi="Trebuchet MS" w:cstheme="minorBidi"/>
          <w:noProof/>
          <w:lang w:val="en-US"/>
        </w:rPr>
      </w:pPr>
      <w:r w:rsidRPr="00264B20">
        <w:rPr>
          <w:rFonts w:ascii="Trebuchet MS" w:eastAsia="Times New Roman" w:hAnsi="Trebuchet MS" w:cstheme="minorBidi"/>
          <w:noProof/>
          <w:lang w:val="en-US"/>
        </w:rPr>
        <w:drawing>
          <wp:inline distT="0" distB="0" distL="0" distR="0" wp14:anchorId="72655BA2" wp14:editId="35793F34">
            <wp:extent cx="2702560" cy="2026920"/>
            <wp:effectExtent l="0" t="0" r="2540" b="0"/>
            <wp:docPr id="104"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02764" cy="2027073"/>
                    </a:xfrm>
                    <a:prstGeom prst="rect">
                      <a:avLst/>
                    </a:prstGeom>
                    <a:noFill/>
                    <a:ln>
                      <a:noFill/>
                    </a:ln>
                  </pic:spPr>
                </pic:pic>
              </a:graphicData>
            </a:graphic>
          </wp:inline>
        </w:drawing>
      </w:r>
      <w:r w:rsidRPr="00264B20">
        <w:rPr>
          <w:rFonts w:ascii="Trebuchet MS" w:eastAsia="Times New Roman" w:hAnsi="Trebuchet MS" w:cstheme="minorBidi"/>
          <w:noProof/>
          <w:lang w:val="en-US"/>
        </w:rPr>
        <w:drawing>
          <wp:inline distT="0" distB="0" distL="0" distR="0" wp14:anchorId="077A7035" wp14:editId="7F2F4B36">
            <wp:extent cx="2834640" cy="2009365"/>
            <wp:effectExtent l="0" t="0" r="3810" b="0"/>
            <wp:docPr id="105"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39286" cy="2012658"/>
                    </a:xfrm>
                    <a:prstGeom prst="rect">
                      <a:avLst/>
                    </a:prstGeom>
                    <a:noFill/>
                    <a:ln>
                      <a:noFill/>
                    </a:ln>
                  </pic:spPr>
                </pic:pic>
              </a:graphicData>
            </a:graphic>
          </wp:inline>
        </w:drawing>
      </w:r>
    </w:p>
    <w:p w:rsidR="000420D8" w:rsidRDefault="000420D8" w:rsidP="00693D46">
      <w:pPr>
        <w:jc w:val="both"/>
        <w:rPr>
          <w:rFonts w:ascii="Trebuchet MS" w:hAnsi="Trebuchet MS" w:cstheme="minorBidi"/>
          <w:i/>
        </w:rPr>
      </w:pPr>
      <w:r w:rsidRPr="00264B20">
        <w:rPr>
          <w:rFonts w:ascii="Trebuchet MS" w:eastAsia="Times New Roman" w:hAnsi="Trebuchet MS" w:cstheme="minorBidi"/>
          <w:b/>
          <w:bCs/>
          <w:lang w:val="fr-FR"/>
        </w:rPr>
        <w:t xml:space="preserve">Figura II.2.3.7 </w:t>
      </w:r>
      <w:r w:rsidRPr="00264B20">
        <w:rPr>
          <w:rFonts w:ascii="Trebuchet MS" w:eastAsia="Times New Roman" w:hAnsi="Trebuchet MS" w:cstheme="minorBidi"/>
          <w:b/>
          <w:bCs/>
          <w:i/>
          <w:iCs/>
          <w:lang w:val="fr-FR" w:eastAsia="x-none"/>
        </w:rPr>
        <w:t>Emisia specifică de fosfor total din surse punctiforme și difuze la nivel de sub-bazine hidrografice; situația de referință 2015-2018 (stânga)</w:t>
      </w:r>
      <w:r w:rsidRPr="00264B20">
        <w:rPr>
          <w:rFonts w:ascii="Trebuchet MS" w:eastAsia="Times New Roman" w:hAnsi="Trebuchet MS" w:cstheme="minorBidi"/>
          <w:b/>
          <w:bCs/>
          <w:lang w:val="fr-FR"/>
        </w:rPr>
        <w:t xml:space="preserve"> </w:t>
      </w:r>
      <w:r w:rsidRPr="00264B20">
        <w:rPr>
          <w:rFonts w:ascii="Trebuchet MS" w:eastAsia="Times New Roman" w:hAnsi="Trebuchet MS" w:cstheme="minorBidi"/>
          <w:b/>
          <w:bCs/>
          <w:i/>
          <w:iCs/>
          <w:lang w:val="fr-FR" w:eastAsia="x-none"/>
        </w:rPr>
        <w:t>și scenariu de bază 2027 (dreapta)</w:t>
      </w:r>
    </w:p>
    <w:p w:rsidR="000420D8" w:rsidRPr="00FB4D3E" w:rsidRDefault="000420D8" w:rsidP="000420D8">
      <w:pPr>
        <w:spacing w:line="300" w:lineRule="auto"/>
        <w:jc w:val="both"/>
        <w:rPr>
          <w:rFonts w:ascii="Trebuchet MS" w:hAnsi="Trebuchet MS" w:cstheme="minorBidi"/>
          <w:i/>
          <w:sz w:val="20"/>
          <w:szCs w:val="20"/>
        </w:rPr>
      </w:pPr>
      <w:r w:rsidRPr="00FB4D3E">
        <w:rPr>
          <w:rFonts w:ascii="Trebuchet MS" w:hAnsi="Trebuchet MS" w:cstheme="minorBidi"/>
          <w:i/>
          <w:sz w:val="20"/>
          <w:szCs w:val="20"/>
        </w:rPr>
        <w:t>(Sursa datelor: Administrația Națională „Apele Române”, Planul Național de Management actualizat)</w:t>
      </w:r>
    </w:p>
    <w:p w:rsidR="000420D8" w:rsidRPr="00264B20" w:rsidRDefault="000420D8" w:rsidP="000420D8">
      <w:pPr>
        <w:tabs>
          <w:tab w:val="left" w:pos="6900"/>
        </w:tabs>
        <w:spacing w:line="300" w:lineRule="auto"/>
        <w:jc w:val="center"/>
        <w:rPr>
          <w:rFonts w:ascii="Trebuchet MS" w:eastAsia="Times New Roman" w:hAnsi="Trebuchet MS" w:cstheme="minorBidi"/>
        </w:rPr>
      </w:pPr>
      <w:r w:rsidRPr="00264B20">
        <w:rPr>
          <w:rFonts w:ascii="Trebuchet MS" w:eastAsia="Times New Roman" w:hAnsi="Trebuchet MS" w:cstheme="minorBidi"/>
          <w:noProof/>
          <w:lang w:val="en-US"/>
        </w:rPr>
        <w:drawing>
          <wp:inline distT="0" distB="0" distL="0" distR="0" wp14:anchorId="54654C07" wp14:editId="4D229AA9">
            <wp:extent cx="2753360" cy="1944383"/>
            <wp:effectExtent l="0" t="0" r="8890" b="0"/>
            <wp:docPr id="10"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56844" cy="1946843"/>
                    </a:xfrm>
                    <a:prstGeom prst="rect">
                      <a:avLst/>
                    </a:prstGeom>
                    <a:noFill/>
                    <a:ln>
                      <a:noFill/>
                    </a:ln>
                  </pic:spPr>
                </pic:pic>
              </a:graphicData>
            </a:graphic>
          </wp:inline>
        </w:drawing>
      </w:r>
      <w:r w:rsidRPr="00264B20">
        <w:rPr>
          <w:rFonts w:ascii="Trebuchet MS" w:eastAsia="Times New Roman" w:hAnsi="Trebuchet MS" w:cstheme="minorBidi"/>
          <w:noProof/>
          <w:lang w:val="en-US"/>
        </w:rPr>
        <w:drawing>
          <wp:inline distT="0" distB="0" distL="0" distR="0" wp14:anchorId="4394115F" wp14:editId="226B4A65">
            <wp:extent cx="2791108" cy="1971040"/>
            <wp:effectExtent l="0" t="0" r="9525" b="0"/>
            <wp:docPr id="11"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92421" cy="1971967"/>
                    </a:xfrm>
                    <a:prstGeom prst="rect">
                      <a:avLst/>
                    </a:prstGeom>
                    <a:noFill/>
                    <a:ln>
                      <a:noFill/>
                    </a:ln>
                  </pic:spPr>
                </pic:pic>
              </a:graphicData>
            </a:graphic>
          </wp:inline>
        </w:drawing>
      </w:r>
    </w:p>
    <w:p w:rsidR="000420D8" w:rsidRPr="00264B20" w:rsidRDefault="000420D8" w:rsidP="00693D46">
      <w:pPr>
        <w:widowControl w:val="0"/>
        <w:autoSpaceDE w:val="0"/>
        <w:autoSpaceDN w:val="0"/>
        <w:adjustRightInd w:val="0"/>
        <w:jc w:val="both"/>
        <w:rPr>
          <w:rFonts w:ascii="Trebuchet MS" w:eastAsia="Times New Roman" w:hAnsi="Trebuchet MS" w:cstheme="minorBidi"/>
          <w:lang w:val="fr-FR"/>
        </w:rPr>
      </w:pPr>
      <w:r w:rsidRPr="00264B20">
        <w:rPr>
          <w:rFonts w:ascii="Trebuchet MS" w:eastAsia="Times New Roman" w:hAnsi="Trebuchet MS" w:cstheme="minorBidi"/>
          <w:b/>
          <w:bCs/>
          <w:lang w:val="fr-FR"/>
        </w:rPr>
        <w:t xml:space="preserve">Figura II.2.3.8 </w:t>
      </w:r>
      <w:r w:rsidRPr="00264B20">
        <w:rPr>
          <w:rFonts w:ascii="Trebuchet MS" w:eastAsia="Times New Roman" w:hAnsi="Trebuchet MS" w:cstheme="minorBidi"/>
          <w:b/>
          <w:bCs/>
          <w:i/>
          <w:iCs/>
          <w:lang w:val="fr-FR" w:eastAsia="x-none"/>
        </w:rPr>
        <w:t>Emisia specifică de fosfor total din surse punctiforme și difuze la nivel de utilizare a terenului: situația de referință 2015-2018 (stânga) și scenariu de bază 2027 (dreapta)</w:t>
      </w:r>
    </w:p>
    <w:p w:rsidR="000420D8" w:rsidRPr="00FB4D3E" w:rsidRDefault="000420D8" w:rsidP="000420D8">
      <w:pPr>
        <w:spacing w:line="300" w:lineRule="auto"/>
        <w:jc w:val="both"/>
        <w:rPr>
          <w:rFonts w:ascii="Trebuchet MS" w:hAnsi="Trebuchet MS" w:cstheme="minorBidi"/>
          <w:i/>
          <w:sz w:val="20"/>
          <w:szCs w:val="20"/>
        </w:rPr>
      </w:pPr>
      <w:r w:rsidRPr="00FB4D3E">
        <w:rPr>
          <w:rFonts w:ascii="Trebuchet MS" w:hAnsi="Trebuchet MS" w:cstheme="minorBidi"/>
          <w:i/>
          <w:sz w:val="20"/>
          <w:szCs w:val="20"/>
        </w:rPr>
        <w:t>(Sursa datelor: Administrația Națională „Apele Române”, Planul Național de Management actualizat)</w:t>
      </w:r>
    </w:p>
    <w:p w:rsidR="000420D8" w:rsidRPr="00E62FDB" w:rsidRDefault="000420D8" w:rsidP="00693D46">
      <w:pPr>
        <w:ind w:firstLine="567"/>
        <w:jc w:val="both"/>
        <w:rPr>
          <w:rFonts w:ascii="Trebuchet MS" w:hAnsi="Trebuchet MS" w:cstheme="minorBidi"/>
          <w:sz w:val="22"/>
          <w:szCs w:val="22"/>
          <w:lang w:val="it-IT"/>
        </w:rPr>
      </w:pPr>
      <w:r w:rsidRPr="00264B20">
        <w:rPr>
          <w:rFonts w:ascii="Trebuchet MS" w:hAnsi="Trebuchet MS" w:cstheme="minorBidi"/>
          <w:b/>
          <w:i/>
          <w:lang w:val="it-IT"/>
        </w:rPr>
        <w:br w:type="page"/>
      </w:r>
      <w:r w:rsidRPr="00E62FDB">
        <w:rPr>
          <w:rFonts w:ascii="Trebuchet MS" w:hAnsi="Trebuchet MS" w:cstheme="minorBidi"/>
          <w:b/>
          <w:i/>
          <w:sz w:val="22"/>
          <w:szCs w:val="22"/>
          <w:lang w:val="it-IT"/>
        </w:rPr>
        <w:t>Poluarea cu substanțe chimice periculoase</w:t>
      </w:r>
      <w:r w:rsidRPr="00E62FDB">
        <w:rPr>
          <w:rFonts w:ascii="Trebuchet MS" w:hAnsi="Trebuchet MS" w:cstheme="minorBidi"/>
          <w:sz w:val="22"/>
          <w:szCs w:val="22"/>
          <w:lang w:val="it-IT"/>
        </w:rPr>
        <w:t xml:space="preserve"> poate deteriora semnificativ starea corpurilor de apă și indirect poate avea efecte asupra stării de sănătate a populației. În conformitate cu prevederile directivelor europene în domeniul apelor, există 3 tipuri de substanțe chimice periculoase, și anume:</w:t>
      </w:r>
    </w:p>
    <w:p w:rsidR="000420D8" w:rsidRPr="00E62FDB" w:rsidRDefault="000420D8" w:rsidP="00693D46">
      <w:pPr>
        <w:numPr>
          <w:ilvl w:val="0"/>
          <w:numId w:val="59"/>
        </w:numPr>
        <w:ind w:left="284" w:hanging="284"/>
        <w:jc w:val="both"/>
        <w:rPr>
          <w:rFonts w:ascii="Trebuchet MS" w:hAnsi="Trebuchet MS" w:cstheme="minorBidi"/>
          <w:sz w:val="22"/>
          <w:szCs w:val="22"/>
          <w:lang w:val="it-IT"/>
        </w:rPr>
      </w:pPr>
      <w:r w:rsidRPr="00E62FDB">
        <w:rPr>
          <w:rFonts w:ascii="Trebuchet MS" w:hAnsi="Trebuchet MS" w:cstheme="minorBidi"/>
          <w:sz w:val="22"/>
          <w:szCs w:val="22"/>
          <w:lang w:val="it-IT"/>
        </w:rPr>
        <w:t>substanțe prioritare – poluanți sau grupe de poluanți care prezintă risc semnificativ asupra mediului acvatic, incluzând și apele utilizate pentru captarea apei potabile;</w:t>
      </w:r>
    </w:p>
    <w:p w:rsidR="000420D8" w:rsidRPr="00E62FDB" w:rsidRDefault="000420D8" w:rsidP="00693D46">
      <w:pPr>
        <w:numPr>
          <w:ilvl w:val="0"/>
          <w:numId w:val="59"/>
        </w:numPr>
        <w:ind w:left="284" w:hanging="284"/>
        <w:jc w:val="both"/>
        <w:rPr>
          <w:rFonts w:ascii="Trebuchet MS" w:hAnsi="Trebuchet MS" w:cstheme="minorBidi"/>
          <w:sz w:val="22"/>
          <w:szCs w:val="22"/>
          <w:lang w:val="it-IT"/>
        </w:rPr>
      </w:pPr>
      <w:r w:rsidRPr="00E62FDB">
        <w:rPr>
          <w:rFonts w:ascii="Trebuchet MS" w:hAnsi="Trebuchet MS" w:cstheme="minorBidi"/>
          <w:sz w:val="22"/>
          <w:szCs w:val="22"/>
          <w:lang w:val="it-IT"/>
        </w:rPr>
        <w:t>substanțe prioritare periculoase – poluanți sau grupe de poluanți care prezintă același risc ca și cele precedente și în plus sunt toxice, persistente și bioacumulabile;</w:t>
      </w:r>
    </w:p>
    <w:p w:rsidR="000420D8" w:rsidRPr="00E62FDB" w:rsidRDefault="000420D8" w:rsidP="00693D46">
      <w:pPr>
        <w:numPr>
          <w:ilvl w:val="0"/>
          <w:numId w:val="59"/>
        </w:numPr>
        <w:ind w:left="284" w:hanging="284"/>
        <w:jc w:val="both"/>
        <w:rPr>
          <w:rFonts w:ascii="Trebuchet MS" w:hAnsi="Trebuchet MS" w:cstheme="minorBidi"/>
          <w:sz w:val="22"/>
          <w:szCs w:val="22"/>
          <w:lang w:val="it-IT"/>
        </w:rPr>
      </w:pPr>
      <w:r w:rsidRPr="00E62FDB">
        <w:rPr>
          <w:rFonts w:ascii="Trebuchet MS" w:hAnsi="Trebuchet MS" w:cstheme="minorBidi"/>
          <w:sz w:val="22"/>
          <w:szCs w:val="22"/>
          <w:lang w:val="it-IT"/>
        </w:rPr>
        <w:t>poluanți specifici la nivel de bazin hidrografic - poluanți sau grupe de poluanți specifice unui anumit bazin hidrografic.</w:t>
      </w:r>
    </w:p>
    <w:p w:rsidR="000420D8" w:rsidRPr="00E62FDB" w:rsidRDefault="000420D8" w:rsidP="00693D46">
      <w:pPr>
        <w:ind w:firstLine="562"/>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 (Directiva 2013/39/CE), reducerea progresivă a poluării cauzate de substanțele prioritare și de poluanții specifici, cât și stoparea sau eliminarea emisiilor, descărcărilor și pierderilor de substanțe prioritare periculoase. </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 xml:space="preserve">În </w:t>
      </w:r>
      <w:r w:rsidRPr="00E62FDB">
        <w:rPr>
          <w:rFonts w:ascii="Trebuchet MS" w:hAnsi="Trebuchet MS" w:cstheme="minorBidi"/>
          <w:i/>
          <w:sz w:val="22"/>
          <w:szCs w:val="22"/>
          <w:lang w:val="it-IT"/>
        </w:rPr>
        <w:t>Figura II.2.3.9</w:t>
      </w:r>
      <w:r w:rsidRPr="00E62FDB">
        <w:rPr>
          <w:rFonts w:ascii="Trebuchet MS" w:hAnsi="Trebuchet MS" w:cstheme="minorBidi"/>
          <w:sz w:val="22"/>
          <w:szCs w:val="22"/>
          <w:lang w:val="it-IT"/>
        </w:rPr>
        <w:t xml:space="preserve"> este ilustrată evoluţia stării ecologice/potenţialului ecologic al corpurilor de apă cuprinse în proiectul celui de-al treilea Plan de Management, comparativ cu cel de-al doilea Plan de Management, pentru cele două cicluri de planificare aferente.</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Având în vedere rezultatele evaluării stării ecologice/potențialului ecologic și stării în cadrul Planului Național de Management actualizat, comparativ cu evaluarea din Planul Național de management actualizat anterior aprobat prin HG nr. 859/2016, se constată o ușoară scădere a numărului/procentului de corpuri în stare bună/potențial bun, respectiv la 65,72 % (Figura II.2.3.9). Diferența este necesar a fi interpretată în contextul în care s-a realizat intercalibrarea metodelor de evaluare ale elementelor biologice, precum și s-a completat și dezvoltat sistemul național de evaluare a stării apelor.</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Integrarea prevederilor Directivei Cadru Apă 2000/60/CE cu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privind Strategia Marină 2008/56 /EC. Acest fapt contribuie la elaborarea și completarea, strategiilor naționale și regionale, precum și la elaborarea Planurilor de management ale bazinelor/spațiilor hidrografice actualizate.</w:t>
      </w:r>
    </w:p>
    <w:p w:rsidR="000420D8" w:rsidRPr="00E62FDB" w:rsidRDefault="000420D8" w:rsidP="00693D46">
      <w:pPr>
        <w:ind w:firstLine="567"/>
        <w:jc w:val="both"/>
        <w:rPr>
          <w:rFonts w:ascii="Trebuchet MS" w:hAnsi="Trebuchet MS" w:cstheme="minorBidi"/>
          <w:sz w:val="22"/>
          <w:szCs w:val="22"/>
          <w:lang w:val="it-IT"/>
        </w:rPr>
      </w:pPr>
      <w:r w:rsidRPr="00E62FDB">
        <w:rPr>
          <w:rFonts w:ascii="Trebuchet MS" w:hAnsi="Trebuchet MS" w:cstheme="minorBidi"/>
          <w:sz w:val="22"/>
          <w:szCs w:val="22"/>
          <w:lang w:val="it-IT"/>
        </w:rPr>
        <w:t>În cadrul Planului Național de management actualizat s-au stabilit măsuri pentru fiecare categorie de probleme importante de gospodărirea apelor, pe baza progreselor înregistrate în implementarea măsurilor prevăzute în primul și al doilea Plan de management, a rezultatelor privind caracterizarea bazinelor/spaţiilor hidrografice, impactului activitățílor umane și analizei economice a utilizării apei, atât pentru apele de suprafață, cât și pentru cele subterane, având în vedere cele mai noi informații disponibile. Cel de-al treilea Plan de management actualizat include, în continuarea celui de-al doilea Plan de management actualizat, măsuri de bază și suplimentare care se implementează până în anul 2027 și sunt stabilite, dacă este cazul, și măsuri pentru planificarea după anul 2027, în vederea atingerii obiectivelor de mediu ale corpurilor de apă.</w:t>
      </w:r>
    </w:p>
    <w:p w:rsidR="000420D8" w:rsidRPr="00264B20" w:rsidRDefault="000420D8" w:rsidP="000420D8">
      <w:pPr>
        <w:spacing w:line="300" w:lineRule="auto"/>
        <w:jc w:val="center"/>
        <w:rPr>
          <w:rFonts w:ascii="Trebuchet MS" w:hAnsi="Trebuchet MS" w:cstheme="minorBidi"/>
          <w:lang w:val="it-IT"/>
        </w:rPr>
      </w:pPr>
      <w:r w:rsidRPr="00FB4D3E">
        <w:rPr>
          <w:rFonts w:ascii="Trebuchet MS" w:hAnsi="Trebuchet MS" w:cstheme="minorBidi"/>
          <w:noProof/>
          <w:lang w:val="en-US"/>
        </w:rPr>
        <w:drawing>
          <wp:inline distT="0" distB="0" distL="0" distR="0" wp14:anchorId="0911D937" wp14:editId="0CC6C244">
            <wp:extent cx="4744720" cy="344908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54845" cy="3456444"/>
                    </a:xfrm>
                    <a:prstGeom prst="rect">
                      <a:avLst/>
                    </a:prstGeom>
                    <a:noFill/>
                  </pic:spPr>
                </pic:pic>
              </a:graphicData>
            </a:graphic>
          </wp:inline>
        </w:drawing>
      </w:r>
    </w:p>
    <w:p w:rsidR="000420D8" w:rsidRPr="00A9271F" w:rsidRDefault="000420D8" w:rsidP="00693D46">
      <w:pPr>
        <w:jc w:val="both"/>
        <w:rPr>
          <w:rFonts w:ascii="Trebuchet MS" w:hAnsi="Trebuchet MS" w:cstheme="minorBidi"/>
          <w:sz w:val="22"/>
          <w:szCs w:val="22"/>
          <w:lang w:val="it-IT"/>
        </w:rPr>
      </w:pPr>
      <w:r w:rsidRPr="00A9271F">
        <w:rPr>
          <w:rFonts w:ascii="Trebuchet MS" w:hAnsi="Trebuchet MS" w:cstheme="minorBidi"/>
          <w:b/>
          <w:sz w:val="22"/>
          <w:szCs w:val="22"/>
          <w:lang w:val="it-IT"/>
        </w:rPr>
        <w:t xml:space="preserve">Figura II.2.3.9 </w:t>
      </w:r>
      <w:r w:rsidRPr="00A9271F">
        <w:rPr>
          <w:rFonts w:ascii="Trebuchet MS" w:hAnsi="Trebuchet MS" w:cstheme="minorBidi"/>
          <w:b/>
          <w:sz w:val="22"/>
          <w:szCs w:val="22"/>
        </w:rPr>
        <w:t>Evoluţia stării ecologice/potenţialului ecologic al corpurilor de apă de suprafaţă –al treilea Plan Național de Management actualizat  comparativ cu al doilea Planul Național de Management actualizat</w:t>
      </w:r>
    </w:p>
    <w:p w:rsidR="000420D8" w:rsidRPr="00FB4D3E" w:rsidRDefault="000420D8" w:rsidP="00693D46">
      <w:pPr>
        <w:rPr>
          <w:rFonts w:ascii="Trebuchet MS" w:hAnsi="Trebuchet MS" w:cstheme="minorBidi"/>
          <w:i/>
          <w:sz w:val="20"/>
          <w:szCs w:val="20"/>
        </w:rPr>
      </w:pPr>
      <w:r w:rsidRPr="00FB4D3E">
        <w:rPr>
          <w:rFonts w:ascii="Trebuchet MS" w:hAnsi="Trebuchet MS" w:cstheme="minorBidi"/>
          <w:i/>
          <w:sz w:val="20"/>
          <w:szCs w:val="20"/>
        </w:rPr>
        <w:t>(Sursa datelor: Administrația Națională „Apele Române”, Planul Național de Management actualizat)</w:t>
      </w:r>
    </w:p>
    <w:p w:rsidR="000420D8" w:rsidRPr="00264B20" w:rsidRDefault="000420D8" w:rsidP="00693D46">
      <w:pPr>
        <w:ind w:firstLine="720"/>
        <w:jc w:val="both"/>
        <w:rPr>
          <w:rFonts w:ascii="Trebuchet MS" w:hAnsi="Trebuchet MS" w:cstheme="minorBidi"/>
          <w:lang w:val="it-IT"/>
        </w:rPr>
      </w:pPr>
    </w:p>
    <w:p w:rsidR="000420D8" w:rsidRPr="00A9271F" w:rsidRDefault="000420D8" w:rsidP="00693D46">
      <w:pPr>
        <w:ind w:firstLine="720"/>
        <w:jc w:val="both"/>
        <w:rPr>
          <w:rFonts w:ascii="Trebuchet MS" w:hAnsi="Trebuchet MS" w:cstheme="minorBidi"/>
          <w:sz w:val="22"/>
          <w:szCs w:val="22"/>
        </w:rPr>
      </w:pPr>
      <w:r w:rsidRPr="00A9271F">
        <w:rPr>
          <w:rFonts w:ascii="Trebuchet MS" w:hAnsi="Trebuchet MS" w:cstheme="minorBidi"/>
          <w:sz w:val="22"/>
          <w:szCs w:val="22"/>
          <w:lang w:val="it-IT"/>
        </w:rPr>
        <w:t>Având în vedere actualizarea măsurilor planificate a se implementa în perioada 2016-2021, precum și evaluarea măsurilor deja implementate în perioada 2016-2018, s-au evaluat progresele înregistrate în ceea ce privește măsurile implementate. În cadrul Planului Național de management actualizat s-a realizat evaluarea progreselor înregistrate în implementarea programului de măsuri stabilit pentru al doilea ciclu de planificare (2016-2020).</w:t>
      </w:r>
      <w:r w:rsidRPr="00A9271F">
        <w:rPr>
          <w:rFonts w:ascii="Trebuchet MS" w:hAnsi="Trebuchet MS" w:cstheme="minorBidi"/>
          <w:sz w:val="22"/>
          <w:szCs w:val="22"/>
        </w:rPr>
        <w:t xml:space="preserve"> În scopul evaluării stadiului implementării programului de măsuri s-a avut în vederea realizarea măsurilor de bază și suplimentare prevăzute în anexele </w:t>
      </w:r>
      <w:r w:rsidRPr="00A9271F">
        <w:rPr>
          <w:rFonts w:ascii="Trebuchet MS" w:hAnsi="Trebuchet MS" w:cstheme="minorBidi"/>
          <w:i/>
          <w:sz w:val="22"/>
          <w:szCs w:val="22"/>
        </w:rPr>
        <w:t>Planului Național de Management</w:t>
      </w:r>
      <w:r w:rsidRPr="00A9271F">
        <w:rPr>
          <w:rFonts w:ascii="Trebuchet MS" w:hAnsi="Trebuchet MS" w:cstheme="minorBidi"/>
          <w:sz w:val="22"/>
          <w:szCs w:val="22"/>
        </w:rPr>
        <w:t xml:space="preserve"> actualizat </w:t>
      </w:r>
      <w:r w:rsidRPr="00A9271F">
        <w:rPr>
          <w:rFonts w:ascii="Trebuchet MS" w:hAnsi="Trebuchet MS" w:cstheme="minorBidi"/>
          <w:i/>
          <w:sz w:val="22"/>
          <w:szCs w:val="22"/>
        </w:rPr>
        <w:t xml:space="preserve">aprobat prin HG nr. 859/2016, </w:t>
      </w:r>
      <w:r w:rsidRPr="00A9271F">
        <w:rPr>
          <w:rFonts w:ascii="Trebuchet MS" w:hAnsi="Trebuchet MS" w:cstheme="minorBidi"/>
          <w:sz w:val="22"/>
          <w:szCs w:val="22"/>
        </w:rPr>
        <w:t>cu termene planificate de realizare a măsurilor în perioada 2016-2020. De asemenea, au fost luate în considerare și măsurile care erau planificate să se realizeze după anul 2021 și care au început să se implementeze în avans.</w:t>
      </w:r>
    </w:p>
    <w:p w:rsidR="000420D8" w:rsidRPr="00A9271F" w:rsidRDefault="000420D8" w:rsidP="00693D46">
      <w:pPr>
        <w:ind w:firstLine="734"/>
        <w:jc w:val="both"/>
        <w:rPr>
          <w:rFonts w:ascii="Trebuchet MS" w:hAnsi="Trebuchet MS" w:cstheme="minorBidi"/>
          <w:bCs/>
          <w:sz w:val="22"/>
          <w:szCs w:val="22"/>
        </w:rPr>
      </w:pPr>
      <w:r w:rsidRPr="00A9271F">
        <w:rPr>
          <w:rFonts w:ascii="Trebuchet MS" w:hAnsi="Trebuchet MS" w:cstheme="minorBidi"/>
          <w:bCs/>
          <w:sz w:val="22"/>
          <w:szCs w:val="22"/>
        </w:rPr>
        <w:t>Măsurile monitorizate se adresează tuturor presiunilor potențial semnificative pentru care se implementează măsuri de reducere a poluării, în vederea conservării sau atingerii obiectivelor de mediu ale corpurilor de apă. De asemenea, măsurile suplimentare se adresează în special activităților agricole și aglomerărilor umane, în vederea atingerii obiectivelor de mediu, acolo unde implementarea măsurile de bază nu este suficientă.</w:t>
      </w:r>
    </w:p>
    <w:p w:rsidR="000420D8" w:rsidRPr="00264B20" w:rsidRDefault="000420D8" w:rsidP="000420D8">
      <w:pPr>
        <w:spacing w:before="120" w:after="120" w:line="300" w:lineRule="auto"/>
        <w:ind w:left="180" w:hanging="180"/>
        <w:jc w:val="both"/>
        <w:rPr>
          <w:rFonts w:ascii="Trebuchet MS" w:hAnsi="Trebuchet MS" w:cstheme="minorBidi"/>
          <w:bCs/>
        </w:rPr>
      </w:pPr>
      <w:r w:rsidRPr="00264B20">
        <w:rPr>
          <w:rFonts w:ascii="Trebuchet MS" w:hAnsi="Trebuchet MS"/>
          <w:noProof/>
          <w:lang w:val="en-US"/>
        </w:rPr>
        <mc:AlternateContent>
          <mc:Choice Requires="wpg">
            <w:drawing>
              <wp:anchor distT="0" distB="0" distL="114300" distR="114300" simplePos="0" relativeHeight="251694592" behindDoc="0" locked="0" layoutInCell="1" allowOverlap="1" wp14:anchorId="40174F6B" wp14:editId="594E95DC">
                <wp:simplePos x="0" y="0"/>
                <wp:positionH relativeFrom="column">
                  <wp:posOffset>86360</wp:posOffset>
                </wp:positionH>
                <wp:positionV relativeFrom="paragraph">
                  <wp:posOffset>62230</wp:posOffset>
                </wp:positionV>
                <wp:extent cx="5856605" cy="1384935"/>
                <wp:effectExtent l="0" t="0" r="0" b="0"/>
                <wp:wrapNone/>
                <wp:docPr id="134927813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6605" cy="1384935"/>
                          <a:chOff x="1554" y="11287"/>
                          <a:chExt cx="10933" cy="2916"/>
                        </a:xfrm>
                      </wpg:grpSpPr>
                      <wps:wsp>
                        <wps:cNvPr id="1349278135" name="Text Box 1349278135"/>
                        <wps:cNvSpPr txBox="1">
                          <a:spLocks noChangeArrowheads="1"/>
                        </wps:cNvSpPr>
                        <wps:spPr bwMode="auto">
                          <a:xfrm>
                            <a:off x="1554" y="11325"/>
                            <a:ext cx="3485" cy="2760"/>
                          </a:xfrm>
                          <a:prstGeom prst="rect">
                            <a:avLst/>
                          </a:prstGeom>
                          <a:solidFill>
                            <a:srgbClr val="FFFFFF"/>
                          </a:solidFill>
                          <a:ln>
                            <a:noFill/>
                          </a:ln>
                        </wps:spPr>
                        <wps:txbx>
                          <w:txbxContent>
                            <w:p w:rsidR="00DD46ED" w:rsidRDefault="00DD46ED" w:rsidP="000420D8">
                              <w:r w:rsidRPr="00C72300">
                                <w:rPr>
                                  <w:noProof/>
                                  <w:lang w:val="en-US"/>
                                </w:rPr>
                                <w:drawing>
                                  <wp:inline distT="0" distB="0" distL="0" distR="0" wp14:anchorId="25090D8F" wp14:editId="6759F7CB">
                                    <wp:extent cx="2026920" cy="1638300"/>
                                    <wp:effectExtent l="0" t="0" r="0" b="0"/>
                                    <wp:docPr id="1148728171" name="Picture 114872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26920" cy="1638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349278136" name="Text Box 2"/>
                        <wps:cNvSpPr txBox="1">
                          <a:spLocks noChangeArrowheads="1"/>
                        </wps:cNvSpPr>
                        <wps:spPr bwMode="auto">
                          <a:xfrm>
                            <a:off x="5160" y="11287"/>
                            <a:ext cx="3541" cy="2814"/>
                          </a:xfrm>
                          <a:prstGeom prst="rect">
                            <a:avLst/>
                          </a:prstGeom>
                          <a:solidFill>
                            <a:srgbClr val="FFFFFF"/>
                          </a:solidFill>
                          <a:ln>
                            <a:noFill/>
                          </a:ln>
                        </wps:spPr>
                        <wps:txbx>
                          <w:txbxContent>
                            <w:p w:rsidR="00DD46ED" w:rsidRDefault="00DD46ED" w:rsidP="000420D8">
                              <w:r w:rsidRPr="00C72300">
                                <w:rPr>
                                  <w:noProof/>
                                  <w:lang w:val="en-US"/>
                                </w:rPr>
                                <w:drawing>
                                  <wp:inline distT="0" distB="0" distL="0" distR="0" wp14:anchorId="3E457737" wp14:editId="09FB50CD">
                                    <wp:extent cx="2065020" cy="1402080"/>
                                    <wp:effectExtent l="0" t="0" r="0" b="0"/>
                                    <wp:docPr id="1823210989" name="Picture 182321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65020" cy="14020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349278137" name="Text Box 2"/>
                        <wps:cNvSpPr txBox="1">
                          <a:spLocks noChangeArrowheads="1"/>
                        </wps:cNvSpPr>
                        <wps:spPr bwMode="auto">
                          <a:xfrm>
                            <a:off x="8822" y="11287"/>
                            <a:ext cx="3665" cy="2916"/>
                          </a:xfrm>
                          <a:prstGeom prst="rect">
                            <a:avLst/>
                          </a:prstGeom>
                          <a:solidFill>
                            <a:srgbClr val="FFFFFF"/>
                          </a:solidFill>
                          <a:ln>
                            <a:noFill/>
                          </a:ln>
                        </wps:spPr>
                        <wps:txbx>
                          <w:txbxContent>
                            <w:p w:rsidR="00DD46ED" w:rsidRDefault="00DD46ED" w:rsidP="000420D8">
                              <w:r w:rsidRPr="00BE477E">
                                <w:rPr>
                                  <w:noProof/>
                                  <w:lang w:val="en-US"/>
                                </w:rPr>
                                <w:drawing>
                                  <wp:inline distT="0" distB="0" distL="0" distR="0" wp14:anchorId="22D3743B" wp14:editId="251EB342">
                                    <wp:extent cx="2141220" cy="1287780"/>
                                    <wp:effectExtent l="0" t="0" r="0" b="0"/>
                                    <wp:docPr id="708753856"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41220" cy="12877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8" style="position:absolute;left:0;text-align:left;margin-left:6.8pt;margin-top:4.9pt;width:461.15pt;height:109.05pt;z-index:251694592" coordorigin="1554,11287" coordsize="10933,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">
                <v:shape id="Text Box 1349278135" o:spid="_x0000_s1029" type="#_x0000_t202" style="position:absolute;left:1554;top:11325;width:3485;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UHUcUA&#10;AADjAAAADwAAAGRycy9kb3ducmV2LnhtbERPzYrCMBC+C75DGMGLrKm/1a5RVFjxqusDjM3Ylm0m&#10;pYm2vr1ZEDzO9z+rTWtK8aDaFZYVjIYRCOLU6oIzBZffn68FCOeRNZaWScGTHGzW3c4KE20bPtHj&#10;7DMRQtglqCD3vkqkdGlOBt3QVsSBu9naoA9nnUldYxPCTSnHUTSXBgsODTlWtM8p/TvfjYLbsRnM&#10;ls314C/xaTrfYRFf7VOpfq/dfoPw1PqP+O0+6jB/Ml2O48VoMoP/nwIA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dRxQAAAOMAAAAPAAAAAAAAAAAAAAAAAJgCAABkcnMv&#10;ZG93bnJldi54bWxQSwUGAAAAAAQABAD1AAAAigMAAAAA&#10;" stroked="f">
                  <v:textbox>
                    <w:txbxContent>
                      <w:p w:rsidR="00DD46ED" w:rsidRDefault="00DD46ED" w:rsidP="000420D8">
                        <w:r w:rsidRPr="00C72300">
                          <w:rPr>
                            <w:noProof/>
                            <w:lang w:val="en-US"/>
                          </w:rPr>
                          <w:drawing>
                            <wp:inline distT="0" distB="0" distL="0" distR="0" wp14:anchorId="14BCCCFA" wp14:editId="2A104001">
                              <wp:extent cx="2026920" cy="1638300"/>
                              <wp:effectExtent l="0" t="0" r="0" b="0"/>
                              <wp:docPr id="1148728171" name="Picture 114872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26920" cy="1638300"/>
                                      </a:xfrm>
                                      <a:prstGeom prst="rect">
                                        <a:avLst/>
                                      </a:prstGeom>
                                      <a:noFill/>
                                      <a:ln>
                                        <a:noFill/>
                                      </a:ln>
                                    </pic:spPr>
                                  </pic:pic>
                                </a:graphicData>
                              </a:graphic>
                            </wp:inline>
                          </w:drawing>
                        </w:r>
                      </w:p>
                    </w:txbxContent>
                  </v:textbox>
                </v:shape>
                <v:shape id="Text Box 2" o:spid="_x0000_s1030" type="#_x0000_t202" style="position:absolute;left:5160;top:11287;width:3541;height:2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eZJsYA&#10;AADjAAAADwAAAGRycy9kb3ducmV2LnhtbERP24rCMBB9F/Yfwiz4Ipp6a7UaZRV28dXLB4zN2Bab&#10;SWmytv69WVjwcc591tvOVOJBjSstKxiPIhDEmdUl5wou5+/hAoTzyBory6TgSQ62m4/eGlNtWz7S&#10;4+RzEULYpaig8L5OpXRZQQbdyNbEgbvZxqAPZ5NL3WAbwk0lJ1EUS4Mlh4YCa9oXlN1Pv0bB7dAO&#10;5sv2+uMvyXEW77BMrvapVP+z+1qB8NT5t/jffdBh/nS2nCSL8TSGv58CAH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eZJsYAAADjAAAADwAAAAAAAAAAAAAAAACYAgAAZHJz&#10;L2Rvd25yZXYueG1sUEsFBgAAAAAEAAQA9QAAAIsDAAAAAA==&#10;" stroked="f">
                  <v:textbox>
                    <w:txbxContent>
                      <w:p w:rsidR="00DD46ED" w:rsidRDefault="00DD46ED" w:rsidP="000420D8">
                        <w:r w:rsidRPr="00C72300">
                          <w:rPr>
                            <w:noProof/>
                            <w:lang w:val="en-US"/>
                          </w:rPr>
                          <w:drawing>
                            <wp:inline distT="0" distB="0" distL="0" distR="0" wp14:anchorId="22424AF4" wp14:editId="6442328D">
                              <wp:extent cx="2065020" cy="1402080"/>
                              <wp:effectExtent l="0" t="0" r="0" b="0"/>
                              <wp:docPr id="1823210989" name="Picture 182321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65020" cy="1402080"/>
                                      </a:xfrm>
                                      <a:prstGeom prst="rect">
                                        <a:avLst/>
                                      </a:prstGeom>
                                      <a:noFill/>
                                      <a:ln>
                                        <a:noFill/>
                                      </a:ln>
                                    </pic:spPr>
                                  </pic:pic>
                                </a:graphicData>
                              </a:graphic>
                            </wp:inline>
                          </w:drawing>
                        </w:r>
                      </w:p>
                    </w:txbxContent>
                  </v:textbox>
                </v:shape>
                <v:shape id="Text Box 2" o:spid="_x0000_s1031" type="#_x0000_t202" style="position:absolute;left:8822;top:11287;width:3665;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8vcUA&#10;AADjAAAADwAAAGRycy9kb3ducmV2LnhtbERP24rCMBB9F/Yfwizsi2jqtVqN4gorvnr5gLEZ22Iz&#10;KU209e/NguDjnPss160pxYNqV1hWMOhHIIhTqwvOFJxPf70ZCOeRNZaWScGTHKxXX50lJto2fKDH&#10;0WcihLBLUEHufZVI6dKcDLq+rYgDd7W1QR/OOpO6xiaEm1IOo2gqDRYcGnKsaJtTejvejYLrvulO&#10;5s1l58/xYTz9xSK+2KdSP9/tZgHCU+s/4rd7r8P80Xg+jGeDUQz/PwUA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zy9xQAAAOMAAAAPAAAAAAAAAAAAAAAAAJgCAABkcnMv&#10;ZG93bnJldi54bWxQSwUGAAAAAAQABAD1AAAAigMAAAAA&#10;" stroked="f">
                  <v:textbox>
                    <w:txbxContent>
                      <w:p w:rsidR="00DD46ED" w:rsidRDefault="00DD46ED" w:rsidP="000420D8">
                        <w:r w:rsidRPr="00BE477E">
                          <w:rPr>
                            <w:noProof/>
                            <w:lang w:val="en-US"/>
                          </w:rPr>
                          <w:drawing>
                            <wp:inline distT="0" distB="0" distL="0" distR="0" wp14:anchorId="6BF34A47" wp14:editId="6F756BD8">
                              <wp:extent cx="2141220" cy="1287780"/>
                              <wp:effectExtent l="0" t="0" r="0" b="0"/>
                              <wp:docPr id="708753856"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41220" cy="1287780"/>
                                      </a:xfrm>
                                      <a:prstGeom prst="rect">
                                        <a:avLst/>
                                      </a:prstGeom>
                                      <a:noFill/>
                                      <a:ln>
                                        <a:noFill/>
                                      </a:ln>
                                    </pic:spPr>
                                  </pic:pic>
                                </a:graphicData>
                              </a:graphic>
                            </wp:inline>
                          </w:drawing>
                        </w:r>
                      </w:p>
                    </w:txbxContent>
                  </v:textbox>
                </v:shape>
              </v:group>
            </w:pict>
          </mc:Fallback>
        </mc:AlternateContent>
      </w:r>
    </w:p>
    <w:p w:rsidR="000420D8" w:rsidRPr="00264B20" w:rsidRDefault="000420D8" w:rsidP="000420D8">
      <w:pPr>
        <w:spacing w:before="120" w:after="120" w:line="300" w:lineRule="auto"/>
        <w:ind w:left="180" w:hanging="180"/>
        <w:jc w:val="both"/>
        <w:rPr>
          <w:rFonts w:ascii="Trebuchet MS" w:hAnsi="Trebuchet MS" w:cstheme="minorBidi"/>
          <w:bCs/>
        </w:rPr>
      </w:pPr>
    </w:p>
    <w:p w:rsidR="000420D8" w:rsidRPr="00264B20" w:rsidRDefault="000420D8" w:rsidP="000420D8">
      <w:pPr>
        <w:spacing w:before="120" w:after="120" w:line="300" w:lineRule="auto"/>
        <w:ind w:left="180" w:hanging="180"/>
        <w:jc w:val="both"/>
        <w:rPr>
          <w:rFonts w:ascii="Trebuchet MS" w:hAnsi="Trebuchet MS" w:cstheme="minorBidi"/>
          <w:bCs/>
        </w:rPr>
      </w:pPr>
    </w:p>
    <w:p w:rsidR="000420D8" w:rsidRPr="00264B20" w:rsidRDefault="000420D8" w:rsidP="000420D8">
      <w:pPr>
        <w:spacing w:before="120" w:after="120" w:line="300" w:lineRule="auto"/>
        <w:ind w:left="180" w:hanging="180"/>
        <w:jc w:val="both"/>
        <w:rPr>
          <w:rFonts w:ascii="Trebuchet MS" w:hAnsi="Trebuchet MS" w:cstheme="minorBidi"/>
          <w:bCs/>
        </w:rPr>
      </w:pPr>
    </w:p>
    <w:p w:rsidR="000420D8" w:rsidRPr="00264B20" w:rsidRDefault="000420D8" w:rsidP="000420D8">
      <w:pPr>
        <w:spacing w:before="120" w:after="120" w:line="300" w:lineRule="auto"/>
        <w:ind w:left="180" w:hanging="180"/>
        <w:jc w:val="both"/>
        <w:rPr>
          <w:rFonts w:ascii="Trebuchet MS" w:hAnsi="Trebuchet MS" w:cstheme="minorBidi"/>
          <w:bCs/>
        </w:rPr>
      </w:pPr>
    </w:p>
    <w:p w:rsidR="000420D8" w:rsidRPr="00A9271F" w:rsidRDefault="000420D8" w:rsidP="00693D46">
      <w:pPr>
        <w:ind w:firstLine="720"/>
        <w:jc w:val="both"/>
        <w:rPr>
          <w:rFonts w:ascii="Trebuchet MS" w:hAnsi="Trebuchet MS" w:cstheme="minorBidi"/>
          <w:sz w:val="22"/>
          <w:szCs w:val="22"/>
        </w:rPr>
      </w:pPr>
      <w:r w:rsidRPr="00A9271F">
        <w:rPr>
          <w:rFonts w:ascii="Trebuchet MS" w:hAnsi="Trebuchet MS" w:cstheme="minorBidi"/>
          <w:sz w:val="22"/>
          <w:szCs w:val="22"/>
        </w:rPr>
        <w:t xml:space="preserve">Până la sfârșitul anului 2021, la nivel național s-au realizat măsuri de bază și suplimentare din cadrul programului de măsuri al primului ciclu de planificare, care, din punct de vedere financiar, se situează la valoarea </w:t>
      </w:r>
      <w:r w:rsidRPr="00A9271F">
        <w:rPr>
          <w:rFonts w:ascii="Trebuchet MS" w:hAnsi="Trebuchet MS" w:cstheme="minorBidi"/>
          <w:b/>
          <w:sz w:val="22"/>
          <w:szCs w:val="22"/>
        </w:rPr>
        <w:t>cheltuielilor de investiții și alte costuri de circa 7.884  milioane Euro</w:t>
      </w:r>
      <w:r w:rsidRPr="00A9271F">
        <w:rPr>
          <w:rFonts w:ascii="Trebuchet MS" w:hAnsi="Trebuchet MS" w:cstheme="minorBidi"/>
          <w:sz w:val="22"/>
          <w:szCs w:val="22"/>
        </w:rPr>
        <w:t xml:space="preserve">, ceea ce reprezintă cca. </w:t>
      </w:r>
      <w:r w:rsidRPr="00A9271F">
        <w:rPr>
          <w:rFonts w:ascii="Trebuchet MS" w:hAnsi="Trebuchet MS" w:cstheme="minorBidi"/>
          <w:bCs/>
          <w:sz w:val="22"/>
          <w:szCs w:val="22"/>
        </w:rPr>
        <w:t>55% din totalul planificat pentru perioada 2016-2021.</w:t>
      </w:r>
      <w:r w:rsidRPr="00A9271F">
        <w:rPr>
          <w:rFonts w:ascii="Trebuchet MS" w:hAnsi="Trebuchet MS" w:cstheme="minorBidi"/>
          <w:sz w:val="22"/>
          <w:szCs w:val="22"/>
        </w:rPr>
        <w:t xml:space="preserve"> De asemenea, au fost realizate </w:t>
      </w:r>
      <w:r w:rsidRPr="00A9271F">
        <w:rPr>
          <w:rFonts w:ascii="Trebuchet MS" w:hAnsi="Trebuchet MS" w:cstheme="minorBidi"/>
          <w:b/>
          <w:bCs/>
          <w:sz w:val="22"/>
          <w:szCs w:val="22"/>
        </w:rPr>
        <w:t>costuri de operare – întreținere anuale în valoare de 438,6 milioane Euro</w:t>
      </w:r>
      <w:r w:rsidRPr="00A9271F">
        <w:rPr>
          <w:rFonts w:ascii="Trebuchet MS" w:hAnsi="Trebuchet MS" w:cstheme="minorBidi"/>
          <w:sz w:val="22"/>
          <w:szCs w:val="22"/>
        </w:rPr>
        <w:t>, suportate de către utilizatorii de apă care au implementat măsuri.</w:t>
      </w:r>
    </w:p>
    <w:p w:rsidR="000420D8" w:rsidRPr="00A9271F" w:rsidRDefault="000420D8" w:rsidP="00693D46">
      <w:pPr>
        <w:ind w:firstLine="720"/>
        <w:jc w:val="both"/>
        <w:rPr>
          <w:rFonts w:ascii="Trebuchet MS" w:hAnsi="Trebuchet MS" w:cstheme="minorBidi"/>
          <w:sz w:val="22"/>
          <w:szCs w:val="22"/>
          <w:lang w:val="pt-PT"/>
        </w:rPr>
      </w:pPr>
      <w:r w:rsidRPr="00A9271F">
        <w:rPr>
          <w:rFonts w:ascii="Trebuchet MS" w:hAnsi="Trebuchet MS" w:cstheme="minorBidi"/>
          <w:sz w:val="22"/>
          <w:szCs w:val="22"/>
          <w:lang w:val="pt-PT"/>
        </w:rPr>
        <w:t>Asigurarea finanţării măsurilor aferente întregului program de măsuri pentru perioada 2016-2020 s-a realizat în principal din:</w:t>
      </w:r>
    </w:p>
    <w:p w:rsidR="000420D8" w:rsidRPr="00A9271F" w:rsidRDefault="000420D8" w:rsidP="00693D46">
      <w:pPr>
        <w:numPr>
          <w:ilvl w:val="0"/>
          <w:numId w:val="72"/>
        </w:numPr>
        <w:ind w:left="993" w:hanging="284"/>
        <w:jc w:val="both"/>
        <w:rPr>
          <w:rFonts w:ascii="Trebuchet MS" w:hAnsi="Trebuchet MS" w:cstheme="minorBidi"/>
          <w:sz w:val="22"/>
          <w:szCs w:val="22"/>
          <w:lang w:val="pt-PT"/>
        </w:rPr>
      </w:pPr>
      <w:r w:rsidRPr="00A9271F">
        <w:rPr>
          <w:rFonts w:ascii="Trebuchet MS" w:hAnsi="Trebuchet MS" w:cstheme="minorBidi"/>
          <w:sz w:val="22"/>
          <w:szCs w:val="22"/>
          <w:lang w:val="pt-PT"/>
        </w:rPr>
        <w:t>68,39 % fonduri europene - Fonduri de Coeziune, Fondul Agricol European de Dezvoltare Rurală (FEADR), Fonduri Europene de Dezvoltare Regională (FEDR), Fondul European pentru Pescuit (FEP), Fonduri LIFE,  alte fonduri;</w:t>
      </w:r>
    </w:p>
    <w:p w:rsidR="000420D8" w:rsidRPr="00A9271F" w:rsidRDefault="000420D8" w:rsidP="00693D46">
      <w:pPr>
        <w:numPr>
          <w:ilvl w:val="0"/>
          <w:numId w:val="72"/>
        </w:numPr>
        <w:ind w:left="993" w:hanging="284"/>
        <w:jc w:val="both"/>
        <w:rPr>
          <w:rFonts w:ascii="Trebuchet MS" w:hAnsi="Trebuchet MS" w:cstheme="minorBidi"/>
          <w:sz w:val="22"/>
          <w:szCs w:val="22"/>
          <w:lang w:val="pt-PT"/>
        </w:rPr>
      </w:pPr>
      <w:r w:rsidRPr="00A9271F">
        <w:rPr>
          <w:rFonts w:ascii="Trebuchet MS" w:hAnsi="Trebuchet MS" w:cstheme="minorBidi"/>
          <w:sz w:val="22"/>
          <w:szCs w:val="22"/>
          <w:lang w:val="pt-PT"/>
        </w:rPr>
        <w:t>18,06 % fonduri naționale guvernamentale şi locale (buget stat, local, redevențe din contribuții etc.);</w:t>
      </w:r>
    </w:p>
    <w:p w:rsidR="000420D8" w:rsidRPr="00A9271F" w:rsidRDefault="000420D8" w:rsidP="00693D46">
      <w:pPr>
        <w:numPr>
          <w:ilvl w:val="0"/>
          <w:numId w:val="72"/>
        </w:numPr>
        <w:ind w:left="993" w:hanging="284"/>
        <w:jc w:val="both"/>
        <w:rPr>
          <w:rFonts w:ascii="Trebuchet MS" w:hAnsi="Trebuchet MS" w:cstheme="minorBidi"/>
          <w:sz w:val="22"/>
          <w:szCs w:val="22"/>
          <w:lang w:val="pt-PT"/>
        </w:rPr>
      </w:pPr>
      <w:r w:rsidRPr="00A9271F">
        <w:rPr>
          <w:rFonts w:ascii="Trebuchet MS" w:hAnsi="Trebuchet MS" w:cstheme="minorBidi"/>
          <w:sz w:val="22"/>
          <w:szCs w:val="22"/>
          <w:lang w:val="pt-PT"/>
        </w:rPr>
        <w:t>7,88 % surse proprii ale agentului economic;</w:t>
      </w:r>
    </w:p>
    <w:p w:rsidR="000420D8" w:rsidRPr="00A9271F" w:rsidRDefault="000420D8" w:rsidP="00693D46">
      <w:pPr>
        <w:numPr>
          <w:ilvl w:val="0"/>
          <w:numId w:val="72"/>
        </w:numPr>
        <w:ind w:left="993" w:hanging="284"/>
        <w:jc w:val="both"/>
        <w:rPr>
          <w:rFonts w:ascii="Trebuchet MS" w:hAnsi="Trebuchet MS" w:cstheme="minorBidi"/>
          <w:sz w:val="22"/>
          <w:szCs w:val="22"/>
          <w:lang w:val="pt-PT"/>
        </w:rPr>
      </w:pPr>
      <w:r w:rsidRPr="00A9271F">
        <w:rPr>
          <w:rFonts w:ascii="Trebuchet MS" w:hAnsi="Trebuchet MS" w:cstheme="minorBidi"/>
          <w:sz w:val="22"/>
          <w:szCs w:val="22"/>
          <w:lang w:val="pt-PT"/>
        </w:rPr>
        <w:t>0,04 % parteneriat Public-Privat;</w:t>
      </w:r>
    </w:p>
    <w:p w:rsidR="000420D8" w:rsidRPr="00A9271F" w:rsidRDefault="000420D8" w:rsidP="00693D46">
      <w:pPr>
        <w:numPr>
          <w:ilvl w:val="0"/>
          <w:numId w:val="72"/>
        </w:numPr>
        <w:ind w:left="993" w:hanging="284"/>
        <w:jc w:val="both"/>
        <w:rPr>
          <w:rFonts w:ascii="Trebuchet MS" w:hAnsi="Trebuchet MS" w:cstheme="minorBidi"/>
          <w:sz w:val="22"/>
          <w:szCs w:val="22"/>
          <w:lang w:val="pt-PT"/>
        </w:rPr>
      </w:pPr>
      <w:r w:rsidRPr="00A9271F">
        <w:rPr>
          <w:rFonts w:ascii="Trebuchet MS" w:hAnsi="Trebuchet MS" w:cstheme="minorBidi"/>
          <w:sz w:val="22"/>
          <w:szCs w:val="22"/>
          <w:lang w:val="pt-PT"/>
        </w:rPr>
        <w:t>5,07 % surse ale ANAR;</w:t>
      </w:r>
    </w:p>
    <w:p w:rsidR="000420D8" w:rsidRPr="00A9271F" w:rsidRDefault="000420D8" w:rsidP="00693D46">
      <w:pPr>
        <w:numPr>
          <w:ilvl w:val="0"/>
          <w:numId w:val="72"/>
        </w:numPr>
        <w:ind w:left="993" w:hanging="284"/>
        <w:jc w:val="both"/>
        <w:rPr>
          <w:rFonts w:ascii="Trebuchet MS" w:hAnsi="Trebuchet MS" w:cstheme="minorBidi"/>
          <w:sz w:val="22"/>
          <w:szCs w:val="22"/>
          <w:lang w:val="pt-PT"/>
        </w:rPr>
      </w:pPr>
      <w:r w:rsidRPr="00A9271F">
        <w:rPr>
          <w:rFonts w:ascii="Trebuchet MS" w:hAnsi="Trebuchet MS" w:cstheme="minorBidi"/>
          <w:sz w:val="22"/>
          <w:szCs w:val="22"/>
          <w:lang w:val="pt-PT"/>
        </w:rPr>
        <w:t>0,57 % alte surse.</w:t>
      </w:r>
    </w:p>
    <w:p w:rsidR="000420D8" w:rsidRPr="00A9271F" w:rsidRDefault="000420D8" w:rsidP="00693D46">
      <w:pPr>
        <w:ind w:firstLine="720"/>
        <w:jc w:val="both"/>
        <w:rPr>
          <w:rFonts w:ascii="Trebuchet MS" w:hAnsi="Trebuchet MS" w:cstheme="minorBidi"/>
          <w:sz w:val="22"/>
          <w:szCs w:val="22"/>
          <w:lang w:val="pt-PT"/>
        </w:rPr>
      </w:pPr>
      <w:r w:rsidRPr="00A9271F">
        <w:rPr>
          <w:rFonts w:ascii="Trebuchet MS" w:hAnsi="Trebuchet MS" w:cstheme="minorBidi"/>
          <w:sz w:val="22"/>
          <w:szCs w:val="22"/>
          <w:lang w:val="pt-PT"/>
        </w:rPr>
        <w:t>În ceea ce privește situația realizării programului de măsuri la sfârșitul anului 2021 (Figura II.2.3.10), comparativ cu cea planificată în Planurile de management actualizate ale bazinelor /spațiilor hidrografice, se observă că cele mai multe costuri revin implementării măsurilor de bază şi suplimentare pentru aglomerările umane (apă potabilă, apă uzată, nămoluri de la stații de epurare) și activitățile agro-zootehnice și industriale, precum și a altor măsuri de bază referitoare la reglementarea/autorizarea, controlul și monitorizarea surselor semnificative de poluare, precum și cele aferente alterărilor hidromorfologice.</w:t>
      </w:r>
    </w:p>
    <w:p w:rsidR="000420D8" w:rsidRPr="00A9271F" w:rsidRDefault="000420D8" w:rsidP="00693D46">
      <w:pPr>
        <w:jc w:val="center"/>
        <w:rPr>
          <w:rFonts w:ascii="Trebuchet MS" w:hAnsi="Trebuchet MS" w:cstheme="minorBidi"/>
          <w:b/>
          <w:bCs/>
          <w:i/>
          <w:iCs/>
          <w:sz w:val="22"/>
          <w:szCs w:val="22"/>
        </w:rPr>
      </w:pPr>
    </w:p>
    <w:p w:rsidR="000420D8" w:rsidRPr="00A9271F" w:rsidRDefault="000420D8" w:rsidP="00693D46">
      <w:pPr>
        <w:jc w:val="center"/>
        <w:rPr>
          <w:rFonts w:ascii="Trebuchet MS" w:hAnsi="Trebuchet MS" w:cstheme="minorBidi"/>
          <w:b/>
          <w:bCs/>
          <w:i/>
          <w:iCs/>
          <w:sz w:val="22"/>
          <w:szCs w:val="22"/>
        </w:rPr>
      </w:pPr>
    </w:p>
    <w:p w:rsidR="000420D8" w:rsidRPr="00264B20" w:rsidRDefault="000420D8" w:rsidP="000420D8">
      <w:pPr>
        <w:spacing w:line="300" w:lineRule="auto"/>
        <w:jc w:val="center"/>
        <w:rPr>
          <w:rFonts w:ascii="Trebuchet MS" w:hAnsi="Trebuchet MS" w:cstheme="minorBidi"/>
          <w:lang w:val="fr-BE"/>
        </w:rPr>
      </w:pPr>
      <w:r w:rsidRPr="00264B20">
        <w:rPr>
          <w:rFonts w:ascii="Trebuchet MS" w:hAnsi="Trebuchet MS" w:cstheme="minorBidi"/>
          <w:noProof/>
          <w:lang w:val="en-US"/>
        </w:rPr>
        <w:drawing>
          <wp:inline distT="0" distB="0" distL="0" distR="0" wp14:anchorId="36D7F888" wp14:editId="16664A8E">
            <wp:extent cx="5364480" cy="2819142"/>
            <wp:effectExtent l="0" t="0" r="762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72171" cy="2823184"/>
                    </a:xfrm>
                    <a:prstGeom prst="rect">
                      <a:avLst/>
                    </a:prstGeom>
                    <a:noFill/>
                  </pic:spPr>
                </pic:pic>
              </a:graphicData>
            </a:graphic>
          </wp:inline>
        </w:drawing>
      </w:r>
    </w:p>
    <w:p w:rsidR="000420D8" w:rsidRPr="00264B20" w:rsidRDefault="000420D8" w:rsidP="00693D46">
      <w:pPr>
        <w:spacing w:line="300" w:lineRule="auto"/>
        <w:jc w:val="both"/>
        <w:rPr>
          <w:rFonts w:ascii="Trebuchet MS" w:hAnsi="Trebuchet MS" w:cstheme="minorBidi"/>
          <w:b/>
          <w:bCs/>
          <w:i/>
          <w:iCs/>
        </w:rPr>
      </w:pPr>
      <w:r w:rsidRPr="00264B20">
        <w:rPr>
          <w:rFonts w:ascii="Trebuchet MS" w:hAnsi="Trebuchet MS" w:cstheme="minorBidi"/>
          <w:b/>
          <w:i/>
        </w:rPr>
        <w:t xml:space="preserve">Figura II.2.3.10 </w:t>
      </w:r>
      <w:r w:rsidRPr="00264B20">
        <w:rPr>
          <w:rFonts w:ascii="Trebuchet MS" w:hAnsi="Trebuchet MS" w:cstheme="minorBidi"/>
          <w:b/>
          <w:bCs/>
          <w:i/>
          <w:iCs/>
        </w:rPr>
        <w:t>Progrese înregistrate la nivel național în implementarea Programului de măsuri 2016-2021</w:t>
      </w:r>
    </w:p>
    <w:p w:rsidR="000420D8" w:rsidRPr="00FB4D3E" w:rsidRDefault="000420D8" w:rsidP="000420D8">
      <w:pPr>
        <w:spacing w:line="300" w:lineRule="auto"/>
        <w:jc w:val="center"/>
        <w:rPr>
          <w:rFonts w:ascii="Trebuchet MS" w:hAnsi="Trebuchet MS" w:cstheme="minorBidi"/>
          <w:i/>
          <w:sz w:val="20"/>
          <w:szCs w:val="20"/>
        </w:rPr>
      </w:pPr>
      <w:r w:rsidRPr="00FB4D3E">
        <w:rPr>
          <w:rFonts w:ascii="Trebuchet MS" w:hAnsi="Trebuchet MS" w:cstheme="minorBidi"/>
          <w:i/>
          <w:sz w:val="20"/>
          <w:szCs w:val="20"/>
        </w:rPr>
        <w:t>(Sursa datelor: Administrația Națională „Apele Române”, Planul Național de Management actualizat)</w:t>
      </w:r>
    </w:p>
    <w:p w:rsidR="000420D8" w:rsidRDefault="000420D8" w:rsidP="000420D8">
      <w:pPr>
        <w:spacing w:before="120" w:after="120" w:line="300" w:lineRule="auto"/>
        <w:ind w:firstLine="720"/>
        <w:jc w:val="both"/>
        <w:rPr>
          <w:rFonts w:ascii="Trebuchet MS" w:hAnsi="Trebuchet MS" w:cstheme="minorBidi"/>
        </w:rPr>
      </w:pPr>
    </w:p>
    <w:p w:rsidR="000420D8" w:rsidRPr="00A9271F" w:rsidRDefault="000420D8" w:rsidP="00693D46">
      <w:pPr>
        <w:ind w:firstLine="720"/>
        <w:jc w:val="both"/>
        <w:rPr>
          <w:rFonts w:ascii="Trebuchet MS" w:hAnsi="Trebuchet MS" w:cstheme="minorBidi"/>
          <w:sz w:val="22"/>
          <w:szCs w:val="22"/>
        </w:rPr>
      </w:pPr>
      <w:r w:rsidRPr="00A9271F">
        <w:rPr>
          <w:rFonts w:ascii="Trebuchet MS" w:hAnsi="Trebuchet MS" w:cstheme="minorBidi"/>
          <w:sz w:val="22"/>
          <w:szCs w:val="22"/>
        </w:rPr>
        <w:t>De asemenea, o serie de măsuri suplimentare planificate au fost realizate până în 2020 sau sunt în curs de implementare până la sfârșitul anului 2021, și anume:</w:t>
      </w:r>
    </w:p>
    <w:p w:rsidR="000420D8" w:rsidRPr="00A9271F" w:rsidRDefault="000420D8" w:rsidP="00693D46">
      <w:pPr>
        <w:numPr>
          <w:ilvl w:val="0"/>
          <w:numId w:val="68"/>
        </w:numPr>
        <w:tabs>
          <w:tab w:val="left" w:pos="993"/>
        </w:tabs>
        <w:ind w:left="0" w:firstLine="709"/>
        <w:jc w:val="both"/>
        <w:rPr>
          <w:rFonts w:ascii="Trebuchet MS" w:hAnsi="Trebuchet MS" w:cstheme="minorBidi"/>
          <w:sz w:val="22"/>
          <w:szCs w:val="22"/>
        </w:rPr>
      </w:pPr>
      <w:r w:rsidRPr="00A9271F">
        <w:rPr>
          <w:rFonts w:ascii="Trebuchet MS" w:hAnsi="Trebuchet MS" w:cstheme="minorBidi"/>
          <w:sz w:val="22"/>
          <w:szCs w:val="22"/>
        </w:rPr>
        <w:t>măsuri constructive și tehnice aplicate aglomerărilor umane, unităților industriale și activităților agricole; de exemplu: asigurarea unor limite ale concentrațiilor de poluanți mai stringente decât cele prevăzute în legislația în vigoare, construirea platformelor comunale de depozitare și gospodărire a gunoiului de grajd sau aplicarea de măsuri peste cerințele directivelor europene în domeniul apelor (construirea de sisteme centralizate de colectare și epurare a apelor uzate în aglomerări umane mai mici de 2000 l.e.);</w:t>
      </w:r>
    </w:p>
    <w:p w:rsidR="000420D8" w:rsidRPr="00A9271F" w:rsidRDefault="000420D8" w:rsidP="00693D46">
      <w:pPr>
        <w:numPr>
          <w:ilvl w:val="0"/>
          <w:numId w:val="68"/>
        </w:numPr>
        <w:tabs>
          <w:tab w:val="left" w:pos="993"/>
        </w:tabs>
        <w:ind w:left="0" w:firstLine="709"/>
        <w:jc w:val="both"/>
        <w:rPr>
          <w:rFonts w:ascii="Trebuchet MS" w:hAnsi="Trebuchet MS" w:cstheme="minorBidi"/>
          <w:sz w:val="22"/>
          <w:szCs w:val="22"/>
        </w:rPr>
      </w:pPr>
      <w:r w:rsidRPr="00A9271F">
        <w:rPr>
          <w:rFonts w:ascii="Trebuchet MS" w:hAnsi="Trebuchet MS" w:cstheme="minorBidi"/>
          <w:sz w:val="22"/>
          <w:szCs w:val="22"/>
        </w:rPr>
        <w:t>măsuri tehnice pentru domeniul alterărilor hidromorfologice (ex. îndepărtarea obstacolelor pentru asigurarea conectivității longitudinale, restaurarea conectivității longitudinale și laterale a corpurilor de apă, reducerea eroziunii costiere);</w:t>
      </w:r>
    </w:p>
    <w:p w:rsidR="000420D8" w:rsidRPr="00A9271F" w:rsidRDefault="000420D8" w:rsidP="00693D46">
      <w:pPr>
        <w:numPr>
          <w:ilvl w:val="0"/>
          <w:numId w:val="68"/>
        </w:numPr>
        <w:tabs>
          <w:tab w:val="left" w:pos="993"/>
        </w:tabs>
        <w:ind w:left="0" w:firstLine="709"/>
        <w:jc w:val="both"/>
        <w:rPr>
          <w:rFonts w:ascii="Trebuchet MS" w:hAnsi="Trebuchet MS" w:cstheme="minorBidi"/>
          <w:sz w:val="22"/>
          <w:szCs w:val="22"/>
        </w:rPr>
      </w:pPr>
      <w:r w:rsidRPr="00A9271F">
        <w:rPr>
          <w:rFonts w:ascii="Trebuchet MS" w:eastAsia="Times New Roman" w:hAnsi="Trebuchet MS" w:cstheme="minorBidi"/>
          <w:sz w:val="22"/>
          <w:szCs w:val="22"/>
          <w:lang w:val="fr-BE"/>
        </w:rPr>
        <w:t xml:space="preserve">măsuri de ecocondiționalitate și agro-mediu din cadrul Programului Național de Dezvoltare Rurală, aplicarea </w:t>
      </w:r>
      <w:r w:rsidRPr="00A9271F">
        <w:rPr>
          <w:rFonts w:ascii="Trebuchet MS" w:eastAsia="Times New Roman" w:hAnsi="Trebuchet MS" w:cstheme="minorBidi"/>
          <w:i/>
          <w:sz w:val="22"/>
          <w:szCs w:val="22"/>
          <w:lang w:val="fr-BE"/>
        </w:rPr>
        <w:t>Codului de Bune Condiții Agricole și de Mediu</w:t>
      </w:r>
      <w:r w:rsidRPr="00A9271F">
        <w:rPr>
          <w:rFonts w:ascii="Trebuchet MS" w:eastAsia="Times New Roman" w:hAnsi="Trebuchet MS" w:cstheme="minorBidi"/>
          <w:sz w:val="22"/>
          <w:szCs w:val="22"/>
          <w:lang w:val="fr-BE"/>
        </w:rPr>
        <w:t xml:space="preserve">, aplicarea </w:t>
      </w:r>
      <w:r w:rsidRPr="00A9271F">
        <w:rPr>
          <w:rFonts w:ascii="Trebuchet MS" w:eastAsia="Times New Roman" w:hAnsi="Trebuchet MS" w:cstheme="minorBidi"/>
          <w:i/>
          <w:sz w:val="22"/>
          <w:szCs w:val="22"/>
          <w:lang w:val="fr-BE"/>
        </w:rPr>
        <w:t>Codului de Bune Practici în Ferme</w:t>
      </w:r>
      <w:r w:rsidRPr="00A9271F">
        <w:rPr>
          <w:rFonts w:ascii="Trebuchet MS" w:eastAsia="Times New Roman" w:hAnsi="Trebuchet MS" w:cstheme="minorBidi"/>
          <w:sz w:val="22"/>
          <w:szCs w:val="22"/>
          <w:lang w:val="fr-BE"/>
        </w:rPr>
        <w:t xml:space="preserve">, pentru respectarea unor standarde de management pe care trebuie să le urmeze sau să le atingă fermierii în scopul reducerii emisiilor de nutrienți; </w:t>
      </w:r>
      <w:r w:rsidRPr="00A9271F">
        <w:rPr>
          <w:rFonts w:ascii="Trebuchet MS" w:hAnsi="Trebuchet MS" w:cstheme="minorBidi"/>
          <w:sz w:val="22"/>
          <w:szCs w:val="22"/>
        </w:rPr>
        <w:t xml:space="preserve">studii de cercetare și proiecte menite să clarifice problemele și incertitudinile semnalate la elaborarea  </w:t>
      </w:r>
      <w:r w:rsidRPr="00A9271F">
        <w:rPr>
          <w:rFonts w:ascii="Trebuchet MS" w:hAnsi="Trebuchet MS" w:cstheme="minorBidi"/>
          <w:i/>
          <w:sz w:val="22"/>
          <w:szCs w:val="22"/>
        </w:rPr>
        <w:t>Planului de Management</w:t>
      </w:r>
      <w:r w:rsidRPr="00A9271F">
        <w:rPr>
          <w:rFonts w:ascii="Trebuchet MS" w:hAnsi="Trebuchet MS" w:cstheme="minorBidi"/>
          <w:sz w:val="22"/>
          <w:szCs w:val="22"/>
        </w:rPr>
        <w:t xml:space="preserve"> </w:t>
      </w:r>
      <w:r w:rsidRPr="00A9271F">
        <w:rPr>
          <w:rFonts w:ascii="Trebuchet MS" w:hAnsi="Trebuchet MS" w:cstheme="minorBidi"/>
          <w:i/>
          <w:sz w:val="22"/>
          <w:szCs w:val="22"/>
        </w:rPr>
        <w:t>aprobat prin HG nr. 859/201</w:t>
      </w:r>
      <w:r w:rsidRPr="00A9271F">
        <w:rPr>
          <w:rFonts w:ascii="Trebuchet MS" w:hAnsi="Trebuchet MS" w:cstheme="minorBidi"/>
          <w:sz w:val="22"/>
          <w:szCs w:val="22"/>
        </w:rPr>
        <w:t>6 (debit ecologic, stare ecologică, monitorizarea suplimentară a substanțelor prioritare, monitoring investigativ pentru stabilirea fondului natural, etc.), măsuri în cadrul planurilor de management ale ariilor naturale protejate.</w:t>
      </w:r>
    </w:p>
    <w:p w:rsidR="000420D8" w:rsidRPr="00A9271F" w:rsidRDefault="000420D8" w:rsidP="00693D46">
      <w:pPr>
        <w:ind w:firstLine="720"/>
        <w:jc w:val="both"/>
        <w:rPr>
          <w:rFonts w:ascii="Trebuchet MS" w:eastAsia="Times New Roman" w:hAnsi="Trebuchet MS" w:cstheme="minorBidi"/>
          <w:sz w:val="22"/>
          <w:szCs w:val="22"/>
        </w:rPr>
      </w:pPr>
      <w:r w:rsidRPr="00A9271F">
        <w:rPr>
          <w:rFonts w:ascii="Trebuchet MS" w:eastAsia="Times New Roman" w:hAnsi="Trebuchet MS" w:cstheme="minorBidi"/>
          <w:sz w:val="22"/>
          <w:szCs w:val="22"/>
        </w:rPr>
        <w:t xml:space="preserve">Pe baza analizei progresului în implementarea măsurilor de bază și suplimentare comparativ cu situația planificată în </w:t>
      </w:r>
      <w:r w:rsidRPr="00A9271F">
        <w:rPr>
          <w:rFonts w:ascii="Trebuchet MS" w:eastAsia="Times New Roman" w:hAnsi="Trebuchet MS" w:cstheme="minorBidi"/>
          <w:i/>
          <w:sz w:val="22"/>
          <w:szCs w:val="22"/>
        </w:rPr>
        <w:t>Planul Național de Management</w:t>
      </w:r>
      <w:r w:rsidRPr="00A9271F">
        <w:rPr>
          <w:rFonts w:ascii="Trebuchet MS" w:eastAsia="Times New Roman" w:hAnsi="Trebuchet MS" w:cstheme="minorBidi"/>
          <w:sz w:val="22"/>
          <w:szCs w:val="22"/>
        </w:rPr>
        <w:t xml:space="preserve"> </w:t>
      </w:r>
      <w:r w:rsidRPr="00A9271F">
        <w:rPr>
          <w:rFonts w:ascii="Trebuchet MS" w:eastAsia="Times New Roman" w:hAnsi="Trebuchet MS" w:cstheme="minorBidi"/>
          <w:i/>
          <w:iCs/>
          <w:sz w:val="22"/>
          <w:szCs w:val="22"/>
        </w:rPr>
        <w:t>actualizat</w:t>
      </w:r>
      <w:r w:rsidRPr="00A9271F">
        <w:rPr>
          <w:rFonts w:ascii="Trebuchet MS" w:eastAsia="Times New Roman" w:hAnsi="Trebuchet MS" w:cstheme="minorBidi"/>
          <w:sz w:val="22"/>
          <w:szCs w:val="22"/>
        </w:rPr>
        <w:t xml:space="preserve">, </w:t>
      </w:r>
      <w:r w:rsidRPr="00A9271F">
        <w:rPr>
          <w:rFonts w:ascii="Trebuchet MS" w:eastAsia="Times New Roman" w:hAnsi="Trebuchet MS" w:cstheme="minorBidi"/>
          <w:i/>
          <w:sz w:val="22"/>
          <w:szCs w:val="22"/>
        </w:rPr>
        <w:t xml:space="preserve">aprobat prin HG nr. 859/2016 </w:t>
      </w:r>
      <w:r w:rsidRPr="00A9271F">
        <w:rPr>
          <w:rFonts w:ascii="Trebuchet MS" w:eastAsia="Times New Roman" w:hAnsi="Trebuchet MS" w:cstheme="minorBidi"/>
          <w:sz w:val="22"/>
          <w:szCs w:val="22"/>
        </w:rPr>
        <w:t>s-a constatat faptul că:</w:t>
      </w:r>
    </w:p>
    <w:p w:rsidR="000420D8" w:rsidRPr="00A9271F" w:rsidRDefault="000420D8" w:rsidP="00693D46">
      <w:pPr>
        <w:numPr>
          <w:ilvl w:val="0"/>
          <w:numId w:val="70"/>
        </w:numPr>
        <w:tabs>
          <w:tab w:val="left" w:pos="1134"/>
        </w:tabs>
        <w:ind w:left="360" w:firstLine="349"/>
        <w:contextualSpacing/>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44,31 % din măsurile planificate au fost implementate, din care:</w:t>
      </w:r>
    </w:p>
    <w:p w:rsidR="000420D8" w:rsidRPr="00A9271F" w:rsidRDefault="000420D8" w:rsidP="00693D46">
      <w:pPr>
        <w:numPr>
          <w:ilvl w:val="0"/>
          <w:numId w:val="69"/>
        </w:numPr>
        <w:tabs>
          <w:tab w:val="left" w:pos="720"/>
        </w:tabs>
        <w:ind w:left="1134" w:firstLine="66"/>
        <w:contextualSpacing/>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38,76 % dintre măsuri sunt identice cu cele planificate;</w:t>
      </w:r>
    </w:p>
    <w:p w:rsidR="000420D8" w:rsidRPr="00A9271F" w:rsidRDefault="000420D8" w:rsidP="00693D46">
      <w:pPr>
        <w:numPr>
          <w:ilvl w:val="0"/>
          <w:numId w:val="69"/>
        </w:numPr>
        <w:tabs>
          <w:tab w:val="left" w:pos="720"/>
        </w:tabs>
        <w:ind w:left="1134" w:firstLine="66"/>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 xml:space="preserve">4,53 % dintre măsuri sunt măsuri noi, neprevăzute în </w:t>
      </w:r>
      <w:r w:rsidRPr="00A9271F">
        <w:rPr>
          <w:rFonts w:ascii="Trebuchet MS" w:eastAsia="Times New Roman" w:hAnsi="Trebuchet MS" w:cstheme="minorBidi"/>
          <w:i/>
          <w:sz w:val="22"/>
          <w:szCs w:val="22"/>
          <w:lang w:val="fr-BE"/>
        </w:rPr>
        <w:t>Planul Național de Management actualizat 2015, aprobat prin HG nr. 859/2016</w:t>
      </w:r>
      <w:r w:rsidRPr="00A9271F">
        <w:rPr>
          <w:rFonts w:ascii="Trebuchet MS" w:eastAsia="Times New Roman" w:hAnsi="Trebuchet MS" w:cstheme="minorBidi"/>
          <w:sz w:val="22"/>
          <w:szCs w:val="22"/>
          <w:lang w:val="fr-BE"/>
        </w:rPr>
        <w:t>;</w:t>
      </w:r>
    </w:p>
    <w:p w:rsidR="000420D8" w:rsidRPr="00A9271F" w:rsidRDefault="000420D8" w:rsidP="00693D46">
      <w:pPr>
        <w:numPr>
          <w:ilvl w:val="0"/>
          <w:numId w:val="69"/>
        </w:numPr>
        <w:tabs>
          <w:tab w:val="left" w:pos="720"/>
        </w:tabs>
        <w:ind w:left="1134" w:firstLine="66"/>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1,02 % din măsuri au fost modificate având în vedere noi informații privind eficiența măsurii etc;</w:t>
      </w:r>
    </w:p>
    <w:p w:rsidR="000420D8" w:rsidRPr="00A9271F" w:rsidRDefault="000420D8" w:rsidP="00693D46">
      <w:pPr>
        <w:numPr>
          <w:ilvl w:val="0"/>
          <w:numId w:val="70"/>
        </w:numPr>
        <w:ind w:left="851" w:hanging="142"/>
        <w:contextualSpacing/>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55,69 % din măsurile planificate nu au fost implementate, din care:</w:t>
      </w:r>
    </w:p>
    <w:p w:rsidR="000420D8" w:rsidRPr="00A9271F" w:rsidRDefault="000420D8" w:rsidP="00693D46">
      <w:pPr>
        <w:numPr>
          <w:ilvl w:val="0"/>
          <w:numId w:val="69"/>
        </w:numPr>
        <w:tabs>
          <w:tab w:val="left" w:pos="1134"/>
        </w:tabs>
        <w:ind w:left="1080" w:firstLine="54"/>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15,00 % nu au fost realiate din diferite motive;</w:t>
      </w:r>
    </w:p>
    <w:p w:rsidR="000420D8" w:rsidRPr="00A9271F" w:rsidRDefault="000420D8" w:rsidP="00693D46">
      <w:pPr>
        <w:numPr>
          <w:ilvl w:val="0"/>
          <w:numId w:val="69"/>
        </w:numPr>
        <w:tabs>
          <w:tab w:val="left" w:pos="1134"/>
        </w:tabs>
        <w:ind w:left="1080" w:firstLine="54"/>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4,43 % din măsuri nu au mai fost necesare datorită fie reducerii din diverse cauze obiective a poluării produse de presiunile semnificative (unele măsuri au fost abandonate, nemaifiind necesare, după reevaluarea situaţiei din unităţile economice (unităţi închise, în conservare) și atingerea obiectivelor de mediu ale corpurilor de apă, fie alte măsuri implementate în paralel pe același corp de apă au condus deja la atingerea obiectivelor de mediu;</w:t>
      </w:r>
    </w:p>
    <w:p w:rsidR="000420D8" w:rsidRPr="00A9271F" w:rsidRDefault="000420D8" w:rsidP="00693D46">
      <w:pPr>
        <w:numPr>
          <w:ilvl w:val="0"/>
          <w:numId w:val="69"/>
        </w:numPr>
        <w:tabs>
          <w:tab w:val="left" w:pos="1134"/>
        </w:tabs>
        <w:ind w:left="1080" w:firstLine="54"/>
        <w:jc w:val="both"/>
        <w:rPr>
          <w:rFonts w:ascii="Trebuchet MS" w:eastAsia="Times New Roman" w:hAnsi="Trebuchet MS" w:cstheme="minorBidi"/>
          <w:sz w:val="22"/>
          <w:szCs w:val="22"/>
          <w:lang w:val="fr-BE"/>
        </w:rPr>
      </w:pPr>
      <w:r w:rsidRPr="00A9271F">
        <w:rPr>
          <w:rFonts w:ascii="Trebuchet MS" w:eastAsia="Times New Roman" w:hAnsi="Trebuchet MS" w:cstheme="minorBidi"/>
          <w:sz w:val="22"/>
          <w:szCs w:val="22"/>
          <w:lang w:val="fr-BE"/>
        </w:rPr>
        <w:t>36,26 % din măsuri au fost transferate pentru implementare în al doilea ciclu de planificare.</w:t>
      </w:r>
    </w:p>
    <w:p w:rsidR="000420D8" w:rsidRPr="00A9271F" w:rsidRDefault="000420D8" w:rsidP="00693D46">
      <w:pPr>
        <w:ind w:firstLine="720"/>
        <w:jc w:val="both"/>
        <w:rPr>
          <w:rFonts w:ascii="Trebuchet MS" w:hAnsi="Trebuchet MS" w:cstheme="minorBidi"/>
          <w:sz w:val="22"/>
          <w:szCs w:val="22"/>
        </w:rPr>
      </w:pPr>
      <w:r w:rsidRPr="00A9271F">
        <w:rPr>
          <w:rFonts w:ascii="Trebuchet MS" w:hAnsi="Trebuchet MS" w:cstheme="minorBidi"/>
          <w:sz w:val="22"/>
          <w:szCs w:val="22"/>
        </w:rPr>
        <w:t xml:space="preserve">În urma evaluării situaţiei împreună cu utilizatorii de apă şi autorităţile care implementează programul de măsuri în perioada 2016-2021, s-a constatat că, în unele cazuri, există probleme în ceea ce priveşte realizarea măsurilor la termenele stabilite, dintre care cele mai des întâlnite sunt următoarele: </w:t>
      </w:r>
    </w:p>
    <w:p w:rsidR="000420D8" w:rsidRPr="00A9271F" w:rsidRDefault="000420D8" w:rsidP="00693D46">
      <w:pPr>
        <w:tabs>
          <w:tab w:val="left" w:pos="993"/>
        </w:tabs>
        <w:ind w:firstLine="709"/>
        <w:jc w:val="both"/>
        <w:rPr>
          <w:rFonts w:ascii="Trebuchet MS" w:hAnsi="Trebuchet MS" w:cstheme="minorBidi"/>
          <w:sz w:val="22"/>
          <w:szCs w:val="22"/>
        </w:rPr>
      </w:pPr>
      <w:r w:rsidRPr="00A9271F">
        <w:rPr>
          <w:rFonts w:ascii="Trebuchet MS" w:hAnsi="Trebuchet MS" w:cstheme="minorBidi"/>
          <w:sz w:val="22"/>
          <w:szCs w:val="22"/>
        </w:rPr>
        <w:t>•</w:t>
      </w:r>
      <w:r w:rsidRPr="00A9271F">
        <w:rPr>
          <w:rFonts w:ascii="Trebuchet MS" w:hAnsi="Trebuchet MS" w:cstheme="minorBidi"/>
          <w:sz w:val="22"/>
          <w:szCs w:val="22"/>
        </w:rPr>
        <w:tab/>
        <w:t xml:space="preserve">capacitatea tehnică și instituțională insuficientă a autorităților pentru implementarea mecanismelor necesare realizării măsurilor; </w:t>
      </w:r>
    </w:p>
    <w:p w:rsidR="000420D8" w:rsidRPr="00A9271F" w:rsidRDefault="000420D8" w:rsidP="00693D46">
      <w:pPr>
        <w:tabs>
          <w:tab w:val="left" w:pos="993"/>
        </w:tabs>
        <w:ind w:firstLine="709"/>
        <w:jc w:val="both"/>
        <w:rPr>
          <w:rFonts w:ascii="Trebuchet MS" w:hAnsi="Trebuchet MS" w:cstheme="minorBidi"/>
          <w:sz w:val="22"/>
          <w:szCs w:val="22"/>
        </w:rPr>
      </w:pPr>
      <w:r w:rsidRPr="00A9271F">
        <w:rPr>
          <w:rFonts w:ascii="Trebuchet MS" w:hAnsi="Trebuchet MS" w:cstheme="minorBidi"/>
          <w:sz w:val="22"/>
          <w:szCs w:val="22"/>
        </w:rPr>
        <w:t>•</w:t>
      </w:r>
      <w:r w:rsidRPr="00A9271F">
        <w:rPr>
          <w:rFonts w:ascii="Trebuchet MS" w:hAnsi="Trebuchet MS" w:cstheme="minorBidi"/>
          <w:sz w:val="22"/>
          <w:szCs w:val="22"/>
        </w:rPr>
        <w:tab/>
        <w:t>alocarea cu întârziere a fondurilor necesare din cauza derulării cu întârziere a procedurilor de achiziții;</w:t>
      </w:r>
    </w:p>
    <w:p w:rsidR="000420D8" w:rsidRPr="00A9271F" w:rsidRDefault="000420D8" w:rsidP="00693D46">
      <w:pPr>
        <w:tabs>
          <w:tab w:val="left" w:pos="993"/>
        </w:tabs>
        <w:ind w:firstLine="709"/>
        <w:jc w:val="both"/>
        <w:rPr>
          <w:rFonts w:ascii="Trebuchet MS" w:hAnsi="Trebuchet MS" w:cstheme="minorBidi"/>
          <w:sz w:val="22"/>
          <w:szCs w:val="22"/>
        </w:rPr>
      </w:pPr>
      <w:r w:rsidRPr="00A9271F">
        <w:rPr>
          <w:rFonts w:ascii="Trebuchet MS" w:hAnsi="Trebuchet MS" w:cstheme="minorBidi"/>
          <w:sz w:val="22"/>
          <w:szCs w:val="22"/>
        </w:rPr>
        <w:t>•</w:t>
      </w:r>
      <w:r w:rsidRPr="00A9271F">
        <w:rPr>
          <w:rFonts w:ascii="Trebuchet MS" w:hAnsi="Trebuchet MS" w:cstheme="minorBidi"/>
          <w:sz w:val="22"/>
          <w:szCs w:val="22"/>
        </w:rPr>
        <w:tab/>
        <w:t>proceduri anevoioase de promovare a finanţării care conduc la depăşirea termenelor prevăzute pentru demararea proiectelor;</w:t>
      </w:r>
    </w:p>
    <w:p w:rsidR="000420D8" w:rsidRPr="00A9271F" w:rsidRDefault="000420D8" w:rsidP="00693D46">
      <w:pPr>
        <w:tabs>
          <w:tab w:val="left" w:pos="993"/>
        </w:tabs>
        <w:ind w:firstLine="709"/>
        <w:jc w:val="both"/>
        <w:rPr>
          <w:rFonts w:ascii="Trebuchet MS" w:hAnsi="Trebuchet MS" w:cstheme="minorBidi"/>
          <w:sz w:val="22"/>
          <w:szCs w:val="22"/>
        </w:rPr>
      </w:pPr>
      <w:r w:rsidRPr="00A9271F">
        <w:rPr>
          <w:rFonts w:ascii="Trebuchet MS" w:hAnsi="Trebuchet MS" w:cstheme="minorBidi"/>
          <w:sz w:val="22"/>
          <w:szCs w:val="22"/>
        </w:rPr>
        <w:t>•</w:t>
      </w:r>
      <w:r w:rsidRPr="00A9271F">
        <w:rPr>
          <w:rFonts w:ascii="Trebuchet MS" w:hAnsi="Trebuchet MS" w:cstheme="minorBidi"/>
          <w:sz w:val="22"/>
          <w:szCs w:val="22"/>
        </w:rPr>
        <w:tab/>
        <w:t>alocarea de fonduri insuficiente de la bugetul de stat și local pentru măsurile ce trebuiau realizate în al doilea ciclu de planificare, având în vedere contextul economic european și mondial;</w:t>
      </w:r>
    </w:p>
    <w:p w:rsidR="000420D8" w:rsidRPr="00A9271F" w:rsidRDefault="000420D8" w:rsidP="00693D46">
      <w:pPr>
        <w:tabs>
          <w:tab w:val="left" w:pos="993"/>
        </w:tabs>
        <w:ind w:firstLine="709"/>
        <w:jc w:val="both"/>
        <w:rPr>
          <w:rFonts w:ascii="Trebuchet MS" w:hAnsi="Trebuchet MS" w:cstheme="minorBidi"/>
          <w:sz w:val="22"/>
          <w:szCs w:val="22"/>
        </w:rPr>
      </w:pPr>
      <w:r w:rsidRPr="00A9271F">
        <w:rPr>
          <w:rFonts w:ascii="Trebuchet MS" w:hAnsi="Trebuchet MS" w:cstheme="minorBidi"/>
          <w:sz w:val="22"/>
          <w:szCs w:val="22"/>
        </w:rPr>
        <w:t>•</w:t>
      </w:r>
      <w:r w:rsidRPr="00A9271F">
        <w:rPr>
          <w:rFonts w:ascii="Trebuchet MS" w:hAnsi="Trebuchet MS" w:cstheme="minorBidi"/>
          <w:sz w:val="22"/>
          <w:szCs w:val="22"/>
        </w:rPr>
        <w:tab/>
        <w:t>dificultăți în realizarea tehnică a lucrărilor de execuție de către contractanți (diminuarea potențialului pieței muncii în sectorul construcțiilor);</w:t>
      </w:r>
    </w:p>
    <w:p w:rsidR="000420D8" w:rsidRPr="00A9271F" w:rsidRDefault="000420D8" w:rsidP="00693D46">
      <w:pPr>
        <w:tabs>
          <w:tab w:val="left" w:pos="993"/>
        </w:tabs>
        <w:ind w:firstLine="709"/>
        <w:jc w:val="both"/>
        <w:rPr>
          <w:rFonts w:ascii="Trebuchet MS" w:hAnsi="Trebuchet MS" w:cstheme="minorBidi"/>
          <w:sz w:val="22"/>
          <w:szCs w:val="22"/>
        </w:rPr>
      </w:pPr>
      <w:r w:rsidRPr="00A9271F">
        <w:rPr>
          <w:rFonts w:ascii="Trebuchet MS" w:hAnsi="Trebuchet MS" w:cstheme="minorBidi"/>
          <w:sz w:val="22"/>
          <w:szCs w:val="22"/>
        </w:rPr>
        <w:t>•</w:t>
      </w:r>
      <w:r w:rsidRPr="00A9271F">
        <w:rPr>
          <w:rFonts w:ascii="Trebuchet MS" w:hAnsi="Trebuchet MS" w:cstheme="minorBidi"/>
          <w:sz w:val="22"/>
          <w:szCs w:val="22"/>
        </w:rPr>
        <w:tab/>
        <w:t>întârzieri în implementarea măsurilor din cauza problemelor legate de regimul juridic al terenurilor pe care se execută lucrările, etc.</w:t>
      </w:r>
    </w:p>
    <w:p w:rsidR="000420D8" w:rsidRPr="00A9271F" w:rsidRDefault="000420D8" w:rsidP="00693D46">
      <w:pPr>
        <w:ind w:firstLine="720"/>
        <w:jc w:val="both"/>
        <w:rPr>
          <w:rFonts w:ascii="Trebuchet MS" w:hAnsi="Trebuchet MS" w:cstheme="minorBidi"/>
          <w:sz w:val="22"/>
          <w:szCs w:val="22"/>
        </w:rPr>
      </w:pPr>
      <w:r w:rsidRPr="00A9271F">
        <w:rPr>
          <w:rFonts w:ascii="Trebuchet MS" w:hAnsi="Trebuchet MS" w:cstheme="minorBidi"/>
          <w:sz w:val="22"/>
          <w:szCs w:val="22"/>
        </w:rPr>
        <w:t>În concluzie, principalele cauze care contribuie la nedemararea sau desfășurarea cu întârziere a anumitor măsuri de bază și suplimentare sunt atribuite în principal alocării cu întârziere a fondurilor necesare de la bugetul de stat sau insuficiența fondurilor de la bugetul local, dar și surselor limitate de finanțare europeană destinate implementării măsurilor specifice Directivei Cadru Apă.</w:t>
      </w:r>
    </w:p>
    <w:p w:rsidR="000420D8" w:rsidRPr="00A9271F" w:rsidRDefault="000420D8" w:rsidP="00693D46">
      <w:pPr>
        <w:ind w:firstLine="630"/>
        <w:jc w:val="both"/>
        <w:rPr>
          <w:rFonts w:ascii="Trebuchet MS" w:hAnsi="Trebuchet MS" w:cstheme="minorBidi"/>
          <w:sz w:val="22"/>
          <w:szCs w:val="22"/>
        </w:rPr>
      </w:pPr>
      <w:r w:rsidRPr="00A9271F">
        <w:rPr>
          <w:rFonts w:ascii="Trebuchet MS" w:hAnsi="Trebuchet MS" w:cstheme="minorBidi"/>
          <w:sz w:val="22"/>
          <w:szCs w:val="22"/>
        </w:rPr>
        <w:t>Administrația Națională „Apele Române”, autoritatea competentă în domeniul managementul resurselor de apă, monitorizează în continuare stadiul implementării programului de măsuri planificat în cadrul  Planului Național de Management actualizat 2022-2027, aprobat prin HG nr. 392/2023 pentru aprobarea Planului naţional de management actualizat aferent porţiunii din bazinul hidrografic internaţional al fluviului Dunărea care este cuprinsă în teritoriul României și intervine, în măsura responsabilităților, pentru conștientizarea / impulsionarea utilizatorilor de apă în vederea realizării măsurilor planificate în cadrul Planurilor de Management actualizate ale bazinelor/spaţiilor hidrografice.</w:t>
      </w:r>
    </w:p>
    <w:p w:rsidR="00AE762B" w:rsidRDefault="00AE762B" w:rsidP="001810EA">
      <w:pPr>
        <w:pStyle w:val="Default"/>
        <w:jc w:val="both"/>
        <w:rPr>
          <w:lang w:val="it-IT"/>
        </w:rPr>
      </w:pPr>
    </w:p>
    <w:p w:rsidR="00C417FD" w:rsidRPr="00693D46" w:rsidRDefault="00C417FD" w:rsidP="00C417FD">
      <w:pPr>
        <w:pStyle w:val="Listparagraf1"/>
        <w:spacing w:before="120" w:after="120" w:line="25" w:lineRule="atLeast"/>
        <w:ind w:left="0"/>
        <w:jc w:val="both"/>
        <w:rPr>
          <w:rFonts w:ascii="Trebuchet MS" w:hAnsi="Trebuchet MS" w:cs="Arial"/>
          <w:b/>
          <w:sz w:val="24"/>
          <w:szCs w:val="24"/>
          <w:lang w:val="ro-RO"/>
        </w:rPr>
      </w:pPr>
      <w:r w:rsidRPr="00693D46">
        <w:rPr>
          <w:rFonts w:ascii="Trebuchet MS" w:hAnsi="Trebuchet MS" w:cs="Arial"/>
          <w:b/>
          <w:sz w:val="24"/>
          <w:szCs w:val="24"/>
          <w:lang w:val="ro-RO"/>
        </w:rPr>
        <w:t>II.2.4 Politici, acțiuni și măsuri pentru îmbunătățirea stării de calitate a apelor</w:t>
      </w:r>
    </w:p>
    <w:p w:rsidR="00C417FD" w:rsidRPr="003E0A3B" w:rsidRDefault="00C417FD" w:rsidP="00C417FD">
      <w:pPr>
        <w:pStyle w:val="Listparagraf1"/>
        <w:spacing w:before="120" w:after="120" w:line="25" w:lineRule="atLeast"/>
        <w:ind w:left="1428"/>
        <w:jc w:val="both"/>
        <w:rPr>
          <w:rFonts w:ascii="Trebuchet MS" w:hAnsi="Trebuchet MS" w:cs="Arial"/>
          <w:b/>
        </w:rPr>
      </w:pP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implementare a directivelor europene în domeniul calităţii apei, cât şi documentele strategice naţionale care asigură cadrul de realizare a acestora.</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 xml:space="preserve">În ultima perioadă, Uniunea Europeană a adoptat o serie de strategii care stau la baza fundamentării activităților economice europene pentru viitor având în vedere și protecția mediului. </w:t>
      </w:r>
      <w:r w:rsidRPr="00A9271F">
        <w:rPr>
          <w:rFonts w:ascii="Trebuchet MS" w:hAnsi="Trebuchet MS" w:cs="Arial"/>
          <w:b/>
          <w:bCs/>
          <w:sz w:val="22"/>
          <w:szCs w:val="22"/>
        </w:rPr>
        <w:t xml:space="preserve">Pactul ecologic European </w:t>
      </w:r>
      <w:r w:rsidRPr="00A9271F">
        <w:rPr>
          <w:rFonts w:ascii="Trebuchet MS" w:hAnsi="Trebuchet MS" w:cs="Arial"/>
          <w:sz w:val="22"/>
          <w:szCs w:val="22"/>
        </w:rPr>
        <w:t>(Green Deal)</w:t>
      </w:r>
      <w:r w:rsidRPr="00A9271F">
        <w:rPr>
          <w:rStyle w:val="FootnoteReference"/>
          <w:rFonts w:ascii="Trebuchet MS" w:hAnsi="Trebuchet MS" w:cs="Arial"/>
          <w:sz w:val="22"/>
          <w:szCs w:val="22"/>
        </w:rPr>
        <w:footnoteReference w:id="4"/>
      </w:r>
      <w:r w:rsidRPr="00A9271F">
        <w:rPr>
          <w:rFonts w:ascii="Trebuchet MS" w:hAnsi="Trebuchet MS" w:cs="Arial"/>
          <w:sz w:val="22"/>
          <w:szCs w:val="22"/>
        </w:rPr>
        <w:t xml:space="preserve">  are ca scop  principal  să  facă Uniunea Europeană neutră din punct de vedere climatic până în 2050, prin stabilirea unor ținte specifice și a unor politici în domeniu. Pactul urmărește, de asemenea, să protejeze, să conserve și să consolideze capitalul natural al UE, precum și să protejeze sănătatea și bunăstarea cetățenilor împotriva riscurilor legate de mediu și a impacturilor aferente. Astfel, fiecare stat membru UE va avea în vedere să implementeze noile prevederi ale Pactului Ecologic  European, respectiv ale planurilor de acține specifice fiecărui domeniu.</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b/>
          <w:bCs/>
          <w:sz w:val="22"/>
          <w:szCs w:val="22"/>
        </w:rPr>
        <w:t>Planul de acțiune „Către poluarea zero a aerului, apei și solului”</w:t>
      </w:r>
      <w:r w:rsidRPr="00A9271F">
        <w:rPr>
          <w:rStyle w:val="FootnoteReference"/>
          <w:rFonts w:ascii="Trebuchet MS" w:hAnsi="Trebuchet MS" w:cs="Arial"/>
          <w:b/>
          <w:bCs/>
          <w:sz w:val="22"/>
          <w:szCs w:val="22"/>
        </w:rPr>
        <w:footnoteReference w:id="5"/>
      </w:r>
      <w:r w:rsidRPr="00A9271F">
        <w:rPr>
          <w:rFonts w:ascii="Trebuchet MS" w:hAnsi="Trebuchet MS" w:cs="Arial"/>
          <w:b/>
          <w:bCs/>
          <w:sz w:val="22"/>
          <w:szCs w:val="22"/>
        </w:rPr>
        <w:t xml:space="preserve"> </w:t>
      </w:r>
      <w:r w:rsidRPr="00A9271F">
        <w:rPr>
          <w:rFonts w:ascii="Trebuchet MS" w:hAnsi="Trebuchet MS" w:cs="Arial"/>
          <w:sz w:val="22"/>
          <w:szCs w:val="22"/>
        </w:rPr>
        <w:t>are ca obiectiv principal oferirea unei orientări pentru includerea prevenirii poluării în toate politicile relevante ale UE, maximizarea sinergiilor într-un mod eficient și proporțional, intensificarea punerii în aplicare și identificarea posibilelor lipsurilor sau compromisuri. Planul stabilește obiective cheie pentru anul 2030 de reducere a poluării la sursă, în comparație cu situația actuală, la niveluri care nu mai sunt considerate dăunătoare sănătății și ecosistemelor naturale și care respectă limitele cu care planeta noastră poate face față, creând astfel un mediu fără toxicitate. Conform legislației UE, țintele Green Deal și în sinergie cu alte inițiative, până în anul 2030, se referă la îmbunătățirea calității apei prin reducerea cu 50 % a pierderilor de nutrienți, cu 50 % a plasticelor eliberate în mare și cu 30 % a microplastice eliberate în mediu, precum și cu 50 % a deșeurilor municipale. Reutilizarea nămolului este adecvată pentru a contribui la realizarea obiectivelor de mediu ale corpurilor de apă prin reducerea poluării</w:t>
      </w:r>
      <w:r w:rsidRPr="00A9271F">
        <w:rPr>
          <w:rFonts w:ascii="Trebuchet MS" w:hAnsi="Trebuchet MS" w:cs="Arial"/>
          <w:sz w:val="22"/>
          <w:szCs w:val="22"/>
          <w:vertAlign w:val="superscript"/>
        </w:rPr>
        <w:footnoteReference w:id="6"/>
      </w:r>
      <w:r w:rsidRPr="00A9271F">
        <w:rPr>
          <w:rFonts w:ascii="Trebuchet MS" w:hAnsi="Trebuchet MS" w:cs="Arial"/>
          <w:sz w:val="22"/>
          <w:szCs w:val="22"/>
        </w:rPr>
        <w:t>, în special cu contaminanți, economia circulară (valorificare), eficiența resurselor (recuperare fosfor)</w:t>
      </w:r>
      <w:r w:rsidRPr="00A9271F">
        <w:rPr>
          <w:rStyle w:val="FootnoteReference"/>
          <w:rFonts w:ascii="Trebuchet MS" w:hAnsi="Trebuchet MS" w:cs="Arial"/>
          <w:sz w:val="22"/>
          <w:szCs w:val="22"/>
        </w:rPr>
        <w:footnoteReference w:id="7"/>
      </w:r>
      <w:r w:rsidRPr="00A9271F">
        <w:rPr>
          <w:rFonts w:ascii="Trebuchet MS" w:hAnsi="Trebuchet MS" w:cs="Arial"/>
          <w:sz w:val="22"/>
          <w:szCs w:val="22"/>
        </w:rPr>
        <w:t xml:space="preserve">, producția durabilă de alimente (utilizare în agricultură) și reducerea emisiilor de GES. </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 xml:space="preserve">În cadrul Pactului Ecologic European este promovat conceptul de „înverzirea politicii agricole comune” și se propune elaborarea </w:t>
      </w:r>
      <w:r w:rsidRPr="00A9271F">
        <w:rPr>
          <w:rFonts w:ascii="Trebuchet MS" w:hAnsi="Trebuchet MS" w:cs="Arial"/>
          <w:b/>
          <w:bCs/>
          <w:sz w:val="22"/>
          <w:szCs w:val="22"/>
        </w:rPr>
        <w:t>Strategiei „De la fermă la consumator”</w:t>
      </w:r>
      <w:r w:rsidRPr="00A9271F">
        <w:rPr>
          <w:rStyle w:val="FootnoteReference"/>
          <w:rFonts w:ascii="Trebuchet MS" w:hAnsi="Trebuchet MS" w:cs="Arial"/>
          <w:b/>
          <w:bCs/>
          <w:sz w:val="22"/>
          <w:szCs w:val="22"/>
        </w:rPr>
        <w:footnoteReference w:id="8"/>
      </w:r>
      <w:r w:rsidRPr="00A9271F">
        <w:rPr>
          <w:rFonts w:ascii="Trebuchet MS" w:hAnsi="Trebuchet MS" w:cs="Arial"/>
          <w:sz w:val="22"/>
          <w:szCs w:val="22"/>
        </w:rPr>
        <w:t xml:space="preserve"> care va consolida eforturile depuse de fermierii și pescarii europeni în vederea combaterii schimbărilor climatice, a protejării mediului și a conservării biodiversității. Planurile strategice naționale trebuie să fie elaborate în corelare cu obiectivele ambițioase ale Pactului ecologic european și ale strategiei „De la fermă la consumator”.</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 xml:space="preserve">De asemenea, la nivelul UE Comisia a aprobat în februarie 2021 </w:t>
      </w:r>
      <w:r w:rsidRPr="00A9271F">
        <w:rPr>
          <w:rFonts w:ascii="Trebuchet MS" w:hAnsi="Trebuchet MS" w:cs="Arial"/>
          <w:b/>
          <w:bCs/>
          <w:sz w:val="22"/>
          <w:szCs w:val="22"/>
        </w:rPr>
        <w:t>o nouă strategie privind adaptarea la schimbările climatice</w:t>
      </w:r>
      <w:r w:rsidRPr="00A9271F">
        <w:rPr>
          <w:rStyle w:val="FootnoteReference"/>
          <w:rFonts w:ascii="Trebuchet MS" w:hAnsi="Trebuchet MS" w:cs="Arial"/>
          <w:b/>
          <w:bCs/>
          <w:sz w:val="22"/>
          <w:szCs w:val="22"/>
        </w:rPr>
        <w:footnoteReference w:id="9"/>
      </w:r>
      <w:r w:rsidRPr="00A9271F">
        <w:rPr>
          <w:rFonts w:ascii="Trebuchet MS" w:hAnsi="Trebuchet MS" w:cs="Arial"/>
          <w:b/>
          <w:bCs/>
          <w:sz w:val="22"/>
          <w:szCs w:val="22"/>
        </w:rPr>
        <w:t xml:space="preserve"> </w:t>
      </w:r>
      <w:r w:rsidRPr="00A9271F">
        <w:rPr>
          <w:rFonts w:ascii="Trebuchet MS" w:hAnsi="Trebuchet MS" w:cs="Arial"/>
          <w:sz w:val="22"/>
          <w:szCs w:val="22"/>
        </w:rPr>
        <w:t>care prezintă o viziune pe termen lung pentru ca UE să devină o societate rezilientă la schimbările climatice și pe deplin adaptată la efectele inevitabile ale schimbărilor climatice până în 2050. Activitatea privind adaptarea la schimbările climatice va continua să influențeze investițiile publice și private, inclusiv în ceea ce privește soluțiile inspirate de natură.</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Prin aplicarea strategiilor și planurilor de acțiune se așteaptă ca funcțiile naturale ale apelor subterane și de suprafață trebuie să fie restabilite, fiind esențial pentru conservarea și refacerea biodiversității în lacuri, râuri, zonele umede și în apele costiere și marine, precum și pentru prevenirea și limitarea pagubelor provocate de inundații.</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 xml:space="preserve">În acest context, Comisia a realizat un </w:t>
      </w:r>
      <w:r w:rsidRPr="00A9271F">
        <w:rPr>
          <w:rFonts w:ascii="Trebuchet MS" w:hAnsi="Trebuchet MS" w:cs="Arial"/>
          <w:b/>
          <w:bCs/>
          <w:sz w:val="22"/>
          <w:szCs w:val="22"/>
        </w:rPr>
        <w:t>Plan de investiții pentru o Europă durabilă</w:t>
      </w:r>
      <w:r w:rsidRPr="00A9271F">
        <w:rPr>
          <w:rStyle w:val="FootnoteReference"/>
          <w:rFonts w:ascii="Trebuchet MS" w:hAnsi="Trebuchet MS" w:cs="Arial"/>
          <w:b/>
          <w:bCs/>
          <w:sz w:val="22"/>
          <w:szCs w:val="22"/>
        </w:rPr>
        <w:footnoteReference w:id="10"/>
      </w:r>
      <w:r w:rsidRPr="00A9271F">
        <w:rPr>
          <w:rFonts w:ascii="Trebuchet MS" w:hAnsi="Trebuchet MS" w:cs="Arial"/>
          <w:b/>
          <w:bCs/>
          <w:sz w:val="22"/>
          <w:szCs w:val="22"/>
        </w:rPr>
        <w:t xml:space="preserve"> </w:t>
      </w:r>
      <w:r w:rsidRPr="00A9271F">
        <w:rPr>
          <w:rFonts w:ascii="Trebuchet MS" w:hAnsi="Trebuchet MS" w:cs="Arial"/>
          <w:sz w:val="22"/>
          <w:szCs w:val="22"/>
        </w:rPr>
        <w:t>în vederea sprijinirii investițiilor durabile cu favorizarea investițiilor ecologice. Comisia a propus un obiectiv de 2% pentru integrarea aspectelor legate de schimbările climatice în toate programele UE. În propunerile Comisiei privind Politica Agricolă Comună (PAC) pentru perioada 2021-2027 se prevede că cel puțin 40 % din bugetul total al PAC și cel puțin 30 % din Fondul pentru pescuit și afaceri maritime ar trebui să contribuie la combaterea schimbărilor climatice.</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Acest cadru European ambițios va influența realizarea și atingerea obiectivelor în cadrul Planurilor de management actualizate ale bazinelor/spațiilor hidrografice (perioada 2022-2027).</w:t>
      </w:r>
    </w:p>
    <w:p w:rsidR="00C417FD" w:rsidRPr="00A9271F" w:rsidRDefault="00C417FD" w:rsidP="006D41B6">
      <w:pPr>
        <w:ind w:firstLine="567"/>
        <w:jc w:val="both"/>
        <w:rPr>
          <w:rFonts w:ascii="Trebuchet MS" w:hAnsi="Trebuchet MS" w:cs="Arial"/>
          <w:sz w:val="22"/>
          <w:szCs w:val="22"/>
        </w:rPr>
      </w:pPr>
      <w:r w:rsidRPr="00A9271F">
        <w:rPr>
          <w:rFonts w:ascii="Trebuchet MS" w:hAnsi="Trebuchet MS" w:cs="Arial"/>
          <w:sz w:val="22"/>
          <w:szCs w:val="22"/>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C417FD" w:rsidRPr="00A9271F" w:rsidRDefault="00C417FD" w:rsidP="006D41B6">
      <w:pPr>
        <w:ind w:right="-42" w:firstLine="720"/>
        <w:jc w:val="both"/>
        <w:rPr>
          <w:rFonts w:ascii="Trebuchet MS" w:hAnsi="Trebuchet MS" w:cs="Arial"/>
          <w:sz w:val="22"/>
          <w:szCs w:val="22"/>
          <w:lang w:val="fr-BE"/>
        </w:rPr>
      </w:pPr>
      <w:r w:rsidRPr="00A9271F">
        <w:rPr>
          <w:rFonts w:ascii="Trebuchet MS" w:hAnsi="Trebuchet MS" w:cs="Arial"/>
          <w:sz w:val="22"/>
          <w:szCs w:val="22"/>
        </w:rPr>
        <w:t xml:space="preserve">Conform art. 13 al Directivei Cadru Apă, Statele Membre trebuie să realizeze un </w:t>
      </w:r>
      <w:r w:rsidRPr="00A9271F">
        <w:rPr>
          <w:rFonts w:ascii="Trebuchet MS" w:hAnsi="Trebuchet MS" w:cs="Arial"/>
          <w:i/>
          <w:sz w:val="22"/>
          <w:szCs w:val="22"/>
        </w:rPr>
        <w:t>Plan de Management pentru fiecare district hidrografic</w:t>
      </w:r>
      <w:r w:rsidRPr="00A9271F">
        <w:rPr>
          <w:rFonts w:ascii="Trebuchet MS" w:hAnsi="Trebuchet MS" w:cs="Arial"/>
          <w:sz w:val="22"/>
          <w:szCs w:val="22"/>
        </w:rPr>
        <w:t xml:space="preserve">, iar dacă sunt localizate într-un district internaţional, trebuie să asigure coordonarea pentru producerea unui singur </w:t>
      </w:r>
      <w:r w:rsidRPr="00A9271F">
        <w:rPr>
          <w:rFonts w:ascii="Trebuchet MS" w:hAnsi="Trebuchet MS" w:cs="Arial"/>
          <w:i/>
          <w:sz w:val="22"/>
          <w:szCs w:val="22"/>
        </w:rPr>
        <w:t>Plan de Management</w:t>
      </w:r>
      <w:r w:rsidRPr="00A9271F">
        <w:rPr>
          <w:rFonts w:ascii="Trebuchet MS" w:hAnsi="Trebuchet MS" w:cs="Arial"/>
          <w:sz w:val="22"/>
          <w:szCs w:val="22"/>
        </w:rPr>
        <w:t>. România, fiind localizată în bazinul Dunării (</w:t>
      </w:r>
      <w:r w:rsidRPr="00A9271F">
        <w:rPr>
          <w:rFonts w:ascii="Trebuchet MS" w:hAnsi="Trebuchet MS" w:cs="Arial"/>
          <w:i/>
          <w:sz w:val="22"/>
          <w:szCs w:val="22"/>
        </w:rPr>
        <w:t>Figura II. 2.4.1</w:t>
      </w:r>
      <w:r w:rsidRPr="00A9271F">
        <w:rPr>
          <w:rFonts w:ascii="Trebuchet MS" w:hAnsi="Trebuchet MS" w:cs="Arial"/>
          <w:sz w:val="22"/>
          <w:szCs w:val="22"/>
        </w:rPr>
        <w:t xml:space="preserve">), similar ciclurilor de planificare anterioare, contribuie la elaborarea </w:t>
      </w:r>
      <w:r w:rsidRPr="00A9271F">
        <w:rPr>
          <w:rFonts w:ascii="Trebuchet MS" w:hAnsi="Trebuchet MS" w:cs="Arial"/>
          <w:i/>
          <w:sz w:val="22"/>
          <w:szCs w:val="22"/>
        </w:rPr>
        <w:t>Planului de Management al Districtului Hidrografic al Fluviului Dunărea</w:t>
      </w:r>
      <w:r w:rsidRPr="00A9271F">
        <w:rPr>
          <w:rFonts w:ascii="Trebuchet MS" w:hAnsi="Trebuchet MS" w:cs="Arial"/>
          <w:b/>
          <w:sz w:val="22"/>
          <w:szCs w:val="22"/>
        </w:rPr>
        <w:t xml:space="preserve"> </w:t>
      </w:r>
      <w:r w:rsidRPr="00A9271F">
        <w:rPr>
          <w:rFonts w:ascii="Trebuchet MS" w:hAnsi="Trebuchet MS" w:cs="Arial"/>
          <w:sz w:val="22"/>
          <w:szCs w:val="22"/>
        </w:rPr>
        <w:t>– actualizarea 2021</w:t>
      </w:r>
      <w:r w:rsidRPr="00A9271F">
        <w:rPr>
          <w:rFonts w:ascii="Trebuchet MS" w:hAnsi="Trebuchet MS" w:cs="Arial"/>
          <w:b/>
          <w:sz w:val="22"/>
          <w:szCs w:val="22"/>
        </w:rPr>
        <w:t xml:space="preserve"> </w:t>
      </w:r>
      <w:r w:rsidRPr="00A9271F">
        <w:rPr>
          <w:rFonts w:ascii="Trebuchet MS" w:hAnsi="Trebuchet MS" w:cs="Arial"/>
          <w:sz w:val="22"/>
          <w:szCs w:val="22"/>
        </w:rPr>
        <w:t xml:space="preserve">ce se realizează sub coordonarea Comisiei Internaționale pentru Protecția Fluviului Dunărea (ICPDR). </w:t>
      </w:r>
      <w:r w:rsidRPr="00A9271F">
        <w:rPr>
          <w:rFonts w:ascii="Trebuchet MS" w:hAnsi="Trebuchet MS" w:cs="Arial"/>
          <w:sz w:val="22"/>
          <w:szCs w:val="22"/>
          <w:lang w:val="fr-BE"/>
        </w:rPr>
        <w:t xml:space="preserve">În acest scop statele semnatare ale Convenţiei Internaţionale pentru Protecţia Fluviului Dunărea au stabilit că </w:t>
      </w:r>
      <w:r w:rsidRPr="00A9271F">
        <w:rPr>
          <w:rFonts w:ascii="Trebuchet MS" w:hAnsi="Trebuchet MS" w:cs="Arial"/>
          <w:i/>
          <w:sz w:val="22"/>
          <w:szCs w:val="22"/>
          <w:lang w:val="fr-BE"/>
        </w:rPr>
        <w:t>Planul de Management al Districtului Hidrografic al Dunării</w:t>
      </w:r>
      <w:r w:rsidRPr="00A9271F">
        <w:rPr>
          <w:rFonts w:ascii="Trebuchet MS" w:hAnsi="Trebuchet MS" w:cs="Arial"/>
          <w:sz w:val="22"/>
          <w:szCs w:val="22"/>
          <w:lang w:val="fr-BE"/>
        </w:rPr>
        <w:t xml:space="preserve"> să fie format din trei părţi (partea A, partea B și partea C). Informații privind structura</w:t>
      </w:r>
      <w:r w:rsidRPr="00A9271F">
        <w:rPr>
          <w:rFonts w:ascii="Trebuchet MS" w:hAnsi="Trebuchet MS" w:cs="Arial"/>
          <w:sz w:val="22"/>
          <w:szCs w:val="22"/>
        </w:rPr>
        <w:t xml:space="preserve"> </w:t>
      </w:r>
      <w:r w:rsidRPr="00A9271F">
        <w:rPr>
          <w:rFonts w:ascii="Trebuchet MS" w:hAnsi="Trebuchet MS" w:cs="Arial"/>
          <w:sz w:val="22"/>
          <w:szCs w:val="22"/>
          <w:lang w:val="fr-BE"/>
        </w:rPr>
        <w:t>Planului de Management al Districtului Hidrografic al Fluviului Dunărea au fost prezentate detaliat în Planul Național de Management actualizat aferent porţiunii din bazinul hidrografic internaţional al fluviului Dunărea care este cuprinsă în teritoriul României (denumit în continuare Plan Național de management actualizat) – Sinteza Planurilor de management actualizate la nivel de bazine/spații hidrografice, aprobate prin HG nr. 392/2023</w:t>
      </w:r>
      <w:r w:rsidRPr="00A9271F">
        <w:rPr>
          <w:rFonts w:ascii="Trebuchet MS" w:hAnsi="Trebuchet MS" w:cs="Arial"/>
          <w:i/>
          <w:iCs/>
          <w:sz w:val="22"/>
          <w:szCs w:val="22"/>
          <w:lang w:val="fr-BE"/>
        </w:rPr>
        <w:t xml:space="preserve"> pentru aprobarea Planului naţional de management actualizat aferent porţiunii din bazinul hidrografic internaţional al fluviului Dunărea care este cuprinsă în teritoriul României</w:t>
      </w:r>
      <w:r w:rsidRPr="00A9271F">
        <w:rPr>
          <w:rFonts w:ascii="Trebuchet MS" w:hAnsi="Trebuchet MS" w:cs="Arial"/>
          <w:sz w:val="22"/>
          <w:szCs w:val="22"/>
          <w:lang w:val="fr-BE"/>
        </w:rPr>
        <w:t xml:space="preserve">. </w:t>
      </w:r>
    </w:p>
    <w:p w:rsidR="00C417FD" w:rsidRPr="00A9271F" w:rsidRDefault="00C417FD" w:rsidP="006D41B6">
      <w:pPr>
        <w:ind w:right="-42" w:firstLine="720"/>
        <w:jc w:val="both"/>
        <w:rPr>
          <w:rFonts w:ascii="Trebuchet MS" w:hAnsi="Trebuchet MS" w:cs="Arial"/>
          <w:sz w:val="22"/>
          <w:szCs w:val="22"/>
          <w:lang w:val="fr-BE"/>
        </w:rPr>
      </w:pPr>
    </w:p>
    <w:p w:rsidR="00C417FD" w:rsidRPr="003E0A3B" w:rsidRDefault="00C417FD" w:rsidP="006D41B6">
      <w:pPr>
        <w:ind w:right="-43"/>
        <w:rPr>
          <w:rFonts w:ascii="Trebuchet MS" w:hAnsi="Trebuchet MS" w:cs="Arial"/>
          <w:b/>
          <w:i/>
          <w:lang w:val="fr-BE"/>
        </w:rPr>
      </w:pPr>
      <w:r w:rsidRPr="003E0A3B">
        <w:rPr>
          <w:rFonts w:ascii="Trebuchet MS" w:hAnsi="Trebuchet MS" w:cs="Arial"/>
          <w:b/>
          <w:bCs/>
          <w:i/>
          <w:lang w:val="fr-BE"/>
        </w:rPr>
        <w:t xml:space="preserve">Figura II.2.4.1 </w:t>
      </w:r>
      <w:r w:rsidRPr="003E0A3B">
        <w:rPr>
          <w:rFonts w:ascii="Trebuchet MS" w:hAnsi="Trebuchet MS" w:cs="Arial"/>
          <w:b/>
          <w:i/>
          <w:lang w:val="fr-BE"/>
        </w:rPr>
        <w:t>Districtul Hidrografic al Fluviului Dunărea</w:t>
      </w:r>
    </w:p>
    <w:p w:rsidR="00C417FD" w:rsidRPr="003E0A3B" w:rsidRDefault="00C417FD" w:rsidP="006D41B6">
      <w:pPr>
        <w:ind w:right="-43"/>
        <w:jc w:val="both"/>
        <w:rPr>
          <w:rFonts w:ascii="Trebuchet MS" w:hAnsi="Trebuchet MS" w:cs="Arial"/>
          <w:i/>
          <w:iCs/>
          <w:sz w:val="20"/>
          <w:szCs w:val="20"/>
        </w:rPr>
      </w:pPr>
      <w:r w:rsidRPr="003E0A3B">
        <w:rPr>
          <w:rFonts w:ascii="Trebuchet MS" w:hAnsi="Trebuchet MS" w:cs="Arial"/>
          <w:i/>
          <w:iCs/>
          <w:sz w:val="20"/>
          <w:szCs w:val="20"/>
        </w:rPr>
        <w:t>(Sursa datelor: Administrația Națională „Apele Române”, Planul Național de management actualizat 2023)</w:t>
      </w:r>
    </w:p>
    <w:p w:rsidR="00C417FD" w:rsidRPr="003E0A3B" w:rsidRDefault="00C417FD" w:rsidP="006D41B6">
      <w:pPr>
        <w:ind w:right="-42" w:firstLine="567"/>
        <w:jc w:val="both"/>
        <w:rPr>
          <w:rFonts w:ascii="Trebuchet MS" w:hAnsi="Trebuchet MS" w:cs="Arial"/>
          <w:lang w:val="fr-BE"/>
        </w:rPr>
      </w:pPr>
    </w:p>
    <w:p w:rsidR="006D41B6" w:rsidRDefault="00A9271F" w:rsidP="006D41B6">
      <w:pPr>
        <w:ind w:right="-42" w:firstLine="567"/>
        <w:jc w:val="both"/>
        <w:rPr>
          <w:rFonts w:ascii="Trebuchet MS" w:hAnsi="Trebuchet MS" w:cs="Arial"/>
          <w:lang w:val="fr-BE"/>
        </w:rPr>
      </w:pPr>
      <w:r>
        <w:rPr>
          <w:rFonts w:ascii="Trebuchet MS" w:hAnsi="Trebuchet MS" w:cs="Arial"/>
          <w:b/>
          <w:bCs/>
          <w:noProof/>
          <w:lang w:val="en-US"/>
        </w:rPr>
        <w:drawing>
          <wp:anchor distT="0" distB="0" distL="114300" distR="114300" simplePos="0" relativeHeight="251696640" behindDoc="1" locked="0" layoutInCell="1" allowOverlap="1" wp14:anchorId="6D46F88F" wp14:editId="56BA7105">
            <wp:simplePos x="0" y="0"/>
            <wp:positionH relativeFrom="margin">
              <wp:posOffset>40640</wp:posOffset>
            </wp:positionH>
            <wp:positionV relativeFrom="margin">
              <wp:posOffset>3261995</wp:posOffset>
            </wp:positionV>
            <wp:extent cx="5524500" cy="3910330"/>
            <wp:effectExtent l="19050" t="19050" r="19050" b="1397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24500" cy="39103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6D41B6" w:rsidRDefault="006D41B6" w:rsidP="006D41B6">
      <w:pPr>
        <w:ind w:right="-42" w:firstLine="567"/>
        <w:jc w:val="both"/>
        <w:rPr>
          <w:rFonts w:ascii="Trebuchet MS" w:hAnsi="Trebuchet MS" w:cs="Arial"/>
          <w:lang w:val="fr-BE"/>
        </w:rPr>
      </w:pPr>
    </w:p>
    <w:p w:rsidR="00A9271F" w:rsidRDefault="00A9271F" w:rsidP="00802006">
      <w:pPr>
        <w:ind w:right="-42" w:firstLine="567"/>
        <w:jc w:val="both"/>
        <w:rPr>
          <w:rFonts w:ascii="Trebuchet MS" w:hAnsi="Trebuchet MS" w:cs="Arial"/>
          <w:lang w:val="fr-BE"/>
        </w:rPr>
      </w:pPr>
    </w:p>
    <w:p w:rsidR="00C417FD" w:rsidRPr="00A9271F" w:rsidRDefault="00C417FD" w:rsidP="00802006">
      <w:pPr>
        <w:ind w:right="-42" w:firstLine="567"/>
        <w:jc w:val="both"/>
        <w:rPr>
          <w:rFonts w:ascii="Trebuchet MS" w:hAnsi="Trebuchet MS" w:cs="Arial"/>
          <w:sz w:val="22"/>
          <w:szCs w:val="22"/>
        </w:rPr>
      </w:pPr>
      <w:r w:rsidRPr="00A9271F">
        <w:rPr>
          <w:rFonts w:ascii="Trebuchet MS" w:hAnsi="Trebuchet MS" w:cs="Arial"/>
          <w:sz w:val="22"/>
          <w:szCs w:val="22"/>
          <w:lang w:val="fr-BE"/>
        </w:rPr>
        <w:t>Similar ciclurilor de planificare anterioare, se menţionează c</w:t>
      </w:r>
      <w:r w:rsidRPr="00A9271F">
        <w:rPr>
          <w:rFonts w:ascii="Trebuchet MS" w:hAnsi="Trebuchet MS" w:cs="Arial"/>
          <w:sz w:val="22"/>
          <w:szCs w:val="22"/>
        </w:rPr>
        <w:t>ă</w:t>
      </w:r>
      <w:r w:rsidRPr="00A9271F">
        <w:rPr>
          <w:rFonts w:ascii="Trebuchet MS" w:hAnsi="Trebuchet MS" w:cs="Arial"/>
          <w:sz w:val="22"/>
          <w:szCs w:val="22"/>
          <w:lang w:val="fr-BE"/>
        </w:rPr>
        <w:t xml:space="preserve"> principalele probleme de gospodărire a apelor, obiectivele de management, precum şi măsurile aferente stabilite la nivelul Districtului Hidrografic Internaţional al Dunării ce sunt prezentate în proiectul </w:t>
      </w:r>
      <w:r w:rsidRPr="00A9271F">
        <w:rPr>
          <w:rFonts w:ascii="Trebuchet MS" w:hAnsi="Trebuchet MS" w:cs="Arial"/>
          <w:i/>
          <w:sz w:val="22"/>
          <w:szCs w:val="22"/>
          <w:lang w:val="fr-BE"/>
        </w:rPr>
        <w:t>Planului de Management - actualizat 2021 al Districtului Hidrografic Internaţional al Dunării (partea A)</w:t>
      </w:r>
      <w:r w:rsidRPr="00A9271F">
        <w:rPr>
          <w:rFonts w:ascii="Trebuchet MS" w:hAnsi="Trebuchet MS" w:cs="Arial"/>
          <w:sz w:val="22"/>
          <w:szCs w:val="22"/>
          <w:lang w:val="fr-BE"/>
        </w:rPr>
        <w:t xml:space="preserve"> sunt preluate la nivel naţional.</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În România, elaborarea strategiei şi politicii naţionale în domeniul gospodăririi apelor, asigurarea coordonării pentru aplicarea reglementărilor interne și internaţionale din acest domeniu se realizează de către Ministerul Mediului, Apelor și Pădurilor – Direcția Managementul Resurselor de Apă. Gestionarea cantitativă și calitativă a resurselor de apă, administrarea lucrărilor de gospodărire a apelor, precum și aplicarea strategiei şi politicii naţionale, cu respectarea reglementărilor naţionale în domeniu, se realizează de Administraţia Naţională "Apele Române", prin Administraţiile Bazinale de Apă din subordinea acesteia. Cadrul legislativ pentru gestionarea durabilă a resurselor de apă este asigurat prin Legea Apelor nr.107/1996, cu modificările și completările ulterioare.</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În România conform Legii Apelor, Schema Directoare de Amenajare și Management ale Bazinelor Hidrografice este instrumentul principal de planificare, dezvoltare şi gestionare a resurselor de apă la nivelul districtului de bazin hidrografic şi este alcatuită din Planul de amenajare a bazinului hidrografic (PABH) - componentă de gospodarire cantitativă şi Planul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Strategia şi politica naţională în domeniul gospodăririi apelor are drept scop realizarea unei politici de gospodărire durabilă a apelor prin asigurarea protecţiei cantitativă și calitativă a apelor, apărarea împotriva acţiunilor distructive ale apelor, precum și valorificarea potenţialului apelor în raport cu cerinţele dezvoltării durabile a societăţii şi în acord cu directivele europene în domeniul apelor. Având în vedere evoluția politicilor europene în domeniul managementului apelor, strategia de gospodărire a apelor a fost revizuită pentru perioada 2023-2035, procesul de aprobare de către ministerele avizatoare fiind în curs de finalizare</w:t>
      </w:r>
      <w:r w:rsidRPr="00A9271F">
        <w:rPr>
          <w:rStyle w:val="FootnoteReference"/>
          <w:rFonts w:ascii="Trebuchet MS" w:hAnsi="Trebuchet MS" w:cs="Arial"/>
          <w:sz w:val="22"/>
          <w:szCs w:val="22"/>
        </w:rPr>
        <w:footnoteReference w:id="11"/>
      </w:r>
      <w:r w:rsidRPr="00A9271F">
        <w:rPr>
          <w:rFonts w:ascii="Trebuchet MS" w:hAnsi="Trebuchet MS" w:cs="Arial"/>
          <w:sz w:val="22"/>
          <w:szCs w:val="22"/>
        </w:rPr>
        <w:t xml:space="preserve">.  Strategia Națională de Gospodărirea apelor 2023-2035 prezintă o viziune care conduce la atingerea obiectivelor europene asumate de România în calitatea sa de stat membru UE și anume nivel de „poluare zero” și independența energetică până în 2050, consolidarea capacității de adaptare și reducere la minimum a vulnerabilității la consecințele schimbărilor climatice din punct de vedere al sigurării resursei de apă, printr-o tranziție echitabilă din punct de vedere social, într-un mod eficient din punct de vedere al costurilor. </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În prezent se urmăreşte gospodărirea durabilă a apelor pe baza aplicării legislaţiei Uniunii Europene şi în special a principiilor Directivei Cadru pentru Apă și Directivei Inundaţii, care au fost transpuse prin Legea Apelor 107/1996 cu modificările și completările ulterioare. În acest context, instrumentele de realizare a politicii şi strategiei în domeniul apelor includ Schema Directoare de Amenajare şi Management ale Bazinelor Hidrografice, managementul integrat al apelor pe bazine hidrografice și adaptarea capacităţii instituţionale la cerinţele managementului integrat. Pentru realizarea fiecărui obiectiv specific propus au fost planificate numeroase acţiuni. Unele dintre acestea au fost realizate până în prezent, altele sunt în curs de realizare sau vor fi realizate în etapa următoare.</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Acţiunile necesare pentru îmbunătăţirea stării apelor de suprafaţă şi a apelor subterane au fost stabilite în cadrul Planurilor de Management ale Bazinelor Hidrografice, ca parte a Planului de Management al districtului internaţional al Dunării, întocmit în conformitate cu prevederile Directivei Cadru Apa. Primele Planuri de Management ale bazinelor/spațiilor hidrografice, precum și Planul Naţional de Management, au fost aprobate prin </w:t>
      </w:r>
      <w:r w:rsidRPr="00A9271F">
        <w:rPr>
          <w:rFonts w:ascii="Trebuchet MS" w:hAnsi="Trebuchet MS" w:cs="Arial"/>
          <w:b/>
          <w:bCs/>
          <w:sz w:val="22"/>
          <w:szCs w:val="22"/>
        </w:rPr>
        <w:t xml:space="preserve">H.G. nr. 80/26.01.2011 </w:t>
      </w:r>
      <w:r w:rsidRPr="00A9271F">
        <w:rPr>
          <w:rFonts w:ascii="Trebuchet MS" w:hAnsi="Trebuchet MS" w:cs="Arial"/>
          <w:b/>
          <w:bCs/>
          <w:i/>
          <w:sz w:val="22"/>
          <w:szCs w:val="22"/>
        </w:rPr>
        <w:t>pentru aprobarea Planului naţional de management aferent porţiunii din bazinul hidrografic internaţional al fluviului Dunărea care este cuprinsă în teritoriul României</w:t>
      </w:r>
      <w:r w:rsidRPr="00A9271F">
        <w:rPr>
          <w:rFonts w:ascii="Trebuchet MS" w:hAnsi="Trebuchet MS" w:cs="Arial"/>
          <w:b/>
          <w:bCs/>
          <w:sz w:val="22"/>
          <w:szCs w:val="22"/>
        </w:rPr>
        <w:t>,</w:t>
      </w:r>
      <w:r w:rsidRPr="00A9271F">
        <w:rPr>
          <w:rFonts w:ascii="Trebuchet MS" w:hAnsi="Trebuchet MS" w:cs="Arial"/>
          <w:sz w:val="22"/>
          <w:szCs w:val="22"/>
        </w:rPr>
        <w:t xml:space="preserve"> Monitorul Oficial nr. 265/14.04.2011. Conform ciclului de planificare următor de 6 ani, România a elaborat și făcut public la 22 decembrie 2014 proiectul Planului Național de Management aferent porţiunii din bazinul hidrografic internaţional al fluviului Dunărea care este cuprinsă în teritoriul României, pentru perioada 2016-2021. Ca și în cazul primului ciclu de planificare 2009-2015, în elaborarea proiectelor Planurilor de Management la nivel bazinal și național s-au luat în considerare recomandările ghidurilor și documentelor dezvoltate în cadrul Strategiei Comune de Implementare a Directivei Cadru Apă, precum și cerințele formulate în Ghidul de raportare a Directivei Cadru Apă 2016, elaborat de Comisia Europeană împreună cu Statele Membre în anul 2014. </w:t>
      </w:r>
    </w:p>
    <w:p w:rsidR="00C417FD" w:rsidRPr="00A9271F" w:rsidRDefault="00C417FD" w:rsidP="00802006">
      <w:pPr>
        <w:jc w:val="both"/>
        <w:rPr>
          <w:rFonts w:ascii="Trebuchet MS" w:hAnsi="Trebuchet MS" w:cs="Arial"/>
          <w:sz w:val="22"/>
          <w:szCs w:val="22"/>
        </w:rPr>
      </w:pPr>
      <w:r w:rsidRPr="00A9271F">
        <w:rPr>
          <w:rFonts w:ascii="Trebuchet MS" w:hAnsi="Trebuchet MS" w:cs="Arial"/>
          <w:sz w:val="22"/>
          <w:szCs w:val="22"/>
        </w:rPr>
        <w:t xml:space="preserve">La sfârşitul anului 2015, cele 11 Planuri de Management Bazinale, au fost avizate de către Comitetele de Bazin, și au fost publicate la 22 decembrie 2015 pe website-urile Administraţiilor Bazinale de Apă și al Administrației Naționale ”Apele Române”, în conformitate cu prevederile Directivei Cadru Apă. Planul Naţional de Management aferent porţiunii româneşti a bazinului hidrografic internaţional al fluviului Dunărea, precum și cele 11 Planuri de management ale bazinelor hidrografice, elaborate în conformitate cu cerinţele art. 13 al  Directivei Cadru Apă 2000/60/CE, au fost actualizate și aprobate prin </w:t>
      </w:r>
      <w:r w:rsidRPr="00A9271F">
        <w:rPr>
          <w:rFonts w:ascii="Trebuchet MS" w:hAnsi="Trebuchet MS" w:cs="Arial"/>
          <w:b/>
          <w:i/>
          <w:sz w:val="22"/>
          <w:szCs w:val="22"/>
        </w:rPr>
        <w:t xml:space="preserve">Hotărârea de Guvern nr. 859 din 16 noiembrie 2016 pentru aprobarea Planului naţional de management actualizat aferent porţiunii din bazinul hidrografic internaţional al fluviului Dunărea care este cuprinsă în teritoriul României, publicată în Monitorul Oficial nr. 1.004 din 14 decembrie 2016.  </w:t>
      </w:r>
      <w:r w:rsidRPr="00A9271F">
        <w:rPr>
          <w:rFonts w:ascii="Trebuchet MS" w:hAnsi="Trebuchet MS" w:cs="Arial"/>
          <w:sz w:val="22"/>
          <w:szCs w:val="22"/>
        </w:rPr>
        <w:t>Planul  Naţional de Management actualizat aferent porţiunii româneşti a bazinului hidrografic internaţional al fluviului Dunărea a fost raportat în  Sistemul European Informatic pentru Apă (WISE) și anvelopa de raportare a fost închisă (via Agenţia Europeană de Mediu - Reportnet) la data de 16 decembrie 2016.</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Pentru următorul ciclu de planificare de 6 ani a fost finalizat </w:t>
      </w:r>
      <w:r w:rsidRPr="00A9271F">
        <w:rPr>
          <w:rFonts w:ascii="Trebuchet MS" w:hAnsi="Trebuchet MS" w:cs="Arial"/>
          <w:b/>
          <w:bCs/>
          <w:sz w:val="22"/>
          <w:szCs w:val="22"/>
        </w:rPr>
        <w:t>Planul Național de Management actualizat aferent porţiunii din bazinul hidrografic internaţional al fluviului Dunărea care este cuprinsă în teritoriul României</w:t>
      </w:r>
      <w:r w:rsidRPr="00A9271F">
        <w:rPr>
          <w:rFonts w:ascii="Trebuchet MS" w:hAnsi="Trebuchet MS" w:cs="Arial"/>
          <w:sz w:val="22"/>
          <w:szCs w:val="22"/>
        </w:rPr>
        <w:t xml:space="preserve"> (pentu perioada 2022-2027) care este realizat în conformitate cu prevederile legale europene și naționale. Ca și în cazul primului și celui de-al doilea ciclu de planificare, în elaborarea Planurilor de Management actualizate 2021 la nivel bazinal și național s-au luat în considerare recomandările ghidurilor și documentelor dezvoltate în cadrul Strategiei Comune de Implementare a Directivei Cadru Apă și de recomandările Comisiei Europene din raportul privind evaluarea celui de-al doilea plan de management. De asemenea, s-a ținut cont inclusiv de cerințele formulate în Ghidul de raportare a Directivei Cadru Apă 2022, elaborat de Comisia Europeană împreună cu Statele Membre. </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În conformitate cu Calendarul şi programul de lucru privind activităţile de participare a publicului în scopul realizării celui de-al treilea plan de management al bazinului/spaţiului hidrografic și celui de-al doilea plan de management al riscului la inundații, consultarea publicului cu privire la elaborarea proiectelor Planurilor de Management actualizate ale bazinelor/spațiilor hidrografice şi a proiectului Planului Naţional de Management actualizat s-a realizat în perioada 30 iunie  - 30 decembrie 2021, fără însă a se limita doar la această perioadă.</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În comparație cu planurile precedente,  Planul de Management actualizat 2021 conține date și informații actualizate, precum și dezvoltări/îmbunătățiri ale metodologiilor utilizate și ale rezultatelor obținute și care sunt prezentate în cadrul capitolelor respective. Și cel de-al  treilea Plan de Management a fost supus procedurii de Evaluare Strategică de Mediu (SEA) și a fost aprobat prin </w:t>
      </w:r>
      <w:r w:rsidRPr="00A9271F">
        <w:rPr>
          <w:rFonts w:ascii="Trebuchet MS" w:hAnsi="Trebuchet MS" w:cs="Arial"/>
          <w:b/>
          <w:bCs/>
          <w:i/>
          <w:iCs/>
          <w:sz w:val="22"/>
          <w:szCs w:val="22"/>
        </w:rPr>
        <w:t>Hotărârea de Guvern nr. 392/2023 pentru aprobarea Planului național de management actualizat aferent porțiunii din bazinul hidrografic internațional al fluviului Dunărea care este cuprinsă în teritoriul României</w:t>
      </w:r>
      <w:r w:rsidRPr="00A9271F">
        <w:rPr>
          <w:rStyle w:val="FootnoteReference"/>
          <w:rFonts w:ascii="Trebuchet MS" w:hAnsi="Trebuchet MS" w:cs="Arial"/>
          <w:sz w:val="22"/>
          <w:szCs w:val="22"/>
        </w:rPr>
        <w:footnoteReference w:id="12"/>
      </w:r>
      <w:r w:rsidRPr="00A9271F">
        <w:rPr>
          <w:rFonts w:ascii="Trebuchet MS" w:hAnsi="Trebuchet MS" w:cs="Arial"/>
          <w:b/>
          <w:bCs/>
          <w:sz w:val="22"/>
          <w:szCs w:val="22"/>
        </w:rPr>
        <w:t>, publicată în Monitorul Oficial nr. 551 din 20 iunie 2023</w:t>
      </w:r>
      <w:r w:rsidRPr="00A9271F">
        <w:rPr>
          <w:rFonts w:ascii="Trebuchet MS" w:hAnsi="Trebuchet MS" w:cs="Arial"/>
          <w:sz w:val="22"/>
          <w:szCs w:val="22"/>
        </w:rPr>
        <w:t>.</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Planul Național de Management actualizat este disponibil la următorul link:</w:t>
      </w:r>
    </w:p>
    <w:p w:rsidR="00C417FD" w:rsidRPr="00A9271F" w:rsidRDefault="00291812" w:rsidP="00802006">
      <w:pPr>
        <w:jc w:val="both"/>
        <w:rPr>
          <w:rFonts w:ascii="Trebuchet MS" w:hAnsi="Trebuchet MS" w:cs="Arial"/>
          <w:sz w:val="22"/>
          <w:szCs w:val="22"/>
        </w:rPr>
      </w:pPr>
      <w:hyperlink r:id="rId129" w:history="1">
        <w:r w:rsidR="00C417FD" w:rsidRPr="00A9271F">
          <w:rPr>
            <w:rStyle w:val="Hyperlink"/>
            <w:rFonts w:ascii="Trebuchet MS" w:hAnsi="Trebuchet MS" w:cs="Arial"/>
            <w:sz w:val="22"/>
            <w:szCs w:val="22"/>
          </w:rPr>
          <w:t>https://rowater.ro/activitatea-institutiei/departamente/managementul-european-integrat-resurse-de-apa/planurile-de-management-ale-bazinelor-hidrografice/</w:t>
        </w:r>
      </w:hyperlink>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Prin implementarea şi monitorizarea programelor de măsuri se vor atinge obiectivele de mediu pentru corpurile de apă, respectiv starea ecologică bună și potenţialul ecologic bun. În vederea evaluării stadiului implementării programului de măsuri stabilit în cadrul Planurilor de Management actualizate ale bazinelor/spațiilor hidrografice s-a avut în vederea realizarea măsurilor de bază și suplimentare prevăzute în anexele Planului de management actualizat ale bazinelor/spațiilor hidrografice ale căror termene de implementare se încadrează în perioada 2016-2021. De asemenea, au fost luate în considerare și măsurile din primul Plan de management care erau planificate să se realizeze după anul 2015, dar care au avut întârzieri în implementare sau măsurile planificate după anul 2021 dar care au început să se implementeze în avans. În perioada 2016-2021 sunt implementate măsuri de bază şi suplimentare pentru  aglomerările umane (apă potabilă, apă uzată, nămoluri de la stații de epurare) și activitățile industriale și agro-zootehnice (IED, Seveso III), precum și alte măsuri de baza referitoare la reglementarea / autorizarea, controlul și monitorizarea surselor de poluare punctiforme și difuze și alterarilor hidromorfologice. De asemenea, o serie de măsuri suplimentare planificate au fost realizate sau sunt in curs de implementare până la sfârșitul anului 2021.</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În vederea atingerii obiectivelor de mediu și menținerii stării bune a corpurilor de apă de suprafață și subterane, în perioada 2022 – 2027 se continuă implementarea măsurilor pentru aglomerările umane, activitățile industriale și agricole, precum și pentru alterările hidromorfologice, al căror termen de realizare este perioada 2022 – 2027. Tipurile de măsuri sunt similare cu cele implementate pe parcursul celui de-al doilea ciclu de planificare, respectiv în principal măsuri pentru implementarea cerințelor directivelor europene, la care sunt adăugate noi tipuri de măsuri recomandate de Comisia Europeană în ghidurile Strategiei comune pentru implementarea Directivei Cadru Apă (CIS WFD): măsuri de stocare naturală a apelor (NWRM), măsuri de reducere a pierderilor de apă, măsuri de reutilizare a apelor, măsuri în contextul schimbărilor climatice, etc.</w:t>
      </w:r>
    </w:p>
    <w:p w:rsidR="00C417FD" w:rsidRPr="00A9271F" w:rsidRDefault="00C417FD" w:rsidP="00802006">
      <w:pPr>
        <w:ind w:firstLine="708"/>
        <w:jc w:val="both"/>
        <w:rPr>
          <w:rFonts w:ascii="Trebuchet MS" w:hAnsi="Trebuchet MS" w:cs="Arial"/>
          <w:sz w:val="22"/>
          <w:szCs w:val="22"/>
          <w:lang w:val="fr-BE"/>
        </w:rPr>
      </w:pPr>
      <w:r w:rsidRPr="00A9271F">
        <w:rPr>
          <w:rFonts w:ascii="Trebuchet MS" w:hAnsi="Trebuchet MS" w:cs="Arial"/>
          <w:sz w:val="22"/>
          <w:szCs w:val="22"/>
        </w:rPr>
        <w:t xml:space="preserve">Inundațiile reprezintă o amenințare la siguranța și sănătatea umană. </w:t>
      </w:r>
      <w:r w:rsidRPr="00A9271F">
        <w:rPr>
          <w:rFonts w:ascii="Trebuchet MS" w:hAnsi="Trebuchet MS" w:cs="Arial"/>
          <w:b/>
          <w:bCs/>
          <w:sz w:val="22"/>
          <w:szCs w:val="22"/>
        </w:rPr>
        <w:t>Directiva 2007/60/CE privind evaluarea și gestionarea riscului la inundații</w:t>
      </w:r>
      <w:r w:rsidRPr="00A9271F">
        <w:rPr>
          <w:rFonts w:ascii="Trebuchet MS" w:hAnsi="Trebuchet MS" w:cs="Arial"/>
          <w:sz w:val="22"/>
          <w:szCs w:val="22"/>
        </w:rPr>
        <w:t xml:space="preserve"> și programul de acțiune al ICPDR cu privire la apărarea împotriva inundațiilor au stabilit cadrul pentru managementul inundațiilor în bazinul Dunării. </w:t>
      </w:r>
      <w:r w:rsidRPr="00A9271F">
        <w:rPr>
          <w:rFonts w:ascii="Trebuchet MS" w:hAnsi="Trebuchet MS" w:cs="Arial"/>
          <w:bCs/>
          <w:iCs/>
          <w:sz w:val="22"/>
          <w:szCs w:val="22"/>
        </w:rPr>
        <w:t xml:space="preserve">Directiva Inundații </w:t>
      </w:r>
      <w:r w:rsidRPr="00A9271F">
        <w:rPr>
          <w:rFonts w:ascii="Trebuchet MS" w:hAnsi="Trebuchet MS" w:cs="Arial"/>
          <w:sz w:val="22"/>
          <w:szCs w:val="22"/>
        </w:rPr>
        <w:t xml:space="preserve">este al doilea pilon de bază al legislației europene în domeniul apelor și </w:t>
      </w:r>
      <w:r w:rsidRPr="00A9271F">
        <w:rPr>
          <w:rFonts w:ascii="Trebuchet MS" w:hAnsi="Trebuchet MS" w:cs="Arial"/>
          <w:bCs/>
          <w:iCs/>
          <w:sz w:val="22"/>
          <w:szCs w:val="22"/>
        </w:rPr>
        <w:t>are ca obiectiv reducerea riscurilor şi a consecinţelor negative pe care le au inundaţiile în Statele Membre.</w:t>
      </w:r>
      <w:r w:rsidRPr="00A9271F">
        <w:rPr>
          <w:rFonts w:ascii="Trebuchet MS" w:hAnsi="Trebuchet MS" w:cs="Arial"/>
          <w:sz w:val="22"/>
          <w:szCs w:val="22"/>
        </w:rPr>
        <w:t xml:space="preserve"> </w:t>
      </w:r>
      <w:r w:rsidRPr="00A9271F">
        <w:rPr>
          <w:rFonts w:ascii="Trebuchet MS" w:hAnsi="Trebuchet MS" w:cs="Arial"/>
          <w:sz w:val="22"/>
          <w:szCs w:val="22"/>
          <w:lang w:val="fr-BE"/>
        </w:rPr>
        <w:t>Instrumentul de implementare al Directivei Inunda</w:t>
      </w:r>
      <w:r w:rsidRPr="00A9271F">
        <w:rPr>
          <w:rFonts w:ascii="Trebuchet MS" w:hAnsi="Trebuchet MS" w:cs="Arial"/>
          <w:sz w:val="22"/>
          <w:szCs w:val="22"/>
        </w:rPr>
        <w:t>ț</w:t>
      </w:r>
      <w:r w:rsidRPr="00A9271F">
        <w:rPr>
          <w:rFonts w:ascii="Trebuchet MS" w:hAnsi="Trebuchet MS" w:cs="Arial"/>
          <w:sz w:val="22"/>
          <w:szCs w:val="22"/>
          <w:lang w:val="fr-BE"/>
        </w:rPr>
        <w:t xml:space="preserve">ii, reglementat prin articolul 7 este reprezentat de </w:t>
      </w:r>
      <w:r w:rsidRPr="00A9271F">
        <w:rPr>
          <w:rFonts w:ascii="Trebuchet MS" w:hAnsi="Trebuchet MS" w:cs="Arial"/>
          <w:i/>
          <w:sz w:val="22"/>
          <w:szCs w:val="22"/>
          <w:lang w:val="fr-BE"/>
        </w:rPr>
        <w:t>Planul de Management al Riscului la Inundații</w:t>
      </w:r>
      <w:r w:rsidRPr="00A9271F">
        <w:rPr>
          <w:rFonts w:ascii="Trebuchet MS" w:hAnsi="Trebuchet MS" w:cs="Arial"/>
          <w:sz w:val="22"/>
          <w:szCs w:val="22"/>
          <w:lang w:val="fr-BE"/>
        </w:rPr>
        <w:t xml:space="preserve"> (PMRI) și constituie una din componentele de gestionare cantitativă a resurselor de apă. El are ca scop fundamentarea măsurilor, acţiunilor, soluţiilor şi lucrărilor pentru diminuarea efectelor potențiale negative ale inundațiilor privind sănătatea umană, mediul, patrimoniul cultural și activitatea economică, prin măsuri structurale și nestructurale.</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La nivel național prevederile Directivei Inundații au fost transpuse în legislația națională prin modificarea și completarea Legii Apelor. Primul Plan de management al riscului la inundații aferent celor 11 administrații bazinale de apă și fluviului Dunărea de pe teritoriul României a fost aprobat prin HG nr. 972/2016. </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Deși în conformitate cu prevederile legislative naționale Planurile de Management al Riscului la Inundații sunt elaborate și aprobate ca documente separate, sunt realizate corelări între cele 2 tipuri de planuri (PMBH, PMRI). Măsurile pentru protecția împotriva inundațiilor pot afecta starea apelor de suprafață (ex. diguri și poldere), însă unele măsuri pot sprijini atingerea obiectivelor Directivei Inundații, cât și ale Directivei Cadru Apă (de ex. prin reconectarea zonelor umede adiacente și a luncii inundabile). Pentru a asigura cele mai bune soluții posibile, s-a realizat o elaborare coordonată a celui de-al treilea plan de Management și al doilea Plan de management al riscului la inundații până în anul 2022. </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hidrografice şi Planurile de Management al Riscului la Inundaţii. De asemenea, </w:t>
      </w:r>
      <w:r w:rsidRPr="00A9271F">
        <w:rPr>
          <w:rFonts w:ascii="Trebuchet MS" w:hAnsi="Trebuchet MS" w:cs="Arial"/>
          <w:b/>
          <w:bCs/>
          <w:sz w:val="22"/>
          <w:szCs w:val="22"/>
        </w:rPr>
        <w:t>Strategia naţională de management al riscului la inundaţii pe termen mediu și lung</w:t>
      </w:r>
      <w:r w:rsidRPr="00A9271F">
        <w:rPr>
          <w:rFonts w:ascii="Trebuchet MS" w:hAnsi="Trebuchet MS" w:cs="Arial"/>
          <w:sz w:val="22"/>
          <w:szCs w:val="22"/>
        </w:rPr>
        <w:t xml:space="preserve">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În perioada 2022-2023 cel de-al doilea Plan de management al riscului la inundații a parcurs procedura de evaluare strategică de mediu și a fost aprobat prin </w:t>
      </w:r>
      <w:r w:rsidRPr="00A9271F">
        <w:rPr>
          <w:rFonts w:ascii="Trebuchet MS" w:hAnsi="Trebuchet MS" w:cs="Arial"/>
          <w:b/>
          <w:bCs/>
          <w:i/>
          <w:iCs/>
          <w:sz w:val="22"/>
          <w:szCs w:val="22"/>
        </w:rPr>
        <w:t>Hotărârea Guvernului nr. 886/2023 pentru actualizarea planurilor de management al riscului la inundaţii aferente celor 11 administraţii bazinale de apă şi fluviului Dunărea de pe teritoriul României</w:t>
      </w:r>
      <w:r w:rsidRPr="00A9271F">
        <w:rPr>
          <w:rFonts w:ascii="Trebuchet MS" w:hAnsi="Trebuchet MS" w:cs="Arial"/>
          <w:sz w:val="22"/>
          <w:szCs w:val="22"/>
        </w:rPr>
        <w:t xml:space="preserve">, publicată în Monitorul Oficial nr. 930 din 16 octombrie 2023. Planurile s-au realizat în cadrul proiectului finanțat prin POCA 2014-2020 </w:t>
      </w:r>
      <w:r w:rsidRPr="00A9271F">
        <w:rPr>
          <w:rFonts w:ascii="Trebuchet MS" w:hAnsi="Trebuchet MS" w:cs="Arial"/>
          <w:i/>
          <w:iCs/>
          <w:sz w:val="22"/>
          <w:szCs w:val="22"/>
        </w:rPr>
        <w:t>„Întărirea capacității autorității publice centrale în domeniul apelor în scopul implementării etapelor a 2-a și a 3-a ale Ciclului II al Directivei Inundații – RO-FLOODS</w:t>
      </w:r>
      <w:r w:rsidRPr="00A9271F">
        <w:rPr>
          <w:rFonts w:ascii="Trebuchet MS" w:hAnsi="Trebuchet MS" w:cs="Arial"/>
          <w:sz w:val="22"/>
          <w:szCs w:val="22"/>
        </w:rPr>
        <w:t xml:space="preserve">”, lider de proiect fiind MMAP, ANAR participând în calitate de partener. Proiectul se desfășoară cu asistență tehnică din cadrul Băncii Mondiale.  </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De asemenea, proiectul RO-FLOODS va contribui esențial la atingerea țintelor stabilite și identificate în cadrul Strategiei de Management al Riscului la Inundații, în cadrul proiectului finanțat prin  POCA 2014-2020 </w:t>
      </w:r>
      <w:r w:rsidRPr="00A9271F">
        <w:rPr>
          <w:rFonts w:ascii="Trebuchet MS" w:hAnsi="Trebuchet MS" w:cs="Arial"/>
          <w:i/>
          <w:iCs/>
          <w:sz w:val="22"/>
          <w:szCs w:val="22"/>
        </w:rPr>
        <w:t>„Întărirea capacității autorității publice centrale în domeniul managementului apelor în scopul implementării Strategiei Naționale de Management la Inundații (SNMRI) pe termen mediu și lung</w:t>
      </w:r>
      <w:r w:rsidRPr="00A9271F">
        <w:rPr>
          <w:rFonts w:ascii="Trebuchet MS" w:hAnsi="Trebuchet MS" w:cs="Arial"/>
          <w:sz w:val="22"/>
          <w:szCs w:val="22"/>
        </w:rPr>
        <w:t>”. În cadrul proiectului s-a elabora un document  strategic care vizează modificarea/completarea/ reactualizarea Strategiei Naționale de Management al Riscului la Inundații pe termen mediu și lung, prin adaptarea legislativă la cerințele instituționale actuale</w:t>
      </w:r>
      <w:r w:rsidRPr="00A9271F">
        <w:rPr>
          <w:rStyle w:val="FootnoteReference"/>
          <w:rFonts w:ascii="Trebuchet MS" w:hAnsi="Trebuchet MS" w:cs="Arial"/>
          <w:sz w:val="22"/>
          <w:szCs w:val="22"/>
        </w:rPr>
        <w:footnoteReference w:id="13"/>
      </w:r>
      <w:r w:rsidRPr="00A9271F">
        <w:rPr>
          <w:rFonts w:ascii="Trebuchet MS" w:hAnsi="Trebuchet MS" w:cs="Arial"/>
          <w:sz w:val="22"/>
          <w:szCs w:val="22"/>
        </w:rPr>
        <w:t>.</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În vederea realizării obiectivelor strategice anuale, Guvernul României elaborează și implementează Planul de acţiuni pentru implementarea Programului Naţional de Reformă (PNR) și a Recomandărilor Specifice de Ţară (RST). Programul Naţional de Reformă (PNR) constituie o platformă-cadru pentru definirea priorităţilor de dezvoltare care ghidează evoluţia României pentru perioada 2021 - 2024, în vederea atingerii obiectivelor Strategiei Europa 2020, dar şi pentru definirea unor reforme structurale care să răspundă provocărilor identificate de Comisia Europeană pentru România. Programul Național de Reformă 2023</w:t>
      </w:r>
      <w:r w:rsidRPr="00A9271F">
        <w:rPr>
          <w:rStyle w:val="FootnoteReference"/>
          <w:rFonts w:ascii="Trebuchet MS" w:hAnsi="Trebuchet MS" w:cs="Arial"/>
          <w:sz w:val="22"/>
          <w:szCs w:val="22"/>
        </w:rPr>
        <w:footnoteReference w:id="14"/>
      </w:r>
      <w:r w:rsidRPr="00A9271F">
        <w:rPr>
          <w:rFonts w:ascii="Trebuchet MS" w:hAnsi="Trebuchet MS" w:cs="Arial"/>
          <w:sz w:val="22"/>
          <w:szCs w:val="22"/>
        </w:rPr>
        <w:t xml:space="preserve"> a fost structurat plecând de la cei șase piloni prevăzuți în Regulamentul (UE) 2021/241 de instituire a Mecanismului de Redresare și Reziliență PNR și reflectă atât progresele și prioritățile de acțiune referitoare la implementarea Planului Național de Redresare și Reziliență (PNRR), pe baza rapoartelor bianuale, cât și măsurile întreprinse în afara cadrului PNRR, prin intermediul altor instrumente aflate la dispoziția României. Astfel, PNR oferă o imagine de ansamblu asupra domeniilor urmărite în cadrul Semestrului European și asupra măsurilor menite să contribuie la punerea în aplicare atât a recomandărilor specifice de țară 2019 și 2020, cât și a recomandărilor din 2023.</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Având în vedere contextul de mai sus, PNR 2022 propune intervenții complementare și suplimentare celor din PNRR și oferă o viziune de ansamblu asupra măsurilor implementate sau preconizate a fi adoptate pe termen scurt și mediu de România în domeniile analizate în cadrul Semestrului European (politica fiscal-bugetară, tranziția verde, transformarea digitală, mediul de afaceri și competitivitatea economică, piața muncii, incluziunea socială și combaterea sărăciei, sănătatea, capacitatea administrativă, educația și competențele), abordând aspecte conform Pilonului european al drepturilor sociale și în corelare cu Obiectivele de Dezvoltare Durabilă ale ONU.</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În ceea ce privește managementul apelor, în PNR 2022 sunt monitorizate cu atenție aspectele referitoare la protecţia resurselor de apă, realizarea şi reabilitarea staţiilor de tratare, canalizare şi a staţiilor de epurare, precum și îmbunătăţirea sistemelor de protecţie împotriva riscului de inundaţii. La nivelul anului 2023, aceste documente au fost monitroizate din punctd e vedere al implementării măsurilor și acțiunilor planificate pentru perioada 2021-2024.</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b/>
          <w:bCs/>
          <w:sz w:val="22"/>
          <w:szCs w:val="22"/>
        </w:rPr>
        <w:t>Directiva 2008/56/CE de instituire a unui cadru de acţiune comunitară în domeniul politicii privind mediul marin</w:t>
      </w:r>
      <w:r w:rsidRPr="00A9271F">
        <w:rPr>
          <w:rFonts w:ascii="Trebuchet MS" w:hAnsi="Trebuchet MS" w:cs="Arial"/>
          <w:sz w:val="22"/>
          <w:szCs w:val="22"/>
        </w:rPr>
        <w:t xml:space="preserve"> (</w:t>
      </w:r>
      <w:r w:rsidRPr="00A9271F">
        <w:rPr>
          <w:rFonts w:ascii="Trebuchet MS" w:hAnsi="Trebuchet MS" w:cs="Arial"/>
          <w:b/>
          <w:bCs/>
          <w:sz w:val="22"/>
          <w:szCs w:val="22"/>
        </w:rPr>
        <w:t>Directiva-Cadru „Strategia pentru mediul marin”</w:t>
      </w:r>
      <w:r w:rsidRPr="00A9271F">
        <w:rPr>
          <w:rFonts w:ascii="Trebuchet MS" w:hAnsi="Trebuchet MS" w:cs="Arial"/>
          <w:sz w:val="22"/>
          <w:szCs w:val="22"/>
        </w:rPr>
        <w:t xml:space="preserve">) 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Apă și Directiva Cadru Strategia pentru Mediul Marin sunt strâns interconectate, ceea ce necesită o coordonare a activităților aferente. </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până în anul 2020 și ulterior prin aplicarea excepțiilor. Aceste măsuri sunt necesar a fi elaborate pe baza evaluării inițiale a mediului marin și ținând cont de obiectivele de mediu.</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La nivel național, măsurile propuse în cadrul </w:t>
      </w:r>
      <w:r w:rsidRPr="00A9271F">
        <w:rPr>
          <w:rFonts w:ascii="Trebuchet MS" w:hAnsi="Trebuchet MS" w:cs="Arial"/>
          <w:i/>
          <w:sz w:val="22"/>
          <w:szCs w:val="22"/>
        </w:rPr>
        <w:t xml:space="preserve">Planului de Management al </w:t>
      </w:r>
      <w:r w:rsidRPr="00A9271F">
        <w:rPr>
          <w:rFonts w:ascii="Trebuchet MS" w:hAnsi="Trebuchet MS" w:cs="Arial"/>
          <w:bCs/>
          <w:i/>
          <w:iCs/>
          <w:sz w:val="22"/>
          <w:szCs w:val="22"/>
        </w:rPr>
        <w:t>fluviului Dunărea, Deltei Dunării, Spaţiului hidrografic Dobrogea şi Apelor Costiere</w:t>
      </w:r>
      <w:r w:rsidRPr="00A9271F">
        <w:rPr>
          <w:rFonts w:ascii="Trebuchet MS" w:hAnsi="Trebuchet MS" w:cs="Arial"/>
          <w:sz w:val="22"/>
          <w:szCs w:val="22"/>
        </w:rPr>
        <w:t xml:space="preserve">, pentru implementarea cerințelor Directivei Cadru Apă 2000/60/CE, respectiv măsurile care se adresează poluării cu substanțe periculoase, nutrienți și substanțe organice din surse punctiforme costiere, vor face parte integrantă din </w:t>
      </w:r>
      <w:r w:rsidRPr="00A9271F">
        <w:rPr>
          <w:rFonts w:ascii="Trebuchet MS" w:hAnsi="Trebuchet MS" w:cs="Arial"/>
          <w:i/>
          <w:sz w:val="22"/>
          <w:szCs w:val="22"/>
        </w:rPr>
        <w:t>Programul de Măsuri aferent</w:t>
      </w:r>
      <w:r w:rsidRPr="00A9271F">
        <w:rPr>
          <w:rFonts w:ascii="Trebuchet MS" w:hAnsi="Trebuchet MS" w:cs="Arial"/>
          <w:sz w:val="22"/>
          <w:szCs w:val="22"/>
        </w:rPr>
        <w:t xml:space="preserve"> implementării Directivei Cadru Strategia pentru Mediul Marin.</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Ministerul Mediului, Apelor și Pădurilor derulează începând din luna octombrie 2019, Proiectul </w:t>
      </w:r>
      <w:r w:rsidRPr="00A9271F">
        <w:rPr>
          <w:rFonts w:ascii="Trebuchet MS" w:hAnsi="Trebuchet MS" w:cs="Arial"/>
          <w:b/>
          <w:bCs/>
          <w:sz w:val="22"/>
          <w:szCs w:val="22"/>
        </w:rPr>
        <w:t>”Îmbunătățirea capacității autorității publice centrale în domeniul protecției mediului marin în ceea ce privește monitorizarea, evaluarea, planificarea, implementarea și raportarea cerințelor stabilite în Directiva Cadru Strategia Marină și pentru gospodărirea integrată a zonei costiere</w:t>
      </w:r>
      <w:r w:rsidRPr="00A9271F">
        <w:rPr>
          <w:rFonts w:ascii="Trebuchet MS" w:hAnsi="Trebuchet MS" w:cs="Arial"/>
          <w:sz w:val="22"/>
          <w:szCs w:val="22"/>
        </w:rPr>
        <w:t>”.</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Proiectul derulat de Ministerul Mediului, Apelor și Pădurilor este realizat în parteneriat cu Institutul Național de Cercetare Dezvoltare Marină ”Grigore Antipa” și Administrația Națională „Apele Române” și finanțat prin Programul Operațional Capacitate Administrativă 2014-2020, axa prioritară IP12/2018 Sprijin pentru acțiuni de consolidare a capacității autorităților și instituțiilor publice centrale, obiectivul specific OS 1.1 Dezvoltarea și introducerea de sisteme și standarde comune în administrația publică ce optimizează procesele decizionale orientate către cetățeni și mediul de afaceri în concordanță cu SCAP.  </w:t>
      </w:r>
    </w:p>
    <w:p w:rsidR="00C417FD" w:rsidRPr="00A9271F" w:rsidRDefault="00C417FD" w:rsidP="00802006">
      <w:pPr>
        <w:ind w:firstLine="567"/>
        <w:jc w:val="both"/>
        <w:rPr>
          <w:rFonts w:ascii="Trebuchet MS" w:hAnsi="Trebuchet MS" w:cs="Arial"/>
          <w:sz w:val="22"/>
          <w:szCs w:val="22"/>
        </w:rPr>
      </w:pPr>
      <w:bookmarkStart w:id="131" w:name="_Hlk86153978"/>
      <w:r w:rsidRPr="00A9271F">
        <w:rPr>
          <w:rFonts w:ascii="Trebuchet MS" w:hAnsi="Trebuchet MS" w:cs="Arial"/>
          <w:sz w:val="22"/>
          <w:szCs w:val="22"/>
        </w:rPr>
        <w:t xml:space="preserve"> </w:t>
      </w:r>
      <w:r w:rsidRPr="00A9271F">
        <w:rPr>
          <w:rFonts w:ascii="Trebuchet MS" w:hAnsi="Trebuchet MS" w:cs="Arial"/>
          <w:sz w:val="22"/>
          <w:szCs w:val="22"/>
        </w:rPr>
        <w:tab/>
        <w:t>Obiectivele generale fac referire la contribuția pentru fundamentarea și sprijinirea măsurilor ce vizează consolidarea cadrului instituțional, optimizarea proceselor și pregătirea resurselor umane în vederea îndeplinirii obligațiilor asumate prin legislația UE, în special, în ceea ce privește conformarea cu cerințele Directivei 2008/56/CE a Parlamentului European și a Consiliului din 17 iunie 2008 de instituire a unui cadru de acțiune comunitară în domeniul politicii privind mediul marin (Directiva-cadru Strategia pentru mediul marin), având ca scop consolidarea capacității autorităților și instituțiilor publice din domeniul gospodăririi apelor și protecția mediului marin.</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 </w:t>
      </w:r>
      <w:r w:rsidRPr="00A9271F">
        <w:rPr>
          <w:rFonts w:ascii="Trebuchet MS" w:hAnsi="Trebuchet MS" w:cs="Arial"/>
          <w:sz w:val="22"/>
          <w:szCs w:val="22"/>
        </w:rPr>
        <w:tab/>
        <w:t>Ca și rezultate finale, s-au elaborat: un program de măsuri pentru atingerea obiectivelor Directivei-cadru Strategia pentru mediul marin, respectiv atingerea stării ecologice bune a Mării Negre; Strategia naționale privind gospodărirea integrată a zonei costiere, inclusiv a Planului de gospodărire integrată a zonei costiere</w:t>
      </w:r>
      <w:r w:rsidRPr="00A9271F">
        <w:rPr>
          <w:rStyle w:val="FootnoteReference"/>
          <w:rFonts w:ascii="Trebuchet MS" w:hAnsi="Trebuchet MS" w:cs="Arial"/>
          <w:sz w:val="22"/>
          <w:szCs w:val="22"/>
        </w:rPr>
        <w:footnoteReference w:id="15"/>
      </w:r>
      <w:r w:rsidRPr="00A9271F">
        <w:rPr>
          <w:rFonts w:ascii="Trebuchet MS" w:hAnsi="Trebuchet MS" w:cs="Arial"/>
          <w:sz w:val="22"/>
          <w:szCs w:val="22"/>
        </w:rPr>
        <w:t>, precum și întocmirea unui proiect de Hotărâre de Guvern privind stabilirea programului de monitoring integrat al zonei costiere și elaborarea unui proiect de lege pentru modificarea și completarea OUG 202/2002 privind gospodărirea integrată a zonei costiere</w:t>
      </w:r>
      <w:r w:rsidRPr="00A9271F">
        <w:rPr>
          <w:rStyle w:val="FootnoteReference"/>
          <w:rFonts w:ascii="Trebuchet MS" w:hAnsi="Trebuchet MS" w:cs="Arial"/>
          <w:sz w:val="22"/>
          <w:szCs w:val="22"/>
        </w:rPr>
        <w:footnoteReference w:id="16"/>
      </w:r>
      <w:r w:rsidRPr="00A9271F">
        <w:rPr>
          <w:rFonts w:ascii="Trebuchet MS" w:hAnsi="Trebuchet MS" w:cs="Arial"/>
          <w:sz w:val="22"/>
          <w:szCs w:val="22"/>
        </w:rPr>
        <w:t>.</w:t>
      </w:r>
    </w:p>
    <w:bookmarkEnd w:id="131"/>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În vederea promovării adaptării la schimbările climatice, prevenirii și gestionării riscurilor, prin POIM 2014-2020, Axa Prioritară 5 „Promovarea adaptării la schimbările climatice, prevenirea și gestionarea riscurilor”, pentru reducerea efectelor și a pagubelor asupra populației, cauzate de fenomenele naturale asociate principalelor riscuri accentuate de schimbările climatice, în principal de inundații și eroziune costieră, se desfășoară proiectul “Reducerea eroziunii costiere faza II (2014-2020)”</w:t>
      </w:r>
      <w:r w:rsidRPr="00A9271F">
        <w:rPr>
          <w:rStyle w:val="FootnoteReference"/>
          <w:rFonts w:ascii="Trebuchet MS" w:hAnsi="Trebuchet MS" w:cs="Arial"/>
          <w:sz w:val="22"/>
          <w:szCs w:val="22"/>
        </w:rPr>
        <w:footnoteReference w:id="17"/>
      </w:r>
      <w:r w:rsidRPr="00A9271F">
        <w:rPr>
          <w:rFonts w:ascii="Trebuchet MS" w:hAnsi="Trebuchet MS" w:cs="Arial"/>
          <w:sz w:val="22"/>
          <w:szCs w:val="22"/>
        </w:rPr>
        <w:t xml:space="preserve">, prin care se realizează 30,54 km de plajă/ faleză protejată și vor fi create 226,16 ha de plajă nouă. Scopul acestui proiect este prevenirea eroziunii costiere, prin acțiuni specifice de limitare a efectelor negative ale acesteia asupra zonelor de coastă ale litoralului românesc. Se va sprijini astfel dezvoltarea unui mediu corespunzător creșterii valorii conservative a habitatelor marine în zonele proiectului, asigurarea condițiilor pentru păstrarea și susținerea dezvoltării viitoare a speciilor marine cu valoare conservativă mare. </w:t>
      </w:r>
    </w:p>
    <w:p w:rsidR="00C417FD" w:rsidRPr="00A9271F" w:rsidRDefault="00C417FD" w:rsidP="00802006">
      <w:pPr>
        <w:ind w:firstLine="708"/>
        <w:jc w:val="both"/>
        <w:rPr>
          <w:rFonts w:ascii="Trebuchet MS" w:hAnsi="Trebuchet MS" w:cs="Arial"/>
          <w:sz w:val="22"/>
          <w:szCs w:val="22"/>
        </w:rPr>
      </w:pPr>
      <w:r w:rsidRPr="00A9271F">
        <w:rPr>
          <w:rFonts w:ascii="Trebuchet MS" w:hAnsi="Trebuchet MS" w:cs="Arial"/>
          <w:sz w:val="22"/>
          <w:szCs w:val="22"/>
        </w:rPr>
        <w:t xml:space="preserve">La nivel internațional, măsurile propuse în cadrul </w:t>
      </w:r>
      <w:r w:rsidRPr="00A9271F">
        <w:rPr>
          <w:rFonts w:ascii="Trebuchet MS" w:hAnsi="Trebuchet MS" w:cs="Arial"/>
          <w:i/>
          <w:sz w:val="22"/>
          <w:szCs w:val="22"/>
        </w:rPr>
        <w:t>Planului de Management al Districtului Internațional al Dunării</w:t>
      </w:r>
      <w:r w:rsidRPr="00A9271F">
        <w:rPr>
          <w:rFonts w:ascii="Trebuchet MS" w:hAnsi="Trebuchet MS" w:cs="Arial"/>
          <w:sz w:val="22"/>
          <w:szCs w:val="22"/>
        </w:rPr>
        <w:t xml:space="preserve"> vor contribui în cea mai mare parte la reducerea aportului poluării zonei costiere și marine și vor fi luate în considerare la stabilirea </w:t>
      </w:r>
      <w:r w:rsidRPr="00A9271F">
        <w:rPr>
          <w:rFonts w:ascii="Trebuchet MS" w:hAnsi="Trebuchet MS" w:cs="Arial"/>
          <w:i/>
          <w:sz w:val="22"/>
          <w:szCs w:val="22"/>
        </w:rPr>
        <w:t xml:space="preserve">Programul de Măsuri </w:t>
      </w:r>
      <w:r w:rsidRPr="00A9271F">
        <w:rPr>
          <w:rFonts w:ascii="Trebuchet MS" w:hAnsi="Trebuchet MS" w:cs="Arial"/>
          <w:sz w:val="22"/>
          <w:szCs w:val="22"/>
        </w:rPr>
        <w:t xml:space="preserve">aferent implementării Directivei Cadru Strategia pentru Mediul Marin. În decembrie 2012, </w:t>
      </w:r>
      <w:r w:rsidRPr="00A9271F">
        <w:rPr>
          <w:rFonts w:ascii="Trebuchet MS" w:hAnsi="Trebuchet MS" w:cs="Arial"/>
          <w:b/>
          <w:bCs/>
          <w:sz w:val="22"/>
          <w:szCs w:val="22"/>
        </w:rPr>
        <w:t>Strategia Comisiei Internaționale pentru Protecția Fluviului Dunărea (ICPDR) privind adaptarea la schimbările climatice</w:t>
      </w:r>
      <w:r w:rsidRPr="00A9271F">
        <w:rPr>
          <w:rFonts w:ascii="Trebuchet MS" w:hAnsi="Trebuchet MS" w:cs="Arial"/>
          <w:sz w:val="22"/>
          <w:szCs w:val="22"/>
        </w:rPr>
        <w:t xml:space="preserve"> a fost finalizată și adoptată, aceasta fiind actiualizată în anul 2018</w:t>
      </w:r>
      <w:r w:rsidRPr="00A9271F">
        <w:rPr>
          <w:rStyle w:val="FootnoteReference"/>
          <w:rFonts w:ascii="Trebuchet MS" w:hAnsi="Trebuchet MS" w:cs="Arial"/>
          <w:sz w:val="22"/>
          <w:szCs w:val="22"/>
        </w:rPr>
        <w:footnoteReference w:id="18"/>
      </w:r>
      <w:r w:rsidRPr="00A9271F">
        <w:rPr>
          <w:rFonts w:ascii="Trebuchet MS" w:hAnsi="Trebuchet MS" w:cs="Arial"/>
          <w:sz w:val="22"/>
          <w:szCs w:val="22"/>
        </w:rPr>
        <w:t xml:space="preserve">. Strategia are ca scop oferirea cadrului și orientărilor privind integrarea adaptării la schimbările climatice în procesele de planificare la nivelul bazinului hidrografic al Dunării. În România, Strategia naţională privind schimbările climatice a fost adoptată prin Hotărârea Guvernului nr. 529/2013 pentru aprobarea Strategiei naţionale a României privind schimbările climatice 2013-2020, prin implementarea acesteia urmărindu-se reducerea emisiilor de gaze cu efect de seră și adaptarea la efectele negative, inevitabile ale schimbărilor climatice asupra sistemelor naturale și antropice. În prezent această strategie națională și planul de acțiune aferent se află în curs de actualizare, pentru includerea obiectivelor privind schimbările climatice din cadrul Pactului Ecologic European. </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În vederea stabilirii unor măsuri privind adaptarea la schimbările climatice în perioada 2022-2027 se vor realiza acţiuni importante referitoare la atenuarea și adaptarea managementului apelor la schimbările climatice. Astfel se continuă implementarea acţiunilor de adaptare la nivel naţional, regional și local stabilite în </w:t>
      </w:r>
      <w:r w:rsidRPr="00A9271F">
        <w:rPr>
          <w:rFonts w:ascii="Trebuchet MS" w:hAnsi="Trebuchet MS" w:cs="Arial"/>
          <w:b/>
          <w:bCs/>
          <w:sz w:val="22"/>
          <w:szCs w:val="22"/>
        </w:rPr>
        <w:t>Strategia Națională a României privind Schimbările Climatice</w:t>
      </w:r>
      <w:r w:rsidRPr="00A9271F">
        <w:rPr>
          <w:rFonts w:ascii="Trebuchet MS" w:hAnsi="Trebuchet MS" w:cs="Arial"/>
          <w:sz w:val="22"/>
          <w:szCs w:val="22"/>
        </w:rPr>
        <w:t xml:space="preserve"> </w:t>
      </w:r>
      <w:r w:rsidRPr="00A9271F">
        <w:rPr>
          <w:rFonts w:ascii="Trebuchet MS" w:hAnsi="Trebuchet MS" w:cs="Arial"/>
          <w:b/>
          <w:bCs/>
          <w:sz w:val="22"/>
          <w:szCs w:val="22"/>
        </w:rPr>
        <w:t>2022- 2030 cu perspectiva 2050 (SNASC)</w:t>
      </w:r>
      <w:r w:rsidRPr="00A9271F">
        <w:rPr>
          <w:rStyle w:val="FootnoteReference"/>
          <w:rFonts w:ascii="Trebuchet MS" w:hAnsi="Trebuchet MS" w:cs="Arial"/>
          <w:b/>
          <w:bCs/>
          <w:sz w:val="22"/>
          <w:szCs w:val="22"/>
        </w:rPr>
        <w:footnoteReference w:id="19"/>
      </w:r>
      <w:r w:rsidRPr="00A9271F">
        <w:rPr>
          <w:rFonts w:ascii="Trebuchet MS" w:hAnsi="Trebuchet MS" w:cs="Arial"/>
          <w:sz w:val="22"/>
          <w:szCs w:val="22"/>
        </w:rPr>
        <w:t xml:space="preserve"> și a principalelor acţiuni incluse în </w:t>
      </w:r>
      <w:r w:rsidRPr="00A9271F">
        <w:rPr>
          <w:rFonts w:ascii="Trebuchet MS" w:hAnsi="Trebuchet MS" w:cs="Arial"/>
          <w:b/>
          <w:bCs/>
          <w:sz w:val="22"/>
          <w:szCs w:val="22"/>
        </w:rPr>
        <w:t>Planul pentru implementarea Strategiei Naționale privind Adaptarea la Schimbările Climatice (PNASC)</w:t>
      </w:r>
      <w:r w:rsidRPr="00A9271F">
        <w:rPr>
          <w:rStyle w:val="FootnoteReference"/>
          <w:rFonts w:ascii="Trebuchet MS" w:hAnsi="Trebuchet MS" w:cs="Arial"/>
          <w:b/>
          <w:bCs/>
          <w:sz w:val="22"/>
          <w:szCs w:val="22"/>
        </w:rPr>
        <w:footnoteReference w:id="20"/>
      </w:r>
      <w:r w:rsidRPr="00A9271F">
        <w:rPr>
          <w:rFonts w:ascii="Trebuchet MS" w:hAnsi="Trebuchet MS" w:cs="Arial"/>
          <w:sz w:val="22"/>
          <w:szCs w:val="22"/>
        </w:rPr>
        <w:t xml:space="preserve"> pentru îmbunătăţirea rezistenţei la schimbările climatice în sectoarele legate de apă.</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Acțiunile de atenuare pentru reducerea emisiilor de gaze cu efect de seră se referă în principal la reducerea emisiilor din sectorul alimentării cu apă şi al epurării apelor uzate, iar  acțiunile de adaptare la schimbările climatice pivind apa potabilă şi resursele de apă se referă la reducerea riscului de deficit de apă, reducerea riscului de inundații și creşterea gradului de siguranţă al barajelor şi digurilor. </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 </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Indicele de exploatare al Apei (WEI+) este indicatorul care definește nivelul presiunii pe care activitățile antropogene o exercită asupra resurselor naturale de apă într-un anumit spațiu (sub-bazin hidrografic, bazin hidrografic, teritoriu național și district internațional), în vederea identificării acelor zone predispuse la deficit de apă. Perioada minimă care se ia în considerare pentru calcularea mediei anuale pe termen lung a WEI+ este de 20 ani.</w:t>
      </w:r>
    </w:p>
    <w:p w:rsidR="00C417FD" w:rsidRPr="00A9271F" w:rsidRDefault="00C417FD" w:rsidP="00802006">
      <w:pPr>
        <w:ind w:firstLine="720"/>
        <w:jc w:val="both"/>
        <w:rPr>
          <w:rFonts w:ascii="Trebuchet MS" w:hAnsi="Trebuchet MS" w:cs="Arial"/>
          <w:sz w:val="22"/>
          <w:szCs w:val="22"/>
          <w:lang w:eastAsia="x-none"/>
        </w:rPr>
      </w:pPr>
      <w:r w:rsidRPr="00A9271F">
        <w:rPr>
          <w:rFonts w:ascii="Trebuchet MS" w:hAnsi="Trebuchet MS" w:cs="Arial"/>
          <w:sz w:val="22"/>
          <w:szCs w:val="22"/>
        </w:rPr>
        <w:t>În România, potrivit datelor EUROSTAT, indicele de exploatare al apei WEI+ pentru România se află sub limita de 20% care constituie pragul de vertizare pentru deficitul de apă și cu mult sub 40% care constituie limita pentru deficitul sever de apă. Astfel, d</w:t>
      </w:r>
      <w:r w:rsidRPr="00A9271F">
        <w:rPr>
          <w:rFonts w:ascii="Trebuchet MS" w:hAnsi="Trebuchet MS" w:cs="Arial"/>
          <w:sz w:val="22"/>
          <w:szCs w:val="22"/>
          <w:lang w:eastAsia="x-none"/>
        </w:rPr>
        <w:t>in datele transmise în perioada 1990-2017 de România la Eurostat și preluate de către Agenția Europenă de Mediu a reieșit faptul că la nivelul  României a fost identificat un stres/deficit relativ scăzut al apei, valoarea medie anuală a WEI+ situându-se în jurul unor valori minime de 1,6 % în anii 2005-2006 și o valoare maximă de 17,5 % în anul 1990 (</w:t>
      </w:r>
      <w:r w:rsidRPr="00A9271F">
        <w:rPr>
          <w:rFonts w:ascii="Trebuchet MS" w:hAnsi="Trebuchet MS" w:cs="Arial"/>
          <w:i/>
          <w:iCs/>
          <w:sz w:val="22"/>
          <w:szCs w:val="22"/>
          <w:lang w:eastAsia="x-none"/>
        </w:rPr>
        <w:t>Figura II.2.4.2</w:t>
      </w:r>
      <w:r w:rsidRPr="00A9271F">
        <w:rPr>
          <w:rFonts w:ascii="Trebuchet MS" w:hAnsi="Trebuchet MS" w:cs="Arial"/>
          <w:sz w:val="22"/>
          <w:szCs w:val="22"/>
          <w:lang w:eastAsia="x-none"/>
        </w:rPr>
        <w:t>).</w:t>
      </w:r>
    </w:p>
    <w:p w:rsidR="00C417FD" w:rsidRPr="003E0A3B" w:rsidRDefault="00C417FD" w:rsidP="00C417FD">
      <w:pPr>
        <w:spacing w:before="120" w:after="120" w:line="25" w:lineRule="atLeast"/>
        <w:jc w:val="center"/>
        <w:rPr>
          <w:rFonts w:ascii="Trebuchet MS" w:hAnsi="Trebuchet MS" w:cs="Arial"/>
        </w:rPr>
      </w:pPr>
      <w:r>
        <w:rPr>
          <w:rFonts w:ascii="Trebuchet MS" w:hAnsi="Trebuchet MS" w:cs="Arial"/>
          <w:noProof/>
          <w:lang w:val="en-US"/>
        </w:rPr>
        <w:drawing>
          <wp:inline distT="0" distB="0" distL="0" distR="0" wp14:anchorId="498EBC62" wp14:editId="03DDE734">
            <wp:extent cx="5905500" cy="30861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05500" cy="3086100"/>
                    </a:xfrm>
                    <a:prstGeom prst="rect">
                      <a:avLst/>
                    </a:prstGeom>
                    <a:noFill/>
                    <a:ln>
                      <a:noFill/>
                    </a:ln>
                  </pic:spPr>
                </pic:pic>
              </a:graphicData>
            </a:graphic>
          </wp:inline>
        </w:drawing>
      </w:r>
    </w:p>
    <w:p w:rsidR="00C417FD" w:rsidRPr="003E0A3B" w:rsidRDefault="00C417FD" w:rsidP="00802006">
      <w:pPr>
        <w:spacing w:before="120" w:after="120"/>
        <w:jc w:val="center"/>
        <w:rPr>
          <w:rFonts w:ascii="Trebuchet MS" w:hAnsi="Trebuchet MS" w:cs="Arial"/>
          <w:b/>
          <w:bCs/>
          <w:i/>
          <w:iCs/>
          <w:lang w:eastAsia="x-none"/>
        </w:rPr>
      </w:pPr>
      <w:r w:rsidRPr="003E0A3B">
        <w:rPr>
          <w:rFonts w:ascii="Trebuchet MS" w:hAnsi="Trebuchet MS" w:cs="Arial"/>
          <w:b/>
          <w:bCs/>
          <w:i/>
          <w:iCs/>
          <w:lang w:eastAsia="x-none"/>
        </w:rPr>
        <w:t xml:space="preserve">Figura II.2.4.2 </w:t>
      </w:r>
      <w:r w:rsidRPr="003E0A3B">
        <w:rPr>
          <w:rFonts w:ascii="Trebuchet MS" w:hAnsi="Trebuchet MS" w:cs="Arial"/>
          <w:b/>
          <w:bCs/>
          <w:lang w:eastAsia="x-none"/>
        </w:rPr>
        <w:t>Evoluția WEI+ în România în perioada 1990-2017</w:t>
      </w:r>
    </w:p>
    <w:p w:rsidR="00C417FD" w:rsidRPr="003E0A3B" w:rsidRDefault="00C417FD" w:rsidP="00802006">
      <w:pPr>
        <w:rPr>
          <w:rFonts w:ascii="Trebuchet MS" w:hAnsi="Trebuchet MS" w:cs="Arial"/>
          <w:sz w:val="20"/>
          <w:szCs w:val="20"/>
        </w:rPr>
      </w:pPr>
      <w:r w:rsidRPr="003E0A3B">
        <w:rPr>
          <w:rFonts w:ascii="Trebuchet MS" w:hAnsi="Trebuchet MS" w:cs="Arial"/>
          <w:sz w:val="20"/>
          <w:szCs w:val="20"/>
        </w:rPr>
        <w:t xml:space="preserve">Sursa datelor: EUROSTAT, Development of the water exploitation index plus (WEI+), </w:t>
      </w:r>
      <w:hyperlink r:id="rId131" w:anchor="tab-chart_3" w:history="1">
        <w:r w:rsidRPr="003E0A3B">
          <w:rPr>
            <w:rStyle w:val="Hyperlink"/>
            <w:rFonts w:ascii="Trebuchet MS" w:hAnsi="Trebuchet MS" w:cs="Arial"/>
            <w:sz w:val="20"/>
            <w:szCs w:val="20"/>
          </w:rPr>
          <w:t>https://www.eea.europa.eu/data-and-maps/daviz/water-exploitation-index-plus#tab-chart_3</w:t>
        </w:r>
      </w:hyperlink>
      <w:r w:rsidRPr="003E0A3B">
        <w:rPr>
          <w:rFonts w:ascii="Trebuchet MS" w:hAnsi="Trebuchet MS" w:cs="Arial"/>
          <w:sz w:val="20"/>
          <w:szCs w:val="20"/>
        </w:rPr>
        <w:t xml:space="preserve"> </w:t>
      </w:r>
    </w:p>
    <w:p w:rsidR="00C417FD" w:rsidRPr="003E0A3B" w:rsidRDefault="00C417FD" w:rsidP="00802006">
      <w:pPr>
        <w:ind w:firstLine="567"/>
        <w:jc w:val="both"/>
        <w:rPr>
          <w:rFonts w:ascii="Trebuchet MS" w:hAnsi="Trebuchet MS" w:cs="Arial"/>
        </w:rPr>
      </w:pP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Calculele anuale ale WEI+ la nivel național nu reflectă distribuția spațială și sezonieră inegală a resurselor și, prin urmare, pot masca stresul hidric care are loc pe o bază sezonieră sau regională.</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În ceea ce privește prelevarea de apă pentru utilizare în scop potabil, la nivelul anului 2018 în România s-au utilizat cca. 46 m</w:t>
      </w:r>
      <w:r w:rsidRPr="00A9271F">
        <w:rPr>
          <w:rFonts w:ascii="Trebuchet MS" w:hAnsi="Trebuchet MS" w:cs="Arial"/>
          <w:sz w:val="22"/>
          <w:szCs w:val="22"/>
          <w:vertAlign w:val="superscript"/>
        </w:rPr>
        <w:t>3</w:t>
      </w:r>
      <w:r w:rsidRPr="00A9271F">
        <w:rPr>
          <w:rFonts w:ascii="Trebuchet MS" w:hAnsi="Trebuchet MS" w:cs="Arial"/>
          <w:sz w:val="22"/>
          <w:szCs w:val="22"/>
        </w:rPr>
        <w:t>/locuitor (Figura II. 2.4.3), ceea ce plasează România printre țările cu un consum mediu la nivel european.</w:t>
      </w:r>
    </w:p>
    <w:p w:rsidR="00C417FD" w:rsidRPr="00A9271F" w:rsidRDefault="00C417FD" w:rsidP="00802006">
      <w:pPr>
        <w:rPr>
          <w:rFonts w:ascii="Trebuchet MS" w:hAnsi="Trebuchet MS" w:cs="Arial"/>
          <w:b/>
          <w:bCs/>
          <w:i/>
          <w:iCs/>
          <w:sz w:val="22"/>
          <w:szCs w:val="22"/>
          <w:lang w:eastAsia="x-none"/>
        </w:rPr>
      </w:pPr>
    </w:p>
    <w:p w:rsidR="00C417FD" w:rsidRPr="003E0A3B" w:rsidRDefault="00C417FD" w:rsidP="00C417FD">
      <w:pPr>
        <w:spacing w:before="120" w:after="120" w:line="25" w:lineRule="atLeast"/>
        <w:jc w:val="center"/>
        <w:rPr>
          <w:rFonts w:ascii="Trebuchet MS" w:hAnsi="Trebuchet MS" w:cs="Arial"/>
        </w:rPr>
      </w:pPr>
      <w:r>
        <w:rPr>
          <w:rFonts w:ascii="Trebuchet MS" w:hAnsi="Trebuchet MS" w:cs="Arial"/>
          <w:noProof/>
          <w:lang w:val="en-US"/>
        </w:rPr>
        <w:drawing>
          <wp:inline distT="0" distB="0" distL="0" distR="0" wp14:anchorId="72FB6312" wp14:editId="311497AF">
            <wp:extent cx="5143500" cy="3829050"/>
            <wp:effectExtent l="19050" t="19050" r="19050" b="190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2">
                      <a:extLst>
                        <a:ext uri="{28A0092B-C50C-407E-A947-70E740481C1C}">
                          <a14:useLocalDpi xmlns:a14="http://schemas.microsoft.com/office/drawing/2010/main" val="0"/>
                        </a:ext>
                      </a:extLst>
                    </a:blip>
                    <a:srcRect l="1437"/>
                    <a:stretch>
                      <a:fillRect/>
                    </a:stretch>
                  </pic:blipFill>
                  <pic:spPr bwMode="auto">
                    <a:xfrm>
                      <a:off x="0" y="0"/>
                      <a:ext cx="5143500" cy="3829050"/>
                    </a:xfrm>
                    <a:prstGeom prst="rect">
                      <a:avLst/>
                    </a:prstGeom>
                    <a:noFill/>
                    <a:ln w="6350" cmpd="sng">
                      <a:solidFill>
                        <a:srgbClr val="000000"/>
                      </a:solidFill>
                      <a:miter lim="800000"/>
                      <a:headEnd/>
                      <a:tailEnd/>
                    </a:ln>
                    <a:effectLst/>
                  </pic:spPr>
                </pic:pic>
              </a:graphicData>
            </a:graphic>
          </wp:inline>
        </w:drawing>
      </w:r>
    </w:p>
    <w:p w:rsidR="00C417FD" w:rsidRPr="003E0A3B" w:rsidRDefault="00C417FD" w:rsidP="00C417FD">
      <w:pPr>
        <w:spacing w:line="25" w:lineRule="atLeast"/>
        <w:jc w:val="center"/>
        <w:rPr>
          <w:rFonts w:ascii="Trebuchet MS" w:hAnsi="Trebuchet MS" w:cs="Arial"/>
        </w:rPr>
      </w:pPr>
      <w:r w:rsidRPr="003E0A3B">
        <w:rPr>
          <w:rFonts w:ascii="Trebuchet MS" w:hAnsi="Trebuchet MS" w:cs="Arial"/>
          <w:b/>
          <w:bCs/>
          <w:i/>
          <w:iCs/>
          <w:lang w:eastAsia="x-none"/>
        </w:rPr>
        <w:t xml:space="preserve">Figura II. 2.4.3 </w:t>
      </w:r>
      <w:r w:rsidRPr="003E0A3B">
        <w:rPr>
          <w:rFonts w:ascii="Trebuchet MS" w:hAnsi="Trebuchet MS" w:cs="Arial"/>
          <w:b/>
          <w:bCs/>
          <w:i/>
          <w:iCs/>
        </w:rPr>
        <w:t>Prelevarea de apă pentru utilizare în scop potabil la nivel european</w:t>
      </w:r>
    </w:p>
    <w:p w:rsidR="00C417FD" w:rsidRPr="003E0A3B" w:rsidRDefault="00C417FD" w:rsidP="00C417FD">
      <w:pPr>
        <w:spacing w:line="25" w:lineRule="atLeast"/>
        <w:jc w:val="both"/>
        <w:rPr>
          <w:rFonts w:ascii="Trebuchet MS" w:hAnsi="Trebuchet MS" w:cs="Arial"/>
          <w:sz w:val="20"/>
          <w:szCs w:val="20"/>
        </w:rPr>
      </w:pPr>
      <w:r w:rsidRPr="003E0A3B">
        <w:rPr>
          <w:rFonts w:ascii="Trebuchet MS" w:hAnsi="Trebuchet MS" w:cs="Arial"/>
          <w:sz w:val="20"/>
          <w:szCs w:val="20"/>
        </w:rPr>
        <w:t xml:space="preserve">Sursa datelor: EUROSTAT, Annual freshwater abstraction by source and sector (https://ec.europa.eu/eurostat/web/products-datasets/-/env_wat_abs) </w:t>
      </w:r>
    </w:p>
    <w:p w:rsidR="00C417FD" w:rsidRPr="00802006" w:rsidRDefault="00C417FD" w:rsidP="00802006">
      <w:pPr>
        <w:ind w:firstLine="567"/>
        <w:jc w:val="both"/>
        <w:rPr>
          <w:rFonts w:ascii="Trebuchet MS" w:hAnsi="Trebuchet MS" w:cs="Arial"/>
        </w:rPr>
      </w:pP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Potrivit raportului Băncii Mondiale</w:t>
      </w:r>
      <w:r w:rsidRPr="00A9271F">
        <w:rPr>
          <w:rStyle w:val="FootnoteReference"/>
          <w:rFonts w:ascii="Trebuchet MS" w:hAnsi="Trebuchet MS" w:cs="Arial"/>
          <w:sz w:val="22"/>
          <w:szCs w:val="22"/>
        </w:rPr>
        <w:footnoteReference w:id="21"/>
      </w:r>
      <w:r w:rsidRPr="00A9271F">
        <w:rPr>
          <w:rFonts w:ascii="Trebuchet MS" w:hAnsi="Trebuchet MS" w:cs="Arial"/>
          <w:sz w:val="22"/>
          <w:szCs w:val="22"/>
        </w:rPr>
        <w:t>, ”dintre țările din bazinul Dunării, se preconizează că România va fi cea mai afectată de schimbările climatice în ansamblu”. [...] este așteptată o creștere a frecvenţei și magnitudinii secetelor în mai multe zone ale ţării, în special în zona sud-estică, care are cea mai mare concentraţie de terenuri arabile și infrastructură de irigaţii în ţară. Un climat semi-arid se va instala treptat aici în următoarele două-trei decenii.</w:t>
      </w:r>
    </w:p>
    <w:p w:rsidR="00C417FD" w:rsidRPr="00A9271F" w:rsidRDefault="00C417FD" w:rsidP="00802006">
      <w:pPr>
        <w:autoSpaceDE w:val="0"/>
        <w:autoSpaceDN w:val="0"/>
        <w:adjustRightInd w:val="0"/>
        <w:ind w:firstLine="720"/>
        <w:jc w:val="both"/>
        <w:rPr>
          <w:rFonts w:ascii="Trebuchet MS" w:hAnsi="Trebuchet MS" w:cs="Arial"/>
          <w:sz w:val="22"/>
          <w:szCs w:val="22"/>
        </w:rPr>
      </w:pPr>
      <w:r w:rsidRPr="00A9271F">
        <w:rPr>
          <w:rFonts w:ascii="Trebuchet MS" w:hAnsi="Trebuchet MS" w:cs="Arial"/>
          <w:sz w:val="22"/>
          <w:szCs w:val="22"/>
        </w:rPr>
        <w:t>Seceta hidrologică se manifestă prin menținerea unui deficit al resurselor de apă pe o perioadă relativ îndelungată și continuă. Seceta hidrologică are ca efect scăderea debitelor râurilor fiind rezultatul acțiunii conjugate și simultane a unui complex de cauze (scăderea cantității de precipitații, creșterea temperaturii aerului, scăderea nivelului apelor freatice). Seceta hidrologică ia în considerare persistenţa debitelor mici, a volumelor mici de apă din lacurile de acumulare, a nivelurilor scăzute a apelor subterane din ultimele luni sau ani. Deşi seceta hidrologică este un fenomen natural, ea poate fi accentuată ca urmare a activităţilor umane. De regulă, seceta hidrologică este în strânsă legatură cu seceta meteorologică între care există o relaţie directă. Valorile tendințelor de secetă hidrologică în România, determinate pe baza indicelui Palmer, sugerează existența unei tendințe de secetă de la moderată la extremă pe areale din vestul extrem, Câmpia Română, Bărăgan și nordul Dobrogei și a unei tendințe spre excedent (surplus de apă) de la moderat la extrem al resurselor de apă în regiuni din nord-vestul României și sudul Dobrogei, mai ales în vestul extrem și sud-vestul României. Pe baza scenariilor climatice previzible pentru perioadele 2011-2040 şi 2021-2050 şi efectele cuantificabile asupra temperaturii medii multianuale şi precipitațiilor medii multianuale în România, bazinele hidrografice identificate ca fiind supuse, în mod frecvent, fenomenului de secetă hidrologică, atât în prezent cât și în viitor luând în considerare efectele schimbărilor climatice, sunt cele care se află pe teritoriul Administrațiilor Bazinale de Apă Jiu, Olt, Argeş – Vedea,  Ialomiţa -Buzău, Siret, Prut – Bârlad şi Dobrogea – Litoral.</w:t>
      </w:r>
    </w:p>
    <w:p w:rsidR="00C417FD" w:rsidRPr="00A9271F" w:rsidRDefault="00C417FD" w:rsidP="00802006">
      <w:pPr>
        <w:autoSpaceDE w:val="0"/>
        <w:autoSpaceDN w:val="0"/>
        <w:adjustRightInd w:val="0"/>
        <w:ind w:firstLine="720"/>
        <w:jc w:val="both"/>
        <w:rPr>
          <w:rFonts w:ascii="Trebuchet MS" w:hAnsi="Trebuchet MS" w:cs="Arial"/>
          <w:bCs/>
          <w:sz w:val="22"/>
          <w:szCs w:val="22"/>
        </w:rPr>
      </w:pPr>
      <w:r w:rsidRPr="00A9271F">
        <w:rPr>
          <w:rFonts w:ascii="Trebuchet MS" w:hAnsi="Trebuchet MS" w:cs="Arial"/>
          <w:bCs/>
          <w:sz w:val="22"/>
          <w:szCs w:val="22"/>
        </w:rPr>
        <w:t>În România, în cadrul</w:t>
      </w:r>
      <w:r w:rsidRPr="00A9271F">
        <w:rPr>
          <w:rFonts w:ascii="Trebuchet MS" w:hAnsi="Trebuchet MS" w:cs="Arial"/>
          <w:b/>
          <w:bCs/>
          <w:sz w:val="22"/>
          <w:szCs w:val="22"/>
        </w:rPr>
        <w:t xml:space="preserve"> </w:t>
      </w:r>
      <w:bookmarkStart w:id="132" w:name="_Hlk75341217"/>
      <w:r w:rsidRPr="00A9271F">
        <w:rPr>
          <w:rFonts w:ascii="Trebuchet MS" w:hAnsi="Trebuchet MS" w:cs="Arial"/>
          <w:b/>
          <w:bCs/>
          <w:i/>
          <w:sz w:val="22"/>
          <w:szCs w:val="22"/>
        </w:rPr>
        <w:t>Strategiei naţionale privind reducerea efectelor secetei, prevenirea şi combaterea degradării terenurilor şi deşertificării, pe termen scurt, mediu şi lung</w:t>
      </w:r>
      <w:bookmarkEnd w:id="132"/>
      <w:r w:rsidRPr="00A9271F">
        <w:rPr>
          <w:rFonts w:ascii="Trebuchet MS" w:hAnsi="Trebuchet MS" w:cs="Arial"/>
          <w:b/>
          <w:bCs/>
          <w:sz w:val="22"/>
          <w:szCs w:val="22"/>
        </w:rPr>
        <w:t xml:space="preserve"> </w:t>
      </w:r>
      <w:r w:rsidRPr="00A9271F">
        <w:rPr>
          <w:rFonts w:ascii="Trebuchet MS" w:hAnsi="Trebuchet MS" w:cs="Arial"/>
          <w:bCs/>
          <w:sz w:val="22"/>
          <w:szCs w:val="22"/>
        </w:rPr>
        <w:t xml:space="preserve">sunt menţionate măsuri care să permită gestionarea situaţiilor de urgenţă generate de secetă hidrologică. Scopul general al </w:t>
      </w:r>
      <w:r w:rsidRPr="00A9271F">
        <w:rPr>
          <w:rFonts w:ascii="Trebuchet MS" w:hAnsi="Trebuchet MS" w:cs="Arial"/>
          <w:bCs/>
          <w:i/>
          <w:sz w:val="22"/>
          <w:szCs w:val="22"/>
        </w:rPr>
        <w:t>Strategiei</w:t>
      </w:r>
      <w:r w:rsidRPr="00A9271F">
        <w:rPr>
          <w:rFonts w:ascii="Trebuchet MS" w:hAnsi="Trebuchet MS" w:cs="Arial"/>
          <w:bCs/>
          <w:sz w:val="22"/>
          <w:szCs w:val="22"/>
        </w:rPr>
        <w:t xml:space="preserve"> este de a indica acţiunile de întreprins pe termen scurt, mediu şi lung, pentru a reduce vulnerabilitatea comunităţilor locale, ecosistemelor naturale şi a activităţilor socio-economice şi de a diminua efectele de ordin social, economic şi de mediu ale acestora. </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Gestionarea situațiilor de urgență generate de seceta hidrologică este stabilită prin </w:t>
      </w:r>
      <w:r w:rsidRPr="00A9271F">
        <w:rPr>
          <w:rFonts w:ascii="Trebuchet MS" w:hAnsi="Trebuchet MS" w:cs="Arial"/>
          <w:b/>
          <w:bCs/>
          <w:sz w:val="22"/>
          <w:szCs w:val="22"/>
        </w:rPr>
        <w:t xml:space="preserve">Regulamentul privind gestionarea situațiilor de urgență generate de inundații, fenomene periculoase, accidente la construcții hidrotehnice și poluări accidentale, </w:t>
      </w:r>
      <w:r w:rsidRPr="00A9271F">
        <w:rPr>
          <w:rFonts w:ascii="Trebuchet MS" w:hAnsi="Trebuchet MS" w:cs="Arial"/>
          <w:sz w:val="22"/>
          <w:szCs w:val="22"/>
        </w:rPr>
        <w:t>aprobat prin Ordinul comun al ministrului mediului, apelor și pădurilor și ministrul administrației și internelor nr. 1422/192/2012,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 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Fiecare bazin/spațiu hidrografic întocmește </w:t>
      </w:r>
      <w:r w:rsidRPr="00A9271F">
        <w:rPr>
          <w:rFonts w:ascii="Trebuchet MS" w:hAnsi="Trebuchet MS" w:cs="Arial"/>
          <w:b/>
          <w:bCs/>
          <w:sz w:val="22"/>
          <w:szCs w:val="22"/>
        </w:rPr>
        <w:t>“Planuri de restricţii şi folosire a apei în perioade deficitare“</w:t>
      </w:r>
      <w:r w:rsidRPr="00A9271F">
        <w:rPr>
          <w:rFonts w:ascii="Trebuchet MS" w:hAnsi="Trebuchet MS" w:cs="Arial"/>
          <w:sz w:val="22"/>
          <w:szCs w:val="22"/>
        </w:rPr>
        <w:t>,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are ca scop stabilirea restricţiilor temporare în folosirea apelor în situaţiile când din cauze obiective (secetă/calamităţi naturale) debitele de apă contractate nu pot fi asigurate tuturor utilizatorilor. Astfel, fiecare bazin/spațiu hidrografic întocmește “Planuri de restricţii şi folosire a apei în perioade deficitare“, cu termene și responsabilități, care se actualizează ori de câte ori este necesar.</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În vederea adoptării celor mai potrivite decizii de restricţionare, care să conducă la pagube cât mai mici folosinţelor ale căror capacităţi de funcţionare sunt afectate şi pe ansamblul economiei naţionale, la întocmirea planului de restricţii, pentru fiecare sector de curs se pot lua în considerare următoarele criterii: </w:t>
      </w:r>
    </w:p>
    <w:p w:rsidR="00C417FD" w:rsidRPr="00A9271F" w:rsidRDefault="00C417FD" w:rsidP="00802006">
      <w:pPr>
        <w:numPr>
          <w:ilvl w:val="0"/>
          <w:numId w:val="87"/>
        </w:numPr>
        <w:ind w:left="360" w:hanging="270"/>
        <w:jc w:val="both"/>
        <w:rPr>
          <w:rFonts w:ascii="Trebuchet MS" w:hAnsi="Trebuchet MS" w:cs="Arial"/>
          <w:sz w:val="22"/>
          <w:szCs w:val="22"/>
        </w:rPr>
      </w:pPr>
      <w:r w:rsidRPr="00A9271F">
        <w:rPr>
          <w:rFonts w:ascii="Trebuchet MS" w:hAnsi="Trebuchet MS" w:cs="Arial"/>
          <w:sz w:val="22"/>
          <w:szCs w:val="22"/>
        </w:rPr>
        <w:t xml:space="preserve">reducerea în trepte a debitelor captate pentru irigaţii, ţinându-se seama de posibilităţile practice (reducerea la circa 50% a debitelor pentru culturile de câmp; reducerea totală a debitelor pentru culturile de orez; reducerea totală a debitelor pentru culturile de câmp şi culturile de orez şi satisfacerea cerinţelor numai pentru culturile de legume); </w:t>
      </w:r>
    </w:p>
    <w:p w:rsidR="00C417FD" w:rsidRPr="00A9271F" w:rsidRDefault="00C417FD" w:rsidP="00802006">
      <w:pPr>
        <w:numPr>
          <w:ilvl w:val="0"/>
          <w:numId w:val="87"/>
        </w:numPr>
        <w:ind w:left="360" w:hanging="270"/>
        <w:jc w:val="both"/>
        <w:rPr>
          <w:rFonts w:ascii="Trebuchet MS" w:hAnsi="Trebuchet MS" w:cs="Arial"/>
          <w:sz w:val="22"/>
          <w:szCs w:val="22"/>
        </w:rPr>
      </w:pPr>
      <w:r w:rsidRPr="00A9271F">
        <w:rPr>
          <w:rFonts w:ascii="Trebuchet MS" w:hAnsi="Trebuchet MS" w:cs="Arial"/>
          <w:sz w:val="22"/>
          <w:szCs w:val="22"/>
        </w:rPr>
        <w:t xml:space="preserve">reducerea temporară, cu maximum până la 50%, a debitului minim pentru curgerea salubră; </w:t>
      </w:r>
    </w:p>
    <w:p w:rsidR="00C417FD" w:rsidRPr="00A9271F" w:rsidRDefault="00C417FD" w:rsidP="00802006">
      <w:pPr>
        <w:numPr>
          <w:ilvl w:val="0"/>
          <w:numId w:val="87"/>
        </w:numPr>
        <w:ind w:left="360" w:hanging="270"/>
        <w:jc w:val="both"/>
        <w:rPr>
          <w:rFonts w:ascii="Trebuchet MS" w:hAnsi="Trebuchet MS" w:cs="Arial"/>
          <w:sz w:val="22"/>
          <w:szCs w:val="22"/>
        </w:rPr>
      </w:pPr>
      <w:r w:rsidRPr="00A9271F">
        <w:rPr>
          <w:rFonts w:ascii="Trebuchet MS" w:hAnsi="Trebuchet MS" w:cs="Arial"/>
          <w:sz w:val="22"/>
          <w:szCs w:val="22"/>
        </w:rPr>
        <w:t xml:space="preserve">diminuarea debitelor alocate amenajărilor piscicole; </w:t>
      </w:r>
    </w:p>
    <w:p w:rsidR="00C417FD" w:rsidRPr="00A9271F" w:rsidRDefault="00C417FD" w:rsidP="00802006">
      <w:pPr>
        <w:numPr>
          <w:ilvl w:val="0"/>
          <w:numId w:val="87"/>
        </w:numPr>
        <w:ind w:left="360" w:hanging="270"/>
        <w:jc w:val="both"/>
        <w:rPr>
          <w:rFonts w:ascii="Trebuchet MS" w:hAnsi="Trebuchet MS" w:cs="Arial"/>
          <w:sz w:val="22"/>
          <w:szCs w:val="22"/>
        </w:rPr>
      </w:pPr>
      <w:r w:rsidRPr="00A9271F">
        <w:rPr>
          <w:rFonts w:ascii="Trebuchet MS" w:hAnsi="Trebuchet MS" w:cs="Arial"/>
          <w:sz w:val="22"/>
          <w:szCs w:val="22"/>
        </w:rPr>
        <w:t xml:space="preserve">reducerea în trepte a debitelor pentru folosinţele industriale (după epuizarea posibilităţilor de raţionalizare a folosirii apei, inclusiv efectuarea de revizii, reparaţii etc.), conform programelor preliminare de restricţii elaborate de beneficiari; </w:t>
      </w:r>
    </w:p>
    <w:p w:rsidR="00C417FD" w:rsidRPr="00A9271F" w:rsidRDefault="00C417FD" w:rsidP="00802006">
      <w:pPr>
        <w:numPr>
          <w:ilvl w:val="0"/>
          <w:numId w:val="87"/>
        </w:numPr>
        <w:ind w:left="360" w:hanging="270"/>
        <w:jc w:val="both"/>
        <w:rPr>
          <w:rFonts w:ascii="Trebuchet MS" w:hAnsi="Trebuchet MS" w:cs="Arial"/>
          <w:sz w:val="22"/>
          <w:szCs w:val="22"/>
        </w:rPr>
      </w:pPr>
      <w:r w:rsidRPr="00A9271F">
        <w:rPr>
          <w:rFonts w:ascii="Trebuchet MS" w:hAnsi="Trebuchet MS" w:cs="Arial"/>
          <w:sz w:val="22"/>
          <w:szCs w:val="22"/>
        </w:rPr>
        <w:t xml:space="preserve">restricţionarea parţială sau totală a alimentării cu apă a unităţilor industriale cu pondere mai mare în procesul de poluare a apelor; </w:t>
      </w:r>
    </w:p>
    <w:p w:rsidR="00C417FD" w:rsidRPr="00A9271F" w:rsidRDefault="00C417FD" w:rsidP="00802006">
      <w:pPr>
        <w:numPr>
          <w:ilvl w:val="0"/>
          <w:numId w:val="87"/>
        </w:numPr>
        <w:ind w:left="360" w:hanging="270"/>
        <w:jc w:val="both"/>
        <w:rPr>
          <w:rFonts w:ascii="Trebuchet MS" w:hAnsi="Trebuchet MS" w:cs="Arial"/>
          <w:sz w:val="22"/>
          <w:szCs w:val="22"/>
        </w:rPr>
      </w:pPr>
      <w:r w:rsidRPr="00A9271F">
        <w:rPr>
          <w:rFonts w:ascii="Trebuchet MS" w:hAnsi="Trebuchet MS" w:cs="Arial"/>
          <w:sz w:val="22"/>
          <w:szCs w:val="22"/>
        </w:rPr>
        <w:t>restricţionarea intermitentă a alimentării cu apă a centrelor populate, a unităţilor de deservire a populaţiei, precum şi a unităţilor zootehnice.</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Etapele de restricţii se vor stabili ţinându-se seama şi de amploarea deficitelor de calcul, respectiv de gradul de asigurare de calcul privind satisfacerea diferitelor categorii de cerinţe de apă, iar mărimea debitelor alocate se va determina astfel încât efectul lipsei de apă la folosinţele din bazinul considerat, cât şi la alte folosinţe influenţate/ condiţionate de acestea să fie minime.</w:t>
      </w:r>
    </w:p>
    <w:p w:rsidR="00C417FD" w:rsidRPr="00A9271F" w:rsidRDefault="00C417FD" w:rsidP="00802006">
      <w:pPr>
        <w:ind w:firstLine="562"/>
        <w:jc w:val="both"/>
        <w:rPr>
          <w:rFonts w:ascii="Trebuchet MS" w:hAnsi="Trebuchet MS" w:cs="Arial"/>
          <w:sz w:val="22"/>
          <w:szCs w:val="22"/>
        </w:rPr>
      </w:pPr>
      <w:r w:rsidRPr="00A9271F">
        <w:rPr>
          <w:rFonts w:ascii="Trebuchet MS" w:hAnsi="Trebuchet MS" w:cs="Arial"/>
          <w:sz w:val="22"/>
          <w:szCs w:val="22"/>
        </w:rPr>
        <w:t>La nivelul districtului bazinului hidrografic al Dunării, cât și în România, sunt planificate sau sunt deja în curs de implementare măsuri specifice pentru adaptarea la schimbările climatice referitoare la deficitul de apă,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aplicarea de instrumente de stimulare (principiul utilizatorul plătește, penalități pentru consum excesiv), etc. În ceea ce privește managementul apelor și seceta, se are în vedere aplicarea de măsuri specifice la nivel național și bazinal, cum ar fi:</w:t>
      </w:r>
    </w:p>
    <w:p w:rsidR="00C417FD" w:rsidRPr="00A9271F" w:rsidRDefault="00C417FD" w:rsidP="00802006">
      <w:pPr>
        <w:numPr>
          <w:ilvl w:val="0"/>
          <w:numId w:val="71"/>
        </w:numPr>
        <w:ind w:left="360"/>
        <w:jc w:val="both"/>
        <w:rPr>
          <w:rFonts w:ascii="Trebuchet MS" w:hAnsi="Trebuchet MS" w:cs="Arial"/>
          <w:sz w:val="22"/>
          <w:szCs w:val="22"/>
        </w:rPr>
      </w:pPr>
      <w:r w:rsidRPr="00A9271F">
        <w:rPr>
          <w:rFonts w:ascii="Trebuchet MS" w:hAnsi="Trebuchet MS" w:cs="Arial"/>
          <w:sz w:val="22"/>
          <w:szCs w:val="22"/>
        </w:rPr>
        <w:t>adoptarea unor măsuri de creștere a rezilienței, de pregătire și răspuns în situații de secetă (legislative, operaționale, etc.);</w:t>
      </w:r>
    </w:p>
    <w:p w:rsidR="00C417FD" w:rsidRPr="00A9271F" w:rsidRDefault="00C417FD" w:rsidP="00802006">
      <w:pPr>
        <w:numPr>
          <w:ilvl w:val="0"/>
          <w:numId w:val="71"/>
        </w:numPr>
        <w:ind w:left="360"/>
        <w:jc w:val="both"/>
        <w:rPr>
          <w:rFonts w:ascii="Trebuchet MS" w:hAnsi="Trebuchet MS" w:cs="Arial"/>
          <w:sz w:val="22"/>
          <w:szCs w:val="22"/>
        </w:rPr>
      </w:pPr>
      <w:r w:rsidRPr="00A9271F">
        <w:rPr>
          <w:rFonts w:ascii="Trebuchet MS" w:hAnsi="Trebuchet MS" w:cs="Arial"/>
          <w:sz w:val="22"/>
          <w:szCs w:val="22"/>
        </w:rPr>
        <w:t>îmbunătățirea cunoștințelor, creșterea schimbului de informații dintre comunitatea științifică și factorii de decizie din domeniul apelor;</w:t>
      </w:r>
    </w:p>
    <w:p w:rsidR="00C417FD" w:rsidRPr="00A9271F" w:rsidRDefault="00C417FD" w:rsidP="00802006">
      <w:pPr>
        <w:numPr>
          <w:ilvl w:val="0"/>
          <w:numId w:val="71"/>
        </w:numPr>
        <w:ind w:left="360"/>
        <w:jc w:val="both"/>
        <w:rPr>
          <w:rFonts w:ascii="Trebuchet MS" w:hAnsi="Trebuchet MS" w:cs="Arial"/>
          <w:sz w:val="22"/>
          <w:szCs w:val="22"/>
        </w:rPr>
      </w:pPr>
      <w:bookmarkStart w:id="133" w:name="_Hlk76636248"/>
      <w:r w:rsidRPr="00A9271F">
        <w:rPr>
          <w:rFonts w:ascii="Trebuchet MS" w:hAnsi="Trebuchet MS" w:cs="Arial"/>
          <w:sz w:val="22"/>
          <w:szCs w:val="22"/>
        </w:rPr>
        <w:t>elaborarea studiilor de vulnerabilitate a resurselor de apă la impactul schimbărilor climatice</w:t>
      </w:r>
      <w:bookmarkEnd w:id="133"/>
      <w:r w:rsidRPr="00A9271F">
        <w:rPr>
          <w:rFonts w:ascii="Trebuchet MS" w:hAnsi="Trebuchet MS" w:cs="Arial"/>
          <w:sz w:val="22"/>
          <w:szCs w:val="22"/>
        </w:rPr>
        <w:t>;</w:t>
      </w:r>
    </w:p>
    <w:p w:rsidR="00C417FD" w:rsidRPr="00A9271F" w:rsidRDefault="00C417FD" w:rsidP="00802006">
      <w:pPr>
        <w:numPr>
          <w:ilvl w:val="0"/>
          <w:numId w:val="71"/>
        </w:numPr>
        <w:ind w:left="360"/>
        <w:jc w:val="both"/>
        <w:rPr>
          <w:rFonts w:ascii="Trebuchet MS" w:hAnsi="Trebuchet MS" w:cs="Arial"/>
          <w:sz w:val="22"/>
          <w:szCs w:val="22"/>
        </w:rPr>
      </w:pPr>
      <w:r w:rsidRPr="00A9271F">
        <w:rPr>
          <w:rFonts w:ascii="Trebuchet MS" w:hAnsi="Trebuchet MS" w:cs="Arial"/>
          <w:sz w:val="22"/>
          <w:szCs w:val="22"/>
        </w:rPr>
        <w:t xml:space="preserve">actualizarea evaluării </w:t>
      </w:r>
      <w:bookmarkStart w:id="134" w:name="_Hlk76636264"/>
      <w:r w:rsidRPr="00A9271F">
        <w:rPr>
          <w:rFonts w:ascii="Trebuchet MS" w:hAnsi="Trebuchet MS" w:cs="Arial"/>
          <w:sz w:val="22"/>
          <w:szCs w:val="22"/>
        </w:rPr>
        <w:t>disponibilității resurselor de apă pe baza programelor de monitorizare</w:t>
      </w:r>
      <w:bookmarkEnd w:id="134"/>
      <w:r w:rsidRPr="00A9271F">
        <w:rPr>
          <w:rFonts w:ascii="Trebuchet MS" w:hAnsi="Trebuchet MS" w:cs="Arial"/>
          <w:sz w:val="22"/>
          <w:szCs w:val="22"/>
        </w:rPr>
        <w:t xml:space="preserve">, în vederea stabilirii acțiunilor și măsurilor; </w:t>
      </w:r>
    </w:p>
    <w:p w:rsidR="00C417FD" w:rsidRPr="00A9271F" w:rsidRDefault="00C417FD" w:rsidP="00802006">
      <w:pPr>
        <w:numPr>
          <w:ilvl w:val="0"/>
          <w:numId w:val="71"/>
        </w:numPr>
        <w:ind w:left="360"/>
        <w:jc w:val="both"/>
        <w:rPr>
          <w:rFonts w:ascii="Trebuchet MS" w:hAnsi="Trebuchet MS" w:cs="Arial"/>
          <w:sz w:val="22"/>
          <w:szCs w:val="22"/>
        </w:rPr>
      </w:pPr>
      <w:r w:rsidRPr="00A9271F">
        <w:rPr>
          <w:rFonts w:ascii="Trebuchet MS" w:hAnsi="Trebuchet MS" w:cs="Arial"/>
          <w:sz w:val="22"/>
          <w:szCs w:val="22"/>
        </w:rPr>
        <w:t xml:space="preserve">dezvoltarea </w:t>
      </w:r>
      <w:bookmarkStart w:id="135" w:name="_Hlk76636280"/>
      <w:r w:rsidRPr="00A9271F">
        <w:rPr>
          <w:rFonts w:ascii="Trebuchet MS" w:hAnsi="Trebuchet MS" w:cs="Arial"/>
          <w:sz w:val="22"/>
          <w:szCs w:val="22"/>
        </w:rPr>
        <w:t>scenariilor pentru cerința de apă a sectoarelor economice și propunerea de măsuri de atenuare și adaptare la schimbările climatice</w:t>
      </w:r>
      <w:bookmarkEnd w:id="135"/>
      <w:r w:rsidRPr="00A9271F">
        <w:rPr>
          <w:rFonts w:ascii="Trebuchet MS" w:hAnsi="Trebuchet MS" w:cs="Arial"/>
          <w:sz w:val="22"/>
          <w:szCs w:val="22"/>
        </w:rPr>
        <w:t xml:space="preserve">; </w:t>
      </w:r>
    </w:p>
    <w:p w:rsidR="00C417FD" w:rsidRPr="00A9271F" w:rsidRDefault="00C417FD" w:rsidP="00802006">
      <w:pPr>
        <w:numPr>
          <w:ilvl w:val="0"/>
          <w:numId w:val="71"/>
        </w:numPr>
        <w:ind w:left="360"/>
        <w:jc w:val="both"/>
        <w:rPr>
          <w:rFonts w:ascii="Trebuchet MS" w:hAnsi="Trebuchet MS" w:cs="Arial"/>
          <w:sz w:val="22"/>
          <w:szCs w:val="22"/>
        </w:rPr>
      </w:pPr>
      <w:r w:rsidRPr="00A9271F">
        <w:rPr>
          <w:rFonts w:ascii="Trebuchet MS" w:hAnsi="Trebuchet MS" w:cs="Arial"/>
          <w:sz w:val="22"/>
          <w:szCs w:val="22"/>
        </w:rPr>
        <w:t>planificarea infrastructurii pentru managementul resurselor de apă considerând necesarul socio-economic și de mediu (debitul ecologic), inclusiv pentru surse de apă noi și diversificarea acestora;</w:t>
      </w:r>
    </w:p>
    <w:p w:rsidR="00C417FD" w:rsidRPr="00A9271F" w:rsidRDefault="00C417FD" w:rsidP="00802006">
      <w:pPr>
        <w:numPr>
          <w:ilvl w:val="0"/>
          <w:numId w:val="71"/>
        </w:numPr>
        <w:ind w:left="360"/>
        <w:jc w:val="both"/>
        <w:rPr>
          <w:rFonts w:ascii="Trebuchet MS" w:hAnsi="Trebuchet MS" w:cs="Arial"/>
          <w:sz w:val="22"/>
          <w:szCs w:val="22"/>
        </w:rPr>
      </w:pPr>
      <w:r w:rsidRPr="00A9271F">
        <w:rPr>
          <w:rFonts w:ascii="Trebuchet MS" w:hAnsi="Trebuchet MS" w:cs="Arial"/>
          <w:sz w:val="22"/>
          <w:szCs w:val="22"/>
        </w:rPr>
        <w:t>identificarea și aplicarea utilizării eficiente a apelor, economisirea apei și analiza unei posibile reutilizări a apei;</w:t>
      </w:r>
    </w:p>
    <w:p w:rsidR="00C417FD" w:rsidRPr="00A9271F" w:rsidRDefault="00C417FD" w:rsidP="00802006">
      <w:pPr>
        <w:numPr>
          <w:ilvl w:val="0"/>
          <w:numId w:val="71"/>
        </w:numPr>
        <w:ind w:left="360"/>
        <w:jc w:val="both"/>
        <w:rPr>
          <w:rFonts w:ascii="Trebuchet MS" w:hAnsi="Trebuchet MS" w:cs="Arial"/>
          <w:sz w:val="22"/>
          <w:szCs w:val="22"/>
        </w:rPr>
      </w:pPr>
      <w:bookmarkStart w:id="136" w:name="_Hlk76636173"/>
      <w:r w:rsidRPr="00A9271F">
        <w:rPr>
          <w:rFonts w:ascii="Trebuchet MS" w:hAnsi="Trebuchet MS" w:cs="Arial"/>
          <w:sz w:val="22"/>
          <w:szCs w:val="22"/>
        </w:rPr>
        <w:t>promovarea și aplicarea măsurilor verzi de retenție naturală a apelor, acolo unde este posibil, pentru asigurarea în principal a cerințelor Directivei Cadru Apă, Directivei Inundații și Directivelor Habitate și Păsări</w:t>
      </w:r>
      <w:bookmarkEnd w:id="136"/>
      <w:r w:rsidRPr="00A9271F">
        <w:rPr>
          <w:rFonts w:ascii="Trebuchet MS" w:hAnsi="Trebuchet MS" w:cs="Arial"/>
          <w:sz w:val="22"/>
          <w:szCs w:val="22"/>
        </w:rPr>
        <w:t>;</w:t>
      </w:r>
    </w:p>
    <w:p w:rsidR="00C417FD" w:rsidRPr="00A9271F" w:rsidRDefault="00C417FD" w:rsidP="00802006">
      <w:pPr>
        <w:numPr>
          <w:ilvl w:val="0"/>
          <w:numId w:val="71"/>
        </w:numPr>
        <w:ind w:left="360"/>
        <w:jc w:val="both"/>
        <w:rPr>
          <w:rFonts w:ascii="Trebuchet MS" w:hAnsi="Trebuchet MS" w:cs="Arial"/>
          <w:sz w:val="22"/>
          <w:szCs w:val="22"/>
        </w:rPr>
      </w:pPr>
      <w:r w:rsidRPr="00A9271F">
        <w:rPr>
          <w:rFonts w:ascii="Trebuchet MS" w:hAnsi="Trebuchet MS" w:cs="Arial"/>
          <w:sz w:val="22"/>
          <w:szCs w:val="22"/>
        </w:rPr>
        <w:t>aplicarea rezultatelor proiectelor implementate la nivel internațional (DriDanube</w:t>
      </w:r>
      <w:r w:rsidRPr="00A9271F">
        <w:rPr>
          <w:rFonts w:ascii="Trebuchet MS" w:hAnsi="Trebuchet MS" w:cs="Arial"/>
          <w:sz w:val="22"/>
          <w:szCs w:val="22"/>
          <w:vertAlign w:val="superscript"/>
        </w:rPr>
        <w:footnoteReference w:id="22"/>
      </w:r>
      <w:r w:rsidRPr="00A9271F">
        <w:rPr>
          <w:rFonts w:ascii="Trebuchet MS" w:hAnsi="Trebuchet MS" w:cs="Arial"/>
          <w:sz w:val="22"/>
          <w:szCs w:val="22"/>
        </w:rPr>
        <w:t>/Riscul secetei în regiunea Dunării, DIANA</w:t>
      </w:r>
      <w:r w:rsidRPr="00A9271F">
        <w:rPr>
          <w:rFonts w:ascii="Trebuchet MS" w:hAnsi="Trebuchet MS" w:cs="Arial"/>
          <w:sz w:val="22"/>
          <w:szCs w:val="22"/>
          <w:vertAlign w:val="superscript"/>
        </w:rPr>
        <w:footnoteReference w:id="23"/>
      </w:r>
      <w:r w:rsidRPr="00A9271F">
        <w:rPr>
          <w:rFonts w:ascii="Trebuchet MS" w:hAnsi="Trebuchet MS" w:cs="Arial"/>
          <w:sz w:val="22"/>
          <w:szCs w:val="22"/>
        </w:rPr>
        <w:t>/Detecția și  evaluarea integrată a prelevărilor ilegale de apă, ViWA</w:t>
      </w:r>
      <w:r w:rsidRPr="00A9271F">
        <w:rPr>
          <w:rFonts w:ascii="Trebuchet MS" w:hAnsi="Trebuchet MS" w:cs="Arial"/>
          <w:sz w:val="22"/>
          <w:szCs w:val="22"/>
          <w:vertAlign w:val="superscript"/>
        </w:rPr>
        <w:footnoteReference w:id="24"/>
      </w:r>
      <w:r w:rsidRPr="00A9271F">
        <w:rPr>
          <w:rFonts w:ascii="Trebuchet MS" w:hAnsi="Trebuchet MS" w:cs="Arial"/>
          <w:sz w:val="22"/>
          <w:szCs w:val="22"/>
        </w:rPr>
        <w:t>/Valorile virtuale ale apei);</w:t>
      </w:r>
    </w:p>
    <w:p w:rsidR="00C417FD" w:rsidRPr="00A9271F" w:rsidRDefault="00C417FD" w:rsidP="00802006">
      <w:pPr>
        <w:numPr>
          <w:ilvl w:val="0"/>
          <w:numId w:val="71"/>
        </w:numPr>
        <w:ind w:left="360"/>
        <w:jc w:val="both"/>
        <w:rPr>
          <w:rFonts w:ascii="Trebuchet MS" w:hAnsi="Trebuchet MS" w:cs="Arial"/>
          <w:sz w:val="22"/>
          <w:szCs w:val="22"/>
        </w:rPr>
      </w:pPr>
      <w:bookmarkStart w:id="137" w:name="_Hlk76636219"/>
      <w:r w:rsidRPr="00A9271F">
        <w:rPr>
          <w:rFonts w:ascii="Trebuchet MS" w:hAnsi="Trebuchet MS" w:cs="Arial"/>
          <w:sz w:val="22"/>
          <w:szCs w:val="22"/>
        </w:rPr>
        <w:t>consolidarea colaborării dintre mediul academic, managementul apelor și sectoarele social-economice</w:t>
      </w:r>
      <w:bookmarkEnd w:id="137"/>
      <w:r w:rsidRPr="00A9271F">
        <w:rPr>
          <w:rFonts w:ascii="Trebuchet MS" w:hAnsi="Trebuchet MS" w:cs="Arial"/>
          <w:sz w:val="22"/>
          <w:szCs w:val="22"/>
        </w:rPr>
        <w:t>; un exemplu de îndrumări de bună practică se găsesc în documentul Ghidul privind agricultură durabilă la nivelul bazinului Dunării</w:t>
      </w:r>
      <w:r w:rsidRPr="00A9271F">
        <w:rPr>
          <w:rFonts w:ascii="Trebuchet MS" w:hAnsi="Trebuchet MS" w:cs="Arial"/>
          <w:sz w:val="22"/>
          <w:szCs w:val="22"/>
          <w:vertAlign w:val="superscript"/>
        </w:rPr>
        <w:footnoteReference w:id="25"/>
      </w:r>
      <w:r w:rsidRPr="00A9271F">
        <w:rPr>
          <w:rFonts w:ascii="Trebuchet MS" w:hAnsi="Trebuchet MS" w:cs="Arial"/>
          <w:sz w:val="22"/>
          <w:szCs w:val="22"/>
        </w:rPr>
        <w:t xml:space="preserve">. </w:t>
      </w:r>
    </w:p>
    <w:p w:rsidR="00C417FD" w:rsidRPr="00A9271F" w:rsidRDefault="00C417FD" w:rsidP="00802006">
      <w:pPr>
        <w:pStyle w:val="Default"/>
        <w:ind w:firstLine="360"/>
        <w:rPr>
          <w:rFonts w:ascii="Trebuchet MS" w:hAnsi="Trebuchet MS"/>
          <w:sz w:val="22"/>
          <w:szCs w:val="22"/>
        </w:rPr>
      </w:pPr>
      <w:r w:rsidRPr="00A9271F">
        <w:rPr>
          <w:rFonts w:ascii="Trebuchet MS" w:hAnsi="Trebuchet MS"/>
          <w:sz w:val="22"/>
          <w:szCs w:val="22"/>
        </w:rPr>
        <w:t xml:space="preserve">De asemenea, trebuie avută în vedere implementarea măsurilor specifice pentru: </w:t>
      </w:r>
    </w:p>
    <w:p w:rsidR="00C417FD" w:rsidRPr="00A9271F" w:rsidRDefault="00C417FD" w:rsidP="00802006">
      <w:pPr>
        <w:pStyle w:val="Default"/>
        <w:numPr>
          <w:ilvl w:val="0"/>
          <w:numId w:val="79"/>
        </w:numPr>
        <w:ind w:left="360" w:hanging="274"/>
        <w:jc w:val="both"/>
        <w:rPr>
          <w:rFonts w:ascii="Trebuchet MS" w:hAnsi="Trebuchet MS"/>
          <w:sz w:val="22"/>
          <w:szCs w:val="22"/>
        </w:rPr>
      </w:pPr>
      <w:r w:rsidRPr="00A9271F">
        <w:rPr>
          <w:rFonts w:ascii="Trebuchet MS" w:hAnsi="Trebuchet MS"/>
          <w:sz w:val="22"/>
          <w:szCs w:val="22"/>
        </w:rPr>
        <w:t xml:space="preserve">creșterea eficienței irigării, prin utilizarea unor echipamente mai eficiente din punct de vedere energetic și schimbarea surselor de energie, adoptarea de tehnologii și măsuri pentru economisirea apei; </w:t>
      </w:r>
    </w:p>
    <w:p w:rsidR="00C417FD" w:rsidRPr="00A9271F" w:rsidRDefault="00C417FD" w:rsidP="00802006">
      <w:pPr>
        <w:pStyle w:val="Default"/>
        <w:numPr>
          <w:ilvl w:val="0"/>
          <w:numId w:val="79"/>
        </w:numPr>
        <w:ind w:left="360" w:hanging="274"/>
        <w:jc w:val="both"/>
        <w:rPr>
          <w:rFonts w:ascii="Trebuchet MS" w:hAnsi="Trebuchet MS"/>
          <w:sz w:val="22"/>
          <w:szCs w:val="22"/>
          <w:lang w:val="fr-FR"/>
        </w:rPr>
      </w:pPr>
      <w:r w:rsidRPr="00A9271F">
        <w:rPr>
          <w:rFonts w:ascii="Trebuchet MS" w:hAnsi="Trebuchet MS"/>
          <w:sz w:val="22"/>
          <w:szCs w:val="22"/>
          <w:lang w:val="fr-FR"/>
        </w:rPr>
        <w:t xml:space="preserve">reducerea pierderilor pe rețeaua de distribuție a apei, prin adoptarea de măsuri tehnice pentru reabilitarea, înlocuirea și utilizarea de materiale noi pentru conductele de distribuție a apei; </w:t>
      </w:r>
    </w:p>
    <w:p w:rsidR="00C417FD" w:rsidRPr="00A9271F" w:rsidRDefault="00C417FD" w:rsidP="00802006">
      <w:pPr>
        <w:pStyle w:val="Default"/>
        <w:numPr>
          <w:ilvl w:val="0"/>
          <w:numId w:val="79"/>
        </w:numPr>
        <w:ind w:left="360" w:hanging="274"/>
        <w:jc w:val="both"/>
        <w:rPr>
          <w:rFonts w:ascii="Trebuchet MS" w:hAnsi="Trebuchet MS"/>
          <w:sz w:val="22"/>
          <w:szCs w:val="22"/>
          <w:lang w:val="fr-FR"/>
        </w:rPr>
      </w:pPr>
      <w:r w:rsidRPr="00A9271F">
        <w:rPr>
          <w:rFonts w:ascii="Trebuchet MS" w:hAnsi="Trebuchet MS"/>
          <w:sz w:val="22"/>
          <w:szCs w:val="22"/>
          <w:lang w:val="fr-FR"/>
        </w:rPr>
        <w:t xml:space="preserve">reutilizarea apelor uzate prin valorificarea în diverse scopuri (irigații, recuperare nutrienți etc.); </w:t>
      </w:r>
    </w:p>
    <w:p w:rsidR="00C417FD" w:rsidRPr="00A9271F" w:rsidRDefault="00C417FD" w:rsidP="00802006">
      <w:pPr>
        <w:pStyle w:val="Default"/>
        <w:numPr>
          <w:ilvl w:val="0"/>
          <w:numId w:val="79"/>
        </w:numPr>
        <w:ind w:left="360" w:hanging="274"/>
        <w:jc w:val="both"/>
        <w:rPr>
          <w:rFonts w:ascii="Trebuchet MS" w:hAnsi="Trebuchet MS"/>
          <w:sz w:val="22"/>
          <w:szCs w:val="22"/>
        </w:rPr>
      </w:pPr>
      <w:r w:rsidRPr="00A9271F">
        <w:rPr>
          <w:rFonts w:ascii="Trebuchet MS" w:hAnsi="Trebuchet MS"/>
          <w:sz w:val="22"/>
          <w:szCs w:val="22"/>
        </w:rPr>
        <w:t xml:space="preserve">cartarea și prognozarea secetei pe baza de mijloace moderne de modelare și detectare; </w:t>
      </w:r>
    </w:p>
    <w:p w:rsidR="00C417FD" w:rsidRPr="00A9271F" w:rsidRDefault="00C417FD" w:rsidP="00802006">
      <w:pPr>
        <w:pStyle w:val="Default"/>
        <w:numPr>
          <w:ilvl w:val="0"/>
          <w:numId w:val="79"/>
        </w:numPr>
        <w:ind w:left="360" w:hanging="274"/>
        <w:jc w:val="both"/>
        <w:rPr>
          <w:rFonts w:ascii="Trebuchet MS" w:hAnsi="Trebuchet MS"/>
          <w:sz w:val="22"/>
          <w:szCs w:val="22"/>
        </w:rPr>
      </w:pPr>
      <w:r w:rsidRPr="00A9271F">
        <w:rPr>
          <w:rFonts w:ascii="Trebuchet MS" w:hAnsi="Trebuchet MS"/>
          <w:sz w:val="22"/>
          <w:szCs w:val="22"/>
        </w:rPr>
        <w:t xml:space="preserve">educarea publicului cu privire la măsurile de economisire a apei, prin campanii de informare și conștientizare în mas-media și în cadrul proiectelor specifice; </w:t>
      </w:r>
    </w:p>
    <w:p w:rsidR="00C417FD" w:rsidRPr="00A9271F" w:rsidRDefault="00C417FD" w:rsidP="00802006">
      <w:pPr>
        <w:pStyle w:val="Default"/>
        <w:numPr>
          <w:ilvl w:val="0"/>
          <w:numId w:val="79"/>
        </w:numPr>
        <w:ind w:left="360" w:hanging="274"/>
        <w:jc w:val="both"/>
        <w:rPr>
          <w:rFonts w:ascii="Trebuchet MS" w:hAnsi="Trebuchet MS"/>
          <w:sz w:val="22"/>
          <w:szCs w:val="22"/>
          <w:lang w:val="fr-FR"/>
        </w:rPr>
      </w:pPr>
      <w:r w:rsidRPr="00A9271F">
        <w:rPr>
          <w:rFonts w:ascii="Trebuchet MS" w:hAnsi="Trebuchet MS"/>
          <w:sz w:val="22"/>
          <w:szCs w:val="22"/>
          <w:lang w:val="fr-FR"/>
        </w:rPr>
        <w:t xml:space="preserve">aplicarea de instrumente de stimulare (principiul utilizator plătește, penalități pentru consum excesiv); </w:t>
      </w:r>
    </w:p>
    <w:p w:rsidR="00C417FD" w:rsidRPr="00A9271F" w:rsidRDefault="00C417FD" w:rsidP="00802006">
      <w:pPr>
        <w:numPr>
          <w:ilvl w:val="0"/>
          <w:numId w:val="79"/>
        </w:numPr>
        <w:ind w:left="360" w:hanging="274"/>
        <w:jc w:val="both"/>
        <w:rPr>
          <w:rFonts w:ascii="Trebuchet MS" w:hAnsi="Trebuchet MS" w:cs="Arial"/>
          <w:sz w:val="22"/>
          <w:szCs w:val="22"/>
        </w:rPr>
      </w:pPr>
      <w:r w:rsidRPr="00A9271F">
        <w:rPr>
          <w:rFonts w:ascii="Trebuchet MS" w:hAnsi="Trebuchet MS" w:cs="Arial"/>
          <w:sz w:val="22"/>
          <w:szCs w:val="22"/>
        </w:rPr>
        <w:t>îmbunătățirea cooperării în managementul resurselor de apă transfrontaliere, pentru a preveni și a rezolva din timp eventualele conflicte de interese, generate cu precădere în situațiile de ape mici.</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Impactul acestor acțiuni este integrat în Planurile de Management actualizate al bazinelor/spațiilor hidrografice pentru perioada 2022-2027. În acest context, s-au analizat și integrat recomandările Comisiei Europene desprinse din evaluarea celui de-al doilea Plan de management</w:t>
      </w:r>
      <w:r w:rsidRPr="00A9271F">
        <w:rPr>
          <w:rStyle w:val="FootnoteReference"/>
          <w:rFonts w:ascii="Trebuchet MS" w:hAnsi="Trebuchet MS" w:cs="Arial"/>
          <w:sz w:val="22"/>
          <w:szCs w:val="22"/>
        </w:rPr>
        <w:footnoteReference w:id="26"/>
      </w:r>
      <w:r w:rsidRPr="00A9271F">
        <w:rPr>
          <w:rFonts w:ascii="Trebuchet MS" w:hAnsi="Trebuchet MS" w:cs="Arial"/>
          <w:sz w:val="22"/>
          <w:szCs w:val="22"/>
        </w:rPr>
        <w:t>.</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Se precizează faptul că la nivelul Administrației Bazinale de Apă Jiu, în colaborare cu Administrația Națională ,,Apele Române" și Autoritatea de apă din Oland (Dutch Water Authority), se implementează în perioada 2019-2022 proiectul ,,Managementul integrat al resurselor de apă prin implicarea factorilor interesați-studiu de caz, seceta în Câmpia Olteniei", proiect finanțat prin programul BLUE DEAL. Unul dintre obiectivele acestui proiect este elaborarea unui set de măsuri specifice și aplicabile domeniului de gospodărire a apelor, care să reducă efectele secetei în zone afectate de acest fenomen din bazinul hidrografic Jiu, precum și în alte bazine din țară, care au probleme similare.</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În ceea ce privește implementarea cerințelor </w:t>
      </w:r>
      <w:r w:rsidRPr="00A9271F">
        <w:rPr>
          <w:rFonts w:ascii="Trebuchet MS" w:hAnsi="Trebuchet MS" w:cs="Arial"/>
          <w:b/>
          <w:bCs/>
          <w:sz w:val="22"/>
          <w:szCs w:val="22"/>
        </w:rPr>
        <w:t>Directivei 91/271/CEE privind epurarea apelor uzate urbane</w:t>
      </w:r>
      <w:r w:rsidRPr="00A9271F">
        <w:rPr>
          <w:rFonts w:ascii="Trebuchet MS" w:hAnsi="Trebuchet MS" w:cs="Arial"/>
          <w:sz w:val="22"/>
          <w:szCs w:val="22"/>
        </w:rPr>
        <w:t xml:space="preserve">, în vederea accelerării procesului de conformare, a fost elaborat Planul de conformare accelerată pentru implementarea directivei, constituind unul dintre obiectivele proiectului de asistență tehnică, denumit „Îmbunătățirea capacității autorității publice centrale în domeniul managementului apelor în ceea ce privește  planificarea, implementarea și raportarea cerințelor europene din domeniul apelor” (SIPOCA 588). Proiectul este finanțat din fonduri europene prin Programul Operațional Capacitate Administrativă 2014-2020, Axa prioritară Administrație publică și sistem judiciar eficiente, obiectivul specific OS 1.1 Dezvoltarea și introducerea de sisteme și standarde comune în administrația publică ce optimizează procesele decizionale orientate către cetățeni și mediul de afaceri în concordanță cu SCAP.  Liderul de proiect este Ministerul Mediului, Apelor și Pădurilor, Administrația Națională  „Apele Române” partener de implementare, iar consultanții Băncii Mondiale asigură asistență  tehnică pe durata celor 49 luni de desfășurare a proiectului (2019-2023). </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Proiectul contribuie la fundamentarea și sprijinirea măsurilor ce vizează adaptarea structurilor, optimizarea proceselor și pregătirea resurselor umane necesare îndeplinirii obligațiilor asumate prin aquis-ul comunitar, respectiv conformarea accelerată cu cerințele Directivei 91/271/CEE privind epurarea apelor uzate provenite de la aglomerări umane în scopul consolidării capacității autorităților și instituțiilor publice din domeniul gospodăririi apelor. Obiectivele și activitățile specifice ale proiectului vizează în principal: reactualizarea Planului de Implementare al Directivei 91/271/CEE privind epurarea apelor uzate urbane, pe baza unei noi metodologii de delimitare a aglomerărilor umane și de calcul al încărcării acestora; elaborarea Strategiei naționale privind alimentarea cu apă, colectarea si epurarea apelor uzate urbane; dezvoltarea si implementarea la nivelul Administrației Naționale „Apele Române” a unui sistem electronic de colectare, prelucrare si raportare a datelor; elaborarea și promovarea unui proiect de act normativ pentru definirea obligațiilor și responsabilitățile legate de colectarea și epurarea apelor uzate urbane. Informații privind proiectul și derularea activităților de implementare pot fi accesate pe website-ul Administrației Naționale „Apele Române”, la adresa: </w:t>
      </w:r>
      <w:hyperlink r:id="rId133" w:history="1">
        <w:r w:rsidRPr="00A9271F">
          <w:rPr>
            <w:rStyle w:val="Hyperlink"/>
            <w:rFonts w:ascii="Trebuchet MS" w:hAnsi="Trebuchet MS" w:cs="Arial"/>
            <w:sz w:val="22"/>
            <w:szCs w:val="22"/>
          </w:rPr>
          <w:t>https://rowater.ro/proiectul-sipoca-588/</w:t>
        </w:r>
      </w:hyperlink>
      <w:r w:rsidRPr="00A9271F">
        <w:rPr>
          <w:rFonts w:ascii="Trebuchet MS" w:hAnsi="Trebuchet MS" w:cs="Arial"/>
          <w:sz w:val="22"/>
          <w:szCs w:val="22"/>
        </w:rPr>
        <w:t xml:space="preserve">. a Planului accelerat de conformare cu directivele europene din domeniul apei și apei uzate a fost aprobat în luna decembrie 2022, prin Memorandum al Guvernului, și cuprinde lista reactualizată a aglomerărilor umane cu mai mult de 2.000 locuitori echivalenți. Autoritățile române competente consideră că actualizarea Planului de conformare cu cerințele Directivei 91/271/CEE este parte integrantă din 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 </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De asemenea, în cadrul acestui proiect va fi dezvoltată, de către Ministerul Mediului, Apelor și Pădurilor o Strategie națională privind alimentarea cu apă, colectarea și epurarea apelor uzate și revizuirea reglementărilor în vederea creșterii eficienței în aplicarea legislației specifice. În cadrul Strategiei naționale se va stabili modul în care vor continua planificarea, finanțarea și realizarea infrastructurii specifice.</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La nivel național, în vederea sprijinirii autorităților locale și operatorilor de servicii de apă și canal pentru asigurarea conformării aglomerărilor umane cu cerințele legislației în vigoare, s-au demarat acțiuni care au în vedere:</w:t>
      </w:r>
    </w:p>
    <w:p w:rsidR="00C417FD" w:rsidRPr="00A9271F" w:rsidRDefault="00C417FD" w:rsidP="00802006">
      <w:pPr>
        <w:numPr>
          <w:ilvl w:val="0"/>
          <w:numId w:val="60"/>
        </w:numPr>
        <w:ind w:left="270" w:hanging="270"/>
        <w:jc w:val="both"/>
        <w:rPr>
          <w:rFonts w:ascii="Trebuchet MS" w:hAnsi="Trebuchet MS" w:cs="Arial"/>
          <w:sz w:val="22"/>
          <w:szCs w:val="22"/>
        </w:rPr>
      </w:pPr>
      <w:r w:rsidRPr="00A9271F">
        <w:rPr>
          <w:rFonts w:ascii="Trebuchet MS" w:hAnsi="Trebuchet MS" w:cs="Arial"/>
          <w:sz w:val="22"/>
          <w:szCs w:val="22"/>
        </w:rPr>
        <w:t>modificarea și completarea Legii nr. 241/2006 a serviciului de alimentare cu apă și canalizare și a Legii nr. 51/2006 serviciilor comunitare de utilități publice, în principal în sensul monitorizării de către autoritățile locale a populației neconectate la rețeaua de canalizare și pentru acordarea de ajutoare sociale pentru conectare;</w:t>
      </w:r>
    </w:p>
    <w:p w:rsidR="00C417FD" w:rsidRPr="00A9271F" w:rsidRDefault="00C417FD" w:rsidP="00802006">
      <w:pPr>
        <w:numPr>
          <w:ilvl w:val="0"/>
          <w:numId w:val="60"/>
        </w:numPr>
        <w:ind w:left="270" w:hanging="270"/>
        <w:jc w:val="both"/>
        <w:rPr>
          <w:rFonts w:ascii="Trebuchet MS" w:hAnsi="Trebuchet MS" w:cs="Arial"/>
          <w:sz w:val="22"/>
          <w:szCs w:val="22"/>
        </w:rPr>
      </w:pPr>
      <w:r w:rsidRPr="00A9271F">
        <w:rPr>
          <w:rFonts w:ascii="Trebuchet MS" w:hAnsi="Trebuchet MS" w:cs="Arial"/>
          <w:sz w:val="22"/>
          <w:szCs w:val="22"/>
        </w:rPr>
        <w:t>reactualizarea Planului de conformare pentru implementarea Directivei 91/271/CEE privind epurarea apelor uzate urbane, prin intermediul unui proiect de asistență tehnică finanțat din programul Operațional Capacitate Administrativă, proiect care va fi implementat de Ministerul Mediului, Apelor și Pădurilor în colaborare cu Banca Mondială;</w:t>
      </w:r>
    </w:p>
    <w:p w:rsidR="00C417FD" w:rsidRPr="00A9271F" w:rsidRDefault="00C417FD" w:rsidP="00802006">
      <w:pPr>
        <w:numPr>
          <w:ilvl w:val="0"/>
          <w:numId w:val="60"/>
        </w:numPr>
        <w:ind w:left="270" w:hanging="270"/>
        <w:jc w:val="both"/>
        <w:rPr>
          <w:rFonts w:ascii="Trebuchet MS" w:hAnsi="Trebuchet MS" w:cs="Arial"/>
          <w:sz w:val="22"/>
          <w:szCs w:val="22"/>
        </w:rPr>
      </w:pPr>
      <w:r w:rsidRPr="00A9271F">
        <w:rPr>
          <w:rFonts w:ascii="Trebuchet MS" w:hAnsi="Trebuchet MS" w:cs="Arial"/>
          <w:sz w:val="22"/>
          <w:szCs w:val="22"/>
        </w:rPr>
        <w:t>realizarea de către Banca Europeană de Reconstrucție și Dezvoltare a Raportului privind opțiunile strategice de management al politicii de regionalizare în România, din perspectiva îndeplinirii angajamentelor de conformare, care va fi realizat prin intermediul unui proiect de asistență tehnică finanțat din Programul Operațional Asistență Tehnică;</w:t>
      </w:r>
    </w:p>
    <w:p w:rsidR="00C417FD" w:rsidRPr="00A9271F" w:rsidRDefault="00C417FD" w:rsidP="00802006">
      <w:pPr>
        <w:numPr>
          <w:ilvl w:val="0"/>
          <w:numId w:val="60"/>
        </w:numPr>
        <w:ind w:left="270" w:hanging="270"/>
        <w:jc w:val="both"/>
        <w:rPr>
          <w:rFonts w:ascii="Trebuchet MS" w:hAnsi="Trebuchet MS" w:cs="Arial"/>
          <w:sz w:val="22"/>
          <w:szCs w:val="22"/>
        </w:rPr>
      </w:pPr>
      <w:r w:rsidRPr="00A9271F">
        <w:rPr>
          <w:rFonts w:ascii="Trebuchet MS" w:hAnsi="Trebuchet MS" w:cs="Arial"/>
          <w:sz w:val="22"/>
          <w:szCs w:val="22"/>
        </w:rPr>
        <w:t>asigurarea surselor de finanțare, respectiv introducerea unor noi fonduri euroepne în cadrul Mecanismului de Redresare și Reziliență, respectiv prin alocarea în Planul Național de Redresare și Reziliență a fondurilor pentru conformartea aglomerărilro mai mari de 2.000 le. .</w:t>
      </w:r>
    </w:p>
    <w:p w:rsidR="00C417FD" w:rsidRPr="00A9271F" w:rsidRDefault="00C417FD" w:rsidP="00802006">
      <w:pPr>
        <w:ind w:firstLine="567"/>
        <w:jc w:val="both"/>
        <w:rPr>
          <w:rFonts w:ascii="Trebuchet MS" w:hAnsi="Trebuchet MS" w:cs="Arial"/>
          <w:sz w:val="22"/>
          <w:szCs w:val="22"/>
        </w:rPr>
      </w:pPr>
      <w:r w:rsidRPr="00A9271F">
        <w:rPr>
          <w:rFonts w:ascii="Trebuchet MS" w:hAnsi="Trebuchet MS" w:cs="Arial"/>
          <w:sz w:val="22"/>
          <w:szCs w:val="22"/>
        </w:rPr>
        <w:t xml:space="preserve">Se menționează că investițiile pentru realizarea infrastructurii de apă și apă uzată sprijină îmbunătățirea accesului populației la servicii bune de apă, însă contribuie și la atingerea țintelor de dezvoltare durabilă (Sustainable Development Goals  - SDGs) stabilite de Națiunile Unite. SDG 6 se adresează întregului ciclu al apei, accesului universal și echitabil pentru toți cetățenii la apă potabilă de calitate sigură și la costuri suportabile, eficienței de utilizare a apei în diferite sectoare economice, managementului sustenabil și integrat al apelor și îmbunătățirii apei în relația cu starea ecosistemelor. Națiunile Unite consideră astfel că este imperioasă creșterea investițiilor în infrastrutura de apă pentru atingerea țintelor SDG 6. În România, politicile de management al apei urmează recomandările privind prioritizarea fondurilor pentru apă și sanitație, încurajează utilizarea durabilă a utilizării apelor și prevenirea pierderilor, prin utilizarea educației și dezvoltării tehnologiilor de tratare, prin stabilirea unui mediu în care inovația și parteneriatul pot contribui eficient în domeniu. </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În anul 2023 au avut loc la nivel european consultări și negocieri ale Statelor Membre cu Comisia Euroepană și Consiliul European privind modificarea </w:t>
      </w:r>
      <w:r w:rsidRPr="00A9271F">
        <w:rPr>
          <w:rFonts w:ascii="Trebuchet MS" w:hAnsi="Trebuchet MS" w:cs="Arial"/>
          <w:b/>
          <w:bCs/>
          <w:sz w:val="22"/>
          <w:szCs w:val="22"/>
        </w:rPr>
        <w:t>Directivei Consiliului 91/271/CEE privind epurarea apelor uzate urbane</w:t>
      </w:r>
      <w:r w:rsidRPr="00A9271F">
        <w:rPr>
          <w:rFonts w:ascii="Trebuchet MS" w:hAnsi="Trebuchet MS" w:cs="Arial"/>
          <w:sz w:val="22"/>
          <w:szCs w:val="22"/>
        </w:rPr>
        <w:t>. Principalele noi cerințe care au fost discutate se referă la:</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extinderea cerințelor de conformare pentru colectarea și epurarea apelor uzate și pentru  aglomerările cu 1000 - 2000 locuitori echivalenți (l.e.);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aplicarea cerințelor de conformare pentru sistemele individuale adecvate în ceea ce privește autorizarea, construcția, înregistrarea, controlul, inspecția, exploatarea și întreținerea; în cazul în care se utilizează sisteme individuale pentru a colecta și/sau epura mai mult de 2 % din cantitatea de apă uzată urbană la nivel național în aglomerări de 2 000 l.e., se vor furniza Comisiei justificări detaliate;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stabilirea unui plan integrat de management al apelor uzate urbane pentru zonele de drenaj ale aglomerărilor cu mai mult de 10.000 l.e., în cazul în care revărsarea de apă pluvială reprezintă mai mult de 2% din încărcarea anuală de ape uzate urbane colectate;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stabilirea unor limite mai stricte și procent de reducere a nutrienților (în treapta terțiară) în efluentul stațiilor de epurare așle aglomerărilor cu peste 10 000 l.e.;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stabilirea unei liste a zonelor în care concentrația sau acumularea de micropoluanți de la stațiile de epurare a apelor uzate urbane reprezintă un risc pentru sănătatea umană sau pentru mediu;</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stabilirea procentului de reducere a micropoluanților în stațiile de epurare (treaptă cuaternară) a aglomerărilor cu peste 150.000 l.e.: minim 80% îndepărtare în raport cu încărcarea influentului pentru fiecare substanță care poate polua apa chiar și la concentrații scăzute (substanțe organice noi, în principal din clasa produselor farmaceutice și cosmetice);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responsabilitatea extinsă a producătorilor care introduc pe piață produse farmaceutice și cosmetice de a acoperi cel puțin 80% din costurile totale pentru respectarea cerințelor de epurare cuaternară a apelor uzate urbane, inclusiv investițiile și costurile operaționale pentru eliminarea micropoluanților (minim 1 tonă);</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asigurarea neutralității energetice în aglomerarea cu peste 10000 p.e.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reglementări prealabile și/sau autorizații specifice din partea autorității competente sau a organismului competent pentru evacuările de ape uzate nemenajere în sistemele de colectare și stațiile de epurare a apelor uzate urbane;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promovarea sistematică a reutilizării apelor uzate epurate înstațiile de epurare a apelor uzate urbane, acolo unde este cazul, în special în zonele cu stres de apă, și pentru toate scopurile adecvate (adică irigarea agricolă), cu respectarea cerințelor Directivei Cadru Apă 2000/60/CE și ale Regulamentului 2020/714 privind cerințele minime pentru reutilizarea apei;</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parametri noi de monitorizat în apele uzate urbane, în special parametrii microbiologici, PFAS, microplastice, alte substanțe prioritare;</w:t>
      </w:r>
    </w:p>
    <w:p w:rsidR="00C417FD" w:rsidRPr="00A9271F" w:rsidRDefault="00C417FD" w:rsidP="00802006">
      <w:pPr>
        <w:numPr>
          <w:ilvl w:val="0"/>
          <w:numId w:val="88"/>
        </w:numPr>
        <w:ind w:left="360" w:hanging="270"/>
        <w:jc w:val="both"/>
        <w:rPr>
          <w:rFonts w:ascii="Trebuchet MS" w:hAnsi="Trebuchet MS" w:cs="Arial"/>
          <w:sz w:val="22"/>
          <w:szCs w:val="22"/>
        </w:rPr>
      </w:pPr>
      <w:r w:rsidRPr="00A9271F">
        <w:rPr>
          <w:rFonts w:ascii="Trebuchet MS" w:hAnsi="Trebuchet MS" w:cs="Arial"/>
          <w:sz w:val="22"/>
          <w:szCs w:val="22"/>
        </w:rPr>
        <w:t>creșterea accesului online a publicului la informații pentru fiecare aglomerare umană cu peste 1 000 l.e. și extinderea tipului de informații puse la dispoziție.</w:t>
      </w:r>
    </w:p>
    <w:p w:rsidR="00C417FD" w:rsidRPr="00A9271F" w:rsidRDefault="00C417FD" w:rsidP="00802006">
      <w:pPr>
        <w:jc w:val="both"/>
        <w:rPr>
          <w:rFonts w:ascii="Trebuchet MS" w:hAnsi="Trebuchet MS" w:cs="Arial"/>
          <w:sz w:val="22"/>
          <w:szCs w:val="22"/>
        </w:rPr>
      </w:pPr>
      <w:r w:rsidRPr="00A9271F">
        <w:rPr>
          <w:rFonts w:ascii="Trebuchet MS" w:hAnsi="Trebuchet MS" w:cs="Arial"/>
          <w:sz w:val="22"/>
          <w:szCs w:val="22"/>
        </w:rPr>
        <w:t>Modificările vor fi discutate și cu Prlamentul European urmând ca aprobarea acestora să se realizeze anul viitor.</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În anul 2023 au fost transpuse în legislația națională prevederile </w:t>
      </w:r>
      <w:r w:rsidRPr="00A9271F">
        <w:rPr>
          <w:rFonts w:ascii="Trebuchet MS" w:hAnsi="Trebuchet MS" w:cs="Arial"/>
          <w:b/>
          <w:bCs/>
          <w:sz w:val="22"/>
          <w:szCs w:val="22"/>
        </w:rPr>
        <w:t>Directivei Consiliului și Parlamentului UE</w:t>
      </w:r>
      <w:r w:rsidRPr="00A9271F">
        <w:rPr>
          <w:rFonts w:ascii="Trebuchet MS" w:hAnsi="Trebuchet MS" w:cs="Arial"/>
          <w:sz w:val="22"/>
          <w:szCs w:val="22"/>
        </w:rPr>
        <w:t xml:space="preserve"> </w:t>
      </w:r>
      <w:r w:rsidRPr="00A9271F">
        <w:rPr>
          <w:rFonts w:ascii="Trebuchet MS" w:hAnsi="Trebuchet MS" w:cs="Arial"/>
          <w:b/>
          <w:bCs/>
          <w:sz w:val="22"/>
          <w:szCs w:val="22"/>
        </w:rPr>
        <w:t>2020/2184 privind calitatea apei destinate consumului uman (reformare)</w:t>
      </w:r>
      <w:r w:rsidRPr="00A9271F">
        <w:rPr>
          <w:rStyle w:val="FootnoteReference"/>
          <w:rFonts w:ascii="Trebuchet MS" w:hAnsi="Trebuchet MS" w:cs="Arial"/>
          <w:b/>
          <w:bCs/>
          <w:sz w:val="22"/>
          <w:szCs w:val="22"/>
        </w:rPr>
        <w:footnoteReference w:id="27"/>
      </w:r>
      <w:r w:rsidRPr="00A9271F">
        <w:rPr>
          <w:rFonts w:ascii="Trebuchet MS" w:hAnsi="Trebuchet MS" w:cs="Arial"/>
          <w:b/>
          <w:bCs/>
          <w:sz w:val="22"/>
          <w:szCs w:val="22"/>
        </w:rPr>
        <w:t>,</w:t>
      </w:r>
      <w:r w:rsidRPr="00A9271F">
        <w:rPr>
          <w:rFonts w:ascii="Trebuchet MS" w:hAnsi="Trebuchet MS" w:cs="Arial"/>
          <w:sz w:val="22"/>
          <w:szCs w:val="22"/>
        </w:rPr>
        <w:t xml:space="preserve"> prin Ordonanța nr. 7/2023 privind calitatea apei destinate consumului uman și publicată în  Monitorul Oficial nr. 63 din 25 ianuarie 2023. Pincipalele provocări identificate în implementarea noilor cerințe ale directie sunt următoarele:</w:t>
      </w:r>
    </w:p>
    <w:p w:rsidR="00C417FD" w:rsidRPr="00A9271F" w:rsidRDefault="00C417FD" w:rsidP="00802006">
      <w:pPr>
        <w:numPr>
          <w:ilvl w:val="0"/>
          <w:numId w:val="89"/>
        </w:numPr>
        <w:tabs>
          <w:tab w:val="left" w:pos="360"/>
          <w:tab w:val="left" w:pos="630"/>
        </w:tabs>
        <w:ind w:left="360"/>
        <w:jc w:val="both"/>
        <w:rPr>
          <w:rFonts w:ascii="Trebuchet MS" w:hAnsi="Trebuchet MS" w:cs="Arial"/>
          <w:sz w:val="22"/>
          <w:szCs w:val="22"/>
        </w:rPr>
      </w:pPr>
      <w:r w:rsidRPr="00A9271F">
        <w:rPr>
          <w:rFonts w:ascii="Trebuchet MS" w:hAnsi="Trebuchet MS" w:cs="Arial"/>
          <w:sz w:val="22"/>
          <w:szCs w:val="22"/>
        </w:rPr>
        <w:t xml:space="preserve">schimbare de abordare a conceptului de asigurare a calității apei destinată consumului uman, punându-se accent pe siguranța apei potabile, realizată prin evaluarea și gestionarea riscurilor din bazinele hidrografice, din sistemele de aprovizionare cu apă și din sistemele de distribuție interioară și asigurarea legăturii între acestea; </w:t>
      </w:r>
    </w:p>
    <w:p w:rsidR="00C417FD" w:rsidRPr="00A9271F" w:rsidRDefault="00C417FD" w:rsidP="00802006">
      <w:pPr>
        <w:numPr>
          <w:ilvl w:val="0"/>
          <w:numId w:val="89"/>
        </w:numPr>
        <w:tabs>
          <w:tab w:val="left" w:pos="360"/>
          <w:tab w:val="left" w:pos="630"/>
          <w:tab w:val="left" w:pos="1080"/>
        </w:tabs>
        <w:ind w:left="360"/>
        <w:jc w:val="both"/>
        <w:rPr>
          <w:rFonts w:ascii="Trebuchet MS" w:hAnsi="Trebuchet MS" w:cs="Arial"/>
          <w:sz w:val="22"/>
          <w:szCs w:val="22"/>
        </w:rPr>
      </w:pPr>
      <w:r w:rsidRPr="00A9271F">
        <w:rPr>
          <w:rFonts w:ascii="Trebuchet MS" w:hAnsi="Trebuchet MS" w:cs="Arial"/>
          <w:sz w:val="22"/>
          <w:szCs w:val="22"/>
        </w:rPr>
        <w:t xml:space="preserve">noi parametrii de calitate a apei potabile care trebuie analizați fie în apa brută, fie în apa furnizată populației, fie în ambele situații; </w:t>
      </w:r>
    </w:p>
    <w:p w:rsidR="00C417FD" w:rsidRPr="00A9271F" w:rsidRDefault="00C417FD" w:rsidP="00802006">
      <w:pPr>
        <w:numPr>
          <w:ilvl w:val="0"/>
          <w:numId w:val="89"/>
        </w:numPr>
        <w:tabs>
          <w:tab w:val="left" w:pos="360"/>
          <w:tab w:val="left" w:pos="630"/>
          <w:tab w:val="left" w:pos="1080"/>
        </w:tabs>
        <w:ind w:left="360"/>
        <w:jc w:val="both"/>
        <w:rPr>
          <w:rFonts w:ascii="Trebuchet MS" w:hAnsi="Trebuchet MS" w:cs="Arial"/>
          <w:sz w:val="22"/>
          <w:szCs w:val="22"/>
        </w:rPr>
      </w:pPr>
      <w:r w:rsidRPr="00A9271F">
        <w:rPr>
          <w:rFonts w:ascii="Trebuchet MS" w:hAnsi="Trebuchet MS" w:cs="Arial"/>
          <w:sz w:val="22"/>
          <w:szCs w:val="22"/>
        </w:rPr>
        <w:t xml:space="preserve">evaluarea și reducerea pierderilor de apă pe rețelele de distribuție; </w:t>
      </w:r>
    </w:p>
    <w:p w:rsidR="00C417FD" w:rsidRPr="00A9271F" w:rsidRDefault="00C417FD" w:rsidP="00802006">
      <w:pPr>
        <w:numPr>
          <w:ilvl w:val="0"/>
          <w:numId w:val="89"/>
        </w:numPr>
        <w:tabs>
          <w:tab w:val="left" w:pos="360"/>
          <w:tab w:val="left" w:pos="630"/>
        </w:tabs>
        <w:ind w:left="360"/>
        <w:jc w:val="both"/>
        <w:rPr>
          <w:rFonts w:ascii="Trebuchet MS" w:hAnsi="Trebuchet MS" w:cs="Arial"/>
          <w:sz w:val="22"/>
          <w:szCs w:val="22"/>
        </w:rPr>
      </w:pPr>
      <w:r w:rsidRPr="00A9271F">
        <w:rPr>
          <w:rFonts w:ascii="Trebuchet MS" w:hAnsi="Trebuchet MS" w:cs="Arial"/>
          <w:sz w:val="22"/>
          <w:szCs w:val="22"/>
        </w:rPr>
        <w:t>substanțele, materialele și mediile filtrante care vin în contact cu apa potabilă;</w:t>
      </w:r>
    </w:p>
    <w:p w:rsidR="00C417FD" w:rsidRPr="00A9271F" w:rsidRDefault="00C417FD" w:rsidP="00802006">
      <w:pPr>
        <w:numPr>
          <w:ilvl w:val="0"/>
          <w:numId w:val="89"/>
        </w:numPr>
        <w:tabs>
          <w:tab w:val="left" w:pos="360"/>
          <w:tab w:val="left" w:pos="630"/>
        </w:tabs>
        <w:ind w:left="360"/>
        <w:jc w:val="both"/>
        <w:rPr>
          <w:rFonts w:ascii="Trebuchet MS" w:hAnsi="Trebuchet MS" w:cs="Arial"/>
          <w:sz w:val="22"/>
          <w:szCs w:val="22"/>
        </w:rPr>
      </w:pPr>
      <w:r w:rsidRPr="00A9271F">
        <w:rPr>
          <w:rFonts w:ascii="Trebuchet MS" w:hAnsi="Trebuchet MS" w:cs="Arial"/>
          <w:sz w:val="22"/>
          <w:szCs w:val="22"/>
        </w:rPr>
        <w:t xml:space="preserve">îmbunătățirea accesului la apa potabilă pentru întreaga populație, dar mai cu seamă pentru grupurile vulnerabile si marginalizate; </w:t>
      </w:r>
    </w:p>
    <w:p w:rsidR="00C417FD" w:rsidRPr="00A9271F" w:rsidRDefault="00C417FD" w:rsidP="00802006">
      <w:pPr>
        <w:numPr>
          <w:ilvl w:val="0"/>
          <w:numId w:val="89"/>
        </w:numPr>
        <w:tabs>
          <w:tab w:val="left" w:pos="360"/>
          <w:tab w:val="left" w:pos="630"/>
        </w:tabs>
        <w:ind w:left="360"/>
        <w:jc w:val="both"/>
        <w:rPr>
          <w:rFonts w:ascii="Trebuchet MS" w:hAnsi="Trebuchet MS" w:cs="Arial"/>
          <w:sz w:val="22"/>
          <w:szCs w:val="22"/>
        </w:rPr>
      </w:pPr>
      <w:r w:rsidRPr="00A9271F">
        <w:rPr>
          <w:rFonts w:ascii="Trebuchet MS" w:hAnsi="Trebuchet MS" w:cs="Arial"/>
          <w:sz w:val="22"/>
          <w:szCs w:val="22"/>
        </w:rPr>
        <w:t xml:space="preserve">promovarea utilizării apei potabile de la robinet cu crearea de facilități de consum precum echipamente de distribuție de exterior si interior, campanii de conștientizare etc; </w:t>
      </w:r>
    </w:p>
    <w:p w:rsidR="00C417FD" w:rsidRPr="00A9271F" w:rsidRDefault="00C417FD" w:rsidP="00802006">
      <w:pPr>
        <w:numPr>
          <w:ilvl w:val="0"/>
          <w:numId w:val="89"/>
        </w:numPr>
        <w:tabs>
          <w:tab w:val="left" w:pos="360"/>
          <w:tab w:val="left" w:pos="630"/>
        </w:tabs>
        <w:ind w:left="360"/>
        <w:jc w:val="both"/>
        <w:rPr>
          <w:rFonts w:ascii="Trebuchet MS" w:hAnsi="Trebuchet MS" w:cs="Arial"/>
          <w:sz w:val="22"/>
          <w:szCs w:val="22"/>
        </w:rPr>
      </w:pPr>
      <w:r w:rsidRPr="00A9271F">
        <w:rPr>
          <w:rFonts w:ascii="Trebuchet MS" w:hAnsi="Trebuchet MS" w:cs="Arial"/>
          <w:sz w:val="22"/>
          <w:szCs w:val="22"/>
        </w:rPr>
        <w:t xml:space="preserve">siguranță privind sistemul de distribuție interioară constând în identificarea componentelor de plumb și măsuri de înlocuire, evaluare și gestionarea riscurilor cu accent pe spațiile prioritare; </w:t>
      </w:r>
    </w:p>
    <w:p w:rsidR="00C417FD" w:rsidRPr="00A9271F" w:rsidRDefault="00C417FD" w:rsidP="00802006">
      <w:pPr>
        <w:numPr>
          <w:ilvl w:val="0"/>
          <w:numId w:val="89"/>
        </w:numPr>
        <w:tabs>
          <w:tab w:val="left" w:pos="360"/>
          <w:tab w:val="left" w:pos="630"/>
        </w:tabs>
        <w:ind w:left="360"/>
        <w:jc w:val="both"/>
        <w:rPr>
          <w:rFonts w:ascii="Trebuchet MS" w:hAnsi="Trebuchet MS" w:cs="Arial"/>
          <w:sz w:val="22"/>
          <w:szCs w:val="22"/>
        </w:rPr>
      </w:pPr>
      <w:r w:rsidRPr="00A9271F">
        <w:rPr>
          <w:rFonts w:ascii="Trebuchet MS" w:hAnsi="Trebuchet MS" w:cs="Arial"/>
          <w:sz w:val="22"/>
          <w:szCs w:val="22"/>
        </w:rPr>
        <w:t>raportare anuală care va pune presiune pe capacitatea administrativă a autorităților competente, obligatorie pentru toate sistemele de aprovizionare cu apă, fără limită de mărime și includerea tuturor cerințele nou introduse (raportarea pierderilor și măsurilor de reducere, raportarea evaluării și gestionării riscurilor, raportarea progreselor privind accesul la apă), inclusiv prin folosirea serviciilor de date spațiale.</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 xml:space="preserve">La nivelul Uniunii Europene a intrat în vigoare </w:t>
      </w:r>
      <w:r w:rsidRPr="00A9271F">
        <w:rPr>
          <w:rFonts w:ascii="Trebuchet MS" w:hAnsi="Trebuchet MS" w:cs="Arial"/>
          <w:b/>
          <w:bCs/>
          <w:sz w:val="22"/>
          <w:szCs w:val="22"/>
        </w:rPr>
        <w:t>Regulamentul (UE) 2020/741 al Parlamentului European și al Consiliului din 25 mai 2020 privind cerințele minime pentru reutilizarea apei</w:t>
      </w:r>
      <w:r w:rsidRPr="00A9271F">
        <w:rPr>
          <w:rStyle w:val="FootnoteReference"/>
          <w:rFonts w:ascii="Trebuchet MS" w:hAnsi="Trebuchet MS" w:cs="Arial"/>
          <w:sz w:val="22"/>
          <w:szCs w:val="22"/>
        </w:rPr>
        <w:footnoteReference w:id="28"/>
      </w:r>
      <w:r w:rsidRPr="00A9271F">
        <w:rPr>
          <w:rFonts w:ascii="Trebuchet MS" w:hAnsi="Trebuchet MS" w:cs="Arial"/>
          <w:sz w:val="22"/>
          <w:szCs w:val="22"/>
        </w:rPr>
        <w:t>. Regulamentul stabilește cerințe minime de calitate a apei și de monitorizare pentru utilizare în special în agricultură  precum și dispoziții privind managementul riscului și utilizarea în siguranță a apelor recuperate, în contextul managementului integrat al apei. România trebuie să aplice Regulamentul începând cu 26 iunie 2023. Aplicarea viitoare a prevederilor regulamentului constituie o măsură specifică pentru gestionarea apei în condiții de secetă, apele uzate epurate devenind o sursă importantă de apă și nutrienți, în special pentru anumite culturil agricole.</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Centrul Comun de Cercetare al Comisiei Europene (JRC) a publicat în anul 2022 „Ghidul tehnic – managementul riscului de reutilizare a apei pentru sistemele de irigare agricolă din Europa”</w:t>
      </w:r>
      <w:r w:rsidRPr="00A9271F">
        <w:rPr>
          <w:rStyle w:val="FootnoteReference"/>
          <w:rFonts w:ascii="Trebuchet MS" w:hAnsi="Trebuchet MS" w:cs="Arial"/>
          <w:sz w:val="22"/>
          <w:szCs w:val="22"/>
        </w:rPr>
        <w:footnoteReference w:id="29"/>
      </w:r>
      <w:r w:rsidRPr="00A9271F">
        <w:rPr>
          <w:rFonts w:ascii="Trebuchet MS" w:hAnsi="Trebuchet MS" w:cs="Arial"/>
          <w:sz w:val="22"/>
          <w:szCs w:val="22"/>
        </w:rPr>
        <w:t xml:space="preserve"> care oferă îndrumări pentru stabilirea Planului de management al riscurilor, așa cum este menționat la articolul 5 din Regulamentul de reutilizare a apei 2020/741. Acesta asigură asistență tehnică în punerea în aplicare a elementelor cheie ale managementului riscurilor prevăzute în anexa II la regulament.</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 Pornind de la abordarea integrată a tuturor aspectelor relevante pentru resursele de apă, Directiva Cadru Apă menționează în cuprinsul său relația cu habitatele și speciile unde menținerea sau îmbunătățirea stării apei este un factor important în protecția lor. În acest sens, se prevede obligativitatea realizării și actualizării unui registru al zonelor protejate care să includă și această categorie de habitate și specii.</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Măsurile de conservare a speciilor și habitatelor naturale din zona marină se referă, în principal, la implementarea obligațiilor din cadrul Directivelor Habitate şi Păsări, pentru atingerea obiectivelor de conservare a speciilor și habitatelor protejate. În acest sens, de-a lungul timpului România a desemnat pentru zona costieră arii naturale protejate de interes național (rezervații naturale) și internațional (rezervații ale biosferei), dar și arii naturale protejate de interes european (situri Natura 2000), când a devenit Stat Membru al UE. Totodată, sectorul românesc al coastei Mării Negre face parte din Via Pontica, una dintre cele mai importante rute de migrație în Europa pentru păsări și lilieci.</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În vederea menținerii și îmbunătățirii stării favorabile de conservare, pentru aceste arii naturale protejate se elaborează și se implementează planuri de management, care contribuie la atingerea atât a stării ecologice bune a corpurilor de apă costiere și tranzitorii, cât și a stării bune a mediului marin, prin stabilirea și implementarea unor măsuri speciale de management și reglementarea activităților umane în conformitate cu obiectivele ariei naturale protejate. Măsurile prevăzute în planurile de management ale ariilor naturale protejate se elaborează astfel încât să ţină cont atât de condiţiile economice, sociale şi culturale ale comunităţilor locale, cât şi de particularităţile regionale şi locale ale zonei, prioritate având însă obiectivele de management ale ariei naturale protejate. Respectarea planurilor de management este obligatorie pentru administratorii ariilor naturale protejate, pentru autorităţile care reglementează activităţi pe teritoriul ariilor naturale protejate, precum şi pentru persoanele fizice şi juridice care deţin sau care administrează terenuri şi alte bunuri şi/sau care desfăşoară activităţi în perimetrul şi în vecinătatea ariei naturale protejate.</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În contextul managementului și controlul surselor de poluare marină (accidente de scurgeri de petrol sau alte substanțe poluante, deșeuri), eforturile pentru reducerea și combaterea acestei poluări, prin implementarea prevederilor Convenţiei pentru Protecţia Mării Negre împotriva poluării, contribuie și la protejarea speciilor și habitatelor marine și costiere atât din ariile naturale protejate, cât și din vecinătatea lor.</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Trebuie menționat faptul că, prin implementarea Programului de măsuri din cadrul Planului de Management al fluviului Dunărea, Deltei Dunării, Spaţiului hidrografic Dobrogea şi Apelor Costiere actualizat (2021) și Planului de Management al Districtului Internațional al Dunării actualizat (2021) elaborat de ICPDR, precum și al Programului de măsuri aferent Directivei Cadru Strategia pentru Mediul Marin, corpurile de apă costiere vor atinge obiectivele de mediu în cel de-al treilea ciclu de planificare (2022-2027).</w:t>
      </w:r>
    </w:p>
    <w:p w:rsidR="00C417FD" w:rsidRPr="00A9271F" w:rsidRDefault="00C417FD" w:rsidP="00802006">
      <w:pPr>
        <w:ind w:firstLine="720"/>
        <w:jc w:val="both"/>
        <w:rPr>
          <w:rFonts w:ascii="Trebuchet MS" w:hAnsi="Trebuchet MS" w:cs="Arial"/>
          <w:sz w:val="22"/>
          <w:szCs w:val="22"/>
        </w:rPr>
      </w:pPr>
      <w:r w:rsidRPr="00A9271F">
        <w:rPr>
          <w:rFonts w:ascii="Trebuchet MS" w:hAnsi="Trebuchet MS" w:cs="Arial"/>
          <w:sz w:val="22"/>
          <w:szCs w:val="22"/>
        </w:rPr>
        <w:t>Efortul comun al utilizatorilor de apă, al factorilor interesaţi şi publicului larg, al autorităților de gospodărirea apelor, prin aplicarea măsurilor prevăzute în strategiile și planurile pentru gospodărirea integrată a resurselor de apă, va conduce la atingerea obiectivelor de mediu ale corpurilor de apă, fiind în același timp o oportunitate pentru această generație, pentru oameni și organizații, de a lucra împreună în scopul îmbunătățirii mediului acvatic în toate aspectele lui.</w:t>
      </w:r>
    </w:p>
    <w:p w:rsidR="00AE762B" w:rsidRPr="00802006" w:rsidRDefault="00342B14" w:rsidP="00802006">
      <w:pPr>
        <w:rPr>
          <w:rFonts w:ascii="Trebuchet MS" w:hAnsi="Trebuchet MS" w:cs="Arial"/>
          <w:b/>
          <w:color w:val="000000"/>
          <w:lang w:val="ro-RO"/>
        </w:rPr>
      </w:pPr>
      <w:r w:rsidRPr="00802006">
        <w:rPr>
          <w:rFonts w:ascii="Trebuchet MS" w:hAnsi="Trebuchet MS" w:cs="Arial"/>
          <w:b/>
          <w:color w:val="000000"/>
          <w:lang w:val="ro-RO"/>
        </w:rPr>
        <w:br w:type="page"/>
      </w:r>
    </w:p>
    <w:p w:rsidR="00AE762B" w:rsidRPr="00BA2F12" w:rsidRDefault="00AE762B" w:rsidP="00335AFC">
      <w:pPr>
        <w:pStyle w:val="Default"/>
        <w:jc w:val="center"/>
        <w:rPr>
          <w:rFonts w:ascii="Trebuchet MS" w:hAnsi="Trebuchet MS"/>
          <w:b/>
          <w:color w:val="auto"/>
          <w:sz w:val="32"/>
          <w:szCs w:val="32"/>
          <w:lang w:val="ro-RO"/>
        </w:rPr>
      </w:pPr>
      <w:r w:rsidRPr="00BA2F12">
        <w:rPr>
          <w:rFonts w:ascii="Trebuchet MS" w:hAnsi="Trebuchet MS"/>
          <w:b/>
          <w:color w:val="auto"/>
          <w:sz w:val="32"/>
          <w:szCs w:val="32"/>
          <w:lang w:val="ro-RO"/>
        </w:rPr>
        <w:t>Capitolul III</w:t>
      </w:r>
    </w:p>
    <w:p w:rsidR="00AE762B" w:rsidRPr="00BA2F12" w:rsidRDefault="00AE762B" w:rsidP="00335AFC">
      <w:pPr>
        <w:pStyle w:val="Default"/>
        <w:jc w:val="center"/>
        <w:rPr>
          <w:rFonts w:ascii="Trebuchet MS" w:hAnsi="Trebuchet MS"/>
          <w:b/>
          <w:color w:val="auto"/>
          <w:sz w:val="32"/>
          <w:szCs w:val="32"/>
          <w:lang w:val="ro-RO"/>
        </w:rPr>
      </w:pPr>
      <w:r w:rsidRPr="00BA2F12">
        <w:rPr>
          <w:rFonts w:ascii="Trebuchet MS" w:hAnsi="Trebuchet MS"/>
          <w:b/>
          <w:color w:val="auto"/>
          <w:sz w:val="32"/>
          <w:szCs w:val="32"/>
          <w:lang w:val="ro-RO"/>
        </w:rPr>
        <w:t>SOLUL</w:t>
      </w:r>
    </w:p>
    <w:p w:rsidR="003351E8" w:rsidRPr="00BA2F12" w:rsidRDefault="003351E8" w:rsidP="003351E8">
      <w:pPr>
        <w:autoSpaceDE w:val="0"/>
        <w:autoSpaceDN w:val="0"/>
        <w:adjustRightInd w:val="0"/>
        <w:jc w:val="center"/>
        <w:rPr>
          <w:rFonts w:ascii="Trebuchet MS" w:eastAsia="Times New Roman" w:hAnsi="Trebuchet MS" w:cs="Arial"/>
          <w:b/>
          <w:color w:val="000000"/>
          <w:sz w:val="32"/>
          <w:szCs w:val="32"/>
          <w:lang w:val="ro-RO"/>
        </w:rPr>
      </w:pPr>
    </w:p>
    <w:p w:rsidR="003351E8" w:rsidRPr="00A9271F" w:rsidRDefault="003351E8" w:rsidP="003351E8">
      <w:pPr>
        <w:ind w:firstLine="720"/>
        <w:jc w:val="both"/>
        <w:rPr>
          <w:rFonts w:ascii="Trebuchet MS" w:hAnsi="Trebuchet MS" w:cs="Arial"/>
          <w:sz w:val="22"/>
          <w:szCs w:val="22"/>
        </w:rPr>
      </w:pPr>
      <w:r w:rsidRPr="00A9271F">
        <w:rPr>
          <w:rFonts w:ascii="Trebuchet MS" w:hAnsi="Trebuchet MS" w:cs="Arial"/>
          <w:sz w:val="22"/>
          <w:szCs w:val="22"/>
        </w:rPr>
        <w:t>Solul este în general definit ca stratul superior al scoarţei terestre. Este un sistem foarte dinamic, care îndeplineşte numeroase funcţii şi joacă un rol crucial pentru activitatea umană şi pentru supravieţuirea ecosistemelor. Procesele care permit formarea şi regenerarea solului sunt extrem de lente, iar din acest motiv solul este considerat o sursă neregenerabilă.</w:t>
      </w:r>
    </w:p>
    <w:p w:rsidR="003351E8" w:rsidRPr="00A9271F" w:rsidRDefault="003351E8" w:rsidP="003351E8">
      <w:pPr>
        <w:jc w:val="both"/>
        <w:rPr>
          <w:rFonts w:ascii="Trebuchet MS" w:hAnsi="Trebuchet MS" w:cs="Arial"/>
          <w:sz w:val="22"/>
          <w:szCs w:val="22"/>
        </w:rPr>
      </w:pPr>
      <w:r w:rsidRPr="00A9271F">
        <w:rPr>
          <w:rFonts w:ascii="Trebuchet MS" w:hAnsi="Trebuchet MS" w:cs="Arial"/>
          <w:sz w:val="22"/>
          <w:szCs w:val="22"/>
        </w:rPr>
        <w:t>Principalele procese de degradare la care sunt expuse solurile sunt eroziunea, scăderea conţinutului de materii organice, contaminarea, salinizarea, tasarea, declinul biodiversităţii, impermeabilizarea, precum şi inundaţiile şi alunecările de teren.</w:t>
      </w:r>
    </w:p>
    <w:p w:rsidR="003351E8" w:rsidRPr="00A9271F" w:rsidRDefault="003351E8" w:rsidP="003351E8">
      <w:pPr>
        <w:ind w:firstLine="720"/>
        <w:jc w:val="both"/>
        <w:rPr>
          <w:rFonts w:ascii="Trebuchet MS" w:hAnsi="Trebuchet MS" w:cs="Arial"/>
          <w:sz w:val="22"/>
          <w:szCs w:val="22"/>
        </w:rPr>
      </w:pPr>
      <w:r w:rsidRPr="00A9271F">
        <w:rPr>
          <w:rFonts w:ascii="Trebuchet MS" w:hAnsi="Trebuchet MS" w:cs="Arial"/>
          <w:sz w:val="22"/>
          <w:szCs w:val="22"/>
        </w:rPr>
        <w:t>Degradarea solului reprezintă o problemă gravă. Ea este provocată sau agravată de activităţi umane, cum ar fi practicile agricole şi silvice necorespunzătoare, activităţile industriale, turismul, expansiunea urbană şi industrială, precum şi amenajarea teritoriului.Printre consecinţele sale se numără pierderea fertilităţii solurilor, a carbonului şi a biodiversităţii, scăderea capacităţii de reţinere a apei, perturbarea ciclului gazelor şi al elementelor nutritive şi reducerea degradării agenţilor de contaminare. Astfel, degradarea solurilor are o influenţă directă asupra calităţii apei şi a aerului, asupra biodiversităţii şi a schimbărilor climatice. De asemenea, ea poate să afecteze sănătatea populaţiei şi să ameninţe securitatea produselor alimentare şi a furajelor.</w:t>
      </w:r>
    </w:p>
    <w:p w:rsidR="003351E8" w:rsidRPr="00A9271F" w:rsidRDefault="003351E8" w:rsidP="003351E8">
      <w:pPr>
        <w:rPr>
          <w:rFonts w:ascii="Trebuchet MS" w:hAnsi="Trebuchet MS"/>
          <w:sz w:val="22"/>
          <w:szCs w:val="22"/>
        </w:rPr>
      </w:pPr>
    </w:p>
    <w:p w:rsidR="003351E8" w:rsidRPr="00BA2F12" w:rsidRDefault="003351E8" w:rsidP="003351E8">
      <w:pPr>
        <w:rPr>
          <w:rFonts w:ascii="Trebuchet MS" w:hAnsi="Trebuchet MS" w:cs="Arial"/>
          <w:b/>
        </w:rPr>
      </w:pPr>
      <w:r w:rsidRPr="00BA2F12">
        <w:rPr>
          <w:rFonts w:ascii="Trebuchet MS" w:hAnsi="Trebuchet MS" w:cs="Arial"/>
          <w:b/>
        </w:rPr>
        <w:t xml:space="preserve">      III.1.Calitatea solurilor: stare şi tendinţe  </w:t>
      </w:r>
      <w:r w:rsidRPr="00BA2F12">
        <w:rPr>
          <w:rFonts w:ascii="Trebuchet MS" w:hAnsi="Trebuchet MS" w:cs="Arial"/>
          <w:b/>
        </w:rPr>
        <w:tab/>
      </w:r>
    </w:p>
    <w:p w:rsidR="003351E8" w:rsidRPr="00BA2F12" w:rsidRDefault="003351E8" w:rsidP="003351E8">
      <w:pPr>
        <w:tabs>
          <w:tab w:val="left" w:pos="1276"/>
          <w:tab w:val="left" w:leader="dot" w:pos="9356"/>
        </w:tabs>
        <w:ind w:left="170"/>
        <w:rPr>
          <w:rFonts w:ascii="Trebuchet MS" w:hAnsi="Trebuchet MS" w:cs="Arial"/>
          <w:lang w:val="ro-RO"/>
        </w:rPr>
      </w:pPr>
      <w:r w:rsidRPr="00BA2F12">
        <w:rPr>
          <w:rFonts w:ascii="Trebuchet MS" w:hAnsi="Trebuchet MS" w:cs="Arial"/>
          <w:i/>
          <w:lang w:val="ro-RO"/>
        </w:rPr>
        <w:t xml:space="preserve">           </w:t>
      </w:r>
      <w:r w:rsidRPr="00BA2F12">
        <w:rPr>
          <w:rFonts w:ascii="Trebuchet MS" w:hAnsi="Trebuchet MS" w:cs="Arial"/>
          <w:lang w:val="ro-RO"/>
        </w:rPr>
        <w:t xml:space="preserve">III.1.1.Repartiţia terenurilor pe clase de calitate </w:t>
      </w:r>
    </w:p>
    <w:p w:rsidR="003351E8" w:rsidRPr="00BA2F12" w:rsidRDefault="003351E8" w:rsidP="003351E8">
      <w:pPr>
        <w:tabs>
          <w:tab w:val="left" w:pos="1276"/>
          <w:tab w:val="left" w:leader="dot" w:pos="9356"/>
        </w:tabs>
        <w:ind w:left="170"/>
        <w:rPr>
          <w:rFonts w:ascii="Trebuchet MS" w:hAnsi="Trebuchet MS" w:cs="Arial"/>
          <w:i/>
          <w:lang w:val="ro-RO"/>
        </w:rPr>
      </w:pPr>
    </w:p>
    <w:p w:rsidR="003351E8" w:rsidRPr="00A9271F" w:rsidRDefault="003351E8" w:rsidP="004F134E">
      <w:pPr>
        <w:numPr>
          <w:ilvl w:val="0"/>
          <w:numId w:val="9"/>
        </w:numPr>
        <w:contextualSpacing/>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Indicatori specifici- nu este cazul</w:t>
      </w:r>
    </w:p>
    <w:p w:rsidR="003351E8" w:rsidRPr="00A9271F" w:rsidRDefault="003351E8" w:rsidP="004F134E">
      <w:pPr>
        <w:numPr>
          <w:ilvl w:val="0"/>
          <w:numId w:val="9"/>
        </w:numPr>
        <w:contextualSpacing/>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Alte date şi informaţii specifice</w:t>
      </w:r>
    </w:p>
    <w:p w:rsidR="003351E8" w:rsidRPr="00A9271F" w:rsidRDefault="003351E8" w:rsidP="003351E8">
      <w:pPr>
        <w:ind w:left="450"/>
        <w:contextualSpacing/>
        <w:jc w:val="both"/>
        <w:rPr>
          <w:rFonts w:ascii="Trebuchet MS" w:eastAsia="Calibri" w:hAnsi="Trebuchet MS" w:cs="Arial"/>
          <w:sz w:val="22"/>
          <w:szCs w:val="22"/>
          <w:lang w:val="ro-RO"/>
        </w:rPr>
      </w:pPr>
    </w:p>
    <w:p w:rsidR="003351E8" w:rsidRPr="00A9271F" w:rsidRDefault="003351E8" w:rsidP="003351E8">
      <w:pPr>
        <w:ind w:left="90"/>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Evoluţia repartiţiei terenurilor agricole pe tipuri de folosire în municipiul Bucureşti în perioada 2008 – 2014</w:t>
      </w:r>
    </w:p>
    <w:p w:rsidR="003351E8" w:rsidRPr="00BA2F12" w:rsidRDefault="003351E8" w:rsidP="003351E8">
      <w:pPr>
        <w:ind w:right="289" w:firstLine="720"/>
        <w:jc w:val="both"/>
        <w:rPr>
          <w:rFonts w:ascii="Trebuchet MS" w:eastAsia="Calibri" w:hAnsi="Trebuchet MS" w:cs="Arial"/>
          <w:lang w:val="ro-RO"/>
        </w:rPr>
      </w:pPr>
      <w:r w:rsidRPr="00BA2F12">
        <w:rPr>
          <w:rFonts w:ascii="Trebuchet MS" w:eastAsia="Calibri" w:hAnsi="Trebuchet MS" w:cs="Arial"/>
          <w:lang w:val="ro-RO"/>
        </w:rPr>
        <w:t xml:space="preserve">                                                                                                       Tabel III.1.1.1</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923"/>
        <w:gridCol w:w="1080"/>
        <w:gridCol w:w="1170"/>
        <w:gridCol w:w="1080"/>
        <w:gridCol w:w="1080"/>
        <w:gridCol w:w="990"/>
        <w:gridCol w:w="990"/>
      </w:tblGrid>
      <w:tr w:rsidR="003351E8" w:rsidRPr="00BA2F12" w:rsidTr="00C55BA9">
        <w:tc>
          <w:tcPr>
            <w:tcW w:w="1435" w:type="dxa"/>
          </w:tcPr>
          <w:p w:rsidR="003351E8" w:rsidRPr="00BA2F12" w:rsidRDefault="003351E8" w:rsidP="00C55BA9">
            <w:pPr>
              <w:ind w:right="289" w:firstLine="720"/>
              <w:rPr>
                <w:rFonts w:ascii="Trebuchet MS" w:eastAsia="Calibri" w:hAnsi="Trebuchet MS" w:cs="Arial"/>
                <w:b/>
                <w:sz w:val="20"/>
                <w:szCs w:val="20"/>
                <w:lang w:val="ro-RO"/>
              </w:rPr>
            </w:pPr>
          </w:p>
          <w:p w:rsidR="003351E8" w:rsidRPr="00BA2F12" w:rsidRDefault="003351E8" w:rsidP="00C55BA9">
            <w:pPr>
              <w:ind w:right="256" w:hanging="75"/>
              <w:rPr>
                <w:rFonts w:ascii="Trebuchet MS" w:eastAsia="Calibri" w:hAnsi="Trebuchet MS" w:cs="Arial"/>
                <w:b/>
                <w:sz w:val="20"/>
                <w:szCs w:val="20"/>
                <w:lang w:val="ro-RO"/>
              </w:rPr>
            </w:pPr>
            <w:r w:rsidRPr="00BA2F12">
              <w:rPr>
                <w:rFonts w:ascii="Trebuchet MS" w:eastAsia="Calibri" w:hAnsi="Trebuchet MS" w:cs="Arial"/>
                <w:b/>
                <w:sz w:val="20"/>
                <w:szCs w:val="20"/>
                <w:lang w:val="ro-RO"/>
              </w:rPr>
              <w:t>Hectare</w:t>
            </w:r>
          </w:p>
        </w:tc>
        <w:tc>
          <w:tcPr>
            <w:tcW w:w="923" w:type="dxa"/>
          </w:tcPr>
          <w:p w:rsidR="003351E8" w:rsidRPr="00BA2F12" w:rsidRDefault="003351E8" w:rsidP="00C55BA9">
            <w:pPr>
              <w:ind w:firstLine="720"/>
              <w:rPr>
                <w:rFonts w:ascii="Trebuchet MS" w:eastAsia="Calibri" w:hAnsi="Trebuchet MS" w:cs="Arial"/>
                <w:b/>
                <w:sz w:val="20"/>
                <w:szCs w:val="20"/>
                <w:lang w:val="ro-RO"/>
              </w:rPr>
            </w:pPr>
          </w:p>
          <w:p w:rsidR="003351E8" w:rsidRPr="00BA2F12" w:rsidRDefault="003351E8" w:rsidP="00C55BA9">
            <w:pPr>
              <w:ind w:firstLine="216"/>
              <w:rPr>
                <w:rFonts w:ascii="Trebuchet MS" w:eastAsia="Calibri" w:hAnsi="Trebuchet MS" w:cs="Arial"/>
                <w:b/>
                <w:sz w:val="20"/>
                <w:szCs w:val="20"/>
                <w:lang w:val="ro-RO"/>
              </w:rPr>
            </w:pPr>
            <w:r w:rsidRPr="00BA2F12">
              <w:rPr>
                <w:rFonts w:ascii="Trebuchet MS" w:eastAsia="Calibri" w:hAnsi="Trebuchet MS" w:cs="Arial"/>
                <w:b/>
                <w:sz w:val="20"/>
                <w:szCs w:val="20"/>
                <w:lang w:val="ro-RO"/>
              </w:rPr>
              <w:t>2008</w:t>
            </w:r>
          </w:p>
        </w:tc>
        <w:tc>
          <w:tcPr>
            <w:tcW w:w="1080" w:type="dxa"/>
          </w:tcPr>
          <w:p w:rsidR="003351E8" w:rsidRPr="00BA2F12" w:rsidRDefault="003351E8" w:rsidP="00C55BA9">
            <w:pPr>
              <w:ind w:firstLine="720"/>
              <w:jc w:val="center"/>
              <w:rPr>
                <w:rFonts w:ascii="Trebuchet MS" w:eastAsia="Calibri" w:hAnsi="Trebuchet MS" w:cs="Arial"/>
                <w:b/>
                <w:sz w:val="20"/>
                <w:szCs w:val="20"/>
                <w:lang w:val="ro-RO"/>
              </w:rPr>
            </w:pPr>
          </w:p>
          <w:p w:rsidR="003351E8" w:rsidRPr="00BA2F12" w:rsidRDefault="003351E8" w:rsidP="00C55BA9">
            <w:pPr>
              <w:tabs>
                <w:tab w:val="left" w:pos="377"/>
              </w:tabs>
              <w:ind w:left="197"/>
              <w:jc w:val="center"/>
              <w:rPr>
                <w:rFonts w:ascii="Trebuchet MS" w:eastAsia="Calibri" w:hAnsi="Trebuchet MS" w:cs="Arial"/>
                <w:b/>
                <w:sz w:val="20"/>
                <w:szCs w:val="20"/>
                <w:lang w:val="ro-RO"/>
              </w:rPr>
            </w:pPr>
            <w:r w:rsidRPr="00BA2F12">
              <w:rPr>
                <w:rFonts w:ascii="Trebuchet MS" w:eastAsia="Calibri" w:hAnsi="Trebuchet MS" w:cs="Arial"/>
                <w:b/>
                <w:sz w:val="20"/>
                <w:szCs w:val="20"/>
                <w:lang w:val="ro-RO"/>
              </w:rPr>
              <w:t>2009</w:t>
            </w:r>
          </w:p>
        </w:tc>
        <w:tc>
          <w:tcPr>
            <w:tcW w:w="1170" w:type="dxa"/>
          </w:tcPr>
          <w:p w:rsidR="003351E8" w:rsidRPr="00BA2F12" w:rsidRDefault="003351E8" w:rsidP="00C55BA9">
            <w:pPr>
              <w:ind w:firstLine="177"/>
              <w:jc w:val="center"/>
              <w:rPr>
                <w:rFonts w:ascii="Trebuchet MS" w:eastAsia="Calibri" w:hAnsi="Trebuchet MS" w:cs="Arial"/>
                <w:b/>
                <w:sz w:val="20"/>
                <w:szCs w:val="20"/>
                <w:lang w:val="ro-RO"/>
              </w:rPr>
            </w:pPr>
          </w:p>
          <w:p w:rsidR="003351E8" w:rsidRPr="00BA2F12" w:rsidRDefault="003351E8" w:rsidP="00C55BA9">
            <w:pPr>
              <w:ind w:firstLine="177"/>
              <w:jc w:val="center"/>
              <w:rPr>
                <w:rFonts w:ascii="Trebuchet MS" w:eastAsia="Calibri" w:hAnsi="Trebuchet MS" w:cs="Arial"/>
                <w:b/>
                <w:sz w:val="20"/>
                <w:szCs w:val="20"/>
                <w:lang w:val="ro-RO"/>
              </w:rPr>
            </w:pPr>
            <w:r w:rsidRPr="00BA2F12">
              <w:rPr>
                <w:rFonts w:ascii="Trebuchet MS" w:eastAsia="Calibri" w:hAnsi="Trebuchet MS" w:cs="Arial"/>
                <w:b/>
                <w:sz w:val="20"/>
                <w:szCs w:val="20"/>
                <w:lang w:val="ro-RO"/>
              </w:rPr>
              <w:t>2010</w:t>
            </w:r>
          </w:p>
        </w:tc>
        <w:tc>
          <w:tcPr>
            <w:tcW w:w="1080" w:type="dxa"/>
          </w:tcPr>
          <w:p w:rsidR="003351E8" w:rsidRPr="00BA2F12" w:rsidRDefault="003351E8" w:rsidP="00C55BA9">
            <w:pPr>
              <w:ind w:firstLine="720"/>
              <w:jc w:val="center"/>
              <w:rPr>
                <w:rFonts w:ascii="Trebuchet MS" w:eastAsia="Calibri" w:hAnsi="Trebuchet MS" w:cs="Arial"/>
                <w:b/>
                <w:sz w:val="20"/>
                <w:szCs w:val="20"/>
                <w:lang w:val="ro-RO"/>
              </w:rPr>
            </w:pPr>
          </w:p>
          <w:p w:rsidR="003351E8" w:rsidRPr="00BA2F12" w:rsidRDefault="003351E8" w:rsidP="00C55BA9">
            <w:pPr>
              <w:ind w:firstLine="337"/>
              <w:rPr>
                <w:rFonts w:ascii="Trebuchet MS" w:eastAsia="Calibri" w:hAnsi="Trebuchet MS" w:cs="Arial"/>
                <w:b/>
                <w:sz w:val="20"/>
                <w:szCs w:val="20"/>
                <w:lang w:val="ro-RO"/>
              </w:rPr>
            </w:pPr>
            <w:r w:rsidRPr="00BA2F12">
              <w:rPr>
                <w:rFonts w:ascii="Trebuchet MS" w:eastAsia="Calibri" w:hAnsi="Trebuchet MS" w:cs="Arial"/>
                <w:b/>
                <w:sz w:val="20"/>
                <w:szCs w:val="20"/>
                <w:lang w:val="ro-RO"/>
              </w:rPr>
              <w:t>2011</w:t>
            </w:r>
          </w:p>
        </w:tc>
        <w:tc>
          <w:tcPr>
            <w:tcW w:w="1080" w:type="dxa"/>
          </w:tcPr>
          <w:p w:rsidR="003351E8" w:rsidRPr="00BA2F12" w:rsidRDefault="003351E8" w:rsidP="00C55BA9">
            <w:pPr>
              <w:ind w:firstLine="720"/>
              <w:rPr>
                <w:rFonts w:ascii="Trebuchet MS" w:eastAsia="Calibri" w:hAnsi="Trebuchet MS" w:cs="Arial"/>
                <w:b/>
                <w:sz w:val="20"/>
                <w:szCs w:val="20"/>
                <w:lang w:val="ro-RO"/>
              </w:rPr>
            </w:pPr>
          </w:p>
          <w:p w:rsidR="003351E8" w:rsidRPr="00BA2F12" w:rsidRDefault="003351E8" w:rsidP="00C55BA9">
            <w:pPr>
              <w:ind w:firstLine="227"/>
              <w:rPr>
                <w:rFonts w:ascii="Trebuchet MS" w:eastAsia="Calibri" w:hAnsi="Trebuchet MS" w:cs="Arial"/>
                <w:b/>
                <w:sz w:val="20"/>
                <w:szCs w:val="20"/>
                <w:lang w:val="ro-RO"/>
              </w:rPr>
            </w:pPr>
            <w:r w:rsidRPr="00BA2F12">
              <w:rPr>
                <w:rFonts w:ascii="Trebuchet MS" w:eastAsia="Calibri" w:hAnsi="Trebuchet MS" w:cs="Arial"/>
                <w:b/>
                <w:sz w:val="20"/>
                <w:szCs w:val="20"/>
                <w:lang w:val="ro-RO"/>
              </w:rPr>
              <w:t>2012</w:t>
            </w:r>
          </w:p>
        </w:tc>
        <w:tc>
          <w:tcPr>
            <w:tcW w:w="990" w:type="dxa"/>
          </w:tcPr>
          <w:p w:rsidR="003351E8" w:rsidRPr="00BA2F12" w:rsidRDefault="003351E8" w:rsidP="00C55BA9">
            <w:pPr>
              <w:ind w:firstLine="720"/>
              <w:jc w:val="center"/>
              <w:rPr>
                <w:rFonts w:ascii="Trebuchet MS" w:eastAsia="Calibri" w:hAnsi="Trebuchet MS" w:cs="Arial"/>
                <w:b/>
                <w:sz w:val="20"/>
                <w:szCs w:val="20"/>
                <w:lang w:val="ro-RO"/>
              </w:rPr>
            </w:pPr>
          </w:p>
          <w:p w:rsidR="003351E8" w:rsidRPr="00BA2F12" w:rsidRDefault="003351E8" w:rsidP="00C55BA9">
            <w:pPr>
              <w:rPr>
                <w:rFonts w:ascii="Trebuchet MS" w:eastAsia="Calibri" w:hAnsi="Trebuchet MS" w:cs="Arial"/>
                <w:b/>
                <w:sz w:val="20"/>
                <w:szCs w:val="20"/>
                <w:lang w:val="ro-RO"/>
              </w:rPr>
            </w:pPr>
            <w:r w:rsidRPr="00BA2F12">
              <w:rPr>
                <w:rFonts w:ascii="Trebuchet MS" w:eastAsia="Calibri" w:hAnsi="Trebuchet MS" w:cs="Arial"/>
                <w:b/>
                <w:sz w:val="20"/>
                <w:szCs w:val="20"/>
                <w:lang w:val="ro-RO"/>
              </w:rPr>
              <w:t xml:space="preserve">  2013</w:t>
            </w:r>
          </w:p>
        </w:tc>
        <w:tc>
          <w:tcPr>
            <w:tcW w:w="990" w:type="dxa"/>
            <w:vAlign w:val="center"/>
          </w:tcPr>
          <w:p w:rsidR="003351E8" w:rsidRPr="00BA2F12" w:rsidRDefault="003351E8" w:rsidP="00C55BA9">
            <w:pPr>
              <w:ind w:firstLine="720"/>
              <w:jc w:val="center"/>
              <w:rPr>
                <w:rFonts w:ascii="Trebuchet MS" w:eastAsia="Calibri" w:hAnsi="Trebuchet MS" w:cs="Arial"/>
                <w:b/>
                <w:sz w:val="20"/>
                <w:szCs w:val="20"/>
                <w:lang w:val="ro-RO"/>
              </w:rPr>
            </w:pPr>
            <w:r w:rsidRPr="00BA2F12">
              <w:rPr>
                <w:rFonts w:ascii="Trebuchet MS" w:eastAsia="Calibri" w:hAnsi="Trebuchet MS" w:cs="Arial"/>
                <w:b/>
                <w:sz w:val="20"/>
                <w:szCs w:val="20"/>
                <w:lang w:val="ro-RO"/>
              </w:rPr>
              <w:t xml:space="preserve">     2014</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Suprafaţa totală</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23787</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23787</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23787</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23787</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23787</w:t>
            </w:r>
          </w:p>
        </w:tc>
        <w:tc>
          <w:tcPr>
            <w:tcW w:w="99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23787</w:t>
            </w:r>
          </w:p>
        </w:tc>
        <w:tc>
          <w:tcPr>
            <w:tcW w:w="99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23787</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Suprafaţa agricolă</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3496</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3481</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3121</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3052</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3052</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3052</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3052</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 proprietate majoritar privată *)</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2327</w:t>
            </w:r>
          </w:p>
        </w:tc>
        <w:tc>
          <w:tcPr>
            <w:tcW w:w="1080" w:type="dxa"/>
            <w:vAlign w:val="center"/>
          </w:tcPr>
          <w:p w:rsidR="003351E8" w:rsidRPr="00BA2F12" w:rsidRDefault="003351E8" w:rsidP="00C55BA9">
            <w:pPr>
              <w:jc w:val="center"/>
              <w:rPr>
                <w:rFonts w:ascii="Trebuchet MS" w:eastAsia="Calibri" w:hAnsi="Trebuchet MS" w:cs="Arial"/>
                <w:sz w:val="20"/>
                <w:szCs w:val="20"/>
              </w:rPr>
            </w:pPr>
            <w:r w:rsidRPr="00BA2F12">
              <w:rPr>
                <w:rFonts w:ascii="Trebuchet MS" w:eastAsia="Calibri" w:hAnsi="Trebuchet MS" w:cs="Arial"/>
                <w:sz w:val="20"/>
                <w:szCs w:val="20"/>
              </w:rPr>
              <w:t>2312</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1952</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1951</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1951</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1951</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1944</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Suprafaţa agricolă pe categorii de folosinţă:</w:t>
            </w:r>
          </w:p>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 arabil</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2955</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2940</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2634</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2566</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2566</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2566</w:t>
            </w:r>
          </w:p>
        </w:tc>
        <w:tc>
          <w:tcPr>
            <w:tcW w:w="990" w:type="dxa"/>
          </w:tcPr>
          <w:p w:rsidR="003351E8" w:rsidRPr="00BA2F12" w:rsidRDefault="003351E8" w:rsidP="00C55BA9">
            <w:pPr>
              <w:jc w:val="center"/>
              <w:rPr>
                <w:rFonts w:ascii="Trebuchet MS" w:hAnsi="Trebuchet MS" w:cs="Arial"/>
                <w:sz w:val="20"/>
                <w:szCs w:val="20"/>
                <w:shd w:val="clear" w:color="auto" w:fill="FAFAFA"/>
              </w:rPr>
            </w:pPr>
          </w:p>
          <w:p w:rsidR="003351E8" w:rsidRPr="00BA2F12" w:rsidRDefault="003351E8" w:rsidP="00C55BA9">
            <w:pPr>
              <w:jc w:val="center"/>
              <w:rPr>
                <w:rFonts w:ascii="Trebuchet MS" w:hAnsi="Trebuchet MS" w:cs="Arial"/>
                <w:sz w:val="20"/>
                <w:szCs w:val="20"/>
                <w:shd w:val="clear" w:color="auto" w:fill="FAFAFA"/>
              </w:rPr>
            </w:pPr>
          </w:p>
          <w:p w:rsidR="003351E8" w:rsidRPr="00BA2F12" w:rsidRDefault="003351E8" w:rsidP="00C55BA9">
            <w:pPr>
              <w:jc w:val="center"/>
              <w:rPr>
                <w:rFonts w:ascii="Trebuchet MS" w:hAnsi="Trebuchet MS" w:cs="Arial"/>
                <w:sz w:val="20"/>
                <w:szCs w:val="20"/>
                <w:shd w:val="clear" w:color="auto" w:fill="FAFAFA"/>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hAnsi="Trebuchet MS" w:cs="Arial"/>
                <w:sz w:val="20"/>
                <w:szCs w:val="20"/>
                <w:shd w:val="clear" w:color="auto" w:fill="FAFAFA"/>
              </w:rPr>
              <w:t>2566</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 păşuni</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406</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406</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355</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355</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355</w:t>
            </w:r>
          </w:p>
        </w:tc>
        <w:tc>
          <w:tcPr>
            <w:tcW w:w="990" w:type="dxa"/>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355</w:t>
            </w:r>
          </w:p>
        </w:tc>
        <w:tc>
          <w:tcPr>
            <w:tcW w:w="990" w:type="dxa"/>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355</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 vii şi pepiniere viticole</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w:t>
            </w:r>
          </w:p>
        </w:tc>
        <w:tc>
          <w:tcPr>
            <w:tcW w:w="99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w:t>
            </w:r>
          </w:p>
        </w:tc>
        <w:tc>
          <w:tcPr>
            <w:tcW w:w="99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 livezi şi pepiniere pomicole</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123</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123</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120</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119</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119</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119</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119</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Păduri şi alte terenuri cu vegetaţie forestieră</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611</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611</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611</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611</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611</w:t>
            </w:r>
          </w:p>
        </w:tc>
        <w:tc>
          <w:tcPr>
            <w:tcW w:w="99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611</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611</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Ape şi bălţi</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908</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908</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908</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908</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908</w:t>
            </w:r>
          </w:p>
        </w:tc>
        <w:tc>
          <w:tcPr>
            <w:tcW w:w="990" w:type="dxa"/>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908</w:t>
            </w:r>
          </w:p>
        </w:tc>
        <w:tc>
          <w:tcPr>
            <w:tcW w:w="990" w:type="dxa"/>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908</w:t>
            </w:r>
          </w:p>
        </w:tc>
      </w:tr>
      <w:tr w:rsidR="003351E8" w:rsidRPr="00BA2F12" w:rsidTr="00C55BA9">
        <w:tc>
          <w:tcPr>
            <w:tcW w:w="1435" w:type="dxa"/>
            <w:vAlign w:val="center"/>
          </w:tcPr>
          <w:p w:rsidR="003351E8" w:rsidRPr="00BA2F12" w:rsidRDefault="003351E8" w:rsidP="00C55BA9">
            <w:pPr>
              <w:jc w:val="both"/>
              <w:rPr>
                <w:rFonts w:ascii="Trebuchet MS" w:eastAsia="Calibri" w:hAnsi="Trebuchet MS" w:cs="Arial"/>
                <w:sz w:val="20"/>
                <w:szCs w:val="20"/>
                <w:lang w:val="ro-RO"/>
              </w:rPr>
            </w:pPr>
            <w:r w:rsidRPr="00BA2F12">
              <w:rPr>
                <w:rFonts w:ascii="Trebuchet MS" w:eastAsia="Calibri" w:hAnsi="Trebuchet MS" w:cs="Arial"/>
                <w:sz w:val="20"/>
                <w:szCs w:val="20"/>
                <w:lang w:val="ro-RO"/>
              </w:rPr>
              <w:t>Alte suprafeţe**)</w:t>
            </w:r>
          </w:p>
        </w:tc>
        <w:tc>
          <w:tcPr>
            <w:tcW w:w="923"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18772</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18787</w:t>
            </w:r>
          </w:p>
        </w:tc>
        <w:tc>
          <w:tcPr>
            <w:tcW w:w="117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19147</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19216</w:t>
            </w:r>
          </w:p>
        </w:tc>
        <w:tc>
          <w:tcPr>
            <w:tcW w:w="1080" w:type="dxa"/>
            <w:vAlign w:val="center"/>
          </w:tcPr>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19216</w:t>
            </w: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19216</w:t>
            </w:r>
          </w:p>
          <w:p w:rsidR="003351E8" w:rsidRPr="00BA2F12" w:rsidRDefault="003351E8" w:rsidP="00C55BA9">
            <w:pPr>
              <w:jc w:val="center"/>
              <w:rPr>
                <w:rFonts w:ascii="Trebuchet MS" w:eastAsia="Calibri" w:hAnsi="Trebuchet MS" w:cs="Arial"/>
                <w:sz w:val="20"/>
                <w:szCs w:val="20"/>
                <w:lang w:val="ro-RO"/>
              </w:rPr>
            </w:pPr>
          </w:p>
        </w:tc>
        <w:tc>
          <w:tcPr>
            <w:tcW w:w="990" w:type="dxa"/>
          </w:tcPr>
          <w:p w:rsidR="003351E8" w:rsidRPr="00BA2F12" w:rsidRDefault="003351E8" w:rsidP="00C55BA9">
            <w:pPr>
              <w:jc w:val="center"/>
              <w:rPr>
                <w:rFonts w:ascii="Trebuchet MS" w:eastAsia="Calibri" w:hAnsi="Trebuchet MS" w:cs="Arial"/>
                <w:sz w:val="20"/>
                <w:szCs w:val="20"/>
                <w:lang w:val="ro-RO"/>
              </w:rPr>
            </w:pPr>
          </w:p>
          <w:p w:rsidR="003351E8" w:rsidRPr="00BA2F12" w:rsidRDefault="003351E8" w:rsidP="00C55BA9">
            <w:pPr>
              <w:jc w:val="center"/>
              <w:rPr>
                <w:rFonts w:ascii="Trebuchet MS" w:eastAsia="Calibri" w:hAnsi="Trebuchet MS" w:cs="Arial"/>
                <w:sz w:val="20"/>
                <w:szCs w:val="20"/>
                <w:lang w:val="ro-RO"/>
              </w:rPr>
            </w:pPr>
            <w:r w:rsidRPr="00BA2F12">
              <w:rPr>
                <w:rFonts w:ascii="Trebuchet MS" w:eastAsia="Calibri" w:hAnsi="Trebuchet MS" w:cs="Arial"/>
                <w:sz w:val="20"/>
                <w:szCs w:val="20"/>
                <w:lang w:val="ro-RO"/>
              </w:rPr>
              <w:t>19216</w:t>
            </w:r>
          </w:p>
        </w:tc>
      </w:tr>
    </w:tbl>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 xml:space="preserve">       *) conţine proprietatea privată a statului, a unităţilor administrativ – teritoriale, a persoanelor juridice şi fizice.</w:t>
      </w:r>
    </w:p>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**)teren neproductiv- construcţii, drumuri şi căi ferate</w:t>
      </w:r>
    </w:p>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Din anul 2000 proprietatea privată conţine: proprietatea privată a statului, a unităţilor administrativ-teritoriale, a persoanelor juridice şi a persoanelor fizice.</w:t>
      </w:r>
    </w:p>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Sursa datelor: Institutul Naţional de Statistică</w:t>
      </w:r>
    </w:p>
    <w:p w:rsidR="003351E8" w:rsidRPr="00A9271F" w:rsidRDefault="003351E8" w:rsidP="003351E8">
      <w:pPr>
        <w:jc w:val="both"/>
        <w:rPr>
          <w:rFonts w:ascii="Trebuchet MS" w:eastAsia="Times New Roman" w:hAnsi="Trebuchet MS" w:cs="Arial"/>
          <w:b/>
          <w:sz w:val="22"/>
          <w:szCs w:val="22"/>
          <w:lang w:val="ro-RO"/>
        </w:rPr>
      </w:pPr>
      <w:r w:rsidRPr="00A9271F">
        <w:rPr>
          <w:rFonts w:ascii="Trebuchet MS" w:eastAsia="Times New Roman" w:hAnsi="Trebuchet MS" w:cs="Arial"/>
          <w:b/>
          <w:sz w:val="22"/>
          <w:szCs w:val="22"/>
          <w:lang w:val="ro-RO"/>
        </w:rPr>
        <w:t>Notă:</w:t>
      </w:r>
      <w:r w:rsidRPr="00A9271F">
        <w:rPr>
          <w:rFonts w:ascii="Trebuchet MS" w:eastAsia="Times New Roman" w:hAnsi="Trebuchet MS" w:cs="Arial"/>
          <w:sz w:val="22"/>
          <w:szCs w:val="22"/>
          <w:lang w:val="ro-RO"/>
        </w:rPr>
        <w:t xml:space="preserve"> </w:t>
      </w:r>
      <w:r w:rsidRPr="00A9271F">
        <w:rPr>
          <w:rFonts w:ascii="Trebuchet MS" w:eastAsia="Times New Roman" w:hAnsi="Trebuchet MS" w:cs="Arial"/>
          <w:b/>
          <w:sz w:val="22"/>
          <w:szCs w:val="22"/>
          <w:lang w:val="ro-RO"/>
        </w:rPr>
        <w:t>Până la finalizare acţiunii de cadastrare a ţării, de către Agenţia Naţională de Cadastru şi Publicitate Imobiliară, seriile de date prezentate vor rămâne blocate la nivelul anului 2014.</w:t>
      </w:r>
    </w:p>
    <w:p w:rsidR="003351E8" w:rsidRPr="00A9271F" w:rsidRDefault="003351E8" w:rsidP="003351E8">
      <w:pPr>
        <w:jc w:val="both"/>
        <w:rPr>
          <w:rFonts w:ascii="Trebuchet MS" w:eastAsia="Times New Roman" w:hAnsi="Trebuchet MS" w:cs="Arial"/>
          <w:sz w:val="22"/>
          <w:szCs w:val="22"/>
          <w:lang w:val="ro-RO"/>
        </w:rPr>
      </w:pPr>
    </w:p>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Suprafaţa agricolă pe categorii de folosinţă, în anul 2014</w:t>
      </w:r>
    </w:p>
    <w:p w:rsidR="003351E8" w:rsidRPr="00A9271F" w:rsidRDefault="003351E8" w:rsidP="003351E8">
      <w:pPr>
        <w:jc w:val="both"/>
        <w:rPr>
          <w:rFonts w:ascii="Trebuchet MS" w:eastAsia="Times New Roman" w:hAnsi="Trebuchet MS" w:cs="Arial"/>
          <w:sz w:val="22"/>
          <w:szCs w:val="22"/>
          <w:lang w:val="ro-RO"/>
        </w:rPr>
      </w:pPr>
    </w:p>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Grafic nr. III.1.1.1.</w:t>
      </w:r>
    </w:p>
    <w:p w:rsidR="003351E8" w:rsidRPr="000815AC" w:rsidRDefault="003351E8" w:rsidP="003351E8">
      <w:pPr>
        <w:jc w:val="both"/>
        <w:rPr>
          <w:rFonts w:ascii="Arial" w:eastAsia="Times New Roman" w:hAnsi="Arial" w:cs="Arial"/>
          <w:b/>
          <w:lang w:val="ro-RO"/>
        </w:rPr>
      </w:pPr>
      <w:r>
        <w:rPr>
          <w:rFonts w:ascii="Arial" w:eastAsia="Times New Roman" w:hAnsi="Arial" w:cs="Arial"/>
          <w:b/>
          <w:noProof/>
          <w:lang w:val="en-US"/>
        </w:rPr>
        <w:drawing>
          <wp:inline distT="0" distB="0" distL="0" distR="0" wp14:anchorId="7E0BEEDC" wp14:editId="2AD76968">
            <wp:extent cx="4981575" cy="275272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81575" cy="2752725"/>
                    </a:xfrm>
                    <a:prstGeom prst="rect">
                      <a:avLst/>
                    </a:prstGeom>
                    <a:noFill/>
                    <a:ln>
                      <a:noFill/>
                    </a:ln>
                  </pic:spPr>
                </pic:pic>
              </a:graphicData>
            </a:graphic>
          </wp:inline>
        </w:drawing>
      </w:r>
    </w:p>
    <w:p w:rsidR="003351E8" w:rsidRPr="000815AC" w:rsidRDefault="003351E8" w:rsidP="003351E8">
      <w:pPr>
        <w:tabs>
          <w:tab w:val="left" w:pos="1276"/>
          <w:tab w:val="left" w:leader="dot" w:pos="9356"/>
        </w:tabs>
        <w:ind w:left="170"/>
        <w:rPr>
          <w:rFonts w:ascii="Arial" w:hAnsi="Arial" w:cs="Arial"/>
          <w:i/>
          <w:lang w:val="ro-RO"/>
        </w:rPr>
      </w:pPr>
    </w:p>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i/>
          <w:sz w:val="22"/>
          <w:szCs w:val="22"/>
          <w:lang w:val="ro-RO"/>
        </w:rPr>
        <w:t>Sursa datelor:</w:t>
      </w:r>
      <w:r w:rsidRPr="00A9271F">
        <w:rPr>
          <w:rFonts w:ascii="Trebuchet MS" w:eastAsia="Times New Roman" w:hAnsi="Trebuchet MS" w:cs="Arial"/>
          <w:sz w:val="22"/>
          <w:szCs w:val="22"/>
          <w:lang w:val="ro-RO"/>
        </w:rPr>
        <w:t xml:space="preserve"> Institutul Naţional de Statistică</w:t>
      </w:r>
    </w:p>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Notă: Până la finalizare acţiunii de cadastrare a ţării, de către Agenţia Naţională de Cadastru şi Publicitate Imobiliară, seriile de date prezentate vor rămâne blocate la nivelul anului 2014.</w:t>
      </w:r>
    </w:p>
    <w:p w:rsidR="003351E8" w:rsidRPr="00BA2F12" w:rsidRDefault="003351E8" w:rsidP="003351E8">
      <w:pPr>
        <w:jc w:val="both"/>
        <w:rPr>
          <w:rFonts w:ascii="Trebuchet MS" w:eastAsia="Times New Roman" w:hAnsi="Trebuchet MS" w:cs="Arial"/>
          <w:lang w:val="ro-RO"/>
        </w:rPr>
      </w:pPr>
    </w:p>
    <w:p w:rsidR="003351E8" w:rsidRPr="00BA2F12" w:rsidRDefault="003351E8" w:rsidP="00BA2F12">
      <w:pPr>
        <w:tabs>
          <w:tab w:val="left" w:pos="1276"/>
          <w:tab w:val="left" w:leader="dot" w:pos="9356"/>
        </w:tabs>
        <w:ind w:left="284" w:firstLine="180"/>
        <w:rPr>
          <w:rFonts w:ascii="Trebuchet MS" w:hAnsi="Trebuchet MS" w:cs="Arial"/>
          <w:b/>
          <w:lang w:val="ro-RO"/>
        </w:rPr>
      </w:pPr>
      <w:r w:rsidRPr="00BA2F12">
        <w:rPr>
          <w:rFonts w:ascii="Trebuchet MS" w:hAnsi="Trebuchet MS" w:cs="Arial"/>
          <w:b/>
          <w:lang w:val="ro-RO"/>
        </w:rPr>
        <w:t xml:space="preserve">III.1.2.Terenuri afectate de diverşi factori limitativi </w:t>
      </w:r>
    </w:p>
    <w:p w:rsidR="003351E8" w:rsidRPr="00BA2F12" w:rsidRDefault="003351E8" w:rsidP="003351E8">
      <w:pPr>
        <w:tabs>
          <w:tab w:val="left" w:pos="1276"/>
          <w:tab w:val="left" w:leader="dot" w:pos="9356"/>
        </w:tabs>
        <w:ind w:left="630" w:firstLine="180"/>
        <w:rPr>
          <w:rFonts w:ascii="Trebuchet MS" w:hAnsi="Trebuchet MS" w:cs="Arial"/>
          <w:b/>
          <w:i/>
          <w:lang w:val="ro-RO"/>
        </w:rPr>
      </w:pPr>
    </w:p>
    <w:p w:rsidR="003351E8" w:rsidRPr="00A9271F" w:rsidRDefault="003351E8" w:rsidP="003351E8">
      <w:pPr>
        <w:tabs>
          <w:tab w:val="left" w:pos="1276"/>
          <w:tab w:val="left" w:leader="dot" w:pos="9356"/>
        </w:tabs>
        <w:ind w:left="630" w:firstLine="180"/>
        <w:rPr>
          <w:rFonts w:ascii="Trebuchet MS" w:hAnsi="Trebuchet MS" w:cs="Arial"/>
          <w:sz w:val="22"/>
          <w:szCs w:val="22"/>
          <w:lang w:val="ro-RO"/>
        </w:rPr>
      </w:pPr>
      <w:r w:rsidRPr="00A9271F">
        <w:rPr>
          <w:rFonts w:ascii="Trebuchet MS" w:hAnsi="Trebuchet MS" w:cs="Arial"/>
          <w:sz w:val="22"/>
          <w:szCs w:val="22"/>
          <w:lang w:val="ro-RO"/>
        </w:rPr>
        <w:t>Nu există date pentru municipiul Bucureşti</w:t>
      </w:r>
    </w:p>
    <w:p w:rsidR="003351E8" w:rsidRPr="00BA2F12" w:rsidRDefault="003351E8" w:rsidP="003351E8">
      <w:pPr>
        <w:tabs>
          <w:tab w:val="left" w:pos="1276"/>
          <w:tab w:val="left" w:leader="dot" w:pos="9356"/>
        </w:tabs>
        <w:ind w:left="630" w:firstLine="180"/>
        <w:rPr>
          <w:rFonts w:ascii="Trebuchet MS" w:hAnsi="Trebuchet MS" w:cs="Arial"/>
          <w:i/>
          <w:lang w:val="ro-RO"/>
        </w:rPr>
      </w:pPr>
    </w:p>
    <w:p w:rsidR="003351E8" w:rsidRPr="00BA2F12" w:rsidRDefault="003351E8" w:rsidP="003351E8">
      <w:pPr>
        <w:rPr>
          <w:rFonts w:ascii="Trebuchet MS" w:hAnsi="Trebuchet MS" w:cs="Arial"/>
          <w:b/>
        </w:rPr>
      </w:pPr>
      <w:r w:rsidRPr="00BA2F12">
        <w:rPr>
          <w:rFonts w:ascii="Trebuchet MS" w:hAnsi="Trebuchet MS" w:cs="Arial"/>
        </w:rPr>
        <w:t xml:space="preserve">      </w:t>
      </w:r>
      <w:r w:rsidRPr="00BA2F12">
        <w:rPr>
          <w:rFonts w:ascii="Trebuchet MS" w:hAnsi="Trebuchet MS" w:cs="Arial"/>
          <w:b/>
        </w:rPr>
        <w:t xml:space="preserve">III.2. Zone critice sub aspectul deteriorării solurilor   </w:t>
      </w:r>
      <w:r w:rsidRPr="00BA2F12">
        <w:rPr>
          <w:rFonts w:ascii="Trebuchet MS" w:hAnsi="Trebuchet MS" w:cs="Arial"/>
          <w:b/>
        </w:rPr>
        <w:tab/>
      </w:r>
    </w:p>
    <w:p w:rsidR="003351E8" w:rsidRPr="00BA2F12" w:rsidRDefault="003351E8" w:rsidP="003351E8">
      <w:pPr>
        <w:jc w:val="both"/>
        <w:rPr>
          <w:rFonts w:ascii="Trebuchet MS" w:hAnsi="Trebuchet MS" w:cs="Arial"/>
          <w:lang w:val="it-IT"/>
        </w:rPr>
      </w:pPr>
      <w:r w:rsidRPr="00BA2F12">
        <w:rPr>
          <w:rFonts w:ascii="Trebuchet MS" w:hAnsi="Trebuchet MS" w:cs="Arial"/>
          <w:lang w:val="it-IT"/>
        </w:rPr>
        <w:t xml:space="preserve">     </w:t>
      </w:r>
    </w:p>
    <w:p w:rsidR="003351E8" w:rsidRPr="00BA2F12" w:rsidRDefault="003351E8" w:rsidP="003351E8">
      <w:pPr>
        <w:jc w:val="both"/>
        <w:rPr>
          <w:rFonts w:ascii="Trebuchet MS" w:hAnsi="Trebuchet MS" w:cs="Arial"/>
          <w:lang w:val="it-IT"/>
        </w:rPr>
      </w:pPr>
    </w:p>
    <w:p w:rsidR="003351E8" w:rsidRPr="00A9271F" w:rsidRDefault="003351E8" w:rsidP="004F134E">
      <w:pPr>
        <w:numPr>
          <w:ilvl w:val="0"/>
          <w:numId w:val="10"/>
        </w:numPr>
        <w:contextualSpacing/>
        <w:jc w:val="both"/>
        <w:rPr>
          <w:rFonts w:ascii="Trebuchet MS" w:eastAsia="Times New Roman" w:hAnsi="Trebuchet MS" w:cs="Arial"/>
          <w:sz w:val="22"/>
          <w:szCs w:val="22"/>
          <w:lang w:val="it-IT"/>
        </w:rPr>
      </w:pPr>
      <w:r w:rsidRPr="00A9271F">
        <w:rPr>
          <w:rFonts w:ascii="Trebuchet MS" w:eastAsia="Times New Roman" w:hAnsi="Trebuchet MS" w:cs="Arial"/>
          <w:sz w:val="22"/>
          <w:szCs w:val="22"/>
          <w:lang w:val="it-IT"/>
        </w:rPr>
        <w:t>Indicatori specifici</w:t>
      </w:r>
    </w:p>
    <w:p w:rsidR="003351E8" w:rsidRPr="00A9271F" w:rsidRDefault="003351E8" w:rsidP="003351E8">
      <w:pPr>
        <w:autoSpaceDE w:val="0"/>
        <w:autoSpaceDN w:val="0"/>
        <w:adjustRightInd w:val="0"/>
        <w:rPr>
          <w:rFonts w:ascii="Trebuchet MS" w:eastAsia="Times New Roman" w:hAnsi="Trebuchet MS" w:cs="Arial"/>
          <w:sz w:val="22"/>
          <w:szCs w:val="22"/>
        </w:rPr>
      </w:pPr>
      <w:r w:rsidRPr="00A9271F">
        <w:rPr>
          <w:rFonts w:ascii="Trebuchet MS" w:hAnsi="Trebuchet MS" w:cs="Arial"/>
          <w:sz w:val="22"/>
          <w:szCs w:val="22"/>
          <w:lang w:val="it-IT"/>
        </w:rPr>
        <w:t xml:space="preserve">Nu deţinem date pentru indicatorul RO 15- CSI 15- </w:t>
      </w:r>
      <w:r w:rsidRPr="00A9271F">
        <w:rPr>
          <w:rFonts w:ascii="Trebuchet MS" w:eastAsia="Times New Roman" w:hAnsi="Trebuchet MS" w:cs="Arial"/>
          <w:sz w:val="22"/>
          <w:szCs w:val="22"/>
        </w:rPr>
        <w:t>Progresul înregistrat în managementul siturilor contaminate</w:t>
      </w:r>
    </w:p>
    <w:p w:rsidR="003351E8" w:rsidRPr="00A9271F" w:rsidRDefault="003351E8" w:rsidP="003351E8">
      <w:pPr>
        <w:contextualSpacing/>
        <w:jc w:val="both"/>
        <w:rPr>
          <w:rFonts w:ascii="Trebuchet MS" w:eastAsia="Times New Roman" w:hAnsi="Trebuchet MS" w:cs="Arial"/>
          <w:sz w:val="22"/>
          <w:szCs w:val="22"/>
          <w:lang w:val="it-IT"/>
        </w:rPr>
      </w:pPr>
    </w:p>
    <w:p w:rsidR="003351E8" w:rsidRPr="00A9271F" w:rsidRDefault="003351E8" w:rsidP="003351E8">
      <w:pPr>
        <w:contextualSpacing/>
        <w:jc w:val="both"/>
        <w:rPr>
          <w:rFonts w:ascii="Trebuchet MS" w:eastAsia="Times New Roman" w:hAnsi="Trebuchet MS" w:cs="Arial"/>
          <w:sz w:val="22"/>
          <w:szCs w:val="22"/>
          <w:lang w:val="it-IT"/>
        </w:rPr>
      </w:pPr>
      <w:r w:rsidRPr="00A9271F">
        <w:rPr>
          <w:rFonts w:ascii="Trebuchet MS" w:eastAsia="Times New Roman" w:hAnsi="Trebuchet MS" w:cs="Arial"/>
          <w:sz w:val="22"/>
          <w:szCs w:val="22"/>
          <w:lang w:val="it-IT"/>
        </w:rPr>
        <w:t xml:space="preserve">    B Alte date şi informaţii specifice</w:t>
      </w:r>
    </w:p>
    <w:p w:rsidR="003351E8" w:rsidRPr="00A9271F" w:rsidRDefault="003351E8" w:rsidP="003351E8">
      <w:pPr>
        <w:contextualSpacing/>
        <w:jc w:val="both"/>
        <w:rPr>
          <w:rFonts w:ascii="Trebuchet MS" w:eastAsia="Times New Roman" w:hAnsi="Trebuchet MS" w:cs="Arial"/>
          <w:sz w:val="22"/>
          <w:szCs w:val="22"/>
          <w:lang w:val="it-IT"/>
        </w:rPr>
      </w:pPr>
    </w:p>
    <w:p w:rsidR="00A9271F" w:rsidRDefault="003351E8" w:rsidP="003351E8">
      <w:pPr>
        <w:jc w:val="both"/>
        <w:rPr>
          <w:rFonts w:ascii="Trebuchet MS" w:hAnsi="Trebuchet MS" w:cs="Arial"/>
          <w:b/>
          <w:lang w:val="it-IT"/>
        </w:rPr>
      </w:pPr>
      <w:r w:rsidRPr="00BA2F12">
        <w:rPr>
          <w:rFonts w:ascii="Trebuchet MS" w:hAnsi="Trebuchet MS" w:cs="Arial"/>
          <w:b/>
          <w:lang w:val="it-IT"/>
        </w:rPr>
        <w:t xml:space="preserve"> </w:t>
      </w:r>
    </w:p>
    <w:p w:rsidR="003351E8" w:rsidRPr="00BA2F12" w:rsidRDefault="003351E8" w:rsidP="003351E8">
      <w:pPr>
        <w:jc w:val="both"/>
        <w:rPr>
          <w:rFonts w:ascii="Trebuchet MS" w:hAnsi="Trebuchet MS" w:cs="Arial"/>
          <w:b/>
          <w:lang w:val="it-IT"/>
        </w:rPr>
      </w:pPr>
      <w:r w:rsidRPr="00BA2F12">
        <w:rPr>
          <w:rFonts w:ascii="Trebuchet MS" w:hAnsi="Trebuchet MS" w:cs="Arial"/>
          <w:b/>
          <w:lang w:val="it-IT"/>
        </w:rPr>
        <w:t xml:space="preserve"> III.2.1. Situri contaminate de procese antropice</w:t>
      </w:r>
    </w:p>
    <w:p w:rsidR="003351E8" w:rsidRPr="00A9271F" w:rsidRDefault="003351E8" w:rsidP="003351E8">
      <w:pPr>
        <w:shd w:val="clear" w:color="auto" w:fill="FFFFFF"/>
        <w:spacing w:before="300" w:after="150"/>
        <w:jc w:val="both"/>
        <w:outlineLvl w:val="0"/>
        <w:rPr>
          <w:rFonts w:ascii="Trebuchet MS" w:eastAsia="Times New Roman" w:hAnsi="Trebuchet MS" w:cs="Arial"/>
          <w:kern w:val="36"/>
          <w:sz w:val="22"/>
          <w:szCs w:val="22"/>
          <w:lang w:val="ro-RO"/>
        </w:rPr>
      </w:pPr>
      <w:r w:rsidRPr="00A9271F">
        <w:rPr>
          <w:rFonts w:ascii="Trebuchet MS" w:hAnsi="Trebuchet MS" w:cs="Arial"/>
          <w:sz w:val="22"/>
          <w:szCs w:val="22"/>
          <w:lang w:val="ro-RO"/>
        </w:rPr>
        <w:t xml:space="preserve">      În anul 2019 a fost aprobata legislaţia referitoare la siturile contaminate şi anume Legea nr. 74</w:t>
      </w:r>
      <w:r w:rsidRPr="00A9271F">
        <w:rPr>
          <w:rFonts w:ascii="Trebuchet MS" w:eastAsia="Times New Roman" w:hAnsi="Trebuchet MS" w:cs="Arial"/>
          <w:kern w:val="36"/>
          <w:sz w:val="22"/>
          <w:szCs w:val="22"/>
        </w:rPr>
        <w:t>, privind gestionarea siturilor potenţial contaminate şi a celor contaminate.</w:t>
      </w:r>
    </w:p>
    <w:p w:rsidR="003351E8" w:rsidRPr="00A9271F" w:rsidRDefault="003351E8" w:rsidP="003351E8">
      <w:pPr>
        <w:spacing w:line="288" w:lineRule="atLeast"/>
        <w:jc w:val="both"/>
        <w:rPr>
          <w:rFonts w:ascii="Trebuchet MS" w:eastAsia="Times New Roman" w:hAnsi="Trebuchet MS" w:cs="Arial"/>
          <w:sz w:val="22"/>
          <w:szCs w:val="22"/>
          <w:shd w:val="clear" w:color="auto" w:fill="FFFFFF"/>
        </w:rPr>
      </w:pPr>
      <w:r w:rsidRPr="00A9271F">
        <w:rPr>
          <w:rFonts w:ascii="Trebuchet MS" w:hAnsi="Trebuchet MS" w:cs="Arial"/>
          <w:sz w:val="22"/>
          <w:szCs w:val="22"/>
          <w:lang w:val="ro-RO"/>
        </w:rPr>
        <w:t xml:space="preserve">   Conform acestei Legi,</w:t>
      </w:r>
      <w:r w:rsidRPr="00A9271F">
        <w:rPr>
          <w:rFonts w:ascii="Trebuchet MS" w:eastAsia="Times New Roman" w:hAnsi="Trebuchet MS" w:cs="Arial"/>
          <w:sz w:val="22"/>
          <w:szCs w:val="22"/>
          <w:shd w:val="clear" w:color="auto" w:fill="FFFFFF"/>
        </w:rPr>
        <w:t xml:space="preserve"> autorităţile Administraţiei Publice Locale sunt implicate în identificarea siturilor potenţial contaminate şi transmiterea către agenţia judeţeană pentru protecţia mediului pe a cărei raza teritorială se află lista siturilor potenţial contaminate, precum şi datele de identificare şi contact ale deţinătorului de teren sau, după caz, ale operatorului economic.</w:t>
      </w:r>
    </w:p>
    <w:p w:rsidR="003351E8" w:rsidRPr="00A9271F" w:rsidRDefault="003351E8" w:rsidP="003351E8">
      <w:pPr>
        <w:spacing w:line="288" w:lineRule="atLeast"/>
        <w:jc w:val="both"/>
        <w:rPr>
          <w:rFonts w:ascii="Trebuchet MS" w:eastAsia="Times New Roman" w:hAnsi="Trebuchet MS" w:cs="Arial"/>
          <w:sz w:val="22"/>
          <w:szCs w:val="22"/>
          <w:shd w:val="clear" w:color="auto" w:fill="FFFFFF"/>
        </w:rPr>
      </w:pPr>
    </w:p>
    <w:p w:rsidR="003351E8" w:rsidRPr="00A9271F" w:rsidRDefault="003351E8" w:rsidP="003351E8">
      <w:pPr>
        <w:ind w:firstLine="360"/>
        <w:jc w:val="both"/>
        <w:rPr>
          <w:rFonts w:ascii="Trebuchet MS" w:hAnsi="Trebuchet MS" w:cs="Arial"/>
          <w:sz w:val="22"/>
          <w:szCs w:val="22"/>
          <w:lang w:val="ro-RO"/>
        </w:rPr>
      </w:pPr>
      <w:r w:rsidRPr="00A9271F">
        <w:rPr>
          <w:rFonts w:ascii="Trebuchet MS" w:hAnsi="Trebuchet MS" w:cs="Arial"/>
          <w:sz w:val="22"/>
          <w:szCs w:val="22"/>
          <w:lang w:val="ro-RO"/>
        </w:rPr>
        <w:t>În anul 2023 nu au fost identificate situri contaminate.</w:t>
      </w:r>
    </w:p>
    <w:p w:rsidR="003351E8" w:rsidRPr="00A9271F" w:rsidRDefault="003351E8" w:rsidP="003351E8">
      <w:pPr>
        <w:jc w:val="both"/>
        <w:outlineLvl w:val="2"/>
        <w:rPr>
          <w:rFonts w:ascii="Trebuchet MS" w:hAnsi="Trebuchet MS" w:cs="Arial"/>
          <w:sz w:val="22"/>
          <w:szCs w:val="22"/>
          <w:lang w:val="ro-RO"/>
        </w:rPr>
      </w:pPr>
      <w:r w:rsidRPr="00A9271F">
        <w:rPr>
          <w:rFonts w:ascii="Trebuchet MS" w:hAnsi="Trebuchet MS" w:cs="Arial"/>
          <w:sz w:val="22"/>
          <w:szCs w:val="22"/>
          <w:lang w:val="ro-RO"/>
        </w:rPr>
        <w:t xml:space="preserve">         </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xml:space="preserve">   </w:t>
      </w:r>
    </w:p>
    <w:p w:rsidR="003351E8" w:rsidRPr="00BA2F12" w:rsidRDefault="003351E8" w:rsidP="003351E8">
      <w:pPr>
        <w:rPr>
          <w:rFonts w:ascii="Trebuchet MS" w:hAnsi="Trebuchet MS" w:cs="Arial"/>
          <w:b/>
        </w:rPr>
      </w:pPr>
      <w:r w:rsidRPr="00BA2F12">
        <w:rPr>
          <w:rFonts w:ascii="Trebuchet MS" w:hAnsi="Trebuchet MS" w:cs="Arial"/>
        </w:rPr>
        <w:t xml:space="preserve">    </w:t>
      </w:r>
      <w:r w:rsidRPr="00BA2F12">
        <w:rPr>
          <w:rFonts w:ascii="Trebuchet MS" w:hAnsi="Trebuchet MS" w:cs="Arial"/>
          <w:b/>
        </w:rPr>
        <w:t xml:space="preserve">III.2.2. Zone afectate de procese naturale  </w:t>
      </w:r>
    </w:p>
    <w:p w:rsidR="003351E8" w:rsidRPr="00BA2F12" w:rsidRDefault="003351E8" w:rsidP="003351E8">
      <w:pPr>
        <w:rPr>
          <w:rFonts w:ascii="Trebuchet MS" w:hAnsi="Trebuchet MS" w:cs="Arial"/>
        </w:rPr>
      </w:pPr>
      <w:r w:rsidRPr="00BA2F12">
        <w:rPr>
          <w:rFonts w:ascii="Trebuchet MS" w:hAnsi="Trebuchet MS" w:cs="Arial"/>
        </w:rPr>
        <w:t xml:space="preserve">              </w:t>
      </w:r>
      <w:r w:rsidRPr="00A9271F">
        <w:rPr>
          <w:rFonts w:ascii="Trebuchet MS" w:hAnsi="Trebuchet MS" w:cs="Arial"/>
          <w:sz w:val="22"/>
          <w:szCs w:val="22"/>
        </w:rPr>
        <w:t>Pentru  municipiul Bucureşti nu deţinem date</w:t>
      </w:r>
      <w:r w:rsidRPr="00BA2F12">
        <w:rPr>
          <w:rFonts w:ascii="Trebuchet MS" w:hAnsi="Trebuchet MS" w:cs="Arial"/>
        </w:rPr>
        <w:t xml:space="preserve"> .</w:t>
      </w:r>
    </w:p>
    <w:p w:rsidR="003351E8" w:rsidRPr="00BA2F12" w:rsidRDefault="003351E8" w:rsidP="003351E8">
      <w:pPr>
        <w:rPr>
          <w:rFonts w:ascii="Trebuchet MS" w:hAnsi="Trebuchet MS" w:cs="Arial"/>
        </w:rPr>
      </w:pPr>
    </w:p>
    <w:p w:rsidR="003351E8" w:rsidRPr="00BA2F12" w:rsidRDefault="003351E8" w:rsidP="003351E8">
      <w:pPr>
        <w:rPr>
          <w:rFonts w:ascii="Trebuchet MS" w:hAnsi="Trebuchet MS" w:cs="Arial"/>
          <w:b/>
        </w:rPr>
      </w:pPr>
      <w:r w:rsidRPr="00BA2F12">
        <w:rPr>
          <w:rFonts w:ascii="Trebuchet MS" w:hAnsi="Trebuchet MS" w:cs="Arial"/>
          <w:b/>
        </w:rPr>
        <w:t xml:space="preserve">     III.3. Presiuni asupra stării de calitate a  solurilor </w:t>
      </w:r>
    </w:p>
    <w:p w:rsidR="003351E8" w:rsidRPr="00BA2F12" w:rsidRDefault="003351E8" w:rsidP="00BA2F12">
      <w:pPr>
        <w:rPr>
          <w:rFonts w:ascii="Trebuchet MS" w:hAnsi="Trebuchet MS" w:cs="Arial"/>
          <w:b/>
        </w:rPr>
      </w:pPr>
      <w:r w:rsidRPr="00BA2F12">
        <w:rPr>
          <w:rFonts w:ascii="Trebuchet MS" w:hAnsi="Trebuchet MS" w:cs="Arial"/>
          <w:b/>
        </w:rPr>
        <w:t xml:space="preserve"> </w:t>
      </w:r>
      <w:r w:rsidR="00BA2F12">
        <w:rPr>
          <w:rFonts w:ascii="Trebuchet MS" w:hAnsi="Trebuchet MS" w:cs="Arial"/>
          <w:b/>
        </w:rPr>
        <w:t xml:space="preserve">   </w:t>
      </w:r>
      <w:r w:rsidRPr="00BA2F12">
        <w:rPr>
          <w:rFonts w:ascii="Trebuchet MS" w:hAnsi="Trebuchet MS" w:cs="Arial"/>
          <w:lang w:val="ro-RO"/>
        </w:rPr>
        <w:t xml:space="preserve">III.3.1.Utilizare şi consumul de îngrăşăminte  </w:t>
      </w:r>
    </w:p>
    <w:p w:rsidR="003351E8" w:rsidRPr="00BA2F12" w:rsidRDefault="003351E8" w:rsidP="003351E8">
      <w:pPr>
        <w:tabs>
          <w:tab w:val="left" w:pos="1276"/>
          <w:tab w:val="left" w:leader="dot" w:pos="9356"/>
        </w:tabs>
        <w:ind w:left="720"/>
        <w:rPr>
          <w:rFonts w:ascii="Trebuchet MS" w:hAnsi="Trebuchet MS" w:cs="Arial"/>
          <w:lang w:val="ro-RO"/>
        </w:rPr>
      </w:pPr>
    </w:p>
    <w:p w:rsidR="003351E8" w:rsidRPr="00A9271F" w:rsidRDefault="003351E8" w:rsidP="003351E8">
      <w:pPr>
        <w:autoSpaceDE w:val="0"/>
        <w:autoSpaceDN w:val="0"/>
        <w:adjustRightInd w:val="0"/>
        <w:rPr>
          <w:rFonts w:ascii="Trebuchet MS" w:eastAsia="Times New Roman" w:hAnsi="Trebuchet MS" w:cs="Arial"/>
          <w:sz w:val="22"/>
          <w:szCs w:val="22"/>
        </w:rPr>
      </w:pPr>
      <w:r w:rsidRPr="00BA2F12">
        <w:rPr>
          <w:rFonts w:ascii="Trebuchet MS" w:hAnsi="Trebuchet MS" w:cs="Arial"/>
        </w:rPr>
        <w:t xml:space="preserve"> </w:t>
      </w:r>
      <w:r w:rsidRPr="00A9271F">
        <w:rPr>
          <w:rFonts w:ascii="Trebuchet MS" w:hAnsi="Trebuchet MS" w:cs="Arial"/>
          <w:sz w:val="22"/>
          <w:szCs w:val="22"/>
        </w:rPr>
        <w:t xml:space="preserve">Pentru indicatorul RO25-CSI25- </w:t>
      </w:r>
      <w:r w:rsidRPr="00A9271F">
        <w:rPr>
          <w:rFonts w:ascii="Trebuchet MS" w:eastAsia="Times New Roman" w:hAnsi="Trebuchet MS" w:cs="Arial"/>
          <w:sz w:val="22"/>
          <w:szCs w:val="22"/>
        </w:rPr>
        <w:t>Balanţa brută a substanţelor nutritive nu sunt date.</w:t>
      </w:r>
    </w:p>
    <w:p w:rsidR="003351E8" w:rsidRPr="00A9271F" w:rsidRDefault="003351E8" w:rsidP="003351E8">
      <w:pPr>
        <w:autoSpaceDE w:val="0"/>
        <w:autoSpaceDN w:val="0"/>
        <w:adjustRightInd w:val="0"/>
        <w:rPr>
          <w:rFonts w:ascii="Trebuchet MS" w:eastAsia="Times New Roman" w:hAnsi="Trebuchet MS" w:cs="Arial"/>
          <w:sz w:val="22"/>
          <w:szCs w:val="22"/>
        </w:rPr>
      </w:pPr>
    </w:p>
    <w:p w:rsidR="003351E8" w:rsidRPr="00A9271F" w:rsidRDefault="003351E8" w:rsidP="003351E8">
      <w:pPr>
        <w:autoSpaceDE w:val="0"/>
        <w:autoSpaceDN w:val="0"/>
        <w:adjustRightInd w:val="0"/>
        <w:rPr>
          <w:rFonts w:ascii="Trebuchet MS" w:eastAsia="Times New Roman" w:hAnsi="Trebuchet MS" w:cs="Arial"/>
          <w:sz w:val="22"/>
          <w:szCs w:val="22"/>
        </w:rPr>
      </w:pPr>
      <w:r w:rsidRPr="00A9271F">
        <w:rPr>
          <w:rFonts w:ascii="Trebuchet MS" w:eastAsia="Times New Roman" w:hAnsi="Trebuchet MS" w:cs="Arial"/>
          <w:sz w:val="22"/>
          <w:szCs w:val="22"/>
        </w:rPr>
        <w:t>Tabel III.3.1.1-</w:t>
      </w:r>
      <w:r w:rsidRPr="00A9271F">
        <w:rPr>
          <w:rFonts w:ascii="Trebuchet MS" w:hAnsi="Trebuchet MS"/>
          <w:sz w:val="22"/>
          <w:szCs w:val="22"/>
        </w:rPr>
        <w:t xml:space="preserve"> </w:t>
      </w:r>
      <w:r w:rsidRPr="00A9271F">
        <w:rPr>
          <w:rFonts w:ascii="Trebuchet MS" w:eastAsia="Times New Roman" w:hAnsi="Trebuchet MS" w:cs="Arial"/>
          <w:sz w:val="22"/>
          <w:szCs w:val="22"/>
        </w:rPr>
        <w:t>Suprafaţa terenurilor pe care s-au aplicat îngrăşăminte chimice şi naturale pe forme de proprietate, macroregiuni, regiuni de dezvoltare şi judeţe (hectare)</w:t>
      </w:r>
    </w:p>
    <w:p w:rsidR="003351E8" w:rsidRPr="00A9271F" w:rsidRDefault="003351E8" w:rsidP="003351E8">
      <w:pPr>
        <w:autoSpaceDE w:val="0"/>
        <w:autoSpaceDN w:val="0"/>
        <w:adjustRightInd w:val="0"/>
        <w:rPr>
          <w:rFonts w:ascii="Trebuchet MS" w:eastAsia="Times New Roman" w:hAnsi="Trebuchet MS" w:cs="Arial"/>
          <w:sz w:val="22"/>
          <w:szCs w:val="22"/>
          <w:lang w:val="ro-RO"/>
        </w:rPr>
      </w:pPr>
    </w:p>
    <w:tbl>
      <w:tblPr>
        <w:tblW w:w="84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8"/>
        <w:gridCol w:w="844"/>
        <w:gridCol w:w="794"/>
        <w:gridCol w:w="783"/>
        <w:gridCol w:w="706"/>
        <w:gridCol w:w="706"/>
        <w:gridCol w:w="706"/>
        <w:gridCol w:w="706"/>
        <w:gridCol w:w="706"/>
        <w:gridCol w:w="706"/>
      </w:tblGrid>
      <w:tr w:rsidR="003351E8" w:rsidRPr="00A9271F" w:rsidTr="00C55BA9">
        <w:trPr>
          <w:trHeight w:val="300"/>
        </w:trPr>
        <w:tc>
          <w:tcPr>
            <w:tcW w:w="1808"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Categorie</w:t>
            </w:r>
          </w:p>
        </w:tc>
        <w:tc>
          <w:tcPr>
            <w:tcW w:w="84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2015</w:t>
            </w:r>
          </w:p>
        </w:tc>
        <w:tc>
          <w:tcPr>
            <w:tcW w:w="79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2016</w:t>
            </w:r>
          </w:p>
        </w:tc>
        <w:tc>
          <w:tcPr>
            <w:tcW w:w="783"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2017</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2018</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2019</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2021</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2022</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2023</w:t>
            </w:r>
          </w:p>
        </w:tc>
      </w:tr>
      <w:tr w:rsidR="003351E8" w:rsidRPr="00A9271F" w:rsidTr="00C55BA9">
        <w:trPr>
          <w:trHeight w:val="300"/>
        </w:trPr>
        <w:tc>
          <w:tcPr>
            <w:tcW w:w="1808"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Chimice</w:t>
            </w:r>
          </w:p>
        </w:tc>
        <w:tc>
          <w:tcPr>
            <w:tcW w:w="84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81</w:t>
            </w:r>
          </w:p>
        </w:tc>
        <w:tc>
          <w:tcPr>
            <w:tcW w:w="79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72</w:t>
            </w:r>
          </w:p>
        </w:tc>
        <w:tc>
          <w:tcPr>
            <w:tcW w:w="783"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42</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r>
      <w:tr w:rsidR="003351E8" w:rsidRPr="00A9271F" w:rsidTr="00C55BA9">
        <w:trPr>
          <w:trHeight w:val="300"/>
        </w:trPr>
        <w:tc>
          <w:tcPr>
            <w:tcW w:w="1808"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Azotoase</w:t>
            </w:r>
          </w:p>
        </w:tc>
        <w:tc>
          <w:tcPr>
            <w:tcW w:w="84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27</w:t>
            </w:r>
          </w:p>
        </w:tc>
        <w:tc>
          <w:tcPr>
            <w:tcW w:w="79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45</w:t>
            </w:r>
          </w:p>
        </w:tc>
        <w:tc>
          <w:tcPr>
            <w:tcW w:w="783"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14</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234</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r>
      <w:tr w:rsidR="003351E8" w:rsidRPr="00A9271F" w:rsidTr="00C55BA9">
        <w:trPr>
          <w:trHeight w:val="300"/>
        </w:trPr>
        <w:tc>
          <w:tcPr>
            <w:tcW w:w="1808"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Fosfatice</w:t>
            </w:r>
          </w:p>
        </w:tc>
        <w:tc>
          <w:tcPr>
            <w:tcW w:w="84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27</w:t>
            </w:r>
          </w:p>
        </w:tc>
        <w:tc>
          <w:tcPr>
            <w:tcW w:w="79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25</w:t>
            </w:r>
          </w:p>
        </w:tc>
        <w:tc>
          <w:tcPr>
            <w:tcW w:w="783"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14</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234</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r>
      <w:tr w:rsidR="003351E8" w:rsidRPr="00A9271F" w:rsidTr="00C55BA9">
        <w:trPr>
          <w:trHeight w:val="300"/>
        </w:trPr>
        <w:tc>
          <w:tcPr>
            <w:tcW w:w="1808"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Potasice</w:t>
            </w:r>
          </w:p>
        </w:tc>
        <w:tc>
          <w:tcPr>
            <w:tcW w:w="84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27</w:t>
            </w:r>
          </w:p>
        </w:tc>
        <w:tc>
          <w:tcPr>
            <w:tcW w:w="794"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w:t>
            </w:r>
          </w:p>
        </w:tc>
        <w:tc>
          <w:tcPr>
            <w:tcW w:w="783"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14</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r>
    </w:tbl>
    <w:p w:rsidR="003351E8" w:rsidRPr="00A9271F" w:rsidRDefault="003351E8" w:rsidP="003351E8">
      <w:pPr>
        <w:autoSpaceDE w:val="0"/>
        <w:autoSpaceDN w:val="0"/>
        <w:adjustRightInd w:val="0"/>
        <w:rPr>
          <w:rFonts w:ascii="Trebuchet MS" w:eastAsia="Times New Roman" w:hAnsi="Trebuchet MS" w:cs="Arial"/>
          <w:sz w:val="22"/>
          <w:szCs w:val="22"/>
        </w:rPr>
      </w:pPr>
      <w:r w:rsidRPr="00A9271F">
        <w:rPr>
          <w:rFonts w:ascii="Trebuchet MS" w:eastAsia="Times New Roman" w:hAnsi="Trebuchet MS" w:cs="Arial"/>
          <w:sz w:val="22"/>
          <w:szCs w:val="22"/>
        </w:rPr>
        <w:t>Sursa datelor:</w:t>
      </w:r>
      <w:r w:rsidRPr="00A9271F">
        <w:rPr>
          <w:rFonts w:ascii="Trebuchet MS" w:hAnsi="Trebuchet MS"/>
          <w:sz w:val="22"/>
          <w:szCs w:val="22"/>
        </w:rPr>
        <w:t xml:space="preserve"> </w:t>
      </w:r>
      <w:hyperlink r:id="rId135" w:history="1">
        <w:r w:rsidRPr="00A9271F">
          <w:rPr>
            <w:rStyle w:val="Hyperlink"/>
            <w:rFonts w:ascii="Trebuchet MS" w:eastAsia="Times New Roman" w:hAnsi="Trebuchet MS" w:cs="Arial"/>
            <w:sz w:val="22"/>
            <w:szCs w:val="22"/>
          </w:rPr>
          <w:t>http://statistici.insse.ro/</w:t>
        </w:r>
      </w:hyperlink>
      <w:r w:rsidRPr="00A9271F">
        <w:rPr>
          <w:rFonts w:ascii="Trebuchet MS" w:eastAsia="Times New Roman" w:hAnsi="Trebuchet MS" w:cs="Arial"/>
          <w:sz w:val="22"/>
          <w:szCs w:val="22"/>
        </w:rPr>
        <w:t xml:space="preserve"> </w:t>
      </w:r>
    </w:p>
    <w:p w:rsidR="003351E8" w:rsidRPr="00A9271F" w:rsidRDefault="003351E8" w:rsidP="003351E8">
      <w:pPr>
        <w:autoSpaceDE w:val="0"/>
        <w:autoSpaceDN w:val="0"/>
        <w:adjustRightInd w:val="0"/>
        <w:rPr>
          <w:rFonts w:ascii="Trebuchet MS" w:eastAsia="Times New Roman" w:hAnsi="Trebuchet MS" w:cs="Arial"/>
          <w:sz w:val="22"/>
          <w:szCs w:val="22"/>
        </w:rPr>
      </w:pPr>
    </w:p>
    <w:p w:rsidR="003351E8" w:rsidRPr="00A9271F" w:rsidRDefault="003351E8" w:rsidP="003351E8">
      <w:pPr>
        <w:autoSpaceDE w:val="0"/>
        <w:autoSpaceDN w:val="0"/>
        <w:adjustRightInd w:val="0"/>
        <w:rPr>
          <w:rFonts w:ascii="Trebuchet MS" w:eastAsia="Times New Roman" w:hAnsi="Trebuchet MS" w:cs="Arial"/>
          <w:sz w:val="22"/>
          <w:szCs w:val="22"/>
        </w:rPr>
      </w:pPr>
      <w:r w:rsidRPr="00A9271F">
        <w:rPr>
          <w:rFonts w:ascii="Trebuchet MS" w:eastAsia="Times New Roman" w:hAnsi="Trebuchet MS" w:cs="Arial"/>
          <w:sz w:val="22"/>
          <w:szCs w:val="22"/>
        </w:rPr>
        <w:t>Tabel III.3.1.2-</w:t>
      </w:r>
      <w:r w:rsidRPr="00A9271F">
        <w:rPr>
          <w:rFonts w:ascii="Trebuchet MS" w:hAnsi="Trebuchet MS"/>
          <w:sz w:val="22"/>
          <w:szCs w:val="22"/>
        </w:rPr>
        <w:t xml:space="preserve"> </w:t>
      </w:r>
      <w:r w:rsidRPr="00A9271F">
        <w:rPr>
          <w:rFonts w:ascii="Trebuchet MS" w:eastAsia="Times New Roman" w:hAnsi="Trebuchet MS" w:cs="Arial"/>
          <w:sz w:val="22"/>
          <w:szCs w:val="22"/>
        </w:rPr>
        <w:t>Cantitatea de pesticide aplicate în agricultură, pe forme de proprietate – kg substanţă activă</w:t>
      </w:r>
    </w:p>
    <w:p w:rsidR="003351E8" w:rsidRPr="00A9271F" w:rsidRDefault="003351E8" w:rsidP="003351E8">
      <w:pPr>
        <w:autoSpaceDE w:val="0"/>
        <w:autoSpaceDN w:val="0"/>
        <w:adjustRightInd w:val="0"/>
        <w:rPr>
          <w:rFonts w:ascii="Trebuchet MS" w:eastAsia="Times New Roman" w:hAnsi="Trebuchet MS" w:cs="Arial"/>
          <w:sz w:val="22"/>
          <w:szCs w:val="22"/>
        </w:rPr>
      </w:pPr>
    </w:p>
    <w:tbl>
      <w:tblPr>
        <w:tblW w:w="8490"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808"/>
        <w:gridCol w:w="856"/>
        <w:gridCol w:w="856"/>
        <w:gridCol w:w="786"/>
        <w:gridCol w:w="786"/>
        <w:gridCol w:w="786"/>
        <w:gridCol w:w="786"/>
        <w:gridCol w:w="706"/>
        <w:gridCol w:w="706"/>
      </w:tblGrid>
      <w:tr w:rsidR="003351E8" w:rsidRPr="00A9271F" w:rsidTr="00C55BA9">
        <w:trPr>
          <w:trHeight w:val="300"/>
        </w:trPr>
        <w:tc>
          <w:tcPr>
            <w:tcW w:w="1414"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Categorie</w:t>
            </w:r>
          </w:p>
        </w:tc>
        <w:tc>
          <w:tcPr>
            <w:tcW w:w="808"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2015</w:t>
            </w: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2016</w:t>
            </w: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2017</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2018</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2019</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2020</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2021</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2022</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2023</w:t>
            </w:r>
          </w:p>
        </w:tc>
      </w:tr>
      <w:tr w:rsidR="003351E8" w:rsidRPr="00A9271F" w:rsidTr="00C55BA9">
        <w:trPr>
          <w:trHeight w:val="300"/>
        </w:trPr>
        <w:tc>
          <w:tcPr>
            <w:tcW w:w="1414"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Insecticide</w:t>
            </w:r>
          </w:p>
        </w:tc>
        <w:tc>
          <w:tcPr>
            <w:tcW w:w="808"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12</w:t>
            </w: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55</w:t>
            </w: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15</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30</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10</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w:t>
            </w:r>
          </w:p>
        </w:tc>
      </w:tr>
      <w:tr w:rsidR="003351E8" w:rsidRPr="00A9271F" w:rsidTr="00C55BA9">
        <w:trPr>
          <w:trHeight w:val="300"/>
        </w:trPr>
        <w:tc>
          <w:tcPr>
            <w:tcW w:w="1414"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Fungicide</w:t>
            </w:r>
          </w:p>
        </w:tc>
        <w:tc>
          <w:tcPr>
            <w:tcW w:w="808"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310</w:t>
            </w: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135</w:t>
            </w: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31</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84</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72</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17</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23</w:t>
            </w:r>
          </w:p>
        </w:tc>
      </w:tr>
      <w:tr w:rsidR="003351E8" w:rsidRPr="00A9271F" w:rsidTr="00C55BA9">
        <w:trPr>
          <w:trHeight w:val="300"/>
        </w:trPr>
        <w:tc>
          <w:tcPr>
            <w:tcW w:w="1414"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Erbicide</w:t>
            </w:r>
          </w:p>
        </w:tc>
        <w:tc>
          <w:tcPr>
            <w:tcW w:w="808" w:type="dxa"/>
          </w:tcPr>
          <w:p w:rsidR="003351E8" w:rsidRPr="00A9271F" w:rsidRDefault="003351E8" w:rsidP="00C55BA9">
            <w:pPr>
              <w:jc w:val="right"/>
              <w:rPr>
                <w:rFonts w:ascii="Trebuchet MS" w:eastAsia="Times New Roman" w:hAnsi="Trebuchet MS" w:cs="Arial"/>
                <w:sz w:val="22"/>
                <w:szCs w:val="22"/>
              </w:rPr>
            </w:pP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522</w:t>
            </w:r>
          </w:p>
        </w:tc>
        <w:tc>
          <w:tcPr>
            <w:tcW w:w="85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256</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8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06"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r>
    </w:tbl>
    <w:p w:rsidR="003351E8" w:rsidRPr="00A9271F" w:rsidRDefault="003351E8" w:rsidP="003351E8">
      <w:pPr>
        <w:autoSpaceDE w:val="0"/>
        <w:autoSpaceDN w:val="0"/>
        <w:adjustRightInd w:val="0"/>
        <w:rPr>
          <w:rFonts w:ascii="Trebuchet MS" w:eastAsia="Times New Roman" w:hAnsi="Trebuchet MS" w:cs="Arial"/>
          <w:sz w:val="22"/>
          <w:szCs w:val="22"/>
        </w:rPr>
      </w:pPr>
      <w:r w:rsidRPr="00A9271F">
        <w:rPr>
          <w:rFonts w:ascii="Trebuchet MS" w:eastAsia="Times New Roman" w:hAnsi="Trebuchet MS" w:cs="Arial"/>
          <w:sz w:val="22"/>
          <w:szCs w:val="22"/>
        </w:rPr>
        <w:t xml:space="preserve">Sursa datelor: </w:t>
      </w:r>
      <w:hyperlink r:id="rId136" w:history="1">
        <w:r w:rsidRPr="00A9271F">
          <w:rPr>
            <w:rStyle w:val="Hyperlink"/>
            <w:rFonts w:ascii="Trebuchet MS" w:eastAsia="Times New Roman" w:hAnsi="Trebuchet MS" w:cs="Arial"/>
            <w:sz w:val="22"/>
            <w:szCs w:val="22"/>
          </w:rPr>
          <w:t>http://statistici.insse.ro/</w:t>
        </w:r>
      </w:hyperlink>
    </w:p>
    <w:p w:rsidR="003351E8" w:rsidRPr="00A9271F" w:rsidRDefault="003351E8" w:rsidP="003351E8">
      <w:pPr>
        <w:autoSpaceDE w:val="0"/>
        <w:autoSpaceDN w:val="0"/>
        <w:adjustRightInd w:val="0"/>
        <w:rPr>
          <w:rFonts w:ascii="Trebuchet MS" w:eastAsia="Times New Roman" w:hAnsi="Trebuchet MS" w:cs="Arial"/>
          <w:sz w:val="22"/>
          <w:szCs w:val="22"/>
        </w:rPr>
      </w:pPr>
    </w:p>
    <w:p w:rsidR="003351E8" w:rsidRPr="00A9271F" w:rsidRDefault="003351E8" w:rsidP="003351E8">
      <w:pPr>
        <w:tabs>
          <w:tab w:val="left" w:pos="1276"/>
          <w:tab w:val="left" w:leader="dot" w:pos="9356"/>
        </w:tabs>
        <w:rPr>
          <w:rFonts w:ascii="Trebuchet MS" w:hAnsi="Trebuchet MS" w:cs="Arial"/>
          <w:sz w:val="22"/>
          <w:szCs w:val="22"/>
          <w:lang w:val="ro-RO"/>
        </w:rPr>
      </w:pPr>
      <w:r w:rsidRPr="00A9271F">
        <w:rPr>
          <w:rFonts w:ascii="Trebuchet MS" w:hAnsi="Trebuchet MS" w:cs="Arial"/>
          <w:sz w:val="22"/>
          <w:szCs w:val="22"/>
          <w:lang w:val="ro-RO"/>
        </w:rPr>
        <w:t xml:space="preserve">III.3.2.Consumul de produse de protecţia plantelor  </w:t>
      </w:r>
    </w:p>
    <w:p w:rsidR="003351E8" w:rsidRPr="00A9271F" w:rsidRDefault="003351E8" w:rsidP="003351E8">
      <w:pPr>
        <w:tabs>
          <w:tab w:val="left" w:pos="1276"/>
          <w:tab w:val="left" w:leader="dot" w:pos="9356"/>
        </w:tabs>
        <w:jc w:val="both"/>
        <w:rPr>
          <w:rFonts w:ascii="Trebuchet MS" w:hAnsi="Trebuchet MS" w:cs="Arial"/>
          <w:sz w:val="22"/>
          <w:szCs w:val="22"/>
        </w:rPr>
      </w:pPr>
      <w:r w:rsidRPr="00A9271F">
        <w:rPr>
          <w:rFonts w:ascii="Trebuchet MS" w:hAnsi="Trebuchet MS" w:cs="Arial"/>
          <w:sz w:val="22"/>
          <w:szCs w:val="22"/>
        </w:rPr>
        <w:t>Tabel III.3.2.1.Cantitatea de pesticide aplicate în agricultură, pe forme de proprietate, macroregiuni, regiuni de dezvoltare şi judeţe (Kg substanta activă)</w:t>
      </w:r>
    </w:p>
    <w:p w:rsidR="003351E8" w:rsidRPr="00A9271F" w:rsidRDefault="003351E8" w:rsidP="003351E8">
      <w:pPr>
        <w:tabs>
          <w:tab w:val="left" w:pos="1276"/>
          <w:tab w:val="left" w:leader="dot" w:pos="9356"/>
        </w:tabs>
        <w:ind w:left="720"/>
        <w:rPr>
          <w:rFonts w:ascii="Trebuchet MS" w:hAnsi="Trebuchet MS" w:cs="Arial"/>
          <w:sz w:val="22"/>
          <w:szCs w:val="22"/>
        </w:rPr>
      </w:pPr>
    </w:p>
    <w:tbl>
      <w:tblPr>
        <w:tblW w:w="825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2"/>
        <w:gridCol w:w="893"/>
        <w:gridCol w:w="719"/>
        <w:gridCol w:w="719"/>
        <w:gridCol w:w="719"/>
        <w:gridCol w:w="750"/>
        <w:gridCol w:w="750"/>
        <w:gridCol w:w="750"/>
        <w:gridCol w:w="750"/>
        <w:gridCol w:w="750"/>
      </w:tblGrid>
      <w:tr w:rsidR="003351E8" w:rsidRPr="00A9271F" w:rsidTr="00C55BA9">
        <w:trPr>
          <w:trHeight w:val="300"/>
        </w:trPr>
        <w:tc>
          <w:tcPr>
            <w:tcW w:w="1452"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Categorie pesticide</w:t>
            </w:r>
          </w:p>
        </w:tc>
        <w:tc>
          <w:tcPr>
            <w:tcW w:w="893" w:type="dxa"/>
          </w:tcPr>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2015</w:t>
            </w:r>
          </w:p>
        </w:tc>
        <w:tc>
          <w:tcPr>
            <w:tcW w:w="719" w:type="dxa"/>
          </w:tcPr>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2016</w:t>
            </w:r>
          </w:p>
        </w:tc>
        <w:tc>
          <w:tcPr>
            <w:tcW w:w="719"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2017</w:t>
            </w:r>
          </w:p>
        </w:tc>
        <w:tc>
          <w:tcPr>
            <w:tcW w:w="719" w:type="dxa"/>
          </w:tcPr>
          <w:p w:rsidR="003351E8" w:rsidRPr="00A9271F" w:rsidRDefault="003351E8" w:rsidP="00C55BA9">
            <w:pPr>
              <w:jc w:val="center"/>
              <w:rPr>
                <w:rFonts w:ascii="Trebuchet MS" w:eastAsia="Times New Roman" w:hAnsi="Trebuchet MS" w:cs="Arial"/>
                <w:sz w:val="22"/>
                <w:szCs w:val="22"/>
              </w:rPr>
            </w:pPr>
          </w:p>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2018</w:t>
            </w:r>
          </w:p>
        </w:tc>
        <w:tc>
          <w:tcPr>
            <w:tcW w:w="750" w:type="dxa"/>
            <w:vAlign w:val="bottom"/>
          </w:tcPr>
          <w:p w:rsidR="003351E8" w:rsidRPr="00A9271F" w:rsidRDefault="003351E8" w:rsidP="00C55BA9">
            <w:pPr>
              <w:rPr>
                <w:rFonts w:ascii="Trebuchet MS" w:eastAsia="Times New Roman" w:hAnsi="Trebuchet MS" w:cs="Arial"/>
                <w:sz w:val="22"/>
                <w:szCs w:val="22"/>
              </w:rPr>
            </w:pPr>
            <w:r w:rsidRPr="00A9271F">
              <w:rPr>
                <w:rFonts w:ascii="Trebuchet MS" w:eastAsia="Times New Roman" w:hAnsi="Trebuchet MS" w:cs="Arial"/>
                <w:sz w:val="22"/>
                <w:szCs w:val="22"/>
              </w:rPr>
              <w:t>2019</w:t>
            </w:r>
          </w:p>
        </w:tc>
        <w:tc>
          <w:tcPr>
            <w:tcW w:w="750" w:type="dxa"/>
          </w:tcPr>
          <w:p w:rsidR="003351E8" w:rsidRPr="00A9271F" w:rsidRDefault="003351E8" w:rsidP="00C55BA9">
            <w:pPr>
              <w:rPr>
                <w:rFonts w:ascii="Trebuchet MS" w:eastAsia="Times New Roman" w:hAnsi="Trebuchet MS" w:cs="Arial"/>
                <w:sz w:val="22"/>
                <w:szCs w:val="22"/>
              </w:rPr>
            </w:pPr>
          </w:p>
          <w:p w:rsidR="003351E8" w:rsidRPr="00A9271F" w:rsidRDefault="003351E8" w:rsidP="00C55BA9">
            <w:pPr>
              <w:rPr>
                <w:rFonts w:ascii="Trebuchet MS" w:eastAsia="Times New Roman" w:hAnsi="Trebuchet MS" w:cs="Arial"/>
                <w:sz w:val="22"/>
                <w:szCs w:val="22"/>
              </w:rPr>
            </w:pPr>
            <w:r w:rsidRPr="00A9271F">
              <w:rPr>
                <w:rFonts w:ascii="Trebuchet MS" w:eastAsia="Times New Roman" w:hAnsi="Trebuchet MS" w:cs="Arial"/>
                <w:sz w:val="22"/>
                <w:szCs w:val="22"/>
              </w:rPr>
              <w:t>2020</w:t>
            </w:r>
          </w:p>
        </w:tc>
        <w:tc>
          <w:tcPr>
            <w:tcW w:w="750"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2021</w:t>
            </w:r>
          </w:p>
        </w:tc>
        <w:tc>
          <w:tcPr>
            <w:tcW w:w="750"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2022</w:t>
            </w:r>
          </w:p>
        </w:tc>
        <w:tc>
          <w:tcPr>
            <w:tcW w:w="750" w:type="dxa"/>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2023</w:t>
            </w:r>
          </w:p>
        </w:tc>
      </w:tr>
      <w:tr w:rsidR="003351E8" w:rsidRPr="00A9271F" w:rsidTr="00C55BA9">
        <w:trPr>
          <w:trHeight w:val="300"/>
        </w:trPr>
        <w:tc>
          <w:tcPr>
            <w:tcW w:w="1452"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Insecticide</w:t>
            </w:r>
          </w:p>
        </w:tc>
        <w:tc>
          <w:tcPr>
            <w:tcW w:w="893"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12</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55</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15</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30</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10</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w:t>
            </w:r>
          </w:p>
        </w:tc>
      </w:tr>
      <w:tr w:rsidR="003351E8" w:rsidRPr="00A9271F" w:rsidTr="00C55BA9">
        <w:trPr>
          <w:trHeight w:val="300"/>
        </w:trPr>
        <w:tc>
          <w:tcPr>
            <w:tcW w:w="1452"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Fungicide</w:t>
            </w:r>
          </w:p>
        </w:tc>
        <w:tc>
          <w:tcPr>
            <w:tcW w:w="893"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310</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135</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31</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84</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72</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17</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23</w:t>
            </w:r>
          </w:p>
        </w:tc>
      </w:tr>
      <w:tr w:rsidR="003351E8" w:rsidRPr="00A9271F" w:rsidTr="00C55BA9">
        <w:trPr>
          <w:trHeight w:val="300"/>
        </w:trPr>
        <w:tc>
          <w:tcPr>
            <w:tcW w:w="1452"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Erbicide</w:t>
            </w:r>
          </w:p>
        </w:tc>
        <w:tc>
          <w:tcPr>
            <w:tcW w:w="893" w:type="dxa"/>
          </w:tcPr>
          <w:p w:rsidR="003351E8" w:rsidRPr="00A9271F" w:rsidRDefault="003351E8" w:rsidP="00C55BA9">
            <w:pPr>
              <w:jc w:val="right"/>
              <w:rPr>
                <w:rFonts w:ascii="Trebuchet MS" w:eastAsia="Times New Roman" w:hAnsi="Trebuchet MS" w:cs="Arial"/>
                <w:sz w:val="22"/>
                <w:szCs w:val="22"/>
              </w:rPr>
            </w:pP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522</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19"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256</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c>
          <w:tcPr>
            <w:tcW w:w="750" w:type="dxa"/>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0</w:t>
            </w:r>
          </w:p>
        </w:tc>
      </w:tr>
    </w:tbl>
    <w:p w:rsidR="003351E8" w:rsidRPr="00A9271F" w:rsidRDefault="003351E8" w:rsidP="003351E8">
      <w:pPr>
        <w:tabs>
          <w:tab w:val="left" w:pos="1276"/>
          <w:tab w:val="left" w:leader="dot" w:pos="9356"/>
        </w:tabs>
        <w:ind w:left="720"/>
        <w:rPr>
          <w:rFonts w:ascii="Trebuchet MS" w:hAnsi="Trebuchet MS" w:cs="Arial"/>
          <w:sz w:val="22"/>
          <w:szCs w:val="22"/>
          <w:lang w:val="ro-RO"/>
        </w:rPr>
      </w:pPr>
      <w:r w:rsidRPr="00A9271F">
        <w:rPr>
          <w:rFonts w:ascii="Trebuchet MS" w:hAnsi="Trebuchet MS" w:cs="Arial"/>
          <w:sz w:val="22"/>
          <w:szCs w:val="22"/>
          <w:lang w:val="ro-RO"/>
        </w:rPr>
        <w:t xml:space="preserve"> Sursa datelor:Institutul Naţional de Statistică</w:t>
      </w:r>
    </w:p>
    <w:p w:rsidR="003351E8" w:rsidRPr="00BA2F12" w:rsidRDefault="003351E8" w:rsidP="003351E8">
      <w:pPr>
        <w:tabs>
          <w:tab w:val="left" w:pos="1276"/>
          <w:tab w:val="left" w:leader="dot" w:pos="9356"/>
        </w:tabs>
        <w:ind w:left="720"/>
        <w:rPr>
          <w:rFonts w:ascii="Trebuchet MS" w:hAnsi="Trebuchet MS" w:cs="Arial"/>
          <w:lang w:val="ro-RO"/>
        </w:rPr>
      </w:pPr>
    </w:p>
    <w:p w:rsidR="003351E8" w:rsidRPr="00A9271F" w:rsidRDefault="003351E8" w:rsidP="003351E8">
      <w:pPr>
        <w:tabs>
          <w:tab w:val="left" w:pos="1276"/>
          <w:tab w:val="left" w:leader="dot" w:pos="9356"/>
        </w:tabs>
        <w:ind w:left="720"/>
        <w:rPr>
          <w:rFonts w:ascii="Trebuchet MS" w:hAnsi="Trebuchet MS" w:cs="Arial"/>
          <w:b/>
          <w:lang w:val="ro-RO"/>
        </w:rPr>
      </w:pPr>
      <w:r w:rsidRPr="00A9271F">
        <w:rPr>
          <w:rFonts w:ascii="Trebuchet MS" w:hAnsi="Trebuchet MS" w:cs="Arial"/>
          <w:b/>
          <w:lang w:val="ro-RO"/>
        </w:rPr>
        <w:t xml:space="preserve">III.3.3.Evoluţia suprafeţelor de îmbunătăţiri funciare </w:t>
      </w:r>
    </w:p>
    <w:p w:rsidR="003351E8" w:rsidRPr="00BA2F12" w:rsidRDefault="003351E8" w:rsidP="003351E8">
      <w:pPr>
        <w:tabs>
          <w:tab w:val="left" w:pos="1276"/>
          <w:tab w:val="left" w:leader="dot" w:pos="9356"/>
        </w:tabs>
        <w:ind w:left="720"/>
        <w:rPr>
          <w:rFonts w:ascii="Trebuchet MS" w:hAnsi="Trebuchet MS" w:cs="Arial"/>
          <w:lang w:val="ro-RO"/>
        </w:rPr>
      </w:pPr>
    </w:p>
    <w:p w:rsidR="003351E8" w:rsidRPr="00A9271F" w:rsidRDefault="003351E8" w:rsidP="004F134E">
      <w:pPr>
        <w:numPr>
          <w:ilvl w:val="0"/>
          <w:numId w:val="11"/>
        </w:numPr>
        <w:tabs>
          <w:tab w:val="left" w:pos="1276"/>
          <w:tab w:val="left" w:leader="dot" w:pos="9356"/>
        </w:tabs>
        <w:contextualSpacing/>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Indicatori specifici- Nu este cazul</w:t>
      </w:r>
    </w:p>
    <w:p w:rsidR="003351E8" w:rsidRPr="00A9271F" w:rsidRDefault="003351E8" w:rsidP="004F134E">
      <w:pPr>
        <w:numPr>
          <w:ilvl w:val="0"/>
          <w:numId w:val="11"/>
        </w:numPr>
        <w:tabs>
          <w:tab w:val="left" w:pos="1276"/>
          <w:tab w:val="left" w:leader="dot" w:pos="9356"/>
        </w:tabs>
        <w:contextualSpacing/>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Alte date şi informaţii specifice</w:t>
      </w:r>
    </w:p>
    <w:p w:rsidR="003351E8" w:rsidRPr="00A9271F" w:rsidRDefault="003351E8" w:rsidP="003351E8">
      <w:pPr>
        <w:tabs>
          <w:tab w:val="left" w:pos="1276"/>
          <w:tab w:val="left" w:leader="dot" w:pos="9356"/>
        </w:tabs>
        <w:ind w:left="720"/>
        <w:contextualSpacing/>
        <w:jc w:val="both"/>
        <w:rPr>
          <w:rFonts w:ascii="Trebuchet MS" w:eastAsia="Times New Roman" w:hAnsi="Trebuchet MS" w:cs="Arial"/>
          <w:sz w:val="22"/>
          <w:szCs w:val="22"/>
          <w:lang w:val="ro-RO"/>
        </w:rPr>
      </w:pPr>
    </w:p>
    <w:p w:rsidR="003351E8" w:rsidRPr="00A9271F" w:rsidRDefault="003351E8" w:rsidP="003351E8">
      <w:pPr>
        <w:tabs>
          <w:tab w:val="left" w:pos="1276"/>
          <w:tab w:val="left" w:leader="dot" w:pos="9356"/>
        </w:tabs>
        <w:ind w:left="360"/>
        <w:jc w:val="both"/>
        <w:rPr>
          <w:rFonts w:ascii="Trebuchet MS" w:hAnsi="Trebuchet MS" w:cs="Arial"/>
          <w:sz w:val="22"/>
          <w:szCs w:val="22"/>
        </w:rPr>
      </w:pPr>
      <w:r w:rsidRPr="00A9271F">
        <w:rPr>
          <w:rFonts w:ascii="Trebuchet MS" w:hAnsi="Trebuchet MS" w:cs="Arial"/>
          <w:sz w:val="22"/>
          <w:szCs w:val="22"/>
          <w:lang w:val="ro-RO"/>
        </w:rPr>
        <w:t xml:space="preserve">Îmbunătăţirile funciare presupun un ansamblu de măsuri finalizate prin lucrări mecanice asupra terenurilor, prin care se înlătură acţiunea dăunătoare pentru culturi a unor factori naturali, ceea ce duce la modificarea radicală şi  pe lungă durată, în sens favorabil, a potenţialului productiv al terenurilor agricole. </w:t>
      </w:r>
    </w:p>
    <w:p w:rsidR="003351E8" w:rsidRPr="00A9271F" w:rsidRDefault="003351E8" w:rsidP="003351E8">
      <w:pPr>
        <w:tabs>
          <w:tab w:val="left" w:pos="1276"/>
          <w:tab w:val="left" w:leader="dot" w:pos="9356"/>
        </w:tabs>
        <w:ind w:left="720"/>
        <w:rPr>
          <w:rFonts w:ascii="Trebuchet MS" w:hAnsi="Trebuchet MS" w:cs="Arial"/>
          <w:sz w:val="22"/>
          <w:szCs w:val="22"/>
        </w:rPr>
      </w:pPr>
      <w:r w:rsidRPr="00A9271F">
        <w:rPr>
          <w:rFonts w:ascii="Trebuchet MS" w:hAnsi="Trebuchet MS" w:cs="Arial"/>
          <w:sz w:val="22"/>
          <w:szCs w:val="22"/>
          <w:lang w:val="ro-RO"/>
        </w:rPr>
        <w:t>Lucrările de îmbunătăţiri funciare se clasifică astfel</w:t>
      </w:r>
      <w:r w:rsidRPr="00A9271F">
        <w:rPr>
          <w:rFonts w:ascii="Trebuchet MS" w:hAnsi="Trebuchet MS" w:cs="Arial"/>
          <w:sz w:val="22"/>
          <w:szCs w:val="22"/>
        </w:rPr>
        <w:t>:</w:t>
      </w:r>
    </w:p>
    <w:p w:rsidR="003351E8" w:rsidRPr="00A9271F" w:rsidRDefault="003351E8" w:rsidP="004F134E">
      <w:pPr>
        <w:numPr>
          <w:ilvl w:val="0"/>
          <w:numId w:val="7"/>
        </w:numPr>
        <w:tabs>
          <w:tab w:val="left" w:pos="1276"/>
          <w:tab w:val="left" w:leader="dot" w:pos="9356"/>
        </w:tabs>
        <w:jc w:val="both"/>
        <w:rPr>
          <w:rFonts w:ascii="Trebuchet MS" w:hAnsi="Trebuchet MS" w:cs="Arial"/>
          <w:sz w:val="22"/>
          <w:szCs w:val="22"/>
        </w:rPr>
      </w:pPr>
      <w:r w:rsidRPr="00A9271F">
        <w:rPr>
          <w:rFonts w:ascii="Trebuchet MS" w:hAnsi="Trebuchet MS" w:cs="Arial"/>
          <w:sz w:val="22"/>
          <w:szCs w:val="22"/>
          <w:lang w:val="fr-FR"/>
        </w:rPr>
        <w:t xml:space="preserve">- lucrări </w:t>
      </w:r>
      <w:r w:rsidRPr="00A9271F">
        <w:rPr>
          <w:rFonts w:ascii="Trebuchet MS" w:hAnsi="Trebuchet MS" w:cs="Arial"/>
          <w:i/>
          <w:iCs/>
          <w:sz w:val="22"/>
          <w:szCs w:val="22"/>
          <w:lang w:val="fr-FR"/>
        </w:rPr>
        <w:t>cu rol de refacere</w:t>
      </w:r>
      <w:r w:rsidRPr="00A9271F">
        <w:rPr>
          <w:rFonts w:ascii="Trebuchet MS" w:hAnsi="Trebuchet MS" w:cs="Arial"/>
          <w:sz w:val="22"/>
          <w:szCs w:val="22"/>
          <w:lang w:val="fr-FR"/>
        </w:rPr>
        <w:t xml:space="preserve"> (completare) în sol a deficitului de umiditate şi în care categorie se cuprind  irigaţiile;</w:t>
      </w:r>
      <w:r w:rsidRPr="00A9271F">
        <w:rPr>
          <w:rFonts w:ascii="Trebuchet MS" w:hAnsi="Trebuchet MS" w:cs="Arial"/>
          <w:sz w:val="22"/>
          <w:szCs w:val="22"/>
        </w:rPr>
        <w:t xml:space="preserve"> </w:t>
      </w:r>
    </w:p>
    <w:p w:rsidR="003351E8" w:rsidRPr="00A9271F" w:rsidRDefault="003351E8" w:rsidP="004F134E">
      <w:pPr>
        <w:numPr>
          <w:ilvl w:val="0"/>
          <w:numId w:val="7"/>
        </w:numPr>
        <w:tabs>
          <w:tab w:val="left" w:pos="1276"/>
          <w:tab w:val="left" w:leader="dot" w:pos="9356"/>
        </w:tabs>
        <w:jc w:val="both"/>
        <w:rPr>
          <w:rFonts w:ascii="Trebuchet MS" w:hAnsi="Trebuchet MS" w:cs="Arial"/>
          <w:sz w:val="22"/>
          <w:szCs w:val="22"/>
        </w:rPr>
      </w:pPr>
      <w:r w:rsidRPr="00A9271F">
        <w:rPr>
          <w:rFonts w:ascii="Trebuchet MS" w:hAnsi="Trebuchet MS" w:cs="Arial"/>
          <w:sz w:val="22"/>
          <w:szCs w:val="22"/>
          <w:lang w:val="fr-FR"/>
        </w:rPr>
        <w:t xml:space="preserve">- lucrări care au rol de a </w:t>
      </w:r>
      <w:r w:rsidRPr="00A9271F">
        <w:rPr>
          <w:rFonts w:ascii="Trebuchet MS" w:hAnsi="Trebuchet MS" w:cs="Arial"/>
          <w:i/>
          <w:iCs/>
          <w:sz w:val="22"/>
          <w:szCs w:val="22"/>
          <w:lang w:val="fr-FR"/>
        </w:rPr>
        <w:t>preveni sau elimina excesul de apă</w:t>
      </w:r>
      <w:r w:rsidRPr="00A9271F">
        <w:rPr>
          <w:rFonts w:ascii="Trebuchet MS" w:hAnsi="Trebuchet MS" w:cs="Arial"/>
          <w:sz w:val="22"/>
          <w:szCs w:val="22"/>
          <w:lang w:val="fr-FR"/>
        </w:rPr>
        <w:t xml:space="preserve"> din sol, de la suprafaţa acestuia, categorie în care se încadrează regularizarea cursurilor de apă, irigaţiile, desecarea şi  drenajul;</w:t>
      </w:r>
      <w:r w:rsidRPr="00A9271F">
        <w:rPr>
          <w:rFonts w:ascii="Trebuchet MS" w:hAnsi="Trebuchet MS" w:cs="Arial"/>
          <w:sz w:val="22"/>
          <w:szCs w:val="22"/>
        </w:rPr>
        <w:t xml:space="preserve"> </w:t>
      </w:r>
    </w:p>
    <w:p w:rsidR="003351E8" w:rsidRPr="00A9271F" w:rsidRDefault="003351E8" w:rsidP="004F134E">
      <w:pPr>
        <w:numPr>
          <w:ilvl w:val="0"/>
          <w:numId w:val="7"/>
        </w:numPr>
        <w:tabs>
          <w:tab w:val="left" w:pos="1276"/>
          <w:tab w:val="left" w:leader="dot" w:pos="9356"/>
        </w:tabs>
        <w:jc w:val="both"/>
        <w:rPr>
          <w:rFonts w:ascii="Trebuchet MS" w:hAnsi="Trebuchet MS" w:cs="Arial"/>
          <w:sz w:val="22"/>
          <w:szCs w:val="22"/>
        </w:rPr>
      </w:pPr>
      <w:r w:rsidRPr="00A9271F">
        <w:rPr>
          <w:rFonts w:ascii="Trebuchet MS" w:hAnsi="Trebuchet MS" w:cs="Arial"/>
          <w:sz w:val="22"/>
          <w:szCs w:val="22"/>
          <w:lang w:val="fr-FR"/>
        </w:rPr>
        <w:t xml:space="preserve">- lucrări care au rolul de a </w:t>
      </w:r>
      <w:r w:rsidRPr="00A9271F">
        <w:rPr>
          <w:rFonts w:ascii="Trebuchet MS" w:hAnsi="Trebuchet MS" w:cs="Arial"/>
          <w:i/>
          <w:iCs/>
          <w:sz w:val="22"/>
          <w:szCs w:val="22"/>
          <w:lang w:val="fr-FR"/>
        </w:rPr>
        <w:t>proteja solul</w:t>
      </w:r>
      <w:r w:rsidRPr="00A9271F">
        <w:rPr>
          <w:rFonts w:ascii="Trebuchet MS" w:hAnsi="Trebuchet MS" w:cs="Arial"/>
          <w:sz w:val="22"/>
          <w:szCs w:val="22"/>
          <w:lang w:val="fr-FR"/>
        </w:rPr>
        <w:t xml:space="preserve"> împotriva acţiunii mecanice a apei şi a vântului, categorie în care intră complexul de lucrări de prevenire şi  combatere (control) a eroziunii solului;</w:t>
      </w:r>
      <w:r w:rsidRPr="00A9271F">
        <w:rPr>
          <w:rFonts w:ascii="Trebuchet MS" w:hAnsi="Trebuchet MS" w:cs="Arial"/>
          <w:sz w:val="22"/>
          <w:szCs w:val="22"/>
        </w:rPr>
        <w:t xml:space="preserve"> </w:t>
      </w:r>
    </w:p>
    <w:p w:rsidR="003351E8" w:rsidRPr="00A9271F" w:rsidRDefault="003351E8" w:rsidP="004F134E">
      <w:pPr>
        <w:numPr>
          <w:ilvl w:val="0"/>
          <w:numId w:val="7"/>
        </w:numPr>
        <w:tabs>
          <w:tab w:val="left" w:pos="1276"/>
          <w:tab w:val="left" w:leader="dot" w:pos="9356"/>
        </w:tabs>
        <w:jc w:val="both"/>
        <w:rPr>
          <w:rFonts w:ascii="Trebuchet MS" w:hAnsi="Trebuchet MS" w:cs="Arial"/>
          <w:sz w:val="22"/>
          <w:szCs w:val="22"/>
        </w:rPr>
      </w:pPr>
      <w:r w:rsidRPr="00A9271F">
        <w:rPr>
          <w:rFonts w:ascii="Trebuchet MS" w:hAnsi="Trebuchet MS" w:cs="Arial"/>
          <w:sz w:val="22"/>
          <w:szCs w:val="22"/>
          <w:lang w:val="fr-FR"/>
        </w:rPr>
        <w:t xml:space="preserve">- lucrări pentru </w:t>
      </w:r>
      <w:r w:rsidRPr="00A9271F">
        <w:rPr>
          <w:rFonts w:ascii="Trebuchet MS" w:hAnsi="Trebuchet MS" w:cs="Arial"/>
          <w:i/>
          <w:iCs/>
          <w:sz w:val="22"/>
          <w:szCs w:val="22"/>
          <w:lang w:val="fr-FR"/>
        </w:rPr>
        <w:t>acumulări de apă</w:t>
      </w:r>
      <w:r w:rsidRPr="00A9271F">
        <w:rPr>
          <w:rFonts w:ascii="Trebuchet MS" w:hAnsi="Trebuchet MS" w:cs="Arial"/>
          <w:sz w:val="22"/>
          <w:szCs w:val="22"/>
          <w:lang w:val="fr-FR"/>
        </w:rPr>
        <w:t xml:space="preserve"> necesară în agricultură, industrie, agrement etc.</w:t>
      </w:r>
      <w:r w:rsidRPr="00A9271F">
        <w:rPr>
          <w:rFonts w:ascii="Trebuchet MS" w:hAnsi="Trebuchet MS" w:cs="Arial"/>
          <w:sz w:val="22"/>
          <w:szCs w:val="22"/>
          <w:lang w:val="ro-RO"/>
        </w:rPr>
        <w:t xml:space="preserve"> </w:t>
      </w:r>
    </w:p>
    <w:p w:rsidR="003351E8" w:rsidRPr="00A9271F" w:rsidRDefault="003351E8" w:rsidP="003351E8">
      <w:pPr>
        <w:tabs>
          <w:tab w:val="left" w:pos="1276"/>
          <w:tab w:val="left" w:leader="dot" w:pos="9356"/>
        </w:tabs>
        <w:ind w:left="720"/>
        <w:jc w:val="both"/>
        <w:rPr>
          <w:rFonts w:ascii="Trebuchet MS" w:hAnsi="Trebuchet MS" w:cs="Arial"/>
          <w:sz w:val="22"/>
          <w:szCs w:val="22"/>
          <w:lang w:val="ro-RO"/>
        </w:rPr>
      </w:pPr>
    </w:p>
    <w:p w:rsidR="003351E8" w:rsidRPr="00A9271F" w:rsidRDefault="003351E8" w:rsidP="003351E8">
      <w:pPr>
        <w:tabs>
          <w:tab w:val="left" w:pos="1276"/>
          <w:tab w:val="left" w:leader="dot" w:pos="9356"/>
        </w:tabs>
        <w:ind w:left="360"/>
        <w:rPr>
          <w:rFonts w:ascii="Trebuchet MS" w:hAnsi="Trebuchet MS" w:cs="Arial"/>
          <w:sz w:val="22"/>
          <w:szCs w:val="22"/>
        </w:rPr>
      </w:pPr>
      <w:r w:rsidRPr="00A9271F">
        <w:rPr>
          <w:rFonts w:ascii="Trebuchet MS" w:hAnsi="Trebuchet MS" w:cs="Arial"/>
          <w:sz w:val="22"/>
          <w:szCs w:val="22"/>
          <w:lang w:val="ro-RO"/>
        </w:rPr>
        <w:t xml:space="preserve"> şi au în vedere următoarele:</w:t>
      </w:r>
    </w:p>
    <w:p w:rsidR="003351E8" w:rsidRPr="00A9271F" w:rsidRDefault="003351E8" w:rsidP="004F134E">
      <w:pPr>
        <w:numPr>
          <w:ilvl w:val="0"/>
          <w:numId w:val="8"/>
        </w:numPr>
        <w:tabs>
          <w:tab w:val="left" w:pos="1276"/>
          <w:tab w:val="left" w:leader="dot" w:pos="9356"/>
        </w:tabs>
        <w:rPr>
          <w:rFonts w:ascii="Trebuchet MS" w:hAnsi="Trebuchet MS" w:cs="Arial"/>
          <w:sz w:val="22"/>
          <w:szCs w:val="22"/>
        </w:rPr>
      </w:pPr>
      <w:r w:rsidRPr="00A9271F">
        <w:rPr>
          <w:rFonts w:ascii="Trebuchet MS" w:hAnsi="Trebuchet MS" w:cs="Arial"/>
          <w:sz w:val="22"/>
          <w:szCs w:val="22"/>
          <w:lang w:val="fr-FR"/>
        </w:rPr>
        <w:t xml:space="preserve">- controlul eroziunii versanţilor, inclusiv al stabilităţii; </w:t>
      </w:r>
    </w:p>
    <w:p w:rsidR="003351E8" w:rsidRPr="00A9271F" w:rsidRDefault="003351E8" w:rsidP="004F134E">
      <w:pPr>
        <w:numPr>
          <w:ilvl w:val="0"/>
          <w:numId w:val="8"/>
        </w:numPr>
        <w:tabs>
          <w:tab w:val="left" w:pos="1276"/>
          <w:tab w:val="left" w:leader="dot" w:pos="9356"/>
        </w:tabs>
        <w:rPr>
          <w:rFonts w:ascii="Trebuchet MS" w:hAnsi="Trebuchet MS" w:cs="Arial"/>
          <w:sz w:val="22"/>
          <w:szCs w:val="22"/>
        </w:rPr>
      </w:pPr>
      <w:r w:rsidRPr="00A9271F">
        <w:rPr>
          <w:rFonts w:ascii="Trebuchet MS" w:hAnsi="Trebuchet MS" w:cs="Arial"/>
          <w:sz w:val="22"/>
          <w:szCs w:val="22"/>
          <w:lang w:val="fr-FR"/>
        </w:rPr>
        <w:t xml:space="preserve">- controlul inundaţiilor şi  al proceselor de albie; </w:t>
      </w:r>
    </w:p>
    <w:p w:rsidR="003351E8" w:rsidRPr="00A9271F" w:rsidRDefault="003351E8" w:rsidP="004F134E">
      <w:pPr>
        <w:numPr>
          <w:ilvl w:val="0"/>
          <w:numId w:val="8"/>
        </w:numPr>
        <w:tabs>
          <w:tab w:val="left" w:pos="1276"/>
          <w:tab w:val="left" w:leader="dot" w:pos="9356"/>
        </w:tabs>
        <w:rPr>
          <w:rFonts w:ascii="Trebuchet MS" w:hAnsi="Trebuchet MS" w:cs="Arial"/>
          <w:sz w:val="22"/>
          <w:szCs w:val="22"/>
        </w:rPr>
      </w:pPr>
      <w:r w:rsidRPr="00A9271F">
        <w:rPr>
          <w:rFonts w:ascii="Trebuchet MS" w:hAnsi="Trebuchet MS" w:cs="Arial"/>
          <w:sz w:val="22"/>
          <w:szCs w:val="22"/>
          <w:lang w:val="fr-FR"/>
        </w:rPr>
        <w:t xml:space="preserve">- irigaţiile şi  desecările; </w:t>
      </w:r>
    </w:p>
    <w:p w:rsidR="003351E8" w:rsidRPr="00A9271F" w:rsidRDefault="003351E8" w:rsidP="004F134E">
      <w:pPr>
        <w:numPr>
          <w:ilvl w:val="0"/>
          <w:numId w:val="8"/>
        </w:numPr>
        <w:tabs>
          <w:tab w:val="left" w:pos="1276"/>
          <w:tab w:val="left" w:leader="dot" w:pos="9356"/>
        </w:tabs>
        <w:contextualSpacing/>
        <w:rPr>
          <w:rFonts w:ascii="Trebuchet MS" w:eastAsia="Times New Roman" w:hAnsi="Trebuchet MS" w:cs="Arial"/>
          <w:sz w:val="22"/>
          <w:szCs w:val="22"/>
          <w:lang w:val="ro-RO"/>
        </w:rPr>
      </w:pPr>
      <w:r w:rsidRPr="00A9271F">
        <w:rPr>
          <w:rFonts w:ascii="Trebuchet MS" w:eastAsia="+mn-ea" w:hAnsi="Trebuchet MS" w:cs="Arial"/>
          <w:sz w:val="22"/>
          <w:szCs w:val="22"/>
          <w:lang w:val="ro-RO"/>
        </w:rPr>
        <w:t xml:space="preserve">- amenajarea de </w:t>
      </w:r>
      <w:r w:rsidRPr="00A9271F">
        <w:rPr>
          <w:rFonts w:ascii="Trebuchet MS" w:eastAsia="+mn-ea" w:hAnsi="Trebuchet MS" w:cs="Arial"/>
          <w:sz w:val="22"/>
          <w:szCs w:val="22"/>
          <w:lang w:val="fr-FR"/>
        </w:rPr>
        <w:t>lacuri de acumulare</w:t>
      </w:r>
    </w:p>
    <w:p w:rsidR="003351E8" w:rsidRPr="00A9271F" w:rsidRDefault="003351E8" w:rsidP="003351E8">
      <w:pPr>
        <w:tabs>
          <w:tab w:val="left" w:pos="1276"/>
          <w:tab w:val="left" w:leader="dot" w:pos="9356"/>
        </w:tabs>
        <w:ind w:left="720"/>
        <w:rPr>
          <w:rFonts w:ascii="Trebuchet MS" w:hAnsi="Trebuchet MS" w:cs="Arial"/>
          <w:i/>
          <w:sz w:val="22"/>
          <w:szCs w:val="22"/>
          <w:lang w:val="ro-RO"/>
        </w:rPr>
      </w:pPr>
    </w:p>
    <w:p w:rsidR="003351E8" w:rsidRPr="00A9271F" w:rsidRDefault="003351E8" w:rsidP="003351E8">
      <w:pPr>
        <w:tabs>
          <w:tab w:val="left" w:pos="1276"/>
          <w:tab w:val="left" w:leader="dot" w:pos="9356"/>
        </w:tabs>
        <w:rPr>
          <w:rFonts w:ascii="Trebuchet MS" w:hAnsi="Trebuchet MS" w:cs="Arial"/>
          <w:i/>
          <w:sz w:val="22"/>
          <w:szCs w:val="22"/>
          <w:lang w:val="ro-RO"/>
        </w:rPr>
      </w:pPr>
      <w:r w:rsidRPr="00A9271F">
        <w:rPr>
          <w:rFonts w:ascii="Trebuchet MS" w:hAnsi="Trebuchet MS" w:cs="Arial"/>
          <w:i/>
          <w:sz w:val="22"/>
          <w:szCs w:val="22"/>
          <w:lang w:val="ro-RO"/>
        </w:rPr>
        <w:t xml:space="preserve">Tabel </w:t>
      </w:r>
      <w:r w:rsidRPr="00A9271F">
        <w:rPr>
          <w:rFonts w:ascii="Trebuchet MS" w:hAnsi="Trebuchet MS" w:cs="Arial"/>
          <w:sz w:val="22"/>
          <w:szCs w:val="22"/>
          <w:lang w:val="ro-RO"/>
        </w:rPr>
        <w:t>III.3.3.1-</w:t>
      </w:r>
      <w:r w:rsidRPr="00A9271F">
        <w:rPr>
          <w:rFonts w:ascii="Trebuchet MS" w:hAnsi="Trebuchet MS"/>
          <w:sz w:val="22"/>
          <w:szCs w:val="22"/>
        </w:rPr>
        <w:t xml:space="preserve"> </w:t>
      </w:r>
      <w:r w:rsidRPr="00A9271F">
        <w:rPr>
          <w:rFonts w:ascii="Trebuchet MS" w:hAnsi="Trebuchet MS" w:cs="Arial"/>
          <w:sz w:val="22"/>
          <w:szCs w:val="22"/>
        </w:rPr>
        <w:t>S</w:t>
      </w:r>
      <w:r w:rsidRPr="00A9271F">
        <w:rPr>
          <w:rFonts w:ascii="Trebuchet MS" w:hAnsi="Trebuchet MS" w:cs="Arial"/>
          <w:sz w:val="22"/>
          <w:szCs w:val="22"/>
          <w:lang w:val="ro-RO"/>
        </w:rPr>
        <w:t>uprafaţa terenurilor amenajate cu lucrări de irigaţii şi suprafaţa agricolă irigată, pe categorii de folosinţă a terenurilor, macroregiuni, regiuni de dezvoltare şi judeţe –hectare Total regiune Bucureşti-Ilfov</w:t>
      </w:r>
    </w:p>
    <w:tbl>
      <w:tblPr>
        <w:tblW w:w="8478"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156"/>
        <w:gridCol w:w="826"/>
        <w:gridCol w:w="826"/>
        <w:gridCol w:w="880"/>
        <w:gridCol w:w="880"/>
        <w:gridCol w:w="880"/>
        <w:gridCol w:w="880"/>
        <w:gridCol w:w="880"/>
      </w:tblGrid>
      <w:tr w:rsidR="003351E8" w:rsidRPr="00A9271F" w:rsidTr="00C55BA9">
        <w:trPr>
          <w:trHeight w:val="300"/>
        </w:trPr>
        <w:tc>
          <w:tcPr>
            <w:tcW w:w="1244"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Tip suprafaţă</w:t>
            </w:r>
          </w:p>
        </w:tc>
        <w:tc>
          <w:tcPr>
            <w:tcW w:w="1158"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Regiune</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b/>
                <w:sz w:val="22"/>
                <w:szCs w:val="22"/>
              </w:rPr>
            </w:pPr>
            <w:r w:rsidRPr="00A9271F">
              <w:rPr>
                <w:rFonts w:ascii="Trebuchet MS" w:eastAsia="Times New Roman" w:hAnsi="Trebuchet MS" w:cs="Arial"/>
                <w:b/>
                <w:sz w:val="22"/>
                <w:szCs w:val="22"/>
              </w:rPr>
              <w:t>2014</w:t>
            </w:r>
          </w:p>
        </w:tc>
        <w:tc>
          <w:tcPr>
            <w:tcW w:w="828"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2015</w:t>
            </w:r>
          </w:p>
        </w:tc>
        <w:tc>
          <w:tcPr>
            <w:tcW w:w="884"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2019</w:t>
            </w:r>
          </w:p>
        </w:tc>
        <w:tc>
          <w:tcPr>
            <w:tcW w:w="884"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2020</w:t>
            </w:r>
          </w:p>
        </w:tc>
        <w:tc>
          <w:tcPr>
            <w:tcW w:w="884"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2021</w:t>
            </w:r>
          </w:p>
        </w:tc>
        <w:tc>
          <w:tcPr>
            <w:tcW w:w="884"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2022</w:t>
            </w:r>
          </w:p>
        </w:tc>
        <w:tc>
          <w:tcPr>
            <w:tcW w:w="884" w:type="dxa"/>
            <w:vAlign w:val="bottom"/>
          </w:tcPr>
          <w:p w:rsidR="003351E8" w:rsidRPr="00A9271F" w:rsidRDefault="003351E8" w:rsidP="00C55BA9">
            <w:pPr>
              <w:rPr>
                <w:rFonts w:ascii="Trebuchet MS" w:eastAsia="Times New Roman" w:hAnsi="Trebuchet MS" w:cs="Arial"/>
                <w:b/>
                <w:sz w:val="22"/>
                <w:szCs w:val="22"/>
              </w:rPr>
            </w:pPr>
            <w:r w:rsidRPr="00A9271F">
              <w:rPr>
                <w:rFonts w:ascii="Trebuchet MS" w:eastAsia="Times New Roman" w:hAnsi="Trebuchet MS" w:cs="Arial"/>
                <w:b/>
                <w:sz w:val="22"/>
                <w:szCs w:val="22"/>
              </w:rPr>
              <w:t>2023</w:t>
            </w:r>
          </w:p>
        </w:tc>
      </w:tr>
      <w:tr w:rsidR="003351E8" w:rsidRPr="00A9271F" w:rsidTr="00C55BA9">
        <w:trPr>
          <w:trHeight w:val="300"/>
        </w:trPr>
        <w:tc>
          <w:tcPr>
            <w:tcW w:w="1244"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Suprafaţa totală amenajată</w:t>
            </w:r>
          </w:p>
        </w:tc>
        <w:tc>
          <w:tcPr>
            <w:tcW w:w="1158"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Regiunea Bucureşti - Ilfov</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49560</w:t>
            </w:r>
          </w:p>
        </w:tc>
        <w:tc>
          <w:tcPr>
            <w:tcW w:w="828" w:type="dxa"/>
          </w:tcPr>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49560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49560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49560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49560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49560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49560</w:t>
            </w:r>
          </w:p>
        </w:tc>
      </w:tr>
      <w:tr w:rsidR="003351E8" w:rsidRPr="00A9271F" w:rsidTr="00C55BA9">
        <w:trPr>
          <w:trHeight w:val="300"/>
        </w:trPr>
        <w:tc>
          <w:tcPr>
            <w:tcW w:w="1244"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Suprafaţa agricolă amenajată</w:t>
            </w:r>
          </w:p>
        </w:tc>
        <w:tc>
          <w:tcPr>
            <w:tcW w:w="1158"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Regiunea Bucureşti - Ilfov</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49150</w:t>
            </w:r>
          </w:p>
        </w:tc>
        <w:tc>
          <w:tcPr>
            <w:tcW w:w="828" w:type="dxa"/>
          </w:tcPr>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49150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49150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49020</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48223</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47963</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47740</w:t>
            </w:r>
          </w:p>
        </w:tc>
      </w:tr>
      <w:tr w:rsidR="003351E8" w:rsidRPr="00A9271F" w:rsidTr="00C55BA9">
        <w:trPr>
          <w:trHeight w:val="300"/>
        </w:trPr>
        <w:tc>
          <w:tcPr>
            <w:tcW w:w="1244"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Teren arabil</w:t>
            </w:r>
          </w:p>
        </w:tc>
        <w:tc>
          <w:tcPr>
            <w:tcW w:w="1158"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Regiunea Bucureşti - Ilfov</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48659</w:t>
            </w:r>
          </w:p>
        </w:tc>
        <w:tc>
          <w:tcPr>
            <w:tcW w:w="828" w:type="dxa"/>
          </w:tcPr>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p>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48659</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48659</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48529</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47732</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47472</w:t>
            </w:r>
          </w:p>
        </w:tc>
        <w:tc>
          <w:tcPr>
            <w:tcW w:w="884"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47249</w:t>
            </w:r>
          </w:p>
        </w:tc>
      </w:tr>
    </w:tbl>
    <w:p w:rsidR="003351E8" w:rsidRPr="00A9271F" w:rsidRDefault="003351E8" w:rsidP="003351E8">
      <w:pPr>
        <w:tabs>
          <w:tab w:val="left" w:pos="1276"/>
          <w:tab w:val="left" w:leader="dot" w:pos="9356"/>
        </w:tabs>
        <w:ind w:left="720"/>
        <w:rPr>
          <w:rFonts w:ascii="Trebuchet MS" w:hAnsi="Trebuchet MS" w:cs="Arial"/>
          <w:i/>
          <w:sz w:val="22"/>
          <w:szCs w:val="22"/>
          <w:lang w:val="ro-RO"/>
        </w:rPr>
      </w:pPr>
    </w:p>
    <w:p w:rsidR="003351E8" w:rsidRPr="00A9271F" w:rsidRDefault="003351E8" w:rsidP="003351E8">
      <w:pPr>
        <w:tabs>
          <w:tab w:val="left" w:pos="1276"/>
          <w:tab w:val="left" w:leader="dot" w:pos="9356"/>
        </w:tabs>
        <w:ind w:left="720"/>
        <w:rPr>
          <w:rFonts w:ascii="Trebuchet MS" w:hAnsi="Trebuchet MS" w:cs="Arial"/>
          <w:i/>
          <w:sz w:val="22"/>
          <w:szCs w:val="22"/>
          <w:lang w:val="ro-RO"/>
        </w:rPr>
      </w:pPr>
    </w:p>
    <w:p w:rsidR="003351E8" w:rsidRPr="00A9271F" w:rsidRDefault="003351E8" w:rsidP="003351E8">
      <w:pPr>
        <w:tabs>
          <w:tab w:val="left" w:pos="1276"/>
          <w:tab w:val="left" w:leader="dot" w:pos="9356"/>
        </w:tabs>
        <w:rPr>
          <w:rFonts w:ascii="Trebuchet MS" w:hAnsi="Trebuchet MS" w:cs="Arial"/>
          <w:i/>
          <w:sz w:val="22"/>
          <w:szCs w:val="22"/>
          <w:lang w:val="ro-RO"/>
        </w:rPr>
      </w:pPr>
      <w:r w:rsidRPr="00A9271F">
        <w:rPr>
          <w:rFonts w:ascii="Trebuchet MS" w:hAnsi="Trebuchet MS" w:cs="Arial"/>
          <w:i/>
          <w:sz w:val="22"/>
          <w:szCs w:val="22"/>
          <w:lang w:val="ro-RO"/>
        </w:rPr>
        <w:t xml:space="preserve">Tabel </w:t>
      </w:r>
      <w:r w:rsidRPr="00A9271F">
        <w:rPr>
          <w:rFonts w:ascii="Trebuchet MS" w:hAnsi="Trebuchet MS" w:cs="Arial"/>
          <w:sz w:val="22"/>
          <w:szCs w:val="22"/>
          <w:lang w:val="ro-RO"/>
        </w:rPr>
        <w:t>III.3.3.2-</w:t>
      </w:r>
      <w:r w:rsidRPr="00A9271F">
        <w:rPr>
          <w:rFonts w:ascii="Trebuchet MS" w:hAnsi="Trebuchet MS"/>
          <w:sz w:val="22"/>
          <w:szCs w:val="22"/>
        </w:rPr>
        <w:t xml:space="preserve"> </w:t>
      </w:r>
      <w:r w:rsidRPr="00A9271F">
        <w:rPr>
          <w:rFonts w:ascii="Trebuchet MS" w:hAnsi="Trebuchet MS" w:cs="Arial"/>
          <w:sz w:val="22"/>
          <w:szCs w:val="22"/>
          <w:lang w:val="ro-RO"/>
        </w:rPr>
        <w:t>Suprafaţa terenurilor amenajate cu lucrări de desecare, pe categorii de folosinţă a terenurilor, macroregiuni, regiuni de dezvoltare şi judeţe- hectare- Total regiune Bucureşti Ilfov</w:t>
      </w:r>
    </w:p>
    <w:tbl>
      <w:tblPr>
        <w:tblW w:w="793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135"/>
        <w:gridCol w:w="793"/>
        <w:gridCol w:w="793"/>
        <w:gridCol w:w="793"/>
        <w:gridCol w:w="793"/>
        <w:gridCol w:w="793"/>
        <w:gridCol w:w="793"/>
        <w:gridCol w:w="793"/>
      </w:tblGrid>
      <w:tr w:rsidR="003351E8" w:rsidRPr="00A9271F" w:rsidTr="00C55BA9">
        <w:trPr>
          <w:trHeight w:val="593"/>
        </w:trPr>
        <w:tc>
          <w:tcPr>
            <w:tcW w:w="1153"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Tip suprafaţă</w:t>
            </w:r>
          </w:p>
        </w:tc>
        <w:tc>
          <w:tcPr>
            <w:tcW w:w="1373"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Regiune</w:t>
            </w:r>
          </w:p>
        </w:tc>
        <w:tc>
          <w:tcPr>
            <w:tcW w:w="773" w:type="dxa"/>
            <w:shd w:val="clear" w:color="auto" w:fill="auto"/>
            <w:vAlign w:val="bottom"/>
            <w:hideMark/>
          </w:tcPr>
          <w:p w:rsidR="003351E8" w:rsidRPr="00A9271F" w:rsidRDefault="003351E8" w:rsidP="00C55BA9">
            <w:pPr>
              <w:jc w:val="right"/>
              <w:rPr>
                <w:rFonts w:ascii="Trebuchet MS" w:eastAsia="Times New Roman" w:hAnsi="Trebuchet MS" w:cs="Arial"/>
                <w:b/>
                <w:sz w:val="22"/>
                <w:szCs w:val="22"/>
              </w:rPr>
            </w:pPr>
            <w:r w:rsidRPr="00A9271F">
              <w:rPr>
                <w:rFonts w:ascii="Trebuchet MS" w:eastAsia="Times New Roman" w:hAnsi="Trebuchet MS" w:cs="Arial"/>
                <w:b/>
                <w:sz w:val="22"/>
                <w:szCs w:val="22"/>
              </w:rPr>
              <w:t>2014</w:t>
            </w:r>
          </w:p>
        </w:tc>
        <w:tc>
          <w:tcPr>
            <w:tcW w:w="773"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2015</w:t>
            </w:r>
          </w:p>
        </w:tc>
        <w:tc>
          <w:tcPr>
            <w:tcW w:w="773"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2019</w:t>
            </w:r>
          </w:p>
        </w:tc>
        <w:tc>
          <w:tcPr>
            <w:tcW w:w="773"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2020</w:t>
            </w:r>
          </w:p>
        </w:tc>
        <w:tc>
          <w:tcPr>
            <w:tcW w:w="773"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2021</w:t>
            </w:r>
          </w:p>
        </w:tc>
        <w:tc>
          <w:tcPr>
            <w:tcW w:w="773"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2022</w:t>
            </w:r>
          </w:p>
        </w:tc>
        <w:tc>
          <w:tcPr>
            <w:tcW w:w="773" w:type="dxa"/>
            <w:vAlign w:val="bottom"/>
          </w:tcPr>
          <w:p w:rsidR="003351E8" w:rsidRPr="00A9271F" w:rsidRDefault="003351E8" w:rsidP="00C55BA9">
            <w:pPr>
              <w:jc w:val="center"/>
              <w:rPr>
                <w:rFonts w:ascii="Trebuchet MS" w:eastAsia="Times New Roman" w:hAnsi="Trebuchet MS" w:cs="Arial"/>
                <w:b/>
                <w:sz w:val="22"/>
                <w:szCs w:val="22"/>
              </w:rPr>
            </w:pPr>
            <w:r w:rsidRPr="00A9271F">
              <w:rPr>
                <w:rFonts w:ascii="Trebuchet MS" w:eastAsia="Times New Roman" w:hAnsi="Trebuchet MS" w:cs="Arial"/>
                <w:b/>
                <w:sz w:val="22"/>
                <w:szCs w:val="22"/>
              </w:rPr>
              <w:t>2023</w:t>
            </w:r>
          </w:p>
        </w:tc>
      </w:tr>
      <w:tr w:rsidR="003351E8" w:rsidRPr="00A9271F" w:rsidTr="00C55BA9">
        <w:trPr>
          <w:trHeight w:val="300"/>
        </w:trPr>
        <w:tc>
          <w:tcPr>
            <w:tcW w:w="1153"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Suprafata totală amenajată</w:t>
            </w:r>
          </w:p>
        </w:tc>
        <w:tc>
          <w:tcPr>
            <w:tcW w:w="1373"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Regiunea Bucureşti - Ilfov</w:t>
            </w:r>
          </w:p>
        </w:tc>
        <w:tc>
          <w:tcPr>
            <w:tcW w:w="773"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60138</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p>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60138</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60138</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60138</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60138</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58555</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58555</w:t>
            </w:r>
          </w:p>
        </w:tc>
      </w:tr>
      <w:tr w:rsidR="003351E8" w:rsidRPr="00A9271F" w:rsidTr="00C55BA9">
        <w:trPr>
          <w:trHeight w:val="300"/>
        </w:trPr>
        <w:tc>
          <w:tcPr>
            <w:tcW w:w="1153"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Suprafata agricolă amenajata</w:t>
            </w:r>
          </w:p>
        </w:tc>
        <w:tc>
          <w:tcPr>
            <w:tcW w:w="1373" w:type="dxa"/>
            <w:shd w:val="clear" w:color="auto" w:fill="auto"/>
            <w:hideMark/>
          </w:tcPr>
          <w:p w:rsidR="003351E8" w:rsidRPr="00A9271F" w:rsidRDefault="003351E8" w:rsidP="00C55BA9">
            <w:pPr>
              <w:rPr>
                <w:rFonts w:ascii="Trebuchet MS" w:eastAsia="Times New Roman" w:hAnsi="Trebuchet MS" w:cs="Arial"/>
                <w:bCs/>
                <w:sz w:val="22"/>
                <w:szCs w:val="22"/>
              </w:rPr>
            </w:pPr>
            <w:r w:rsidRPr="00A9271F">
              <w:rPr>
                <w:rFonts w:ascii="Trebuchet MS" w:eastAsia="Times New Roman" w:hAnsi="Trebuchet MS" w:cs="Arial"/>
                <w:bCs/>
                <w:sz w:val="22"/>
                <w:szCs w:val="22"/>
              </w:rPr>
              <w:t>Regiunea Bucureşti -Ilfov</w:t>
            </w:r>
          </w:p>
        </w:tc>
        <w:tc>
          <w:tcPr>
            <w:tcW w:w="773"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49838</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p>
          <w:p w:rsidR="003351E8" w:rsidRPr="00A9271F" w:rsidRDefault="003351E8" w:rsidP="00C55BA9">
            <w:pPr>
              <w:jc w:val="center"/>
              <w:rPr>
                <w:rFonts w:ascii="Trebuchet MS" w:eastAsia="Times New Roman" w:hAnsi="Trebuchet MS" w:cs="Arial"/>
                <w:sz w:val="22"/>
                <w:szCs w:val="22"/>
              </w:rPr>
            </w:pPr>
          </w:p>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49838</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49838</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49742</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47184</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46952</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46742</w:t>
            </w:r>
          </w:p>
        </w:tc>
      </w:tr>
      <w:tr w:rsidR="003351E8" w:rsidRPr="00A9271F" w:rsidTr="00C55BA9">
        <w:trPr>
          <w:trHeight w:val="300"/>
        </w:trPr>
        <w:tc>
          <w:tcPr>
            <w:tcW w:w="1153"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Teren arabil</w:t>
            </w:r>
          </w:p>
        </w:tc>
        <w:tc>
          <w:tcPr>
            <w:tcW w:w="1373" w:type="dxa"/>
            <w:shd w:val="clear" w:color="auto" w:fill="auto"/>
            <w:hideMark/>
          </w:tcPr>
          <w:p w:rsidR="003351E8" w:rsidRPr="00A9271F" w:rsidRDefault="003351E8" w:rsidP="00C55BA9">
            <w:pPr>
              <w:rPr>
                <w:rFonts w:ascii="Trebuchet MS" w:eastAsia="Times New Roman" w:hAnsi="Trebuchet MS" w:cs="Arial"/>
                <w:bCs/>
                <w:sz w:val="22"/>
                <w:szCs w:val="22"/>
              </w:rPr>
            </w:pPr>
            <w:r w:rsidRPr="00A9271F">
              <w:rPr>
                <w:rFonts w:ascii="Trebuchet MS" w:eastAsia="Times New Roman" w:hAnsi="Trebuchet MS" w:cs="Arial"/>
                <w:bCs/>
                <w:sz w:val="22"/>
                <w:szCs w:val="22"/>
              </w:rPr>
              <w:t>Regiunea Bucureşti -Ilfov</w:t>
            </w:r>
          </w:p>
        </w:tc>
        <w:tc>
          <w:tcPr>
            <w:tcW w:w="773"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49763</w:t>
            </w:r>
          </w:p>
        </w:tc>
        <w:tc>
          <w:tcPr>
            <w:tcW w:w="773" w:type="dxa"/>
            <w:vAlign w:val="bottom"/>
          </w:tcPr>
          <w:p w:rsidR="003351E8" w:rsidRPr="00A9271F" w:rsidRDefault="003351E8" w:rsidP="00C55BA9">
            <w:pPr>
              <w:jc w:val="center"/>
              <w:rPr>
                <w:rFonts w:ascii="Trebuchet MS" w:eastAsia="Times New Roman" w:hAnsi="Trebuchet MS" w:cs="Arial"/>
                <w:sz w:val="22"/>
                <w:szCs w:val="22"/>
                <w:lang w:val="ro-RO"/>
              </w:rPr>
            </w:pPr>
            <w:r w:rsidRPr="00A9271F">
              <w:rPr>
                <w:rFonts w:ascii="Trebuchet MS" w:eastAsia="Times New Roman" w:hAnsi="Trebuchet MS" w:cs="Arial"/>
                <w:sz w:val="22"/>
                <w:szCs w:val="22"/>
              </w:rPr>
              <w:t>49763</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49763</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49667</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47109</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46877</w:t>
            </w:r>
          </w:p>
        </w:tc>
        <w:tc>
          <w:tcPr>
            <w:tcW w:w="773" w:type="dxa"/>
            <w:vAlign w:val="bottom"/>
          </w:tcPr>
          <w:p w:rsidR="003351E8" w:rsidRPr="00A9271F" w:rsidRDefault="003351E8" w:rsidP="00C55BA9">
            <w:pPr>
              <w:jc w:val="center"/>
              <w:rPr>
                <w:rFonts w:ascii="Trebuchet MS" w:hAnsi="Trebuchet MS" w:cs="Arial"/>
                <w:sz w:val="22"/>
                <w:szCs w:val="22"/>
                <w:shd w:val="clear" w:color="auto" w:fill="FAFAFA"/>
              </w:rPr>
            </w:pPr>
            <w:r w:rsidRPr="00A9271F">
              <w:rPr>
                <w:rFonts w:ascii="Trebuchet MS" w:hAnsi="Trebuchet MS" w:cs="Arial"/>
                <w:sz w:val="22"/>
                <w:szCs w:val="22"/>
                <w:shd w:val="clear" w:color="auto" w:fill="FAFAFA"/>
              </w:rPr>
              <w:t>46667</w:t>
            </w:r>
          </w:p>
        </w:tc>
      </w:tr>
      <w:tr w:rsidR="003351E8" w:rsidRPr="00A9271F" w:rsidTr="00C55BA9">
        <w:trPr>
          <w:trHeight w:val="600"/>
        </w:trPr>
        <w:tc>
          <w:tcPr>
            <w:tcW w:w="1153"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Livezi de pomi, pepiniere, arbuşti fructiferi</w:t>
            </w:r>
          </w:p>
        </w:tc>
        <w:tc>
          <w:tcPr>
            <w:tcW w:w="1373" w:type="dxa"/>
            <w:shd w:val="clear" w:color="auto" w:fill="auto"/>
            <w:hideMark/>
          </w:tcPr>
          <w:p w:rsidR="003351E8" w:rsidRPr="00A9271F" w:rsidRDefault="003351E8" w:rsidP="00C55BA9">
            <w:pPr>
              <w:rPr>
                <w:rFonts w:ascii="Trebuchet MS" w:eastAsia="Times New Roman" w:hAnsi="Trebuchet MS" w:cs="Arial"/>
                <w:bCs/>
                <w:sz w:val="22"/>
                <w:szCs w:val="22"/>
              </w:rPr>
            </w:pPr>
          </w:p>
          <w:p w:rsidR="003351E8" w:rsidRPr="00A9271F" w:rsidRDefault="003351E8" w:rsidP="00C55BA9">
            <w:pPr>
              <w:rPr>
                <w:rFonts w:ascii="Trebuchet MS" w:eastAsia="Times New Roman" w:hAnsi="Trebuchet MS" w:cs="Arial"/>
                <w:bCs/>
                <w:sz w:val="22"/>
                <w:szCs w:val="22"/>
              </w:rPr>
            </w:pPr>
          </w:p>
          <w:p w:rsidR="003351E8" w:rsidRPr="00A9271F" w:rsidRDefault="003351E8" w:rsidP="00C55BA9">
            <w:pPr>
              <w:rPr>
                <w:rFonts w:ascii="Trebuchet MS" w:eastAsia="Times New Roman" w:hAnsi="Trebuchet MS" w:cs="Arial"/>
                <w:bCs/>
                <w:sz w:val="22"/>
                <w:szCs w:val="22"/>
              </w:rPr>
            </w:pPr>
            <w:r w:rsidRPr="00A9271F">
              <w:rPr>
                <w:rFonts w:ascii="Trebuchet MS" w:eastAsia="Times New Roman" w:hAnsi="Trebuchet MS" w:cs="Arial"/>
                <w:bCs/>
                <w:sz w:val="22"/>
                <w:szCs w:val="22"/>
              </w:rPr>
              <w:t>Regiunea Bucureşti -Ilfov</w:t>
            </w:r>
          </w:p>
        </w:tc>
        <w:tc>
          <w:tcPr>
            <w:tcW w:w="773"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75</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p>
          <w:p w:rsidR="003351E8" w:rsidRPr="00A9271F" w:rsidRDefault="003351E8" w:rsidP="00C55BA9">
            <w:pPr>
              <w:jc w:val="center"/>
              <w:rPr>
                <w:rFonts w:ascii="Trebuchet MS" w:eastAsia="Times New Roman" w:hAnsi="Trebuchet MS" w:cs="Arial"/>
                <w:sz w:val="22"/>
                <w:szCs w:val="22"/>
              </w:rPr>
            </w:pPr>
          </w:p>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75</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75</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75</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75</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75</w:t>
            </w:r>
          </w:p>
        </w:tc>
        <w:tc>
          <w:tcPr>
            <w:tcW w:w="773" w:type="dxa"/>
            <w:vAlign w:val="bottom"/>
          </w:tcPr>
          <w:p w:rsidR="003351E8" w:rsidRPr="00A9271F" w:rsidRDefault="003351E8" w:rsidP="00C55BA9">
            <w:pPr>
              <w:jc w:val="center"/>
              <w:rPr>
                <w:rFonts w:ascii="Trebuchet MS" w:eastAsia="Times New Roman" w:hAnsi="Trebuchet MS" w:cs="Arial"/>
                <w:sz w:val="22"/>
                <w:szCs w:val="22"/>
              </w:rPr>
            </w:pPr>
            <w:r w:rsidRPr="00A9271F">
              <w:rPr>
                <w:rFonts w:ascii="Trebuchet MS" w:eastAsia="Times New Roman" w:hAnsi="Trebuchet MS" w:cs="Arial"/>
                <w:sz w:val="22"/>
                <w:szCs w:val="22"/>
              </w:rPr>
              <w:t>75</w:t>
            </w:r>
          </w:p>
        </w:tc>
      </w:tr>
    </w:tbl>
    <w:p w:rsidR="003351E8" w:rsidRPr="00A9271F" w:rsidRDefault="003351E8" w:rsidP="003351E8">
      <w:pPr>
        <w:jc w:val="both"/>
        <w:rPr>
          <w:rFonts w:ascii="Trebuchet MS" w:hAnsi="Trebuchet MS" w:cs="Arial"/>
          <w:b/>
          <w:sz w:val="22"/>
          <w:szCs w:val="22"/>
        </w:rPr>
      </w:pPr>
    </w:p>
    <w:p w:rsidR="003351E8" w:rsidRPr="00A9271F" w:rsidRDefault="003351E8" w:rsidP="003351E8">
      <w:pPr>
        <w:jc w:val="both"/>
        <w:rPr>
          <w:rFonts w:ascii="Trebuchet MS" w:hAnsi="Trebuchet MS" w:cs="Arial"/>
          <w:sz w:val="22"/>
          <w:szCs w:val="22"/>
        </w:rPr>
      </w:pPr>
      <w:r w:rsidRPr="00A9271F">
        <w:rPr>
          <w:rFonts w:ascii="Trebuchet MS" w:hAnsi="Trebuchet MS" w:cs="Arial"/>
          <w:sz w:val="22"/>
          <w:szCs w:val="22"/>
        </w:rPr>
        <w:t>Sursa datelor :Administraţia Naţională a Îmbunătăţirilor Funciare R.A.</w:t>
      </w:r>
    </w:p>
    <w:p w:rsidR="003351E8" w:rsidRPr="00A9271F" w:rsidRDefault="003351E8" w:rsidP="003351E8">
      <w:pPr>
        <w:jc w:val="both"/>
        <w:rPr>
          <w:rFonts w:ascii="Trebuchet MS" w:hAnsi="Trebuchet MS" w:cs="Arial"/>
          <w:sz w:val="22"/>
          <w:szCs w:val="22"/>
        </w:rPr>
      </w:pPr>
      <w:r w:rsidRPr="00A9271F">
        <w:rPr>
          <w:rFonts w:ascii="Trebuchet MS" w:hAnsi="Trebuchet MS" w:cs="Arial"/>
          <w:sz w:val="22"/>
          <w:szCs w:val="22"/>
        </w:rPr>
        <w:t>Până la finalizarea acţiunii de cadastrare a ţării, de către Agenţia Naţională de Cadastru şi Publicitate Imobiliară, seriile de date sunt blocate la nivelul anului 2014.</w:t>
      </w:r>
    </w:p>
    <w:p w:rsidR="003351E8" w:rsidRPr="00BA2F12" w:rsidRDefault="003351E8" w:rsidP="003351E8">
      <w:pPr>
        <w:jc w:val="both"/>
        <w:rPr>
          <w:rFonts w:ascii="Trebuchet MS" w:hAnsi="Trebuchet MS" w:cs="Arial"/>
        </w:rPr>
      </w:pPr>
    </w:p>
    <w:p w:rsidR="003351E8" w:rsidRPr="00BA2F12" w:rsidRDefault="003351E8" w:rsidP="003351E8">
      <w:pPr>
        <w:jc w:val="both"/>
        <w:rPr>
          <w:rFonts w:ascii="Trebuchet MS" w:hAnsi="Trebuchet MS" w:cs="Arial"/>
          <w:b/>
        </w:rPr>
      </w:pPr>
      <w:r w:rsidRPr="00BA2F12">
        <w:rPr>
          <w:rFonts w:ascii="Trebuchet MS" w:hAnsi="Trebuchet MS" w:cs="Arial"/>
          <w:b/>
        </w:rPr>
        <w:t xml:space="preserve">III.4. Prognoze şi acţiuni întreprinse pentru ameliorarea stării de calitate a solurilor </w:t>
      </w:r>
      <w:r w:rsidRPr="00BA2F12">
        <w:rPr>
          <w:rFonts w:ascii="Trebuchet MS" w:hAnsi="Trebuchet MS" w:cs="Arial"/>
          <w:b/>
        </w:rPr>
        <w:tab/>
      </w:r>
    </w:p>
    <w:p w:rsidR="003351E8" w:rsidRPr="00A9271F" w:rsidRDefault="003351E8" w:rsidP="004F134E">
      <w:pPr>
        <w:numPr>
          <w:ilvl w:val="0"/>
          <w:numId w:val="12"/>
        </w:numPr>
        <w:ind w:left="360"/>
        <w:contextualSpacing/>
        <w:jc w:val="both"/>
        <w:rPr>
          <w:rFonts w:ascii="Trebuchet MS" w:eastAsia="Times New Roman" w:hAnsi="Trebuchet MS" w:cs="Arial"/>
          <w:b/>
          <w:sz w:val="22"/>
          <w:szCs w:val="22"/>
        </w:rPr>
      </w:pPr>
      <w:r w:rsidRPr="00A9271F">
        <w:rPr>
          <w:rFonts w:ascii="Trebuchet MS" w:eastAsia="Times New Roman" w:hAnsi="Trebuchet MS" w:cs="Arial"/>
          <w:b/>
          <w:sz w:val="22"/>
          <w:szCs w:val="22"/>
        </w:rPr>
        <w:t>Indicatori specifici</w:t>
      </w:r>
    </w:p>
    <w:p w:rsidR="003351E8" w:rsidRPr="00A9271F" w:rsidRDefault="003351E8" w:rsidP="003351E8">
      <w:pPr>
        <w:autoSpaceDE w:val="0"/>
        <w:autoSpaceDN w:val="0"/>
        <w:adjustRightInd w:val="0"/>
        <w:rPr>
          <w:rFonts w:ascii="Trebuchet MS" w:eastAsia="Times New Roman" w:hAnsi="Trebuchet MS" w:cs="Arial"/>
          <w:sz w:val="22"/>
          <w:szCs w:val="22"/>
        </w:rPr>
      </w:pPr>
      <w:r w:rsidRPr="00A9271F">
        <w:rPr>
          <w:rFonts w:ascii="Trebuchet MS" w:hAnsi="Trebuchet MS" w:cs="Arial"/>
          <w:b/>
          <w:sz w:val="22"/>
          <w:szCs w:val="22"/>
        </w:rPr>
        <w:t>Pentru indicatorul RO 26-CSI26-</w:t>
      </w:r>
      <w:r w:rsidRPr="00A9271F">
        <w:rPr>
          <w:rFonts w:ascii="Trebuchet MS" w:hAnsi="Trebuchet MS"/>
          <w:sz w:val="22"/>
          <w:szCs w:val="22"/>
        </w:rPr>
        <w:t xml:space="preserve"> </w:t>
      </w:r>
      <w:r w:rsidRPr="00A9271F">
        <w:rPr>
          <w:rFonts w:ascii="Trebuchet MS" w:eastAsia="Times New Roman" w:hAnsi="Trebuchet MS" w:cs="Arial"/>
          <w:sz w:val="22"/>
          <w:szCs w:val="22"/>
        </w:rPr>
        <w:t>Suprafaţa destinată agriculturii ecologice nu deţinem date</w:t>
      </w:r>
    </w:p>
    <w:p w:rsidR="003351E8" w:rsidRPr="00A9271F" w:rsidRDefault="003351E8" w:rsidP="003351E8">
      <w:pPr>
        <w:autoSpaceDE w:val="0"/>
        <w:autoSpaceDN w:val="0"/>
        <w:adjustRightInd w:val="0"/>
        <w:rPr>
          <w:rFonts w:ascii="Trebuchet MS" w:eastAsia="Times New Roman" w:hAnsi="Trebuchet MS"/>
          <w:sz w:val="22"/>
          <w:szCs w:val="22"/>
        </w:rPr>
      </w:pPr>
    </w:p>
    <w:p w:rsidR="003351E8" w:rsidRPr="00A9271F" w:rsidRDefault="003351E8" w:rsidP="003351E8">
      <w:pPr>
        <w:autoSpaceDE w:val="0"/>
        <w:autoSpaceDN w:val="0"/>
        <w:adjustRightInd w:val="0"/>
        <w:rPr>
          <w:rFonts w:ascii="Trebuchet MS" w:eastAsia="Times New Roman" w:hAnsi="Trebuchet MS" w:cs="Arial"/>
          <w:b/>
          <w:sz w:val="22"/>
          <w:szCs w:val="22"/>
        </w:rPr>
      </w:pPr>
      <w:r w:rsidRPr="00A9271F">
        <w:rPr>
          <w:rFonts w:ascii="Trebuchet MS" w:eastAsia="Times New Roman" w:hAnsi="Trebuchet MS" w:cs="Arial"/>
          <w:b/>
          <w:sz w:val="22"/>
          <w:szCs w:val="22"/>
        </w:rPr>
        <w:t xml:space="preserve">    B Alte date şi informaţii specifice</w:t>
      </w:r>
    </w:p>
    <w:p w:rsidR="003351E8" w:rsidRPr="00A9271F" w:rsidRDefault="003351E8" w:rsidP="003351E8">
      <w:pPr>
        <w:autoSpaceDE w:val="0"/>
        <w:autoSpaceDN w:val="0"/>
        <w:adjustRightInd w:val="0"/>
        <w:rPr>
          <w:rFonts w:ascii="Trebuchet MS" w:eastAsia="Times New Roman" w:hAnsi="Trebuchet MS"/>
          <w:sz w:val="22"/>
          <w:szCs w:val="22"/>
        </w:rPr>
      </w:pPr>
    </w:p>
    <w:p w:rsidR="003351E8" w:rsidRPr="00A9271F" w:rsidRDefault="003351E8" w:rsidP="003351E8">
      <w:pPr>
        <w:tabs>
          <w:tab w:val="left" w:pos="360"/>
        </w:tabs>
        <w:jc w:val="both"/>
        <w:rPr>
          <w:rFonts w:ascii="Trebuchet MS" w:hAnsi="Trebuchet MS" w:cs="Arial"/>
          <w:sz w:val="22"/>
          <w:szCs w:val="22"/>
          <w:lang w:val="ro-RO"/>
        </w:rPr>
      </w:pPr>
      <w:r w:rsidRPr="00A9271F">
        <w:rPr>
          <w:rFonts w:ascii="Trebuchet MS" w:hAnsi="Trebuchet MS" w:cs="Arial"/>
          <w:sz w:val="22"/>
          <w:szCs w:val="22"/>
          <w:lang w:val="ro-RO"/>
        </w:rPr>
        <w:t xml:space="preserve">     Refacerea mediului geologic şi a ecosistemelor terestre afectate constă în aducerea acestora cât mai aproape de starea naturală, prin aplicarea unor măsuri de curăţare, remediere şi/sau reconstrucţie ecologică şi prin eliminarea oricărui risc semnificativ de impact asupra acestora, conform categoriei de folosinţă a terenului.</w:t>
      </w:r>
    </w:p>
    <w:p w:rsidR="003351E8" w:rsidRPr="00A9271F" w:rsidRDefault="003351E8" w:rsidP="003351E8">
      <w:pPr>
        <w:tabs>
          <w:tab w:val="left" w:pos="360"/>
        </w:tabs>
        <w:jc w:val="both"/>
        <w:rPr>
          <w:rFonts w:ascii="Trebuchet MS" w:hAnsi="Trebuchet MS" w:cs="Arial"/>
          <w:sz w:val="22"/>
          <w:szCs w:val="22"/>
          <w:lang w:val="ro-RO"/>
        </w:rPr>
      </w:pPr>
      <w:r w:rsidRPr="00A9271F">
        <w:rPr>
          <w:rFonts w:ascii="Trebuchet MS" w:hAnsi="Trebuchet MS" w:cs="Arial"/>
          <w:sz w:val="22"/>
          <w:szCs w:val="22"/>
          <w:lang w:val="ro-RO"/>
        </w:rPr>
        <w:tab/>
        <w:t>Opţiuni pentru reabilitarea ecologică:</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Îndepărtarea întregului material cu sol contaminat.</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Acoperire cu sol curat de 1 -1,5 metri.</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Stimularea biodegradării naturale.</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Nivel mai mare al apelor subterane.</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Adaosul de calcar sau argile la material.</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Fertilizarea solului(material).</w:t>
      </w:r>
    </w:p>
    <w:p w:rsidR="003351E8" w:rsidRPr="00A9271F" w:rsidRDefault="003351E8" w:rsidP="003351E8">
      <w:pPr>
        <w:jc w:val="both"/>
        <w:rPr>
          <w:rFonts w:ascii="Trebuchet MS" w:hAnsi="Trebuchet MS" w:cs="Arial"/>
          <w:sz w:val="22"/>
          <w:szCs w:val="22"/>
          <w:lang w:val="ro-RO"/>
        </w:rPr>
      </w:pPr>
      <w:r w:rsidRPr="00A9271F">
        <w:rPr>
          <w:rFonts w:ascii="Trebuchet MS" w:hAnsi="Trebuchet MS" w:cs="Arial"/>
          <w:sz w:val="22"/>
          <w:szCs w:val="22"/>
          <w:lang w:val="ro-RO"/>
        </w:rPr>
        <w:t>- Schimbarea vegetaţiei.</w:t>
      </w:r>
    </w:p>
    <w:p w:rsidR="003351E8" w:rsidRPr="00A9271F" w:rsidRDefault="003351E8" w:rsidP="003351E8">
      <w:pPr>
        <w:rPr>
          <w:rFonts w:ascii="Trebuchet MS" w:hAnsi="Trebuchet MS" w:cs="Arial"/>
          <w:sz w:val="22"/>
          <w:szCs w:val="22"/>
          <w:lang w:val="ro-RO"/>
        </w:rPr>
      </w:pPr>
      <w:r w:rsidRPr="00A9271F">
        <w:rPr>
          <w:rFonts w:ascii="Trebuchet MS" w:hAnsi="Trebuchet MS" w:cs="Arial"/>
          <w:sz w:val="22"/>
          <w:szCs w:val="22"/>
          <w:lang w:val="ro-RO"/>
        </w:rPr>
        <w:br w:type="page"/>
      </w:r>
    </w:p>
    <w:p w:rsidR="003351E8" w:rsidRPr="000815AC" w:rsidRDefault="003351E8" w:rsidP="003351E8">
      <w:pPr>
        <w:rPr>
          <w:rFonts w:ascii="Arial" w:hAnsi="Arial" w:cs="Arial"/>
          <w:lang w:val="ro-RO"/>
        </w:rPr>
      </w:pPr>
    </w:p>
    <w:p w:rsidR="003351E8" w:rsidRPr="00F9204C" w:rsidRDefault="003351E8" w:rsidP="003351E8">
      <w:pPr>
        <w:jc w:val="center"/>
        <w:rPr>
          <w:rFonts w:ascii="Trebuchet MS" w:hAnsi="Trebuchet MS" w:cs="Arial"/>
          <w:b/>
          <w:sz w:val="32"/>
          <w:szCs w:val="32"/>
          <w:lang w:val="ro-RO"/>
        </w:rPr>
      </w:pPr>
      <w:r w:rsidRPr="00F9204C">
        <w:rPr>
          <w:rFonts w:ascii="Trebuchet MS" w:hAnsi="Trebuchet MS" w:cs="Arial"/>
          <w:b/>
          <w:sz w:val="32"/>
          <w:szCs w:val="32"/>
          <w:lang w:val="ro-RO"/>
        </w:rPr>
        <w:t>Capitolul IV</w:t>
      </w:r>
    </w:p>
    <w:p w:rsidR="003351E8" w:rsidRPr="00F9204C" w:rsidRDefault="003351E8" w:rsidP="003351E8">
      <w:pPr>
        <w:jc w:val="center"/>
        <w:rPr>
          <w:rFonts w:ascii="Trebuchet MS" w:hAnsi="Trebuchet MS" w:cs="Arial"/>
          <w:b/>
          <w:lang w:val="ro-RO"/>
        </w:rPr>
      </w:pPr>
      <w:r w:rsidRPr="00F9204C">
        <w:rPr>
          <w:rFonts w:ascii="Trebuchet MS" w:hAnsi="Trebuchet MS" w:cs="Arial"/>
          <w:b/>
          <w:sz w:val="32"/>
          <w:szCs w:val="32"/>
          <w:lang w:val="ro-RO"/>
        </w:rPr>
        <w:t>UTILIZAREA TERENURILOR</w:t>
      </w:r>
    </w:p>
    <w:p w:rsidR="003351E8" w:rsidRPr="00F9204C" w:rsidRDefault="003351E8" w:rsidP="003351E8">
      <w:pPr>
        <w:rPr>
          <w:rFonts w:ascii="Trebuchet MS" w:hAnsi="Trebuchet MS" w:cs="Arial"/>
          <w:lang w:val="ro-RO"/>
        </w:rPr>
      </w:pPr>
      <w:r w:rsidRPr="00F9204C">
        <w:rPr>
          <w:rFonts w:ascii="Trebuchet MS" w:hAnsi="Trebuchet MS" w:cs="Arial"/>
          <w:lang w:val="ro-RO"/>
        </w:rPr>
        <w:t xml:space="preserve">      </w:t>
      </w:r>
    </w:p>
    <w:p w:rsidR="003351E8" w:rsidRPr="00F9204C" w:rsidRDefault="003351E8" w:rsidP="003351E8">
      <w:pPr>
        <w:rPr>
          <w:rFonts w:ascii="Trebuchet MS" w:hAnsi="Trebuchet MS" w:cs="Arial"/>
          <w:lang w:val="ro-RO"/>
        </w:rPr>
      </w:pPr>
    </w:p>
    <w:p w:rsidR="003351E8" w:rsidRPr="00F9204C" w:rsidRDefault="003351E8" w:rsidP="003351E8">
      <w:pPr>
        <w:rPr>
          <w:rFonts w:ascii="Trebuchet MS" w:hAnsi="Trebuchet MS" w:cs="Arial"/>
        </w:rPr>
      </w:pPr>
    </w:p>
    <w:p w:rsidR="003351E8" w:rsidRPr="00F9204C" w:rsidRDefault="003351E8" w:rsidP="003351E8">
      <w:pPr>
        <w:rPr>
          <w:rFonts w:ascii="Trebuchet MS" w:hAnsi="Trebuchet MS" w:cs="Arial"/>
        </w:rPr>
      </w:pPr>
    </w:p>
    <w:p w:rsidR="003351E8" w:rsidRPr="00F9204C" w:rsidRDefault="003351E8" w:rsidP="003351E8">
      <w:pPr>
        <w:rPr>
          <w:rFonts w:ascii="Trebuchet MS" w:hAnsi="Trebuchet MS" w:cs="Arial"/>
          <w:b/>
        </w:rPr>
      </w:pPr>
      <w:r w:rsidRPr="00F9204C">
        <w:rPr>
          <w:rFonts w:ascii="Trebuchet MS" w:hAnsi="Trebuchet MS" w:cs="Arial"/>
          <w:b/>
        </w:rPr>
        <w:t xml:space="preserve">IV.1.Stare şi tendinţe </w:t>
      </w:r>
    </w:p>
    <w:p w:rsidR="003351E8" w:rsidRPr="00F9204C" w:rsidRDefault="003351E8" w:rsidP="003351E8">
      <w:pPr>
        <w:jc w:val="both"/>
        <w:rPr>
          <w:rFonts w:ascii="Trebuchet MS" w:hAnsi="Trebuchet MS" w:cs="Arial"/>
          <w:b/>
        </w:rPr>
      </w:pPr>
      <w:r w:rsidRPr="00F9204C">
        <w:rPr>
          <w:rFonts w:ascii="Trebuchet MS" w:hAnsi="Trebuchet MS" w:cs="Arial"/>
          <w:b/>
        </w:rPr>
        <w:tab/>
      </w:r>
    </w:p>
    <w:p w:rsidR="003351E8" w:rsidRPr="00F9204C" w:rsidRDefault="003351E8" w:rsidP="004F134E">
      <w:pPr>
        <w:numPr>
          <w:ilvl w:val="0"/>
          <w:numId w:val="13"/>
        </w:numPr>
        <w:contextualSpacing/>
        <w:jc w:val="both"/>
        <w:rPr>
          <w:rFonts w:ascii="Trebuchet MS" w:eastAsia="Times New Roman" w:hAnsi="Trebuchet MS" w:cs="Arial"/>
          <w:b/>
        </w:rPr>
      </w:pPr>
      <w:r w:rsidRPr="00F9204C">
        <w:rPr>
          <w:rFonts w:ascii="Trebuchet MS" w:eastAsia="Times New Roman" w:hAnsi="Trebuchet MS" w:cs="Arial"/>
          <w:b/>
        </w:rPr>
        <w:t>Indicatori specifici</w:t>
      </w:r>
    </w:p>
    <w:p w:rsidR="003351E8" w:rsidRPr="00F9204C" w:rsidRDefault="003351E8" w:rsidP="003351E8">
      <w:pPr>
        <w:autoSpaceDE w:val="0"/>
        <w:autoSpaceDN w:val="0"/>
        <w:adjustRightInd w:val="0"/>
        <w:rPr>
          <w:rFonts w:ascii="Trebuchet MS" w:eastAsia="Times New Roman" w:hAnsi="Trebuchet MS" w:cs="Arial"/>
        </w:rPr>
      </w:pPr>
      <w:r w:rsidRPr="00F9204C">
        <w:rPr>
          <w:rFonts w:ascii="Trebuchet MS" w:eastAsia="Times New Roman" w:hAnsi="Trebuchet MS" w:cs="Arial"/>
        </w:rPr>
        <w:t xml:space="preserve">      Nu este cazul</w:t>
      </w:r>
    </w:p>
    <w:p w:rsidR="003351E8" w:rsidRPr="00F9204C" w:rsidRDefault="003351E8" w:rsidP="003351E8">
      <w:pPr>
        <w:autoSpaceDE w:val="0"/>
        <w:autoSpaceDN w:val="0"/>
        <w:adjustRightInd w:val="0"/>
        <w:rPr>
          <w:rFonts w:ascii="Trebuchet MS" w:eastAsia="Times New Roman" w:hAnsi="Trebuchet MS" w:cs="Arial"/>
        </w:rPr>
      </w:pPr>
    </w:p>
    <w:p w:rsidR="003351E8" w:rsidRPr="00F9204C" w:rsidRDefault="003351E8" w:rsidP="003351E8">
      <w:pPr>
        <w:autoSpaceDE w:val="0"/>
        <w:autoSpaceDN w:val="0"/>
        <w:adjustRightInd w:val="0"/>
        <w:rPr>
          <w:rFonts w:ascii="Trebuchet MS" w:eastAsia="Times New Roman" w:hAnsi="Trebuchet MS" w:cs="Arial"/>
          <w:b/>
        </w:rPr>
      </w:pPr>
      <w:r w:rsidRPr="00F9204C">
        <w:rPr>
          <w:rFonts w:ascii="Trebuchet MS" w:eastAsia="Times New Roman" w:hAnsi="Trebuchet MS" w:cs="Arial"/>
          <w:b/>
        </w:rPr>
        <w:t xml:space="preserve">  B. Alte date şi informaţii specifice</w:t>
      </w:r>
    </w:p>
    <w:p w:rsidR="003351E8" w:rsidRPr="00F9204C" w:rsidRDefault="003351E8" w:rsidP="003351E8">
      <w:pPr>
        <w:rPr>
          <w:rFonts w:ascii="Trebuchet MS" w:hAnsi="Trebuchet MS" w:cs="Arial"/>
          <w:b/>
        </w:rPr>
      </w:pPr>
      <w:r w:rsidRPr="00F9204C">
        <w:rPr>
          <w:rFonts w:ascii="Trebuchet MS" w:hAnsi="Trebuchet MS" w:cs="Arial"/>
          <w:b/>
        </w:rPr>
        <w:tab/>
        <w:t xml:space="preserve"> </w:t>
      </w:r>
    </w:p>
    <w:p w:rsidR="003351E8" w:rsidRPr="00A9271F" w:rsidRDefault="003351E8" w:rsidP="003351E8">
      <w:pPr>
        <w:rPr>
          <w:rFonts w:ascii="Trebuchet MS" w:hAnsi="Trebuchet MS" w:cs="Arial"/>
          <w:sz w:val="22"/>
          <w:szCs w:val="22"/>
        </w:rPr>
      </w:pPr>
      <w:r w:rsidRPr="00A9271F">
        <w:rPr>
          <w:rFonts w:ascii="Trebuchet MS" w:hAnsi="Trebuchet MS" w:cs="Arial"/>
          <w:sz w:val="22"/>
          <w:szCs w:val="22"/>
        </w:rPr>
        <w:t xml:space="preserve">           IV.1.1.Repartiţia terenurilor pe categorii de acoperire/utilizare </w:t>
      </w:r>
    </w:p>
    <w:p w:rsidR="003351E8" w:rsidRPr="00A9271F" w:rsidRDefault="003351E8" w:rsidP="003351E8">
      <w:pPr>
        <w:ind w:left="90"/>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xml:space="preserve">           Acoperirea terenurilor din municipiul Bucureşti în 2014</w:t>
      </w:r>
    </w:p>
    <w:p w:rsidR="003351E8" w:rsidRPr="00A9271F" w:rsidRDefault="003351E8" w:rsidP="003351E8">
      <w:pPr>
        <w:ind w:right="289" w:firstLine="720"/>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xml:space="preserve">                               Tabel IV.1.1.1</w:t>
      </w:r>
    </w:p>
    <w:p w:rsidR="003351E8" w:rsidRPr="00A9271F" w:rsidRDefault="003351E8" w:rsidP="003351E8">
      <w:pPr>
        <w:ind w:right="289" w:firstLine="720"/>
        <w:jc w:val="both"/>
        <w:rPr>
          <w:rFonts w:ascii="Trebuchet MS" w:eastAsia="Calibri" w:hAnsi="Trebuchet MS" w:cs="Arial"/>
          <w:sz w:val="22"/>
          <w:szCs w:val="22"/>
          <w:lang w:val="ro-RO"/>
        </w:rPr>
      </w:pPr>
    </w:p>
    <w:tbl>
      <w:tblPr>
        <w:tblW w:w="5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233"/>
        <w:gridCol w:w="1233"/>
        <w:gridCol w:w="1233"/>
      </w:tblGrid>
      <w:tr w:rsidR="003351E8" w:rsidRPr="00A9271F" w:rsidTr="00C55BA9">
        <w:tc>
          <w:tcPr>
            <w:tcW w:w="1494" w:type="dxa"/>
          </w:tcPr>
          <w:p w:rsidR="003351E8" w:rsidRPr="00A9271F" w:rsidRDefault="003351E8" w:rsidP="00C55BA9">
            <w:pPr>
              <w:ind w:right="289" w:firstLine="720"/>
              <w:rPr>
                <w:rFonts w:ascii="Trebuchet MS" w:eastAsia="Calibri" w:hAnsi="Trebuchet MS" w:cs="Arial"/>
                <w:b/>
                <w:sz w:val="22"/>
                <w:szCs w:val="22"/>
                <w:lang w:val="ro-RO"/>
              </w:rPr>
            </w:pPr>
          </w:p>
          <w:p w:rsidR="003351E8" w:rsidRPr="00A9271F" w:rsidRDefault="003351E8" w:rsidP="00C55BA9">
            <w:pPr>
              <w:ind w:right="256" w:hanging="75"/>
              <w:rPr>
                <w:rFonts w:ascii="Trebuchet MS" w:eastAsia="Calibri" w:hAnsi="Trebuchet MS" w:cs="Arial"/>
                <w:b/>
                <w:sz w:val="22"/>
                <w:szCs w:val="22"/>
                <w:lang w:val="ro-RO"/>
              </w:rPr>
            </w:pPr>
            <w:r w:rsidRPr="00A9271F">
              <w:rPr>
                <w:rFonts w:ascii="Trebuchet MS" w:eastAsia="Calibri" w:hAnsi="Trebuchet MS" w:cs="Arial"/>
                <w:b/>
                <w:sz w:val="22"/>
                <w:szCs w:val="22"/>
                <w:lang w:val="ro-RO"/>
              </w:rPr>
              <w:t>Hectare</w:t>
            </w:r>
          </w:p>
        </w:tc>
        <w:tc>
          <w:tcPr>
            <w:tcW w:w="1233" w:type="dxa"/>
          </w:tcPr>
          <w:p w:rsidR="003351E8" w:rsidRPr="00A9271F" w:rsidRDefault="003351E8" w:rsidP="00C55BA9">
            <w:pPr>
              <w:ind w:firstLine="720"/>
              <w:jc w:val="center"/>
              <w:rPr>
                <w:rFonts w:ascii="Trebuchet MS" w:eastAsia="Calibri" w:hAnsi="Trebuchet MS" w:cs="Arial"/>
                <w:b/>
                <w:sz w:val="22"/>
                <w:szCs w:val="22"/>
                <w:lang w:val="ro-RO"/>
              </w:rPr>
            </w:pPr>
          </w:p>
          <w:p w:rsidR="003351E8" w:rsidRPr="00A9271F" w:rsidRDefault="003351E8" w:rsidP="00C55BA9">
            <w:pPr>
              <w:ind w:firstLine="297"/>
              <w:jc w:val="center"/>
              <w:rPr>
                <w:rFonts w:ascii="Trebuchet MS" w:eastAsia="Calibri" w:hAnsi="Trebuchet MS" w:cs="Arial"/>
                <w:b/>
                <w:sz w:val="22"/>
                <w:szCs w:val="22"/>
                <w:lang w:val="ro-RO"/>
              </w:rPr>
            </w:pPr>
            <w:r w:rsidRPr="00A9271F">
              <w:rPr>
                <w:rFonts w:ascii="Trebuchet MS" w:eastAsia="Calibri" w:hAnsi="Trebuchet MS" w:cs="Arial"/>
                <w:b/>
                <w:sz w:val="22"/>
                <w:szCs w:val="22"/>
                <w:lang w:val="ro-RO"/>
              </w:rPr>
              <w:t>2013</w:t>
            </w:r>
          </w:p>
        </w:tc>
        <w:tc>
          <w:tcPr>
            <w:tcW w:w="1233" w:type="dxa"/>
            <w:vAlign w:val="center"/>
          </w:tcPr>
          <w:p w:rsidR="003351E8" w:rsidRPr="00A9271F" w:rsidRDefault="003351E8" w:rsidP="00C55BA9">
            <w:pPr>
              <w:ind w:firstLine="720"/>
              <w:rPr>
                <w:rFonts w:ascii="Trebuchet MS" w:eastAsia="Calibri" w:hAnsi="Trebuchet MS" w:cs="Arial"/>
                <w:b/>
                <w:sz w:val="22"/>
                <w:szCs w:val="22"/>
                <w:lang w:val="ro-RO"/>
              </w:rPr>
            </w:pPr>
          </w:p>
          <w:p w:rsidR="003351E8" w:rsidRPr="00A9271F" w:rsidRDefault="003351E8" w:rsidP="00C55BA9">
            <w:pPr>
              <w:ind w:firstLine="423"/>
              <w:rPr>
                <w:rFonts w:ascii="Trebuchet MS" w:eastAsia="Calibri" w:hAnsi="Trebuchet MS" w:cs="Arial"/>
                <w:b/>
                <w:sz w:val="22"/>
                <w:szCs w:val="22"/>
                <w:lang w:val="ro-RO"/>
              </w:rPr>
            </w:pPr>
            <w:r w:rsidRPr="00A9271F">
              <w:rPr>
                <w:rFonts w:ascii="Trebuchet MS" w:eastAsia="Calibri" w:hAnsi="Trebuchet MS" w:cs="Arial"/>
                <w:b/>
                <w:sz w:val="22"/>
                <w:szCs w:val="22"/>
                <w:lang w:val="ro-RO"/>
              </w:rPr>
              <w:t>%</w:t>
            </w:r>
          </w:p>
        </w:tc>
        <w:tc>
          <w:tcPr>
            <w:tcW w:w="1233" w:type="dxa"/>
          </w:tcPr>
          <w:p w:rsidR="003351E8" w:rsidRPr="00A9271F" w:rsidRDefault="003351E8" w:rsidP="00C55BA9">
            <w:pPr>
              <w:rPr>
                <w:rFonts w:ascii="Trebuchet MS" w:eastAsia="Calibri" w:hAnsi="Trebuchet MS" w:cs="Arial"/>
                <w:b/>
                <w:sz w:val="22"/>
                <w:szCs w:val="22"/>
                <w:lang w:val="ro-RO"/>
              </w:rPr>
            </w:pPr>
          </w:p>
          <w:p w:rsidR="003351E8" w:rsidRPr="00A9271F" w:rsidRDefault="003351E8" w:rsidP="00C55BA9">
            <w:pPr>
              <w:rPr>
                <w:rFonts w:ascii="Trebuchet MS" w:eastAsia="Calibri" w:hAnsi="Trebuchet MS" w:cs="Arial"/>
                <w:b/>
                <w:sz w:val="22"/>
                <w:szCs w:val="22"/>
                <w:lang w:val="ro-RO"/>
              </w:rPr>
            </w:pPr>
            <w:r w:rsidRPr="00A9271F">
              <w:rPr>
                <w:rFonts w:ascii="Trebuchet MS" w:eastAsia="Calibri" w:hAnsi="Trebuchet MS" w:cs="Arial"/>
                <w:b/>
                <w:sz w:val="22"/>
                <w:szCs w:val="22"/>
                <w:lang w:val="ro-RO"/>
              </w:rPr>
              <w:t xml:space="preserve">   2014</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Suprafaţa totală</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100</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Suprafaţa agricolă</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3052</w:t>
            </w:r>
          </w:p>
        </w:tc>
        <w:tc>
          <w:tcPr>
            <w:tcW w:w="1233" w:type="dxa"/>
          </w:tcPr>
          <w:p w:rsidR="003351E8" w:rsidRPr="00A9271F" w:rsidRDefault="003351E8" w:rsidP="00C55BA9">
            <w:pPr>
              <w:jc w:val="center"/>
              <w:rPr>
                <w:rFonts w:ascii="Trebuchet MS" w:eastAsia="Calibri" w:hAnsi="Trebuchet MS" w:cs="Arial"/>
                <w:i/>
                <w:sz w:val="22"/>
                <w:szCs w:val="22"/>
                <w:lang w:val="ro-RO"/>
              </w:rPr>
            </w:pPr>
          </w:p>
          <w:p w:rsidR="003351E8" w:rsidRPr="00A9271F" w:rsidRDefault="003351E8" w:rsidP="00C55BA9">
            <w:pPr>
              <w:jc w:val="center"/>
              <w:rPr>
                <w:rFonts w:ascii="Trebuchet MS" w:eastAsia="Calibri" w:hAnsi="Trebuchet MS" w:cs="Arial"/>
                <w:i/>
                <w:sz w:val="22"/>
                <w:szCs w:val="22"/>
                <w:lang w:val="ro-RO"/>
              </w:rPr>
            </w:pPr>
            <w:r w:rsidRPr="00A9271F">
              <w:rPr>
                <w:rFonts w:ascii="Trebuchet MS" w:eastAsia="Calibri" w:hAnsi="Trebuchet MS" w:cs="Arial"/>
                <w:i/>
                <w:sz w:val="22"/>
                <w:szCs w:val="22"/>
                <w:lang w:val="ro-RO"/>
              </w:rPr>
              <w:t>12,83</w:t>
            </w:r>
          </w:p>
        </w:tc>
        <w:tc>
          <w:tcPr>
            <w:tcW w:w="1233" w:type="dxa"/>
            <w:vAlign w:val="center"/>
          </w:tcPr>
          <w:p w:rsidR="003351E8" w:rsidRPr="00A9271F" w:rsidRDefault="003351E8" w:rsidP="00C55BA9">
            <w:pPr>
              <w:jc w:val="center"/>
              <w:rPr>
                <w:rFonts w:ascii="Trebuchet MS" w:eastAsia="Calibri" w:hAnsi="Trebuchet MS" w:cs="Arial"/>
                <w:i/>
                <w:sz w:val="22"/>
                <w:szCs w:val="22"/>
                <w:lang w:val="ro-RO"/>
              </w:rPr>
            </w:pPr>
            <w:r w:rsidRPr="00A9271F">
              <w:rPr>
                <w:rFonts w:ascii="Trebuchet MS" w:eastAsia="Calibri" w:hAnsi="Trebuchet MS" w:cs="Arial"/>
                <w:i/>
                <w:sz w:val="22"/>
                <w:szCs w:val="22"/>
                <w:lang w:val="ro-RO"/>
              </w:rPr>
              <w:t>3052</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Suprafaţa agricolă pe categorii de folosinţă:</w:t>
            </w:r>
          </w:p>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arabil</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2566</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84,1</w:t>
            </w:r>
          </w:p>
          <w:p w:rsidR="003351E8" w:rsidRPr="00A9271F" w:rsidRDefault="003351E8" w:rsidP="00C55BA9">
            <w:pPr>
              <w:jc w:val="center"/>
              <w:rPr>
                <w:rFonts w:ascii="Trebuchet MS" w:eastAsia="Calibri" w:hAnsi="Trebuchet MS" w:cs="Arial"/>
                <w:sz w:val="22"/>
                <w:szCs w:val="22"/>
                <w:lang w:val="ro-RO"/>
              </w:rPr>
            </w:pP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2566</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păşuni</w:t>
            </w:r>
          </w:p>
        </w:tc>
        <w:tc>
          <w:tcPr>
            <w:tcW w:w="1233" w:type="dxa"/>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355</w:t>
            </w:r>
          </w:p>
        </w:tc>
        <w:tc>
          <w:tcPr>
            <w:tcW w:w="1233" w:type="dxa"/>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11,6</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355</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vii şi pepiniere viticole</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0,4</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livezi şi pepiniere pomicole</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119</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3,9</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119</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Păduri şi alte terenuri cu vegetaţie forestieră</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2,57</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Ape şi bălţi</w:t>
            </w:r>
          </w:p>
        </w:tc>
        <w:tc>
          <w:tcPr>
            <w:tcW w:w="1233" w:type="dxa"/>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1233" w:type="dxa"/>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3,82</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r>
      <w:tr w:rsidR="003351E8" w:rsidRPr="00A9271F" w:rsidTr="00C55BA9">
        <w:tc>
          <w:tcPr>
            <w:tcW w:w="1494"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Alte suprafeţe*)</w:t>
            </w: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19216</w:t>
            </w:r>
          </w:p>
          <w:p w:rsidR="003351E8" w:rsidRPr="00A9271F" w:rsidRDefault="003351E8" w:rsidP="00C55BA9">
            <w:pPr>
              <w:jc w:val="center"/>
              <w:rPr>
                <w:rFonts w:ascii="Trebuchet MS" w:eastAsia="Calibri" w:hAnsi="Trebuchet MS" w:cs="Arial"/>
                <w:sz w:val="22"/>
                <w:szCs w:val="22"/>
                <w:lang w:val="ro-RO"/>
              </w:rPr>
            </w:pPr>
          </w:p>
        </w:tc>
        <w:tc>
          <w:tcPr>
            <w:tcW w:w="1233"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80,78</w:t>
            </w:r>
          </w:p>
        </w:tc>
        <w:tc>
          <w:tcPr>
            <w:tcW w:w="123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19216</w:t>
            </w:r>
          </w:p>
        </w:tc>
      </w:tr>
    </w:tbl>
    <w:p w:rsidR="003351E8" w:rsidRPr="00A9271F" w:rsidRDefault="003351E8" w:rsidP="003351E8">
      <w:pPr>
        <w:jc w:val="both"/>
        <w:rPr>
          <w:rFonts w:ascii="Trebuchet MS" w:eastAsia="Times New Roman" w:hAnsi="Trebuchet MS" w:cs="Arial"/>
          <w:sz w:val="22"/>
          <w:szCs w:val="22"/>
          <w:lang w:val="ro-RO"/>
        </w:rPr>
      </w:pPr>
      <w:r w:rsidRPr="00A9271F">
        <w:rPr>
          <w:rFonts w:ascii="Trebuchet MS" w:eastAsia="Times New Roman" w:hAnsi="Trebuchet MS" w:cs="Arial"/>
          <w:sz w:val="22"/>
          <w:szCs w:val="22"/>
          <w:lang w:val="ro-RO"/>
        </w:rPr>
        <w:t>*)teren neproductiv- construcţii, drumuri şi căi ferate</w:t>
      </w:r>
    </w:p>
    <w:p w:rsidR="003351E8" w:rsidRPr="00A9271F" w:rsidRDefault="003351E8" w:rsidP="003351E8">
      <w:pPr>
        <w:jc w:val="both"/>
        <w:rPr>
          <w:rFonts w:ascii="Trebuchet MS" w:eastAsia="Times New Roman" w:hAnsi="Trebuchet MS" w:cs="Arial"/>
          <w:b/>
          <w:sz w:val="22"/>
          <w:szCs w:val="22"/>
          <w:lang w:val="ro-RO"/>
        </w:rPr>
      </w:pPr>
      <w:r w:rsidRPr="00A9271F">
        <w:rPr>
          <w:rFonts w:ascii="Trebuchet MS" w:eastAsia="Times New Roman" w:hAnsi="Trebuchet MS" w:cs="Arial"/>
          <w:sz w:val="22"/>
          <w:szCs w:val="22"/>
          <w:lang w:val="ro-RO"/>
        </w:rPr>
        <w:t xml:space="preserve">Sursa datelor:Institutul Naţional de Statistică – </w:t>
      </w:r>
      <w:r w:rsidRPr="00A9271F">
        <w:rPr>
          <w:rFonts w:ascii="Trebuchet MS" w:eastAsia="Times New Roman" w:hAnsi="Trebuchet MS" w:cs="Arial"/>
          <w:b/>
          <w:sz w:val="22"/>
          <w:szCs w:val="22"/>
          <w:lang w:val="ro-RO"/>
        </w:rPr>
        <w:t>Până la finalizarea acţiunii de cadastrare a ţării, de către Agenţia Naţională de Cadastru şi Publicitate Imobiliară, seriile de date sunt blocate la nivelul anului 2014.</w:t>
      </w:r>
    </w:p>
    <w:p w:rsidR="003351E8" w:rsidRPr="00A9271F" w:rsidRDefault="003351E8" w:rsidP="003351E8">
      <w:pPr>
        <w:rPr>
          <w:rFonts w:ascii="Trebuchet MS" w:hAnsi="Trebuchet MS" w:cs="Arial"/>
          <w:sz w:val="22"/>
          <w:szCs w:val="22"/>
        </w:rPr>
      </w:pPr>
      <w:r w:rsidRPr="00A9271F">
        <w:rPr>
          <w:rFonts w:ascii="Trebuchet MS" w:hAnsi="Trebuchet MS" w:cs="Arial"/>
          <w:sz w:val="22"/>
          <w:szCs w:val="22"/>
        </w:rPr>
        <w:t xml:space="preserve">                                                                                                     </w:t>
      </w:r>
    </w:p>
    <w:p w:rsidR="003351E8" w:rsidRPr="00A9271F" w:rsidRDefault="003351E8" w:rsidP="003351E8">
      <w:pPr>
        <w:rPr>
          <w:rFonts w:ascii="Trebuchet MS" w:hAnsi="Trebuchet MS" w:cs="Arial"/>
          <w:sz w:val="22"/>
          <w:szCs w:val="22"/>
        </w:rPr>
      </w:pPr>
    </w:p>
    <w:p w:rsidR="003351E8" w:rsidRPr="00F9204C" w:rsidRDefault="003351E8" w:rsidP="003351E8">
      <w:pPr>
        <w:rPr>
          <w:rFonts w:ascii="Trebuchet MS" w:hAnsi="Trebuchet MS" w:cs="Arial"/>
        </w:rPr>
      </w:pPr>
    </w:p>
    <w:p w:rsidR="003351E8" w:rsidRPr="00F9204C" w:rsidRDefault="003351E8" w:rsidP="003351E8">
      <w:pPr>
        <w:rPr>
          <w:rFonts w:ascii="Trebuchet MS" w:hAnsi="Trebuchet MS" w:cs="Arial"/>
        </w:rPr>
      </w:pPr>
    </w:p>
    <w:p w:rsidR="003351E8" w:rsidRPr="00F9204C" w:rsidRDefault="003351E8" w:rsidP="003351E8">
      <w:pPr>
        <w:rPr>
          <w:rFonts w:ascii="Trebuchet MS" w:hAnsi="Trebuchet MS" w:cs="Arial"/>
        </w:rPr>
      </w:pPr>
      <w:r w:rsidRPr="00F9204C">
        <w:rPr>
          <w:rFonts w:ascii="Trebuchet MS" w:hAnsi="Trebuchet MS" w:cs="Arial"/>
        </w:rPr>
        <w:t xml:space="preserve"> Grafic nr.4.1.1.1</w:t>
      </w:r>
    </w:p>
    <w:p w:rsidR="003351E8" w:rsidRPr="00F9204C" w:rsidRDefault="003351E8" w:rsidP="003351E8">
      <w:pPr>
        <w:rPr>
          <w:rFonts w:ascii="Trebuchet MS" w:hAnsi="Trebuchet MS" w:cs="Arial"/>
        </w:rPr>
      </w:pPr>
    </w:p>
    <w:p w:rsidR="003351E8" w:rsidRPr="00F9204C" w:rsidRDefault="003351E8" w:rsidP="003351E8">
      <w:pPr>
        <w:rPr>
          <w:rFonts w:ascii="Trebuchet MS" w:hAnsi="Trebuchet MS" w:cs="Arial"/>
        </w:rPr>
      </w:pPr>
      <w:r w:rsidRPr="00F9204C">
        <w:rPr>
          <w:rFonts w:ascii="Trebuchet MS" w:hAnsi="Trebuchet MS" w:cs="Arial"/>
          <w:noProof/>
          <w:lang w:val="en-US"/>
        </w:rPr>
        <w:drawing>
          <wp:inline distT="0" distB="0" distL="0" distR="0" wp14:anchorId="01DDC7C3" wp14:editId="34453166">
            <wp:extent cx="5019675" cy="2305050"/>
            <wp:effectExtent l="0" t="0" r="9525" b="19050"/>
            <wp:docPr id="122" name="Chart 1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3351E8" w:rsidRPr="00F9204C" w:rsidRDefault="003351E8" w:rsidP="003351E8">
      <w:pPr>
        <w:rPr>
          <w:rFonts w:ascii="Trebuchet MS" w:hAnsi="Trebuchet MS" w:cs="Arial"/>
        </w:rPr>
      </w:pPr>
    </w:p>
    <w:p w:rsidR="003351E8" w:rsidRPr="00F9204C" w:rsidRDefault="003351E8" w:rsidP="003351E8">
      <w:pPr>
        <w:rPr>
          <w:rFonts w:ascii="Trebuchet MS" w:hAnsi="Trebuchet MS" w:cs="Arial"/>
        </w:rPr>
      </w:pPr>
      <w:r w:rsidRPr="00F9204C">
        <w:rPr>
          <w:rFonts w:ascii="Trebuchet MS" w:hAnsi="Trebuchet MS" w:cs="Arial"/>
        </w:rPr>
        <w:tab/>
        <w:t xml:space="preserve"> </w:t>
      </w:r>
    </w:p>
    <w:p w:rsidR="00F9204C" w:rsidRDefault="003351E8" w:rsidP="003351E8">
      <w:pPr>
        <w:rPr>
          <w:rFonts w:ascii="Trebuchet MS" w:hAnsi="Trebuchet MS" w:cs="Arial"/>
        </w:rPr>
      </w:pPr>
      <w:r w:rsidRPr="00F9204C">
        <w:rPr>
          <w:rFonts w:ascii="Trebuchet MS" w:hAnsi="Trebuchet MS" w:cs="Arial"/>
        </w:rPr>
        <w:t xml:space="preserve">          </w:t>
      </w:r>
    </w:p>
    <w:p w:rsidR="003351E8" w:rsidRPr="00F9204C" w:rsidRDefault="003351E8" w:rsidP="003351E8">
      <w:pPr>
        <w:rPr>
          <w:rFonts w:ascii="Trebuchet MS" w:hAnsi="Trebuchet MS" w:cs="Arial"/>
        </w:rPr>
      </w:pPr>
      <w:r w:rsidRPr="00F9204C">
        <w:rPr>
          <w:rFonts w:ascii="Trebuchet MS" w:hAnsi="Trebuchet MS" w:cs="Arial"/>
        </w:rPr>
        <w:t xml:space="preserve"> IV.1.2.Tendinţe privind schimbarea destinaţiei utilizării terenurilor </w:t>
      </w:r>
    </w:p>
    <w:p w:rsidR="003351E8" w:rsidRPr="00F9204C" w:rsidRDefault="003351E8" w:rsidP="003351E8">
      <w:pPr>
        <w:rPr>
          <w:rFonts w:ascii="Trebuchet MS" w:hAnsi="Trebuchet MS" w:cs="Arial"/>
        </w:rPr>
      </w:pPr>
    </w:p>
    <w:p w:rsidR="003351E8" w:rsidRPr="00A9271F" w:rsidRDefault="003351E8" w:rsidP="004F134E">
      <w:pPr>
        <w:numPr>
          <w:ilvl w:val="0"/>
          <w:numId w:val="14"/>
        </w:numPr>
        <w:contextualSpacing/>
        <w:jc w:val="both"/>
        <w:rPr>
          <w:rFonts w:ascii="Trebuchet MS" w:eastAsia="Times New Roman" w:hAnsi="Trebuchet MS" w:cs="Arial"/>
          <w:b/>
          <w:sz w:val="22"/>
          <w:szCs w:val="22"/>
        </w:rPr>
      </w:pPr>
      <w:r w:rsidRPr="00A9271F">
        <w:rPr>
          <w:rFonts w:ascii="Trebuchet MS" w:eastAsia="Times New Roman" w:hAnsi="Trebuchet MS" w:cs="Arial"/>
          <w:b/>
          <w:sz w:val="22"/>
          <w:szCs w:val="22"/>
        </w:rPr>
        <w:t>Indicatori specifici</w:t>
      </w:r>
    </w:p>
    <w:p w:rsidR="003351E8" w:rsidRPr="00A9271F" w:rsidRDefault="003351E8" w:rsidP="003351E8">
      <w:pPr>
        <w:autoSpaceDE w:val="0"/>
        <w:autoSpaceDN w:val="0"/>
        <w:adjustRightInd w:val="0"/>
        <w:rPr>
          <w:rFonts w:ascii="Trebuchet MS" w:eastAsia="Times New Roman" w:hAnsi="Trebuchet MS" w:cs="Arial"/>
          <w:sz w:val="22"/>
          <w:szCs w:val="22"/>
        </w:rPr>
      </w:pPr>
      <w:r w:rsidRPr="00A9271F">
        <w:rPr>
          <w:rFonts w:ascii="Trebuchet MS" w:eastAsia="Times New Roman" w:hAnsi="Trebuchet MS" w:cs="Arial"/>
          <w:sz w:val="22"/>
          <w:szCs w:val="22"/>
        </w:rPr>
        <w:t xml:space="preserve">        Nu este cazul</w:t>
      </w:r>
    </w:p>
    <w:p w:rsidR="003351E8" w:rsidRPr="00A9271F" w:rsidRDefault="003351E8" w:rsidP="003351E8">
      <w:pPr>
        <w:autoSpaceDE w:val="0"/>
        <w:autoSpaceDN w:val="0"/>
        <w:adjustRightInd w:val="0"/>
        <w:rPr>
          <w:rFonts w:ascii="Trebuchet MS" w:eastAsia="Times New Roman" w:hAnsi="Trebuchet MS" w:cs="Arial"/>
          <w:sz w:val="22"/>
          <w:szCs w:val="22"/>
        </w:rPr>
      </w:pPr>
    </w:p>
    <w:p w:rsidR="003351E8" w:rsidRPr="00A9271F" w:rsidRDefault="003351E8" w:rsidP="003351E8">
      <w:pPr>
        <w:autoSpaceDE w:val="0"/>
        <w:autoSpaceDN w:val="0"/>
        <w:adjustRightInd w:val="0"/>
        <w:rPr>
          <w:rFonts w:ascii="Trebuchet MS" w:eastAsia="Times New Roman" w:hAnsi="Trebuchet MS" w:cs="Arial"/>
          <w:b/>
          <w:sz w:val="22"/>
          <w:szCs w:val="22"/>
        </w:rPr>
      </w:pPr>
      <w:r w:rsidRPr="00A9271F">
        <w:rPr>
          <w:rFonts w:ascii="Trebuchet MS" w:eastAsia="Times New Roman" w:hAnsi="Trebuchet MS" w:cs="Arial"/>
          <w:b/>
          <w:sz w:val="22"/>
          <w:szCs w:val="22"/>
        </w:rPr>
        <w:t xml:space="preserve">  B. Alte date şi informaţii specifice</w:t>
      </w:r>
    </w:p>
    <w:p w:rsidR="003351E8" w:rsidRPr="00A9271F" w:rsidRDefault="003351E8" w:rsidP="003351E8">
      <w:pPr>
        <w:rPr>
          <w:rFonts w:ascii="Trebuchet MS" w:hAnsi="Trebuchet MS" w:cs="Arial"/>
          <w:sz w:val="22"/>
          <w:szCs w:val="22"/>
        </w:rPr>
      </w:pPr>
    </w:p>
    <w:p w:rsidR="003351E8" w:rsidRPr="00A9271F" w:rsidRDefault="003351E8" w:rsidP="003351E8">
      <w:pPr>
        <w:rPr>
          <w:rFonts w:ascii="Trebuchet MS" w:hAnsi="Trebuchet MS" w:cs="Arial"/>
          <w:sz w:val="22"/>
          <w:szCs w:val="22"/>
        </w:rPr>
      </w:pPr>
      <w:r w:rsidRPr="00A9271F">
        <w:rPr>
          <w:rFonts w:ascii="Trebuchet MS" w:hAnsi="Trebuchet MS" w:cs="Arial"/>
          <w:sz w:val="22"/>
          <w:szCs w:val="22"/>
        </w:rPr>
        <w:t>Schimbări în utilizarea terenurilor</w:t>
      </w:r>
    </w:p>
    <w:p w:rsidR="003351E8" w:rsidRPr="00A9271F" w:rsidRDefault="003351E8" w:rsidP="003351E8">
      <w:pPr>
        <w:rPr>
          <w:rFonts w:ascii="Trebuchet MS" w:hAnsi="Trebuchet MS" w:cs="Arial"/>
          <w:sz w:val="22"/>
          <w:szCs w:val="22"/>
        </w:rPr>
      </w:pPr>
      <w:r w:rsidRPr="00A9271F">
        <w:rPr>
          <w:rFonts w:ascii="Trebuchet MS" w:hAnsi="Trebuchet MS" w:cs="Arial"/>
          <w:sz w:val="22"/>
          <w:szCs w:val="22"/>
        </w:rPr>
        <w:t xml:space="preserve">                                                                                                         Tabelul nr.IV.1.2.1</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0"/>
        <w:gridCol w:w="793"/>
        <w:gridCol w:w="929"/>
        <w:gridCol w:w="793"/>
        <w:gridCol w:w="793"/>
        <w:gridCol w:w="793"/>
        <w:gridCol w:w="793"/>
        <w:gridCol w:w="793"/>
        <w:gridCol w:w="1353"/>
        <w:gridCol w:w="1504"/>
      </w:tblGrid>
      <w:tr w:rsidR="003351E8" w:rsidRPr="00A9271F" w:rsidTr="00C55BA9">
        <w:tc>
          <w:tcPr>
            <w:tcW w:w="1300" w:type="dxa"/>
          </w:tcPr>
          <w:p w:rsidR="003351E8" w:rsidRPr="00A9271F" w:rsidRDefault="003351E8" w:rsidP="00C55BA9">
            <w:pPr>
              <w:ind w:right="289" w:firstLine="720"/>
              <w:rPr>
                <w:rFonts w:ascii="Trebuchet MS" w:eastAsia="Calibri" w:hAnsi="Trebuchet MS" w:cs="Arial"/>
                <w:b/>
                <w:sz w:val="22"/>
                <w:szCs w:val="22"/>
                <w:lang w:val="ro-RO"/>
              </w:rPr>
            </w:pPr>
          </w:p>
          <w:p w:rsidR="003351E8" w:rsidRPr="00A9271F" w:rsidRDefault="003351E8" w:rsidP="00C55BA9">
            <w:pPr>
              <w:ind w:right="256" w:hanging="75"/>
              <w:rPr>
                <w:rFonts w:ascii="Trebuchet MS" w:eastAsia="Calibri" w:hAnsi="Trebuchet MS" w:cs="Arial"/>
                <w:b/>
                <w:sz w:val="22"/>
                <w:szCs w:val="22"/>
                <w:lang w:val="ro-RO"/>
              </w:rPr>
            </w:pPr>
            <w:r w:rsidRPr="00A9271F">
              <w:rPr>
                <w:rFonts w:ascii="Trebuchet MS" w:eastAsia="Calibri" w:hAnsi="Trebuchet MS" w:cs="Arial"/>
                <w:b/>
                <w:sz w:val="22"/>
                <w:szCs w:val="22"/>
                <w:lang w:val="ro-RO"/>
              </w:rPr>
              <w:t>Hectare</w:t>
            </w:r>
          </w:p>
        </w:tc>
        <w:tc>
          <w:tcPr>
            <w:tcW w:w="794" w:type="dxa"/>
          </w:tcPr>
          <w:p w:rsidR="003351E8" w:rsidRPr="00A9271F" w:rsidRDefault="003351E8" w:rsidP="00C55BA9">
            <w:pPr>
              <w:ind w:firstLine="720"/>
              <w:rPr>
                <w:rFonts w:ascii="Trebuchet MS" w:eastAsia="Calibri" w:hAnsi="Trebuchet MS" w:cs="Arial"/>
                <w:b/>
                <w:sz w:val="22"/>
                <w:szCs w:val="22"/>
                <w:lang w:val="ro-RO"/>
              </w:rPr>
            </w:pPr>
          </w:p>
          <w:p w:rsidR="003351E8" w:rsidRPr="00A9271F" w:rsidRDefault="003351E8" w:rsidP="00C55BA9">
            <w:pPr>
              <w:ind w:hanging="62"/>
              <w:rPr>
                <w:rFonts w:ascii="Trebuchet MS" w:eastAsia="Calibri" w:hAnsi="Trebuchet MS" w:cs="Arial"/>
                <w:b/>
                <w:sz w:val="22"/>
                <w:szCs w:val="22"/>
                <w:lang w:val="ro-RO"/>
              </w:rPr>
            </w:pPr>
            <w:r w:rsidRPr="00A9271F">
              <w:rPr>
                <w:rFonts w:ascii="Trebuchet MS" w:eastAsia="Calibri" w:hAnsi="Trebuchet MS" w:cs="Arial"/>
                <w:b/>
                <w:sz w:val="22"/>
                <w:szCs w:val="22"/>
                <w:lang w:val="ro-RO"/>
              </w:rPr>
              <w:t>2008</w:t>
            </w:r>
          </w:p>
        </w:tc>
        <w:tc>
          <w:tcPr>
            <w:tcW w:w="873" w:type="dxa"/>
          </w:tcPr>
          <w:p w:rsidR="003351E8" w:rsidRPr="00A9271F" w:rsidRDefault="003351E8" w:rsidP="00C55BA9">
            <w:pPr>
              <w:ind w:firstLine="720"/>
              <w:jc w:val="center"/>
              <w:rPr>
                <w:rFonts w:ascii="Trebuchet MS" w:eastAsia="Calibri" w:hAnsi="Trebuchet MS" w:cs="Arial"/>
                <w:b/>
                <w:sz w:val="22"/>
                <w:szCs w:val="22"/>
                <w:lang w:val="ro-RO"/>
              </w:rPr>
            </w:pPr>
          </w:p>
          <w:p w:rsidR="003351E8" w:rsidRPr="00A9271F" w:rsidRDefault="003351E8" w:rsidP="00C55BA9">
            <w:pPr>
              <w:tabs>
                <w:tab w:val="left" w:pos="377"/>
              </w:tabs>
              <w:ind w:left="197"/>
              <w:rPr>
                <w:rFonts w:ascii="Trebuchet MS" w:eastAsia="Calibri" w:hAnsi="Trebuchet MS" w:cs="Arial"/>
                <w:b/>
                <w:sz w:val="22"/>
                <w:szCs w:val="22"/>
                <w:lang w:val="ro-RO"/>
              </w:rPr>
            </w:pPr>
            <w:r w:rsidRPr="00A9271F">
              <w:rPr>
                <w:rFonts w:ascii="Trebuchet MS" w:eastAsia="Calibri" w:hAnsi="Trebuchet MS" w:cs="Arial"/>
                <w:b/>
                <w:sz w:val="22"/>
                <w:szCs w:val="22"/>
                <w:lang w:val="ro-RO"/>
              </w:rPr>
              <w:t>2009</w:t>
            </w:r>
          </w:p>
        </w:tc>
        <w:tc>
          <w:tcPr>
            <w:tcW w:w="819" w:type="dxa"/>
          </w:tcPr>
          <w:p w:rsidR="003351E8" w:rsidRPr="00A9271F" w:rsidRDefault="003351E8" w:rsidP="00C55BA9">
            <w:pPr>
              <w:ind w:firstLine="177"/>
              <w:jc w:val="center"/>
              <w:rPr>
                <w:rFonts w:ascii="Trebuchet MS" w:eastAsia="Calibri" w:hAnsi="Trebuchet MS" w:cs="Arial"/>
                <w:b/>
                <w:sz w:val="22"/>
                <w:szCs w:val="22"/>
                <w:lang w:val="ro-RO"/>
              </w:rPr>
            </w:pPr>
          </w:p>
          <w:p w:rsidR="003351E8" w:rsidRPr="00A9271F" w:rsidRDefault="003351E8" w:rsidP="00C55BA9">
            <w:pPr>
              <w:ind w:firstLine="3"/>
              <w:rPr>
                <w:rFonts w:ascii="Trebuchet MS" w:eastAsia="Calibri" w:hAnsi="Trebuchet MS" w:cs="Arial"/>
                <w:b/>
                <w:sz w:val="22"/>
                <w:szCs w:val="22"/>
                <w:lang w:val="ro-RO"/>
              </w:rPr>
            </w:pPr>
            <w:r w:rsidRPr="00A9271F">
              <w:rPr>
                <w:rFonts w:ascii="Trebuchet MS" w:eastAsia="Calibri" w:hAnsi="Trebuchet MS" w:cs="Arial"/>
                <w:b/>
                <w:sz w:val="22"/>
                <w:szCs w:val="22"/>
                <w:lang w:val="ro-RO"/>
              </w:rPr>
              <w:t>2010</w:t>
            </w:r>
          </w:p>
        </w:tc>
        <w:tc>
          <w:tcPr>
            <w:tcW w:w="819" w:type="dxa"/>
          </w:tcPr>
          <w:p w:rsidR="003351E8" w:rsidRPr="00A9271F" w:rsidRDefault="003351E8" w:rsidP="00C55BA9">
            <w:pPr>
              <w:ind w:firstLine="720"/>
              <w:jc w:val="center"/>
              <w:rPr>
                <w:rFonts w:ascii="Trebuchet MS" w:eastAsia="Calibri" w:hAnsi="Trebuchet MS" w:cs="Arial"/>
                <w:b/>
                <w:sz w:val="22"/>
                <w:szCs w:val="22"/>
                <w:lang w:val="ro-RO"/>
              </w:rPr>
            </w:pPr>
          </w:p>
          <w:p w:rsidR="003351E8" w:rsidRPr="00A9271F" w:rsidRDefault="003351E8" w:rsidP="00C55BA9">
            <w:pPr>
              <w:ind w:hanging="102"/>
              <w:rPr>
                <w:rFonts w:ascii="Trebuchet MS" w:eastAsia="Calibri" w:hAnsi="Trebuchet MS" w:cs="Arial"/>
                <w:b/>
                <w:sz w:val="22"/>
                <w:szCs w:val="22"/>
                <w:lang w:val="ro-RO"/>
              </w:rPr>
            </w:pPr>
            <w:r w:rsidRPr="00A9271F">
              <w:rPr>
                <w:rFonts w:ascii="Trebuchet MS" w:eastAsia="Calibri" w:hAnsi="Trebuchet MS" w:cs="Arial"/>
                <w:b/>
                <w:sz w:val="22"/>
                <w:szCs w:val="22"/>
                <w:lang w:val="ro-RO"/>
              </w:rPr>
              <w:t xml:space="preserve">   2011</w:t>
            </w:r>
          </w:p>
        </w:tc>
        <w:tc>
          <w:tcPr>
            <w:tcW w:w="788" w:type="dxa"/>
          </w:tcPr>
          <w:p w:rsidR="003351E8" w:rsidRPr="00A9271F" w:rsidRDefault="003351E8" w:rsidP="00C55BA9">
            <w:pPr>
              <w:ind w:firstLine="720"/>
              <w:rPr>
                <w:rFonts w:ascii="Trebuchet MS" w:eastAsia="Calibri" w:hAnsi="Trebuchet MS" w:cs="Arial"/>
                <w:b/>
                <w:sz w:val="22"/>
                <w:szCs w:val="22"/>
                <w:lang w:val="ro-RO"/>
              </w:rPr>
            </w:pPr>
          </w:p>
          <w:p w:rsidR="003351E8" w:rsidRPr="00A9271F" w:rsidRDefault="003351E8" w:rsidP="00C55BA9">
            <w:pPr>
              <w:ind w:firstLine="73"/>
              <w:rPr>
                <w:rFonts w:ascii="Trebuchet MS" w:eastAsia="Calibri" w:hAnsi="Trebuchet MS" w:cs="Arial"/>
                <w:b/>
                <w:sz w:val="22"/>
                <w:szCs w:val="22"/>
                <w:lang w:val="ro-RO"/>
              </w:rPr>
            </w:pPr>
            <w:r w:rsidRPr="00A9271F">
              <w:rPr>
                <w:rFonts w:ascii="Trebuchet MS" w:eastAsia="Calibri" w:hAnsi="Trebuchet MS" w:cs="Arial"/>
                <w:b/>
                <w:sz w:val="22"/>
                <w:szCs w:val="22"/>
                <w:lang w:val="ro-RO"/>
              </w:rPr>
              <w:t>2012</w:t>
            </w:r>
          </w:p>
        </w:tc>
        <w:tc>
          <w:tcPr>
            <w:tcW w:w="798" w:type="dxa"/>
          </w:tcPr>
          <w:p w:rsidR="003351E8" w:rsidRPr="00A9271F" w:rsidRDefault="003351E8" w:rsidP="00C55BA9">
            <w:pPr>
              <w:ind w:firstLine="720"/>
              <w:jc w:val="center"/>
              <w:rPr>
                <w:rFonts w:ascii="Trebuchet MS" w:eastAsia="Calibri" w:hAnsi="Trebuchet MS" w:cs="Arial"/>
                <w:b/>
                <w:sz w:val="22"/>
                <w:szCs w:val="22"/>
                <w:lang w:val="ro-RO"/>
              </w:rPr>
            </w:pPr>
          </w:p>
          <w:p w:rsidR="003351E8" w:rsidRPr="00A9271F" w:rsidRDefault="003351E8" w:rsidP="00C55BA9">
            <w:pPr>
              <w:ind w:firstLine="55"/>
              <w:jc w:val="center"/>
              <w:rPr>
                <w:rFonts w:ascii="Trebuchet MS" w:eastAsia="Calibri" w:hAnsi="Trebuchet MS" w:cs="Arial"/>
                <w:b/>
                <w:sz w:val="22"/>
                <w:szCs w:val="22"/>
                <w:lang w:val="ro-RO"/>
              </w:rPr>
            </w:pPr>
            <w:r w:rsidRPr="00A9271F">
              <w:rPr>
                <w:rFonts w:ascii="Trebuchet MS" w:eastAsia="Calibri" w:hAnsi="Trebuchet MS" w:cs="Arial"/>
                <w:b/>
                <w:sz w:val="22"/>
                <w:szCs w:val="22"/>
                <w:lang w:val="ro-RO"/>
              </w:rPr>
              <w:t>2013</w:t>
            </w:r>
          </w:p>
        </w:tc>
        <w:tc>
          <w:tcPr>
            <w:tcW w:w="773" w:type="dxa"/>
          </w:tcPr>
          <w:p w:rsidR="003351E8" w:rsidRPr="00A9271F" w:rsidRDefault="003351E8" w:rsidP="00C55BA9">
            <w:pPr>
              <w:jc w:val="center"/>
              <w:rPr>
                <w:rFonts w:ascii="Trebuchet MS" w:eastAsia="Calibri" w:hAnsi="Trebuchet MS" w:cs="Arial"/>
                <w:b/>
                <w:sz w:val="22"/>
                <w:szCs w:val="22"/>
                <w:lang w:val="ro-RO"/>
              </w:rPr>
            </w:pPr>
          </w:p>
          <w:p w:rsidR="003351E8" w:rsidRPr="00A9271F" w:rsidRDefault="003351E8" w:rsidP="00C55BA9">
            <w:pPr>
              <w:jc w:val="center"/>
              <w:rPr>
                <w:rFonts w:ascii="Trebuchet MS" w:eastAsia="Calibri" w:hAnsi="Trebuchet MS" w:cs="Arial"/>
                <w:b/>
                <w:sz w:val="22"/>
                <w:szCs w:val="22"/>
                <w:lang w:val="ro-RO"/>
              </w:rPr>
            </w:pPr>
            <w:r w:rsidRPr="00A9271F">
              <w:rPr>
                <w:rFonts w:ascii="Trebuchet MS" w:eastAsia="Calibri" w:hAnsi="Trebuchet MS" w:cs="Arial"/>
                <w:b/>
                <w:sz w:val="22"/>
                <w:szCs w:val="22"/>
                <w:lang w:val="ro-RO"/>
              </w:rPr>
              <w:t>2014</w:t>
            </w:r>
          </w:p>
        </w:tc>
        <w:tc>
          <w:tcPr>
            <w:tcW w:w="1217" w:type="dxa"/>
          </w:tcPr>
          <w:p w:rsidR="003351E8" w:rsidRPr="00A9271F" w:rsidRDefault="003351E8" w:rsidP="00C55BA9">
            <w:pPr>
              <w:jc w:val="center"/>
              <w:rPr>
                <w:rFonts w:ascii="Trebuchet MS" w:eastAsia="Calibri" w:hAnsi="Trebuchet MS" w:cs="Arial"/>
                <w:b/>
                <w:sz w:val="22"/>
                <w:szCs w:val="22"/>
                <w:lang w:val="ro-RO"/>
              </w:rPr>
            </w:pPr>
            <w:r w:rsidRPr="00A9271F">
              <w:rPr>
                <w:rFonts w:ascii="Trebuchet MS" w:eastAsia="Calibri" w:hAnsi="Trebuchet MS" w:cs="Arial"/>
                <w:b/>
                <w:sz w:val="22"/>
                <w:szCs w:val="22"/>
                <w:lang w:val="ro-RO"/>
              </w:rPr>
              <w:t>Schimbări în utilizarea terenurilor 2008-2014</w:t>
            </w:r>
          </w:p>
        </w:tc>
        <w:tc>
          <w:tcPr>
            <w:tcW w:w="1395" w:type="dxa"/>
          </w:tcPr>
          <w:p w:rsidR="003351E8" w:rsidRPr="00A9271F" w:rsidRDefault="003351E8" w:rsidP="00C55BA9">
            <w:pPr>
              <w:jc w:val="center"/>
              <w:rPr>
                <w:rFonts w:ascii="Trebuchet MS" w:eastAsia="Calibri" w:hAnsi="Trebuchet MS" w:cs="Arial"/>
                <w:b/>
                <w:sz w:val="22"/>
                <w:szCs w:val="22"/>
                <w:lang w:val="ro-RO"/>
              </w:rPr>
            </w:pPr>
            <w:r w:rsidRPr="00A9271F">
              <w:rPr>
                <w:rFonts w:ascii="Trebuchet MS" w:eastAsia="Calibri" w:hAnsi="Trebuchet MS" w:cs="Arial"/>
                <w:b/>
                <w:sz w:val="22"/>
                <w:szCs w:val="22"/>
                <w:lang w:val="ro-RO"/>
              </w:rPr>
              <w:t>Schimbări în utilizarea terenurilor% din 2008</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Suprafaţa totală</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79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23787</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p>
        </w:tc>
        <w:tc>
          <w:tcPr>
            <w:tcW w:w="1395" w:type="dxa"/>
          </w:tcPr>
          <w:p w:rsidR="003351E8" w:rsidRPr="00A9271F" w:rsidRDefault="003351E8" w:rsidP="00C55BA9">
            <w:pPr>
              <w:jc w:val="center"/>
              <w:rPr>
                <w:rFonts w:ascii="Trebuchet MS" w:eastAsia="Calibri" w:hAnsi="Trebuchet MS" w:cs="Arial"/>
                <w:sz w:val="22"/>
                <w:szCs w:val="22"/>
                <w:lang w:val="ro-RO"/>
              </w:rPr>
            </w:pP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Suprafaţa agricolă</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3496</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3481</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3121</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3052</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3052</w:t>
            </w:r>
          </w:p>
        </w:tc>
        <w:tc>
          <w:tcPr>
            <w:tcW w:w="798"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3052</w:t>
            </w:r>
          </w:p>
          <w:p w:rsidR="003351E8" w:rsidRPr="00A9271F" w:rsidRDefault="003351E8" w:rsidP="00C55BA9">
            <w:pPr>
              <w:jc w:val="center"/>
              <w:rPr>
                <w:rFonts w:ascii="Trebuchet MS" w:eastAsia="Calibri" w:hAnsi="Trebuchet MS" w:cs="Arial"/>
                <w:sz w:val="22"/>
                <w:szCs w:val="22"/>
                <w:lang w:val="ro-RO"/>
              </w:rPr>
            </w:pP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3052</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- 444</w:t>
            </w: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-12,7</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Suprafaţa agricolă pe categorii de folosinţă:</w:t>
            </w:r>
          </w:p>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arabil</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2955</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2940</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2634</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2566</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2566</w:t>
            </w:r>
          </w:p>
        </w:tc>
        <w:tc>
          <w:tcPr>
            <w:tcW w:w="798"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2566</w:t>
            </w: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2566</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-389</w:t>
            </w:r>
          </w:p>
          <w:p w:rsidR="003351E8" w:rsidRPr="00A9271F" w:rsidRDefault="003351E8" w:rsidP="00C55BA9">
            <w:pPr>
              <w:jc w:val="center"/>
              <w:rPr>
                <w:rFonts w:ascii="Trebuchet MS" w:eastAsia="Calibri" w:hAnsi="Trebuchet MS" w:cs="Arial"/>
                <w:sz w:val="22"/>
                <w:szCs w:val="22"/>
                <w:lang w:val="ro-RO"/>
              </w:rPr>
            </w:pP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-11,13</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păşuni</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406</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406</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355</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355</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355</w:t>
            </w:r>
          </w:p>
        </w:tc>
        <w:tc>
          <w:tcPr>
            <w:tcW w:w="798" w:type="dxa"/>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355</w:t>
            </w: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355</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-51</w:t>
            </w: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-1,46</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vii şi pepiniere viticole</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79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w:t>
            </w: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 livezi şi pepiniere pomicole</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123</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123</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120</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119</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119</w:t>
            </w:r>
          </w:p>
        </w:tc>
        <w:tc>
          <w:tcPr>
            <w:tcW w:w="79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119</w:t>
            </w: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119</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- 4</w:t>
            </w: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-0,11</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Păduri şi alte terenuri cu vegetaţie forestieră</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79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611</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w:t>
            </w: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Ape şi bălţi</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798" w:type="dxa"/>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908</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w:t>
            </w: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w:t>
            </w:r>
          </w:p>
        </w:tc>
      </w:tr>
      <w:tr w:rsidR="003351E8" w:rsidRPr="00A9271F" w:rsidTr="00C55BA9">
        <w:tc>
          <w:tcPr>
            <w:tcW w:w="1300" w:type="dxa"/>
            <w:vAlign w:val="center"/>
          </w:tcPr>
          <w:p w:rsidR="003351E8" w:rsidRPr="00A9271F" w:rsidRDefault="003351E8" w:rsidP="00C55BA9">
            <w:pPr>
              <w:jc w:val="both"/>
              <w:rPr>
                <w:rFonts w:ascii="Trebuchet MS" w:eastAsia="Calibri" w:hAnsi="Trebuchet MS" w:cs="Arial"/>
                <w:sz w:val="22"/>
                <w:szCs w:val="22"/>
                <w:lang w:val="ro-RO"/>
              </w:rPr>
            </w:pPr>
            <w:r w:rsidRPr="00A9271F">
              <w:rPr>
                <w:rFonts w:ascii="Trebuchet MS" w:eastAsia="Calibri" w:hAnsi="Trebuchet MS" w:cs="Arial"/>
                <w:sz w:val="22"/>
                <w:szCs w:val="22"/>
                <w:lang w:val="ro-RO"/>
              </w:rPr>
              <w:t>Alte suprafeţe**)</w:t>
            </w:r>
          </w:p>
        </w:tc>
        <w:tc>
          <w:tcPr>
            <w:tcW w:w="794"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18772</w:t>
            </w:r>
          </w:p>
        </w:tc>
        <w:tc>
          <w:tcPr>
            <w:tcW w:w="8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18787</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19147</w:t>
            </w:r>
          </w:p>
        </w:tc>
        <w:tc>
          <w:tcPr>
            <w:tcW w:w="819"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19216</w:t>
            </w:r>
          </w:p>
        </w:tc>
        <w:tc>
          <w:tcPr>
            <w:tcW w:w="788"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19216</w:t>
            </w:r>
          </w:p>
        </w:tc>
        <w:tc>
          <w:tcPr>
            <w:tcW w:w="798" w:type="dxa"/>
          </w:tcPr>
          <w:p w:rsidR="003351E8" w:rsidRPr="00A9271F" w:rsidRDefault="003351E8" w:rsidP="00C55BA9">
            <w:pPr>
              <w:jc w:val="center"/>
              <w:rPr>
                <w:rFonts w:ascii="Trebuchet MS" w:eastAsia="Calibri" w:hAnsi="Trebuchet MS" w:cs="Arial"/>
                <w:sz w:val="22"/>
                <w:szCs w:val="22"/>
                <w:lang w:val="ro-RO"/>
              </w:rPr>
            </w:pPr>
          </w:p>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19216</w:t>
            </w:r>
          </w:p>
          <w:p w:rsidR="003351E8" w:rsidRPr="00A9271F" w:rsidRDefault="003351E8" w:rsidP="00C55BA9">
            <w:pPr>
              <w:jc w:val="center"/>
              <w:rPr>
                <w:rFonts w:ascii="Trebuchet MS" w:eastAsia="Calibri" w:hAnsi="Trebuchet MS" w:cs="Arial"/>
                <w:sz w:val="22"/>
                <w:szCs w:val="22"/>
                <w:lang w:val="ro-RO"/>
              </w:rPr>
            </w:pPr>
          </w:p>
        </w:tc>
        <w:tc>
          <w:tcPr>
            <w:tcW w:w="773"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19216</w:t>
            </w:r>
          </w:p>
        </w:tc>
        <w:tc>
          <w:tcPr>
            <w:tcW w:w="1217"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444</w:t>
            </w:r>
          </w:p>
        </w:tc>
        <w:tc>
          <w:tcPr>
            <w:tcW w:w="1395" w:type="dxa"/>
            <w:vAlign w:val="center"/>
          </w:tcPr>
          <w:p w:rsidR="003351E8" w:rsidRPr="00A9271F" w:rsidRDefault="003351E8" w:rsidP="00C55BA9">
            <w:pPr>
              <w:jc w:val="center"/>
              <w:rPr>
                <w:rFonts w:ascii="Trebuchet MS" w:eastAsia="Calibri" w:hAnsi="Trebuchet MS" w:cs="Arial"/>
                <w:sz w:val="22"/>
                <w:szCs w:val="22"/>
                <w:lang w:val="ro-RO"/>
              </w:rPr>
            </w:pPr>
            <w:r w:rsidRPr="00A9271F">
              <w:rPr>
                <w:rFonts w:ascii="Trebuchet MS" w:eastAsia="Calibri" w:hAnsi="Trebuchet MS" w:cs="Arial"/>
                <w:sz w:val="22"/>
                <w:szCs w:val="22"/>
                <w:lang w:val="ro-RO"/>
              </w:rPr>
              <w:t>2,37</w:t>
            </w:r>
          </w:p>
        </w:tc>
      </w:tr>
    </w:tbl>
    <w:p w:rsidR="003351E8" w:rsidRPr="00A9271F" w:rsidRDefault="003351E8" w:rsidP="003351E8">
      <w:pPr>
        <w:rPr>
          <w:rFonts w:ascii="Trebuchet MS" w:hAnsi="Trebuchet MS" w:cs="Arial"/>
          <w:sz w:val="22"/>
          <w:szCs w:val="22"/>
        </w:rPr>
      </w:pPr>
      <w:r w:rsidRPr="00A9271F">
        <w:rPr>
          <w:rFonts w:ascii="Trebuchet MS" w:hAnsi="Trebuchet MS" w:cs="Arial"/>
          <w:sz w:val="22"/>
          <w:szCs w:val="22"/>
        </w:rPr>
        <w:t>Sursa datelor:Institutul Naţional de Statistică</w:t>
      </w:r>
      <w:r w:rsidRPr="00A9271F">
        <w:rPr>
          <w:rFonts w:ascii="Trebuchet MS" w:hAnsi="Trebuchet MS" w:cs="Arial"/>
          <w:b/>
          <w:sz w:val="22"/>
          <w:szCs w:val="22"/>
        </w:rPr>
        <w:t xml:space="preserve"> Până la finalizarea acţiunii de cadastrare a ţării, de către Agenţia Naţională de Cadastru şi Publicitate Imobiliară, seriile de date sunt blocate la nivelul anului 2014</w:t>
      </w:r>
      <w:r w:rsidRPr="00A9271F">
        <w:rPr>
          <w:rFonts w:ascii="Trebuchet MS" w:hAnsi="Trebuchet MS" w:cs="Arial"/>
          <w:sz w:val="22"/>
          <w:szCs w:val="22"/>
        </w:rPr>
        <w:t>.</w:t>
      </w:r>
    </w:p>
    <w:p w:rsidR="003351E8" w:rsidRPr="00A9271F" w:rsidRDefault="003351E8" w:rsidP="003351E8">
      <w:pPr>
        <w:rPr>
          <w:rFonts w:ascii="Trebuchet MS" w:hAnsi="Trebuchet MS" w:cs="Arial"/>
          <w:sz w:val="22"/>
          <w:szCs w:val="22"/>
        </w:rPr>
      </w:pPr>
    </w:p>
    <w:p w:rsidR="003351E8" w:rsidRPr="00A9271F" w:rsidRDefault="003351E8" w:rsidP="003351E8">
      <w:pPr>
        <w:autoSpaceDE w:val="0"/>
        <w:autoSpaceDN w:val="0"/>
        <w:adjustRightInd w:val="0"/>
        <w:rPr>
          <w:rFonts w:ascii="Trebuchet MS" w:eastAsia="Times New Roman" w:hAnsi="Trebuchet MS" w:cs="Arial,Bold"/>
          <w:sz w:val="22"/>
          <w:szCs w:val="22"/>
        </w:rPr>
      </w:pPr>
      <w:r w:rsidRPr="00A9271F">
        <w:rPr>
          <w:rFonts w:ascii="Trebuchet MS" w:hAnsi="Trebuchet MS" w:cs="Arial"/>
          <w:sz w:val="22"/>
          <w:szCs w:val="22"/>
        </w:rPr>
        <w:t xml:space="preserve">Grafic IV.1.2.1.1 </w:t>
      </w:r>
      <w:r w:rsidRPr="00A9271F">
        <w:rPr>
          <w:rFonts w:ascii="Trebuchet MS" w:eastAsia="Times New Roman" w:hAnsi="Trebuchet MS" w:cs="Arial"/>
          <w:bCs/>
          <w:sz w:val="22"/>
          <w:szCs w:val="22"/>
        </w:rPr>
        <w:t>Schimbări în acoperirea/utilizarea terenurilor</w:t>
      </w:r>
    </w:p>
    <w:p w:rsidR="003351E8" w:rsidRPr="000815AC" w:rsidRDefault="003351E8" w:rsidP="003351E8">
      <w:pPr>
        <w:rPr>
          <w:rFonts w:ascii="Arial" w:hAnsi="Arial" w:cs="Arial"/>
        </w:rPr>
      </w:pPr>
    </w:p>
    <w:p w:rsidR="003351E8" w:rsidRPr="000815AC" w:rsidRDefault="003351E8" w:rsidP="003351E8">
      <w:pPr>
        <w:rPr>
          <w:rFonts w:ascii="Arial" w:hAnsi="Arial" w:cs="Arial"/>
        </w:rPr>
      </w:pPr>
      <w:r>
        <w:rPr>
          <w:rFonts w:ascii="Arial" w:hAnsi="Arial" w:cs="Arial"/>
          <w:noProof/>
          <w:lang w:val="en-US"/>
        </w:rPr>
        <w:drawing>
          <wp:inline distT="0" distB="0" distL="0" distR="0" wp14:anchorId="5D84DA51" wp14:editId="4CB8321D">
            <wp:extent cx="5572125" cy="3448050"/>
            <wp:effectExtent l="0" t="0" r="9525" b="19050"/>
            <wp:docPr id="123" name="Chart 1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3351E8" w:rsidRPr="000815AC" w:rsidRDefault="003351E8" w:rsidP="003351E8">
      <w:pPr>
        <w:rPr>
          <w:rFonts w:ascii="Arial" w:hAnsi="Arial" w:cs="Arial"/>
        </w:rPr>
      </w:pPr>
    </w:p>
    <w:p w:rsidR="003351E8" w:rsidRPr="000815AC" w:rsidRDefault="003351E8" w:rsidP="003351E8">
      <w:pPr>
        <w:rPr>
          <w:rFonts w:ascii="Arial" w:hAnsi="Arial" w:cs="Arial"/>
        </w:rPr>
      </w:pPr>
      <w:r w:rsidRPr="000815AC">
        <w:rPr>
          <w:rFonts w:ascii="Arial" w:hAnsi="Arial" w:cs="Arial"/>
        </w:rPr>
        <w:tab/>
        <w:t xml:space="preserve"> </w:t>
      </w:r>
    </w:p>
    <w:p w:rsidR="003351E8" w:rsidRPr="00F9204C" w:rsidRDefault="003351E8" w:rsidP="003351E8">
      <w:pPr>
        <w:rPr>
          <w:rFonts w:ascii="Trebuchet MS" w:hAnsi="Trebuchet MS" w:cs="Arial"/>
          <w:b/>
        </w:rPr>
      </w:pPr>
      <w:r w:rsidRPr="00F9204C">
        <w:rPr>
          <w:rFonts w:ascii="Trebuchet MS" w:hAnsi="Trebuchet MS" w:cs="Arial"/>
          <w:b/>
        </w:rPr>
        <w:t xml:space="preserve">     IV.2. Impactul schimbării utilizării terenurilor asupra mediului   </w:t>
      </w:r>
      <w:r w:rsidRPr="00F9204C">
        <w:rPr>
          <w:rFonts w:ascii="Trebuchet MS" w:hAnsi="Trebuchet MS" w:cs="Arial"/>
          <w:b/>
        </w:rPr>
        <w:tab/>
        <w:t xml:space="preserve"> </w:t>
      </w:r>
    </w:p>
    <w:p w:rsidR="003351E8" w:rsidRPr="00F9204C" w:rsidRDefault="003351E8" w:rsidP="003351E8">
      <w:pPr>
        <w:rPr>
          <w:rFonts w:ascii="Trebuchet MS" w:hAnsi="Trebuchet MS" w:cs="Arial"/>
        </w:rPr>
      </w:pPr>
      <w:r w:rsidRPr="00F9204C">
        <w:rPr>
          <w:rFonts w:ascii="Trebuchet MS" w:hAnsi="Trebuchet MS" w:cs="Arial"/>
        </w:rPr>
        <w:t xml:space="preserve">         </w:t>
      </w:r>
    </w:p>
    <w:p w:rsidR="003351E8" w:rsidRPr="00F9204C" w:rsidRDefault="003351E8" w:rsidP="003351E8">
      <w:pPr>
        <w:rPr>
          <w:rFonts w:ascii="Trebuchet MS" w:hAnsi="Trebuchet MS" w:cs="Arial"/>
        </w:rPr>
      </w:pPr>
      <w:r w:rsidRPr="00F9204C">
        <w:rPr>
          <w:rFonts w:ascii="Trebuchet MS" w:hAnsi="Trebuchet MS" w:cs="Arial"/>
        </w:rPr>
        <w:t xml:space="preserve">IV.2.1.Impactul schimbării utilizării terenurilor asupra terenurilor agricole </w:t>
      </w:r>
    </w:p>
    <w:p w:rsidR="003351E8" w:rsidRPr="00F9204C" w:rsidRDefault="003351E8" w:rsidP="003351E8">
      <w:pPr>
        <w:rPr>
          <w:rFonts w:ascii="Trebuchet MS" w:hAnsi="Trebuchet MS" w:cs="Arial"/>
        </w:rPr>
      </w:pPr>
    </w:p>
    <w:p w:rsidR="003351E8" w:rsidRPr="00F9204C" w:rsidRDefault="003351E8" w:rsidP="004F134E">
      <w:pPr>
        <w:numPr>
          <w:ilvl w:val="0"/>
          <w:numId w:val="15"/>
        </w:numPr>
        <w:contextualSpacing/>
        <w:jc w:val="both"/>
        <w:rPr>
          <w:rFonts w:ascii="Trebuchet MS" w:eastAsia="Times New Roman" w:hAnsi="Trebuchet MS" w:cs="Arial"/>
          <w:b/>
        </w:rPr>
      </w:pPr>
      <w:r w:rsidRPr="00F9204C">
        <w:rPr>
          <w:rFonts w:ascii="Trebuchet MS" w:eastAsia="Times New Roman" w:hAnsi="Trebuchet MS" w:cs="Arial"/>
          <w:b/>
        </w:rPr>
        <w:t>Indicatori specifici</w:t>
      </w:r>
    </w:p>
    <w:p w:rsidR="003351E8" w:rsidRPr="00F9204C" w:rsidRDefault="003351E8" w:rsidP="003351E8">
      <w:pPr>
        <w:autoSpaceDE w:val="0"/>
        <w:autoSpaceDN w:val="0"/>
        <w:adjustRightInd w:val="0"/>
        <w:rPr>
          <w:rFonts w:ascii="Trebuchet MS" w:eastAsia="Times New Roman" w:hAnsi="Trebuchet MS" w:cs="Arial"/>
        </w:rPr>
      </w:pPr>
      <w:r w:rsidRPr="00F9204C">
        <w:rPr>
          <w:rFonts w:ascii="Trebuchet MS" w:eastAsia="Times New Roman" w:hAnsi="Trebuchet MS" w:cs="Arial"/>
        </w:rPr>
        <w:t xml:space="preserve">             Nu este cazul</w:t>
      </w:r>
    </w:p>
    <w:p w:rsidR="003351E8" w:rsidRPr="00F9204C" w:rsidRDefault="003351E8" w:rsidP="003351E8">
      <w:pPr>
        <w:autoSpaceDE w:val="0"/>
        <w:autoSpaceDN w:val="0"/>
        <w:adjustRightInd w:val="0"/>
        <w:rPr>
          <w:rFonts w:ascii="Trebuchet MS" w:eastAsia="Times New Roman" w:hAnsi="Trebuchet MS" w:cs="Arial"/>
        </w:rPr>
      </w:pPr>
    </w:p>
    <w:p w:rsidR="003351E8" w:rsidRPr="00F9204C" w:rsidRDefault="003351E8" w:rsidP="003351E8">
      <w:pPr>
        <w:autoSpaceDE w:val="0"/>
        <w:autoSpaceDN w:val="0"/>
        <w:adjustRightInd w:val="0"/>
        <w:rPr>
          <w:rFonts w:ascii="Trebuchet MS" w:eastAsia="Times New Roman" w:hAnsi="Trebuchet MS" w:cs="Arial"/>
          <w:b/>
        </w:rPr>
      </w:pPr>
      <w:r w:rsidRPr="00F9204C">
        <w:rPr>
          <w:rFonts w:ascii="Trebuchet MS" w:eastAsia="Times New Roman" w:hAnsi="Trebuchet MS" w:cs="Arial"/>
          <w:b/>
        </w:rPr>
        <w:t xml:space="preserve">    B Alte date şi informaţii specifice</w:t>
      </w:r>
    </w:p>
    <w:p w:rsidR="00A9271F" w:rsidRDefault="00A9271F" w:rsidP="003351E8">
      <w:pPr>
        <w:rPr>
          <w:rFonts w:ascii="Trebuchet MS" w:hAnsi="Trebuchet MS" w:cs="Arial"/>
        </w:rPr>
      </w:pPr>
    </w:p>
    <w:p w:rsidR="00A9271F" w:rsidRDefault="00A9271F" w:rsidP="003351E8">
      <w:pPr>
        <w:rPr>
          <w:rFonts w:ascii="Trebuchet MS" w:hAnsi="Trebuchet MS" w:cs="Arial"/>
        </w:rPr>
      </w:pPr>
    </w:p>
    <w:p w:rsidR="00A9271F" w:rsidRDefault="00A9271F" w:rsidP="003351E8">
      <w:pPr>
        <w:rPr>
          <w:rFonts w:ascii="Trebuchet MS" w:hAnsi="Trebuchet MS" w:cs="Arial"/>
        </w:rPr>
      </w:pPr>
    </w:p>
    <w:p w:rsidR="003351E8" w:rsidRPr="00A9271F" w:rsidRDefault="003351E8" w:rsidP="003351E8">
      <w:pPr>
        <w:rPr>
          <w:rFonts w:ascii="Trebuchet MS" w:hAnsi="Trebuchet MS" w:cs="Arial"/>
          <w:sz w:val="22"/>
          <w:szCs w:val="22"/>
        </w:rPr>
      </w:pPr>
      <w:r w:rsidRPr="00A9271F">
        <w:rPr>
          <w:rFonts w:ascii="Trebuchet MS" w:hAnsi="Trebuchet MS" w:cs="Arial"/>
          <w:sz w:val="22"/>
          <w:szCs w:val="22"/>
        </w:rPr>
        <w:t>Tabel IV.2.1.1-</w:t>
      </w:r>
      <w:r w:rsidRPr="00A9271F">
        <w:rPr>
          <w:rFonts w:ascii="Trebuchet MS" w:hAnsi="Trebuchet MS"/>
          <w:sz w:val="22"/>
          <w:szCs w:val="22"/>
        </w:rPr>
        <w:t xml:space="preserve"> </w:t>
      </w:r>
      <w:r w:rsidRPr="00A9271F">
        <w:rPr>
          <w:rFonts w:ascii="Trebuchet MS" w:hAnsi="Trebuchet MS" w:cs="Arial"/>
          <w:sz w:val="22"/>
          <w:szCs w:val="22"/>
        </w:rPr>
        <w:t>Suprafaţa fondului funciar după modul de folosinţă, pe forme de proprietate, macroregiuni, regiuni de dezvoltare şi judeţe</w:t>
      </w:r>
    </w:p>
    <w:tbl>
      <w:tblPr>
        <w:tblW w:w="712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1395"/>
        <w:gridCol w:w="1517"/>
        <w:gridCol w:w="828"/>
        <w:gridCol w:w="828"/>
        <w:gridCol w:w="828"/>
      </w:tblGrid>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2012</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2013</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2014</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lang w:val="ro-RO"/>
              </w:rPr>
            </w:pPr>
            <w:r w:rsidRPr="00A9271F">
              <w:rPr>
                <w:rFonts w:ascii="Trebuchet MS" w:eastAsia="Times New Roman" w:hAnsi="Trebuchet MS" w:cs="Arial"/>
                <w:b/>
                <w:bCs/>
                <w:sz w:val="22"/>
                <w:szCs w:val="22"/>
              </w:rPr>
              <w:t>Agricolă</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3052</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3052</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3052</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1951</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1951</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1944</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Arabilă</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2566</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2566</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2566</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1798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1798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1798</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Păşuni</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355</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355</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355</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27</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27</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Vii şi pepiniere viticole</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12</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12</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12</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7</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Livezi si pepiniere pomicole</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119</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119</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119</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119</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119</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119</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Terenuri neagricole total</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20735</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20735</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20735</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9174</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9174</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9174</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Paduri si alta vegetatie forestiera</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611</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611</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611</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118</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Ocupată cu ape, bălţi</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908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908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908</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Ocupată cu construcţii</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15817</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15817</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15817</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8944</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8944</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8944</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Căi de comunicaţii şi căi ferate</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3306</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3306</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3306</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99</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99</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99</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Terenuri degradate şi neproductive</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Total</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93</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93</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93</w:t>
            </w:r>
          </w:p>
        </w:tc>
      </w:tr>
      <w:tr w:rsidR="003351E8" w:rsidRPr="00A9271F" w:rsidTr="00C55BA9">
        <w:trPr>
          <w:trHeight w:val="300"/>
        </w:trPr>
        <w:tc>
          <w:tcPr>
            <w:tcW w:w="1727" w:type="dxa"/>
            <w:shd w:val="clear" w:color="auto" w:fill="auto"/>
            <w:vAlign w:val="center"/>
            <w:hideMark/>
          </w:tcPr>
          <w:p w:rsidR="003351E8" w:rsidRPr="00A9271F" w:rsidRDefault="003351E8" w:rsidP="00C55BA9">
            <w:pPr>
              <w:jc w:val="center"/>
              <w:rPr>
                <w:rFonts w:ascii="Trebuchet MS" w:eastAsia="Times New Roman" w:hAnsi="Trebuchet MS" w:cs="Arial"/>
                <w:b/>
                <w:bCs/>
                <w:sz w:val="22"/>
                <w:szCs w:val="22"/>
              </w:rPr>
            </w:pPr>
            <w:r w:rsidRPr="00A9271F">
              <w:rPr>
                <w:rFonts w:ascii="Trebuchet MS" w:eastAsia="Times New Roman" w:hAnsi="Trebuchet MS" w:cs="Arial"/>
                <w:b/>
                <w:bCs/>
                <w:sz w:val="22"/>
                <w:szCs w:val="22"/>
              </w:rPr>
              <w:t>-</w:t>
            </w:r>
          </w:p>
        </w:tc>
        <w:tc>
          <w:tcPr>
            <w:tcW w:w="1395" w:type="dxa"/>
            <w:shd w:val="clear" w:color="auto" w:fill="auto"/>
            <w:vAlign w:val="center"/>
            <w:hideMark/>
          </w:tcPr>
          <w:p w:rsidR="003351E8" w:rsidRPr="00A9271F" w:rsidRDefault="003351E8" w:rsidP="00C55BA9">
            <w:pPr>
              <w:jc w:val="center"/>
              <w:rPr>
                <w:rFonts w:ascii="Trebuchet MS" w:eastAsia="Times New Roman" w:hAnsi="Trebuchet MS" w:cs="Arial"/>
                <w:bCs/>
                <w:sz w:val="22"/>
                <w:szCs w:val="22"/>
              </w:rPr>
            </w:pPr>
            <w:r w:rsidRPr="00A9271F">
              <w:rPr>
                <w:rFonts w:ascii="Trebuchet MS" w:eastAsia="Times New Roman" w:hAnsi="Trebuchet MS" w:cs="Arial"/>
                <w:bCs/>
                <w:sz w:val="22"/>
                <w:szCs w:val="22"/>
              </w:rPr>
              <w:t>Proprietate privată</w:t>
            </w:r>
          </w:p>
        </w:tc>
        <w:tc>
          <w:tcPr>
            <w:tcW w:w="1517" w:type="dxa"/>
            <w:shd w:val="clear" w:color="auto" w:fill="auto"/>
            <w:hideMark/>
          </w:tcPr>
          <w:p w:rsidR="003351E8" w:rsidRPr="00A9271F" w:rsidRDefault="003351E8" w:rsidP="00C55BA9">
            <w:pPr>
              <w:rPr>
                <w:rFonts w:ascii="Trebuchet MS" w:hAnsi="Trebuchet MS"/>
                <w:sz w:val="22"/>
                <w:szCs w:val="22"/>
              </w:rPr>
            </w:pPr>
            <w:r w:rsidRPr="00A9271F">
              <w:rPr>
                <w:rFonts w:ascii="Trebuchet MS" w:eastAsia="Times New Roman" w:hAnsi="Trebuchet MS" w:cs="Arial"/>
                <w:bCs/>
                <w:sz w:val="22"/>
                <w:szCs w:val="22"/>
              </w:rPr>
              <w:t>Municipiul Bucureşti</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5</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5</w:t>
            </w:r>
          </w:p>
        </w:tc>
        <w:tc>
          <w:tcPr>
            <w:tcW w:w="828" w:type="dxa"/>
            <w:shd w:val="clear" w:color="auto" w:fill="auto"/>
            <w:vAlign w:val="bottom"/>
            <w:hideMark/>
          </w:tcPr>
          <w:p w:rsidR="003351E8" w:rsidRPr="00A9271F" w:rsidRDefault="003351E8" w:rsidP="00C55BA9">
            <w:pPr>
              <w:jc w:val="right"/>
              <w:rPr>
                <w:rFonts w:ascii="Trebuchet MS" w:eastAsia="Times New Roman" w:hAnsi="Trebuchet MS" w:cs="Arial"/>
                <w:sz w:val="22"/>
                <w:szCs w:val="22"/>
              </w:rPr>
            </w:pPr>
            <w:r w:rsidRPr="00A9271F">
              <w:rPr>
                <w:rFonts w:ascii="Trebuchet MS" w:eastAsia="Times New Roman" w:hAnsi="Trebuchet MS" w:cs="Arial"/>
                <w:sz w:val="22"/>
                <w:szCs w:val="22"/>
              </w:rPr>
              <w:t>5</w:t>
            </w:r>
          </w:p>
        </w:tc>
      </w:tr>
    </w:tbl>
    <w:p w:rsidR="003351E8" w:rsidRPr="00A9271F" w:rsidRDefault="003351E8" w:rsidP="003351E8">
      <w:pPr>
        <w:rPr>
          <w:rFonts w:ascii="Trebuchet MS" w:hAnsi="Trebuchet MS" w:cs="Arial"/>
          <w:sz w:val="22"/>
          <w:szCs w:val="22"/>
        </w:rPr>
      </w:pPr>
    </w:p>
    <w:p w:rsidR="003351E8" w:rsidRPr="00A9271F" w:rsidRDefault="003351E8" w:rsidP="003351E8">
      <w:pPr>
        <w:rPr>
          <w:rFonts w:ascii="Trebuchet MS" w:hAnsi="Trebuchet MS" w:cs="Arial"/>
          <w:sz w:val="22"/>
          <w:szCs w:val="22"/>
        </w:rPr>
      </w:pPr>
      <w:r w:rsidRPr="00A9271F">
        <w:rPr>
          <w:rFonts w:ascii="Trebuchet MS" w:hAnsi="Trebuchet MS" w:cs="Arial"/>
          <w:sz w:val="22"/>
          <w:szCs w:val="22"/>
        </w:rPr>
        <w:tab/>
        <w:t xml:space="preserve"> Nu există date privind conversia terenurilor agricole</w:t>
      </w:r>
    </w:p>
    <w:p w:rsidR="003351E8" w:rsidRPr="00A9271F" w:rsidRDefault="003351E8" w:rsidP="003351E8">
      <w:pPr>
        <w:rPr>
          <w:rFonts w:ascii="Trebuchet MS" w:hAnsi="Trebuchet MS" w:cs="Arial"/>
          <w:sz w:val="22"/>
          <w:szCs w:val="22"/>
        </w:rPr>
      </w:pPr>
    </w:p>
    <w:p w:rsidR="003351E8" w:rsidRPr="00A9271F" w:rsidRDefault="003351E8" w:rsidP="003351E8">
      <w:pPr>
        <w:rPr>
          <w:rFonts w:ascii="Trebuchet MS" w:hAnsi="Trebuchet MS" w:cs="Arial"/>
          <w:sz w:val="22"/>
          <w:szCs w:val="22"/>
        </w:rPr>
      </w:pPr>
    </w:p>
    <w:p w:rsidR="003351E8" w:rsidRPr="00F9204C" w:rsidRDefault="003351E8" w:rsidP="003351E8">
      <w:pPr>
        <w:rPr>
          <w:rFonts w:ascii="Trebuchet MS" w:hAnsi="Trebuchet MS" w:cs="Arial"/>
          <w:b/>
        </w:rPr>
      </w:pPr>
      <w:r w:rsidRPr="00F9204C">
        <w:rPr>
          <w:rFonts w:ascii="Trebuchet MS" w:hAnsi="Trebuchet MS" w:cs="Arial"/>
          <w:b/>
        </w:rPr>
        <w:t xml:space="preserve">         IV.2.2 .Impactul schimbării utilizării terenurilor asupra habitatelor </w:t>
      </w:r>
    </w:p>
    <w:p w:rsidR="003351E8" w:rsidRPr="00F9204C" w:rsidRDefault="003351E8" w:rsidP="003351E8">
      <w:pPr>
        <w:rPr>
          <w:rFonts w:ascii="Trebuchet MS" w:hAnsi="Trebuchet MS" w:cs="Arial"/>
        </w:rPr>
      </w:pPr>
    </w:p>
    <w:p w:rsidR="003351E8" w:rsidRPr="00F9204C" w:rsidRDefault="003351E8" w:rsidP="004F134E">
      <w:pPr>
        <w:numPr>
          <w:ilvl w:val="0"/>
          <w:numId w:val="16"/>
        </w:numPr>
        <w:contextualSpacing/>
        <w:jc w:val="both"/>
        <w:rPr>
          <w:rFonts w:ascii="Trebuchet MS" w:eastAsia="Times New Roman" w:hAnsi="Trebuchet MS" w:cs="Arial"/>
          <w:b/>
        </w:rPr>
      </w:pPr>
      <w:r w:rsidRPr="00F9204C">
        <w:rPr>
          <w:rFonts w:ascii="Trebuchet MS" w:eastAsia="Times New Roman" w:hAnsi="Trebuchet MS" w:cs="Arial"/>
          <w:b/>
        </w:rPr>
        <w:t>Indicatori specifici</w:t>
      </w:r>
    </w:p>
    <w:p w:rsidR="003351E8" w:rsidRPr="00F9204C" w:rsidRDefault="003351E8" w:rsidP="003351E8">
      <w:pPr>
        <w:autoSpaceDE w:val="0"/>
        <w:autoSpaceDN w:val="0"/>
        <w:adjustRightInd w:val="0"/>
        <w:rPr>
          <w:rFonts w:ascii="Trebuchet MS" w:eastAsia="Times New Roman" w:hAnsi="Trebuchet MS" w:cs="Arial"/>
        </w:rPr>
      </w:pPr>
      <w:r w:rsidRPr="00F9204C">
        <w:rPr>
          <w:rFonts w:ascii="Trebuchet MS" w:hAnsi="Trebuchet MS" w:cs="Arial"/>
        </w:rPr>
        <w:t xml:space="preserve">    Nu există date disponibile pentru indicatorul RO 44-SEBI13-</w:t>
      </w:r>
      <w:r w:rsidRPr="00F9204C">
        <w:rPr>
          <w:rFonts w:ascii="Trebuchet MS" w:hAnsi="Trebuchet MS"/>
        </w:rPr>
        <w:t xml:space="preserve"> </w:t>
      </w:r>
      <w:r w:rsidRPr="00F9204C">
        <w:rPr>
          <w:rFonts w:ascii="Trebuchet MS" w:eastAsia="Times New Roman" w:hAnsi="Trebuchet MS" w:cs="Arial"/>
          <w:b/>
          <w:bCs/>
        </w:rPr>
        <w:t xml:space="preserve">FRAGMENTAREA AREALELOR NATURALE ŞI SEMI-NATURALE </w:t>
      </w:r>
    </w:p>
    <w:p w:rsidR="003351E8" w:rsidRPr="00F9204C" w:rsidRDefault="003351E8" w:rsidP="003351E8">
      <w:pPr>
        <w:autoSpaceDE w:val="0"/>
        <w:autoSpaceDN w:val="0"/>
        <w:adjustRightInd w:val="0"/>
        <w:rPr>
          <w:rFonts w:ascii="Trebuchet MS" w:eastAsia="Times New Roman" w:hAnsi="Trebuchet MS" w:cs="Arial"/>
        </w:rPr>
      </w:pPr>
    </w:p>
    <w:p w:rsidR="003351E8" w:rsidRPr="00F9204C" w:rsidRDefault="003351E8" w:rsidP="003351E8">
      <w:pPr>
        <w:autoSpaceDE w:val="0"/>
        <w:autoSpaceDN w:val="0"/>
        <w:adjustRightInd w:val="0"/>
        <w:rPr>
          <w:rFonts w:ascii="Trebuchet MS" w:eastAsia="Times New Roman" w:hAnsi="Trebuchet MS" w:cs="Arial"/>
        </w:rPr>
      </w:pPr>
    </w:p>
    <w:p w:rsidR="003351E8" w:rsidRPr="00DD46ED" w:rsidRDefault="003351E8" w:rsidP="003351E8">
      <w:pPr>
        <w:autoSpaceDE w:val="0"/>
        <w:autoSpaceDN w:val="0"/>
        <w:adjustRightInd w:val="0"/>
        <w:rPr>
          <w:rFonts w:ascii="Trebuchet MS" w:eastAsia="Times New Roman" w:hAnsi="Trebuchet MS" w:cs="Arial"/>
          <w:b/>
          <w:sz w:val="22"/>
          <w:szCs w:val="22"/>
        </w:rPr>
      </w:pPr>
      <w:r w:rsidRPr="00F9204C">
        <w:rPr>
          <w:rFonts w:ascii="Trebuchet MS" w:eastAsia="Times New Roman" w:hAnsi="Trebuchet MS" w:cs="Arial"/>
          <w:b/>
        </w:rPr>
        <w:t xml:space="preserve">    </w:t>
      </w:r>
      <w:r w:rsidRPr="00DD46ED">
        <w:rPr>
          <w:rFonts w:ascii="Trebuchet MS" w:eastAsia="Times New Roman" w:hAnsi="Trebuchet MS" w:cs="Arial"/>
          <w:b/>
          <w:sz w:val="22"/>
          <w:szCs w:val="22"/>
        </w:rPr>
        <w:t>B. Alte date şi informaţii specifice</w:t>
      </w:r>
    </w:p>
    <w:p w:rsidR="003351E8" w:rsidRPr="00DD46ED" w:rsidRDefault="003351E8" w:rsidP="003351E8">
      <w:pPr>
        <w:rPr>
          <w:rFonts w:ascii="Trebuchet MS" w:hAnsi="Trebuchet MS" w:cs="Arial"/>
          <w:sz w:val="22"/>
          <w:szCs w:val="22"/>
        </w:rPr>
      </w:pPr>
    </w:p>
    <w:p w:rsidR="003351E8" w:rsidRPr="00DD46ED" w:rsidRDefault="003351E8" w:rsidP="003351E8">
      <w:pPr>
        <w:ind w:firstLine="360"/>
        <w:jc w:val="both"/>
        <w:rPr>
          <w:rFonts w:ascii="Trebuchet MS" w:hAnsi="Trebuchet MS" w:cs="Arial"/>
          <w:sz w:val="22"/>
          <w:szCs w:val="22"/>
          <w:lang w:val="ro-RO"/>
        </w:rPr>
      </w:pPr>
      <w:r w:rsidRPr="00DD46ED">
        <w:rPr>
          <w:rFonts w:ascii="Trebuchet MS" w:hAnsi="Trebuchet MS" w:cs="Arial"/>
          <w:sz w:val="22"/>
          <w:szCs w:val="22"/>
          <w:lang w:val="ro-RO"/>
        </w:rPr>
        <w:t>În arealul ocupat de Municipiul Bucureşti solurile au fost puternic modificate antropic, tipurile naturale întâlnindu-se astăzi doar pe suprafeţe restrânse din unele parcuri şi din zonele periferice puţin influenţate de activităţile umane (zona forestieră nordică şi zona agricolă nord-vestică).</w:t>
      </w:r>
    </w:p>
    <w:p w:rsidR="003351E8" w:rsidRPr="00DD46ED" w:rsidRDefault="003351E8" w:rsidP="003351E8">
      <w:pPr>
        <w:tabs>
          <w:tab w:val="left" w:pos="360"/>
        </w:tabs>
        <w:jc w:val="both"/>
        <w:rPr>
          <w:rFonts w:ascii="Trebuchet MS" w:hAnsi="Trebuchet MS" w:cs="Arial"/>
          <w:sz w:val="22"/>
          <w:szCs w:val="22"/>
          <w:lang w:val="ro-RO"/>
        </w:rPr>
      </w:pPr>
      <w:r w:rsidRPr="00DD46ED">
        <w:rPr>
          <w:rFonts w:ascii="Trebuchet MS" w:hAnsi="Trebuchet MS" w:cs="Arial"/>
          <w:sz w:val="22"/>
          <w:szCs w:val="22"/>
          <w:lang w:val="ro-RO"/>
        </w:rPr>
        <w:tab/>
        <w:t>Prima fază a modificărilor antropice puternice a fost datorată construcţiilor de toate felurile în care, prin operaţiuni de decopertare, modelare, etc, s-au creat practic alte tipuri de sol.</w:t>
      </w:r>
    </w:p>
    <w:p w:rsidR="003351E8" w:rsidRPr="00DD46ED" w:rsidRDefault="003351E8" w:rsidP="003351E8">
      <w:pPr>
        <w:tabs>
          <w:tab w:val="left" w:pos="360"/>
        </w:tabs>
        <w:jc w:val="both"/>
        <w:rPr>
          <w:rFonts w:ascii="Trebuchet MS" w:hAnsi="Trebuchet MS" w:cs="Arial"/>
          <w:sz w:val="22"/>
          <w:szCs w:val="22"/>
          <w:lang w:val="ro-RO"/>
        </w:rPr>
      </w:pPr>
      <w:r w:rsidRPr="00DD46ED">
        <w:rPr>
          <w:rFonts w:ascii="Trebuchet MS" w:hAnsi="Trebuchet MS" w:cs="Arial"/>
          <w:sz w:val="22"/>
          <w:szCs w:val="22"/>
        </w:rPr>
        <w:t xml:space="preserve">       </w:t>
      </w:r>
      <w:r w:rsidRPr="00DD46ED">
        <w:rPr>
          <w:rFonts w:ascii="Trebuchet MS" w:hAnsi="Trebuchet MS" w:cs="Arial"/>
          <w:sz w:val="22"/>
          <w:szCs w:val="22"/>
          <w:lang w:val="ro-RO"/>
        </w:rPr>
        <w:t>A doua fază a început odată cu industrializarea masivă şi cu intensificarea traficului rutier.</w:t>
      </w:r>
    </w:p>
    <w:p w:rsidR="003351E8" w:rsidRPr="00DD46ED" w:rsidRDefault="003351E8" w:rsidP="003351E8">
      <w:pPr>
        <w:rPr>
          <w:rFonts w:ascii="Trebuchet MS" w:hAnsi="Trebuchet MS" w:cs="Arial"/>
          <w:sz w:val="22"/>
          <w:szCs w:val="22"/>
        </w:rPr>
      </w:pPr>
      <w:r w:rsidRPr="00DD46ED">
        <w:rPr>
          <w:rFonts w:ascii="Trebuchet MS" w:hAnsi="Trebuchet MS" w:cs="Arial"/>
          <w:sz w:val="22"/>
          <w:szCs w:val="22"/>
        </w:rPr>
        <w:tab/>
        <w:t xml:space="preserve"> </w:t>
      </w:r>
    </w:p>
    <w:p w:rsidR="003351E8" w:rsidRPr="00F9204C" w:rsidRDefault="003351E8" w:rsidP="003351E8">
      <w:pPr>
        <w:rPr>
          <w:rFonts w:ascii="Trebuchet MS" w:hAnsi="Trebuchet MS" w:cs="Arial"/>
          <w:b/>
        </w:rPr>
      </w:pPr>
      <w:r w:rsidRPr="00F9204C">
        <w:rPr>
          <w:rFonts w:ascii="Trebuchet MS" w:hAnsi="Trebuchet MS" w:cs="Arial"/>
          <w:b/>
        </w:rPr>
        <w:t xml:space="preserve">     IV.3.Factorii determinanţi ai schimbării utilizării terenurilor </w:t>
      </w:r>
      <w:r w:rsidRPr="00F9204C">
        <w:rPr>
          <w:rFonts w:ascii="Trebuchet MS" w:hAnsi="Trebuchet MS" w:cs="Arial"/>
          <w:b/>
        </w:rPr>
        <w:tab/>
        <w:t xml:space="preserve"> </w:t>
      </w:r>
    </w:p>
    <w:p w:rsidR="003351E8" w:rsidRPr="00F9204C" w:rsidRDefault="003351E8" w:rsidP="003351E8">
      <w:pPr>
        <w:rPr>
          <w:rFonts w:ascii="Trebuchet MS" w:hAnsi="Trebuchet MS" w:cs="Arial"/>
        </w:rPr>
      </w:pPr>
      <w:r w:rsidRPr="00F9204C">
        <w:rPr>
          <w:rFonts w:ascii="Trebuchet MS" w:hAnsi="Trebuchet MS" w:cs="Arial"/>
        </w:rPr>
        <w:t xml:space="preserve">        IV.3.1.Modificarea densităţii populaţiei </w:t>
      </w:r>
    </w:p>
    <w:p w:rsidR="003351E8" w:rsidRPr="00F9204C" w:rsidRDefault="003351E8" w:rsidP="003351E8">
      <w:pPr>
        <w:rPr>
          <w:rFonts w:ascii="Trebuchet MS" w:hAnsi="Trebuchet MS" w:cs="Arial"/>
        </w:rPr>
      </w:pPr>
    </w:p>
    <w:p w:rsidR="003351E8" w:rsidRPr="00DD46ED" w:rsidRDefault="003351E8" w:rsidP="004F134E">
      <w:pPr>
        <w:numPr>
          <w:ilvl w:val="0"/>
          <w:numId w:val="17"/>
        </w:numPr>
        <w:contextualSpacing/>
        <w:jc w:val="both"/>
        <w:rPr>
          <w:rFonts w:ascii="Trebuchet MS" w:eastAsia="Times New Roman" w:hAnsi="Trebuchet MS" w:cs="Arial"/>
          <w:b/>
          <w:sz w:val="22"/>
          <w:szCs w:val="22"/>
        </w:rPr>
      </w:pPr>
      <w:r w:rsidRPr="00DD46ED">
        <w:rPr>
          <w:rFonts w:ascii="Trebuchet MS" w:eastAsia="Times New Roman" w:hAnsi="Trebuchet MS" w:cs="Arial"/>
          <w:b/>
          <w:sz w:val="22"/>
          <w:szCs w:val="22"/>
        </w:rPr>
        <w:t>Indicatori specifici</w:t>
      </w:r>
    </w:p>
    <w:p w:rsidR="003351E8" w:rsidRPr="00DD46ED" w:rsidRDefault="003351E8" w:rsidP="003351E8">
      <w:pPr>
        <w:autoSpaceDE w:val="0"/>
        <w:autoSpaceDN w:val="0"/>
        <w:adjustRightInd w:val="0"/>
        <w:rPr>
          <w:rFonts w:ascii="Trebuchet MS" w:eastAsia="Times New Roman" w:hAnsi="Trebuchet MS" w:cs="Arial"/>
          <w:sz w:val="22"/>
          <w:szCs w:val="22"/>
        </w:rPr>
      </w:pPr>
      <w:r w:rsidRPr="00DD46ED">
        <w:rPr>
          <w:rFonts w:ascii="Trebuchet MS" w:hAnsi="Trebuchet MS" w:cs="Arial"/>
          <w:sz w:val="22"/>
          <w:szCs w:val="22"/>
        </w:rPr>
        <w:t xml:space="preserve">         Nu este cazul</w:t>
      </w:r>
    </w:p>
    <w:p w:rsidR="003351E8" w:rsidRPr="00DD46ED" w:rsidRDefault="003351E8" w:rsidP="003351E8">
      <w:pPr>
        <w:autoSpaceDE w:val="0"/>
        <w:autoSpaceDN w:val="0"/>
        <w:adjustRightInd w:val="0"/>
        <w:rPr>
          <w:rFonts w:ascii="Trebuchet MS" w:eastAsia="Times New Roman" w:hAnsi="Trebuchet MS" w:cs="Arial"/>
          <w:sz w:val="22"/>
          <w:szCs w:val="22"/>
        </w:rPr>
      </w:pPr>
    </w:p>
    <w:p w:rsidR="003351E8" w:rsidRPr="00DD46ED" w:rsidRDefault="003351E8" w:rsidP="003351E8">
      <w:pPr>
        <w:autoSpaceDE w:val="0"/>
        <w:autoSpaceDN w:val="0"/>
        <w:adjustRightInd w:val="0"/>
        <w:rPr>
          <w:rFonts w:ascii="Trebuchet MS" w:eastAsia="Times New Roman" w:hAnsi="Trebuchet MS" w:cs="Arial"/>
          <w:b/>
          <w:sz w:val="22"/>
          <w:szCs w:val="22"/>
        </w:rPr>
      </w:pPr>
      <w:r w:rsidRPr="00DD46ED">
        <w:rPr>
          <w:rFonts w:ascii="Trebuchet MS" w:eastAsia="Times New Roman" w:hAnsi="Trebuchet MS" w:cs="Arial"/>
          <w:b/>
          <w:sz w:val="22"/>
          <w:szCs w:val="22"/>
        </w:rPr>
        <w:t xml:space="preserve">    B.  Alte date şi informaţii specifice</w:t>
      </w:r>
    </w:p>
    <w:p w:rsidR="003351E8" w:rsidRPr="00DD46ED" w:rsidRDefault="003351E8" w:rsidP="003351E8">
      <w:pPr>
        <w:rPr>
          <w:rFonts w:ascii="Trebuchet MS" w:hAnsi="Trebuchet MS" w:cs="Arial"/>
          <w:sz w:val="22"/>
          <w:szCs w:val="22"/>
        </w:rPr>
      </w:pP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Populaţia după domiciliu reprezintă numărul persoanelor cu cetăţenie română şi domiciliul pe teritoriul României, delimitat după criterii administrativ – teritoriale.</w:t>
      </w:r>
    </w:p>
    <w:p w:rsidR="003351E8" w:rsidRPr="00DD46ED" w:rsidRDefault="003351E8" w:rsidP="003351E8">
      <w:pPr>
        <w:jc w:val="both"/>
        <w:rPr>
          <w:rFonts w:ascii="Trebuchet MS" w:hAnsi="Trebuchet MS" w:cs="Arial"/>
          <w:sz w:val="22"/>
          <w:szCs w:val="22"/>
        </w:rPr>
      </w:pPr>
    </w:p>
    <w:p w:rsidR="003351E8" w:rsidRPr="00DD46ED" w:rsidRDefault="003351E8" w:rsidP="003351E8">
      <w:pPr>
        <w:rPr>
          <w:rFonts w:ascii="Trebuchet MS" w:hAnsi="Trebuchet MS" w:cs="Arial"/>
          <w:sz w:val="22"/>
          <w:szCs w:val="22"/>
        </w:rPr>
      </w:pPr>
      <w:r w:rsidRPr="00DD46ED">
        <w:rPr>
          <w:rFonts w:ascii="Trebuchet MS" w:hAnsi="Trebuchet MS" w:cs="Arial"/>
          <w:sz w:val="22"/>
          <w:szCs w:val="22"/>
        </w:rPr>
        <w:t xml:space="preserve">   Migraţia internă determinată de schimbarea domiciliului </w:t>
      </w:r>
    </w:p>
    <w:p w:rsidR="003351E8" w:rsidRPr="00DD46ED" w:rsidRDefault="003351E8" w:rsidP="003351E8">
      <w:pPr>
        <w:rPr>
          <w:rFonts w:ascii="Trebuchet MS" w:hAnsi="Trebuchet MS" w:cs="Arial"/>
          <w:sz w:val="22"/>
          <w:szCs w:val="22"/>
        </w:rPr>
      </w:pPr>
      <w:r w:rsidRPr="00DD46ED">
        <w:rPr>
          <w:rFonts w:ascii="Trebuchet MS" w:hAnsi="Trebuchet MS" w:cs="Arial"/>
          <w:sz w:val="22"/>
          <w:szCs w:val="22"/>
        </w:rPr>
        <w:t>Tabelul nr. IV.3.1.1.</w:t>
      </w:r>
    </w:p>
    <w:p w:rsidR="003351E8" w:rsidRPr="00DD46ED" w:rsidRDefault="003351E8" w:rsidP="003351E8">
      <w:pPr>
        <w:rPr>
          <w:rFonts w:ascii="Trebuchet MS" w:hAnsi="Trebuchet MS" w:cs="Arial"/>
          <w:sz w:val="22"/>
          <w:szCs w:val="22"/>
        </w:rPr>
      </w:pPr>
    </w:p>
    <w:tbl>
      <w:tblPr>
        <w:tblpPr w:leftFromText="180" w:rightFromText="180" w:vertAnchor="text" w:horzAnchor="margin" w:tblpXSpec="center" w:tblpY="154"/>
        <w:tblW w:w="10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9"/>
        <w:gridCol w:w="934"/>
        <w:gridCol w:w="985"/>
        <w:gridCol w:w="990"/>
        <w:gridCol w:w="972"/>
        <w:gridCol w:w="972"/>
        <w:gridCol w:w="972"/>
        <w:gridCol w:w="972"/>
        <w:gridCol w:w="972"/>
        <w:gridCol w:w="972"/>
      </w:tblGrid>
      <w:tr w:rsidR="003351E8" w:rsidRPr="00DD46ED" w:rsidTr="00C55BA9">
        <w:trPr>
          <w:trHeight w:val="279"/>
        </w:trPr>
        <w:tc>
          <w:tcPr>
            <w:tcW w:w="1589" w:type="dxa"/>
          </w:tcPr>
          <w:p w:rsidR="003351E8" w:rsidRPr="00DD46ED" w:rsidRDefault="003351E8" w:rsidP="00C55BA9">
            <w:pPr>
              <w:rPr>
                <w:rFonts w:ascii="Trebuchet MS" w:hAnsi="Trebuchet MS" w:cs="Arial"/>
                <w:sz w:val="22"/>
                <w:szCs w:val="22"/>
              </w:rPr>
            </w:pPr>
          </w:p>
        </w:tc>
        <w:tc>
          <w:tcPr>
            <w:tcW w:w="934"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2015</w:t>
            </w:r>
          </w:p>
        </w:tc>
        <w:tc>
          <w:tcPr>
            <w:tcW w:w="985"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2016</w:t>
            </w:r>
          </w:p>
        </w:tc>
        <w:tc>
          <w:tcPr>
            <w:tcW w:w="99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2017</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2018</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2019</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2020</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2021</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2022</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2023</w:t>
            </w:r>
          </w:p>
        </w:tc>
      </w:tr>
      <w:tr w:rsidR="003351E8" w:rsidRPr="00DD46ED" w:rsidTr="00C55BA9">
        <w:trPr>
          <w:trHeight w:val="835"/>
        </w:trPr>
        <w:tc>
          <w:tcPr>
            <w:tcW w:w="1589"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Stabiliri de domiciliu  în localitate</w:t>
            </w:r>
          </w:p>
        </w:tc>
        <w:tc>
          <w:tcPr>
            <w:tcW w:w="934"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46780</w:t>
            </w:r>
          </w:p>
        </w:tc>
        <w:tc>
          <w:tcPr>
            <w:tcW w:w="985"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47866</w:t>
            </w:r>
          </w:p>
          <w:p w:rsidR="003351E8" w:rsidRPr="00DD46ED" w:rsidRDefault="003351E8" w:rsidP="00C55BA9">
            <w:pPr>
              <w:rPr>
                <w:rFonts w:ascii="Trebuchet MS" w:hAnsi="Trebuchet MS" w:cs="Arial"/>
                <w:sz w:val="22"/>
                <w:szCs w:val="22"/>
              </w:rPr>
            </w:pPr>
          </w:p>
        </w:tc>
        <w:tc>
          <w:tcPr>
            <w:tcW w:w="99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shd w:val="clear" w:color="auto" w:fill="FAFAFA"/>
              </w:rPr>
              <w:t>28831</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54436</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57591</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50346</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51383</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58567</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49088</w:t>
            </w:r>
          </w:p>
        </w:tc>
      </w:tr>
      <w:tr w:rsidR="003351E8" w:rsidRPr="00DD46ED" w:rsidTr="00C55BA9">
        <w:trPr>
          <w:trHeight w:val="1113"/>
        </w:trPr>
        <w:tc>
          <w:tcPr>
            <w:tcW w:w="1589"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Plecări  cu domiciliul din localitate</w:t>
            </w:r>
          </w:p>
        </w:tc>
        <w:tc>
          <w:tcPr>
            <w:tcW w:w="934"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51297</w:t>
            </w:r>
          </w:p>
        </w:tc>
        <w:tc>
          <w:tcPr>
            <w:tcW w:w="985"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51426</w:t>
            </w:r>
          </w:p>
          <w:p w:rsidR="003351E8" w:rsidRPr="00DD46ED" w:rsidRDefault="003351E8" w:rsidP="00C55BA9">
            <w:pPr>
              <w:rPr>
                <w:rFonts w:ascii="Trebuchet MS" w:hAnsi="Trebuchet MS" w:cs="Arial"/>
                <w:sz w:val="22"/>
                <w:szCs w:val="22"/>
              </w:rPr>
            </w:pPr>
          </w:p>
        </w:tc>
        <w:tc>
          <w:tcPr>
            <w:tcW w:w="99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shd w:val="clear" w:color="auto" w:fill="FAFAFA"/>
              </w:rPr>
              <w:t>49389</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48853</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49129</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44722</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48411</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60455</w:t>
            </w:r>
          </w:p>
        </w:tc>
        <w:tc>
          <w:tcPr>
            <w:tcW w:w="972" w:type="dxa"/>
          </w:tcPr>
          <w:p w:rsidR="003351E8" w:rsidRPr="00DD46ED" w:rsidRDefault="003351E8" w:rsidP="00C55BA9">
            <w:pPr>
              <w:rPr>
                <w:rFonts w:ascii="Trebuchet MS" w:hAnsi="Trebuchet MS" w:cs="Arial"/>
                <w:sz w:val="22"/>
                <w:szCs w:val="22"/>
                <w:shd w:val="clear" w:color="auto" w:fill="FAFAFA"/>
              </w:rPr>
            </w:pPr>
            <w:r w:rsidRPr="00DD46ED">
              <w:rPr>
                <w:rFonts w:ascii="Trebuchet MS" w:hAnsi="Trebuchet MS" w:cs="Arial"/>
                <w:sz w:val="22"/>
                <w:szCs w:val="22"/>
                <w:shd w:val="clear" w:color="auto" w:fill="FAFAFA"/>
              </w:rPr>
              <w:t>56324</w:t>
            </w:r>
          </w:p>
        </w:tc>
      </w:tr>
      <w:tr w:rsidR="003351E8" w:rsidRPr="00DD46ED" w:rsidTr="00C55BA9">
        <w:trPr>
          <w:trHeight w:val="1113"/>
        </w:trPr>
        <w:tc>
          <w:tcPr>
            <w:tcW w:w="1589"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Soldul schimbărilor de domiciliu*</w:t>
            </w:r>
          </w:p>
        </w:tc>
        <w:tc>
          <w:tcPr>
            <w:tcW w:w="934"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-4517</w:t>
            </w:r>
          </w:p>
        </w:tc>
        <w:tc>
          <w:tcPr>
            <w:tcW w:w="985"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-3560</w:t>
            </w:r>
          </w:p>
        </w:tc>
        <w:tc>
          <w:tcPr>
            <w:tcW w:w="99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-20558</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5583</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8462</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5624</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2972</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-1888</w:t>
            </w:r>
          </w:p>
        </w:tc>
        <w:tc>
          <w:tcPr>
            <w:tcW w:w="972"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-7236</w:t>
            </w:r>
          </w:p>
        </w:tc>
      </w:tr>
    </w:tbl>
    <w:p w:rsidR="003351E8" w:rsidRPr="00DD46ED" w:rsidRDefault="003351E8" w:rsidP="003351E8">
      <w:pPr>
        <w:rPr>
          <w:rFonts w:ascii="Trebuchet MS" w:hAnsi="Trebuchet MS" w:cs="Arial"/>
          <w:sz w:val="22"/>
          <w:szCs w:val="22"/>
        </w:rPr>
      </w:pPr>
      <w:r w:rsidRPr="00DD46ED">
        <w:rPr>
          <w:rFonts w:ascii="Trebuchet MS" w:hAnsi="Trebuchet MS" w:cs="Arial"/>
          <w:sz w:val="22"/>
          <w:szCs w:val="22"/>
        </w:rPr>
        <w:t xml:space="preserve">                                                                                                     </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Migraţia internă determinata de schimbarea domiciliului cuprinde şi migraţia între sectoarele administrative ale municipiului Bucureşti.</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*calculat ca diferenţă între numărul de persoane stabilite cu domiciliul în localitate şi numărul de persoane plecate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w:t>
      </w:r>
      <w:r w:rsidRPr="00DD46ED">
        <w:rPr>
          <w:rFonts w:ascii="Trebuchet MS" w:hAnsi="Trebuchet MS"/>
          <w:sz w:val="22"/>
          <w:szCs w:val="22"/>
        </w:rPr>
        <w:t xml:space="preserve"> </w:t>
      </w:r>
      <w:r w:rsidRPr="00DD46ED">
        <w:rPr>
          <w:rFonts w:ascii="Trebuchet MS" w:hAnsi="Trebuchet MS" w:cs="Arial"/>
          <w:sz w:val="22"/>
          <w:szCs w:val="22"/>
        </w:rPr>
        <w:t>Sursa datelor:Institutul Naţional de Statistică</w:t>
      </w:r>
      <w:r w:rsidRPr="00DD46ED">
        <w:rPr>
          <w:rFonts w:ascii="Trebuchet MS" w:hAnsi="Trebuchet MS" w:cs="Arial"/>
          <w:sz w:val="22"/>
          <w:szCs w:val="22"/>
        </w:rPr>
        <w:tab/>
      </w:r>
    </w:p>
    <w:p w:rsidR="003351E8" w:rsidRPr="00F9204C" w:rsidRDefault="003351E8" w:rsidP="003351E8">
      <w:pPr>
        <w:rPr>
          <w:rFonts w:ascii="Trebuchet MS" w:hAnsi="Trebuchet MS" w:cs="Arial"/>
          <w:i/>
          <w:lang w:val="ro-RO"/>
        </w:rPr>
      </w:pPr>
      <w:r w:rsidRPr="00F9204C">
        <w:rPr>
          <w:rFonts w:ascii="Trebuchet MS" w:hAnsi="Trebuchet MS" w:cs="Arial"/>
          <w:i/>
          <w:lang w:val="ro-RO"/>
        </w:rPr>
        <w:t xml:space="preserve"> </w:t>
      </w:r>
    </w:p>
    <w:p w:rsidR="003351E8" w:rsidRPr="00F9204C" w:rsidRDefault="003351E8" w:rsidP="003351E8">
      <w:pPr>
        <w:tabs>
          <w:tab w:val="left" w:pos="1276"/>
          <w:tab w:val="left" w:leader="dot" w:pos="9356"/>
        </w:tabs>
        <w:ind w:left="720"/>
        <w:rPr>
          <w:rFonts w:ascii="Trebuchet MS" w:hAnsi="Trebuchet MS" w:cs="Arial"/>
          <w:b/>
          <w:lang w:val="ro-RO"/>
        </w:rPr>
      </w:pPr>
      <w:r w:rsidRPr="00F9204C">
        <w:rPr>
          <w:rFonts w:ascii="Trebuchet MS" w:hAnsi="Trebuchet MS" w:cs="Arial"/>
          <w:b/>
          <w:lang w:val="ro-RO"/>
        </w:rPr>
        <w:t xml:space="preserve">IV.3.2.Expansiunea urbană  </w:t>
      </w:r>
    </w:p>
    <w:p w:rsidR="003351E8" w:rsidRPr="00F9204C" w:rsidRDefault="003351E8" w:rsidP="003351E8">
      <w:pPr>
        <w:tabs>
          <w:tab w:val="left" w:pos="1276"/>
          <w:tab w:val="left" w:leader="dot" w:pos="9356"/>
        </w:tabs>
        <w:ind w:left="720"/>
        <w:rPr>
          <w:rFonts w:ascii="Trebuchet MS" w:hAnsi="Trebuchet MS" w:cs="Arial"/>
          <w:lang w:val="ro-RO"/>
        </w:rPr>
      </w:pPr>
    </w:p>
    <w:p w:rsidR="003351E8" w:rsidRPr="00DD46ED" w:rsidRDefault="003351E8" w:rsidP="004F134E">
      <w:pPr>
        <w:numPr>
          <w:ilvl w:val="0"/>
          <w:numId w:val="18"/>
        </w:numPr>
        <w:contextualSpacing/>
        <w:jc w:val="both"/>
        <w:rPr>
          <w:rFonts w:ascii="Trebuchet MS" w:eastAsia="Times New Roman" w:hAnsi="Trebuchet MS" w:cs="Arial"/>
          <w:b/>
          <w:sz w:val="22"/>
          <w:szCs w:val="22"/>
        </w:rPr>
      </w:pPr>
      <w:r w:rsidRPr="00DD46ED">
        <w:rPr>
          <w:rFonts w:ascii="Trebuchet MS" w:eastAsia="Times New Roman" w:hAnsi="Trebuchet MS" w:cs="Arial"/>
          <w:b/>
          <w:sz w:val="22"/>
          <w:szCs w:val="22"/>
        </w:rPr>
        <w:t>Indicatori specifici</w:t>
      </w:r>
    </w:p>
    <w:p w:rsidR="003351E8" w:rsidRPr="00DD46ED" w:rsidRDefault="003351E8" w:rsidP="003351E8">
      <w:pPr>
        <w:autoSpaceDE w:val="0"/>
        <w:autoSpaceDN w:val="0"/>
        <w:adjustRightInd w:val="0"/>
        <w:rPr>
          <w:rFonts w:ascii="Trebuchet MS" w:eastAsia="Times New Roman" w:hAnsi="Trebuchet MS" w:cs="Arial"/>
          <w:b/>
          <w:bCs/>
          <w:sz w:val="22"/>
          <w:szCs w:val="22"/>
        </w:rPr>
      </w:pPr>
      <w:r w:rsidRPr="00DD46ED">
        <w:rPr>
          <w:rFonts w:ascii="Trebuchet MS" w:hAnsi="Trebuchet MS" w:cs="Arial"/>
          <w:sz w:val="22"/>
          <w:szCs w:val="22"/>
        </w:rPr>
        <w:t>Nu există date disponibile pentru indicatorul RO 14-CSI14-</w:t>
      </w:r>
      <w:r w:rsidRPr="00DD46ED">
        <w:rPr>
          <w:rFonts w:ascii="Trebuchet MS" w:eastAsia="Times New Roman" w:hAnsi="Trebuchet MS" w:cs="Arial"/>
          <w:bCs/>
          <w:sz w:val="22"/>
          <w:szCs w:val="22"/>
        </w:rPr>
        <w:t xml:space="preserve"> OCUPAREA TERENULUI</w:t>
      </w:r>
      <w:r w:rsidRPr="00DD46ED">
        <w:rPr>
          <w:rFonts w:ascii="Trebuchet MS" w:eastAsia="Times New Roman" w:hAnsi="Trebuchet MS" w:cs="Arial"/>
          <w:b/>
          <w:bCs/>
          <w:sz w:val="22"/>
          <w:szCs w:val="22"/>
        </w:rPr>
        <w:t xml:space="preserve"> </w:t>
      </w:r>
    </w:p>
    <w:p w:rsidR="003351E8" w:rsidRPr="00DD46ED" w:rsidRDefault="003351E8" w:rsidP="003351E8">
      <w:pPr>
        <w:autoSpaceDE w:val="0"/>
        <w:autoSpaceDN w:val="0"/>
        <w:adjustRightInd w:val="0"/>
        <w:rPr>
          <w:rFonts w:ascii="Trebuchet MS" w:eastAsia="Times New Roman" w:hAnsi="Trebuchet MS" w:cs="Arial"/>
          <w:b/>
          <w:bCs/>
          <w:sz w:val="22"/>
          <w:szCs w:val="22"/>
        </w:rPr>
      </w:pPr>
    </w:p>
    <w:p w:rsidR="003351E8" w:rsidRPr="00DD46ED" w:rsidRDefault="003351E8" w:rsidP="003351E8">
      <w:pPr>
        <w:autoSpaceDE w:val="0"/>
        <w:autoSpaceDN w:val="0"/>
        <w:adjustRightInd w:val="0"/>
        <w:rPr>
          <w:rFonts w:ascii="Trebuchet MS" w:eastAsia="Times New Roman" w:hAnsi="Trebuchet MS" w:cs="Arial"/>
          <w:sz w:val="22"/>
          <w:szCs w:val="22"/>
          <w:lang w:val="it-IT"/>
        </w:rPr>
      </w:pPr>
      <w:r w:rsidRPr="00DD46ED">
        <w:rPr>
          <w:rFonts w:ascii="Trebuchet MS" w:eastAsia="Times New Roman" w:hAnsi="Trebuchet MS" w:cs="Arial"/>
          <w:b/>
          <w:bCs/>
          <w:sz w:val="22"/>
          <w:szCs w:val="22"/>
          <w:lang w:val="it-IT"/>
        </w:rPr>
        <w:t>COD INDICATOR</w:t>
      </w:r>
      <w:r w:rsidRPr="00DD46ED">
        <w:rPr>
          <w:rFonts w:ascii="Trebuchet MS" w:eastAsia="Times New Roman" w:hAnsi="Trebuchet MS" w:cs="Arial"/>
          <w:sz w:val="22"/>
          <w:szCs w:val="22"/>
          <w:lang w:val="it-IT"/>
        </w:rPr>
        <w:t xml:space="preserve"> </w:t>
      </w:r>
    </w:p>
    <w:p w:rsidR="003351E8" w:rsidRPr="00DD46ED" w:rsidRDefault="003351E8" w:rsidP="003351E8">
      <w:pPr>
        <w:autoSpaceDE w:val="0"/>
        <w:autoSpaceDN w:val="0"/>
        <w:adjustRightInd w:val="0"/>
        <w:rPr>
          <w:rFonts w:ascii="Trebuchet MS" w:eastAsia="Times New Roman" w:hAnsi="Trebuchet MS" w:cs="Arial"/>
          <w:sz w:val="22"/>
          <w:szCs w:val="22"/>
          <w:lang w:val="it-IT"/>
        </w:rPr>
      </w:pPr>
      <w:r w:rsidRPr="00DD46ED">
        <w:rPr>
          <w:rFonts w:ascii="Trebuchet MS" w:eastAsia="Times New Roman" w:hAnsi="Trebuchet MS" w:cs="Arial"/>
          <w:sz w:val="22"/>
          <w:szCs w:val="22"/>
          <w:lang w:val="it-IT"/>
        </w:rPr>
        <w:t xml:space="preserve">Cod indicator România: </w:t>
      </w:r>
      <w:r w:rsidRPr="00DD46ED">
        <w:rPr>
          <w:rFonts w:ascii="Trebuchet MS" w:eastAsia="Times New Roman" w:hAnsi="Trebuchet MS" w:cs="Arial"/>
          <w:b/>
          <w:bCs/>
          <w:sz w:val="22"/>
          <w:szCs w:val="22"/>
          <w:lang w:val="it-IT"/>
        </w:rPr>
        <w:t>RO 68</w:t>
      </w:r>
    </w:p>
    <w:p w:rsidR="003351E8" w:rsidRPr="00DD46ED" w:rsidRDefault="003351E8" w:rsidP="003351E8">
      <w:pPr>
        <w:autoSpaceDE w:val="0"/>
        <w:autoSpaceDN w:val="0"/>
        <w:adjustRightInd w:val="0"/>
        <w:rPr>
          <w:rFonts w:ascii="Trebuchet MS" w:eastAsia="Times New Roman" w:hAnsi="Trebuchet MS" w:cs="Arial"/>
          <w:sz w:val="22"/>
          <w:szCs w:val="22"/>
          <w:lang w:val="it-IT"/>
        </w:rPr>
      </w:pPr>
      <w:r w:rsidRPr="00DD46ED">
        <w:rPr>
          <w:rFonts w:ascii="Trebuchet MS" w:eastAsia="Times New Roman" w:hAnsi="Trebuchet MS" w:cs="Arial"/>
          <w:sz w:val="22"/>
          <w:szCs w:val="22"/>
          <w:lang w:val="it-IT"/>
        </w:rPr>
        <w:t xml:space="preserve">Cod indicator AEM: </w:t>
      </w:r>
      <w:r w:rsidRPr="00DD46ED">
        <w:rPr>
          <w:rFonts w:ascii="Trebuchet MS" w:eastAsia="Times New Roman" w:hAnsi="Trebuchet MS" w:cs="Arial"/>
          <w:b/>
          <w:bCs/>
          <w:sz w:val="22"/>
          <w:szCs w:val="22"/>
          <w:lang w:val="it-IT"/>
        </w:rPr>
        <w:t xml:space="preserve">TERM 08 </w:t>
      </w:r>
    </w:p>
    <w:p w:rsidR="003351E8" w:rsidRPr="00DD46ED" w:rsidRDefault="003351E8" w:rsidP="003351E8">
      <w:pPr>
        <w:autoSpaceDE w:val="0"/>
        <w:autoSpaceDN w:val="0"/>
        <w:adjustRightInd w:val="0"/>
        <w:rPr>
          <w:rFonts w:ascii="Trebuchet MS" w:eastAsia="Times New Roman" w:hAnsi="Trebuchet MS" w:cs="Arial"/>
          <w:sz w:val="22"/>
          <w:szCs w:val="22"/>
          <w:lang w:val="it-IT"/>
        </w:rPr>
      </w:pPr>
      <w:r w:rsidRPr="00DD46ED">
        <w:rPr>
          <w:rFonts w:ascii="Trebuchet MS" w:eastAsia="Times New Roman" w:hAnsi="Trebuchet MS" w:cs="Arial"/>
          <w:b/>
          <w:bCs/>
          <w:sz w:val="22"/>
          <w:szCs w:val="22"/>
          <w:lang w:val="it-IT"/>
        </w:rPr>
        <w:t xml:space="preserve">DENUMIRE </w:t>
      </w:r>
    </w:p>
    <w:p w:rsidR="003351E8" w:rsidRPr="00DD46ED" w:rsidRDefault="003351E8" w:rsidP="003351E8">
      <w:pPr>
        <w:autoSpaceDE w:val="0"/>
        <w:autoSpaceDN w:val="0"/>
        <w:adjustRightInd w:val="0"/>
        <w:rPr>
          <w:rFonts w:ascii="Trebuchet MS" w:hAnsi="Trebuchet MS"/>
          <w:b/>
          <w:bCs/>
          <w:sz w:val="22"/>
          <w:szCs w:val="22"/>
          <w:lang w:val="it-IT"/>
        </w:rPr>
      </w:pPr>
      <w:r w:rsidRPr="00DD46ED">
        <w:rPr>
          <w:rFonts w:ascii="Trebuchet MS" w:eastAsia="Times New Roman" w:hAnsi="Trebuchet MS" w:cs="Arial"/>
          <w:b/>
          <w:bCs/>
          <w:sz w:val="22"/>
          <w:szCs w:val="22"/>
        </w:rPr>
        <w:t>Ocuparea terenului prin infrastructura de transport</w:t>
      </w:r>
      <w:r w:rsidRPr="00DD46ED">
        <w:rPr>
          <w:rFonts w:ascii="Trebuchet MS" w:hAnsi="Trebuchet MS"/>
          <w:b/>
          <w:bCs/>
          <w:sz w:val="22"/>
          <w:szCs w:val="22"/>
          <w:lang w:val="it-IT"/>
        </w:rPr>
        <w:t xml:space="preserve"> </w:t>
      </w:r>
    </w:p>
    <w:p w:rsidR="003351E8" w:rsidRPr="00DD46ED" w:rsidRDefault="003351E8" w:rsidP="003351E8">
      <w:pPr>
        <w:autoSpaceDE w:val="0"/>
        <w:autoSpaceDN w:val="0"/>
        <w:adjustRightInd w:val="0"/>
        <w:rPr>
          <w:rFonts w:ascii="Trebuchet MS" w:hAnsi="Trebuchet MS" w:cs="Arial"/>
          <w:bCs/>
          <w:sz w:val="22"/>
          <w:szCs w:val="22"/>
          <w:lang w:val="it-IT"/>
        </w:rPr>
      </w:pPr>
      <w:r w:rsidRPr="00DD46ED">
        <w:rPr>
          <w:rFonts w:ascii="Trebuchet MS" w:hAnsi="Trebuchet MS" w:cs="Arial"/>
          <w:bCs/>
          <w:sz w:val="22"/>
          <w:szCs w:val="22"/>
          <w:lang w:val="it-IT"/>
        </w:rPr>
        <w:t>DEFINIŢIE:</w:t>
      </w:r>
      <w:r w:rsidRPr="00DD46ED">
        <w:rPr>
          <w:rFonts w:ascii="Trebuchet MS" w:hAnsi="Trebuchet MS"/>
          <w:b/>
          <w:bCs/>
          <w:sz w:val="22"/>
          <w:szCs w:val="22"/>
          <w:lang w:val="it-IT"/>
        </w:rPr>
        <w:t xml:space="preserve"> </w:t>
      </w:r>
      <w:r w:rsidRPr="00DD46ED">
        <w:rPr>
          <w:rFonts w:ascii="Trebuchet MS" w:eastAsia="Times New Roman" w:hAnsi="Trebuchet MS" w:cs="Arial"/>
          <w:sz w:val="22"/>
          <w:szCs w:val="22"/>
        </w:rPr>
        <w:t>Indicatorul prezintă terenul ocupat prin infrastructura de transport</w:t>
      </w:r>
    </w:p>
    <w:p w:rsidR="003351E8" w:rsidRPr="00DD46ED" w:rsidRDefault="003351E8" w:rsidP="003351E8">
      <w:pPr>
        <w:jc w:val="both"/>
        <w:rPr>
          <w:rFonts w:ascii="Trebuchet MS" w:hAnsi="Trebuchet MS" w:cs="Arial"/>
          <w:sz w:val="22"/>
          <w:szCs w:val="22"/>
          <w:lang w:val="ro-RO"/>
        </w:rPr>
      </w:pPr>
      <w:r w:rsidRPr="00DD46ED">
        <w:rPr>
          <w:rFonts w:ascii="Trebuchet MS" w:hAnsi="Trebuchet MS" w:cs="Arial"/>
          <w:sz w:val="22"/>
          <w:szCs w:val="22"/>
        </w:rPr>
        <w:t>Linia de cale ferată este ansamblul de construc</w:t>
      </w:r>
      <w:r w:rsidRPr="00DD46ED">
        <w:rPr>
          <w:rFonts w:ascii="Trebuchet MS" w:hAnsi="Trebuchet MS" w:cs="Arial"/>
          <w:sz w:val="22"/>
          <w:szCs w:val="22"/>
          <w:lang w:val="ro-RO"/>
        </w:rPr>
        <w:t>ţii speciale  compus din una sau mai multe căi cu instalaţii aferente destinat transportului de marfă şi pasageri, cu vehicule feroviare.</w:t>
      </w:r>
    </w:p>
    <w:p w:rsidR="003351E8" w:rsidRPr="00DD46ED" w:rsidRDefault="003351E8" w:rsidP="003351E8">
      <w:pPr>
        <w:rPr>
          <w:rFonts w:ascii="Trebuchet MS" w:hAnsi="Trebuchet MS" w:cs="Arial"/>
          <w:sz w:val="22"/>
          <w:szCs w:val="22"/>
          <w:lang w:val="ro-RO"/>
        </w:rPr>
      </w:pPr>
      <w:r w:rsidRPr="00DD46ED">
        <w:rPr>
          <w:rFonts w:ascii="Trebuchet MS" w:hAnsi="Trebuchet MS" w:cs="Arial"/>
          <w:sz w:val="22"/>
          <w:szCs w:val="22"/>
          <w:lang w:val="ro-RO"/>
        </w:rPr>
        <w:t xml:space="preserve">           Tabel nr.  IV.3.2.1        Lungimea liniilor de cale ferată</w:t>
      </w:r>
    </w:p>
    <w:p w:rsidR="003351E8" w:rsidRPr="00DD46ED" w:rsidRDefault="003351E8" w:rsidP="003351E8">
      <w:pPr>
        <w:rPr>
          <w:rFonts w:ascii="Trebuchet MS" w:hAnsi="Trebuchet MS" w:cs="Arial"/>
          <w:sz w:val="22"/>
          <w:szCs w:val="22"/>
          <w:lang w:val="ro-RO"/>
        </w:rPr>
      </w:pP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2"/>
        <w:gridCol w:w="750"/>
        <w:gridCol w:w="750"/>
        <w:gridCol w:w="750"/>
        <w:gridCol w:w="750"/>
        <w:gridCol w:w="750"/>
        <w:gridCol w:w="750"/>
      </w:tblGrid>
      <w:tr w:rsidR="003351E8" w:rsidRPr="00DD46ED" w:rsidTr="00C55BA9">
        <w:tc>
          <w:tcPr>
            <w:tcW w:w="1430" w:type="dxa"/>
          </w:tcPr>
          <w:p w:rsidR="003351E8" w:rsidRPr="00DD46ED" w:rsidRDefault="003351E8" w:rsidP="00C55BA9">
            <w:pPr>
              <w:rPr>
                <w:rFonts w:ascii="Trebuchet MS" w:hAnsi="Trebuchet MS" w:cs="Arial"/>
                <w:sz w:val="22"/>
                <w:szCs w:val="22"/>
              </w:rPr>
            </w:pP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2016</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2018</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2020</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2021</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2022</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2023</w:t>
            </w:r>
          </w:p>
        </w:tc>
      </w:tr>
      <w:tr w:rsidR="003351E8" w:rsidRPr="00DD46ED" w:rsidTr="00C55BA9">
        <w:trPr>
          <w:trHeight w:val="935"/>
        </w:trPr>
        <w:tc>
          <w:tcPr>
            <w:tcW w:w="143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 xml:space="preserve">Total </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123</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123</w:t>
            </w:r>
          </w:p>
        </w:tc>
      </w:tr>
      <w:tr w:rsidR="003351E8" w:rsidRPr="00DD46ED" w:rsidTr="00C55BA9">
        <w:tc>
          <w:tcPr>
            <w:tcW w:w="143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Din care</w:t>
            </w:r>
          </w:p>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-electrificate</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79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79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79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79</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105</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105</w:t>
            </w:r>
          </w:p>
        </w:tc>
      </w:tr>
      <w:tr w:rsidR="003351E8" w:rsidRPr="00DD46ED" w:rsidTr="00C55BA9">
        <w:tc>
          <w:tcPr>
            <w:tcW w:w="143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Din total:</w:t>
            </w:r>
          </w:p>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 xml:space="preserve"> linie cu ecartament normal</w:t>
            </w:r>
          </w:p>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-cu o cale</w:t>
            </w:r>
          </w:p>
        </w:tc>
        <w:tc>
          <w:tcPr>
            <w:tcW w:w="750" w:type="dxa"/>
            <w:vAlign w:val="center"/>
          </w:tcPr>
          <w:p w:rsidR="003351E8" w:rsidRPr="00DD46ED" w:rsidRDefault="003351E8" w:rsidP="00C55BA9">
            <w:pPr>
              <w:jc w:val="center"/>
              <w:rPr>
                <w:rFonts w:ascii="Trebuchet MS" w:hAnsi="Trebuchet MS" w:cs="Arial"/>
                <w:sz w:val="22"/>
                <w:szCs w:val="22"/>
              </w:rPr>
            </w:pPr>
            <w:r w:rsidRPr="00DD46ED">
              <w:rPr>
                <w:rFonts w:ascii="Trebuchet MS" w:hAnsi="Trebuchet MS" w:cs="Arial"/>
                <w:sz w:val="22"/>
                <w:szCs w:val="22"/>
              </w:rPr>
              <w:t>71</w:t>
            </w:r>
          </w:p>
        </w:tc>
        <w:tc>
          <w:tcPr>
            <w:tcW w:w="750" w:type="dxa"/>
            <w:vAlign w:val="center"/>
          </w:tcPr>
          <w:p w:rsidR="003351E8" w:rsidRPr="00DD46ED" w:rsidRDefault="003351E8" w:rsidP="00C55BA9">
            <w:pPr>
              <w:jc w:val="center"/>
              <w:rPr>
                <w:rFonts w:ascii="Trebuchet MS" w:hAnsi="Trebuchet MS" w:cs="Arial"/>
                <w:sz w:val="22"/>
                <w:szCs w:val="22"/>
              </w:rPr>
            </w:pPr>
            <w:r w:rsidRPr="00DD46ED">
              <w:rPr>
                <w:rFonts w:ascii="Trebuchet MS" w:hAnsi="Trebuchet MS" w:cs="Arial"/>
                <w:sz w:val="22"/>
                <w:szCs w:val="22"/>
              </w:rPr>
              <w:t>71</w:t>
            </w:r>
          </w:p>
        </w:tc>
        <w:tc>
          <w:tcPr>
            <w:tcW w:w="750" w:type="dxa"/>
            <w:vAlign w:val="center"/>
          </w:tcPr>
          <w:p w:rsidR="003351E8" w:rsidRPr="00DD46ED" w:rsidRDefault="003351E8" w:rsidP="00C55BA9">
            <w:pPr>
              <w:jc w:val="center"/>
              <w:rPr>
                <w:rFonts w:ascii="Trebuchet MS" w:hAnsi="Trebuchet MS" w:cs="Arial"/>
                <w:sz w:val="22"/>
                <w:szCs w:val="22"/>
              </w:rPr>
            </w:pPr>
            <w:r w:rsidRPr="00DD46ED">
              <w:rPr>
                <w:rFonts w:ascii="Trebuchet MS" w:hAnsi="Trebuchet MS" w:cs="Arial"/>
                <w:sz w:val="22"/>
                <w:szCs w:val="22"/>
              </w:rPr>
              <w:t>71</w:t>
            </w:r>
          </w:p>
        </w:tc>
        <w:tc>
          <w:tcPr>
            <w:tcW w:w="750" w:type="dxa"/>
          </w:tcPr>
          <w:p w:rsidR="003351E8" w:rsidRPr="00DD46ED" w:rsidRDefault="003351E8" w:rsidP="00C55BA9">
            <w:pPr>
              <w:jc w:val="center"/>
              <w:rPr>
                <w:rFonts w:ascii="Trebuchet MS" w:hAnsi="Trebuchet MS" w:cs="Arial"/>
                <w:sz w:val="22"/>
                <w:szCs w:val="22"/>
              </w:rPr>
            </w:pPr>
          </w:p>
          <w:p w:rsidR="003351E8" w:rsidRPr="00DD46ED" w:rsidRDefault="003351E8" w:rsidP="00C55BA9">
            <w:pPr>
              <w:jc w:val="center"/>
              <w:rPr>
                <w:rFonts w:ascii="Trebuchet MS" w:hAnsi="Trebuchet MS" w:cs="Arial"/>
                <w:sz w:val="22"/>
                <w:szCs w:val="22"/>
              </w:rPr>
            </w:pPr>
          </w:p>
          <w:p w:rsidR="003351E8" w:rsidRPr="00DD46ED" w:rsidRDefault="003351E8" w:rsidP="00C55BA9">
            <w:pPr>
              <w:jc w:val="center"/>
              <w:rPr>
                <w:rFonts w:ascii="Trebuchet MS" w:hAnsi="Trebuchet MS" w:cs="Arial"/>
                <w:sz w:val="22"/>
                <w:szCs w:val="22"/>
              </w:rPr>
            </w:pPr>
            <w:r w:rsidRPr="00DD46ED">
              <w:rPr>
                <w:rFonts w:ascii="Trebuchet MS" w:hAnsi="Trebuchet MS" w:cs="Arial"/>
                <w:sz w:val="22"/>
                <w:szCs w:val="22"/>
              </w:rPr>
              <w:t>71</w:t>
            </w:r>
          </w:p>
        </w:tc>
        <w:tc>
          <w:tcPr>
            <w:tcW w:w="750" w:type="dxa"/>
            <w:vAlign w:val="center"/>
          </w:tcPr>
          <w:p w:rsidR="003351E8" w:rsidRPr="00DD46ED" w:rsidRDefault="003351E8" w:rsidP="00C55BA9">
            <w:pPr>
              <w:jc w:val="center"/>
              <w:rPr>
                <w:rFonts w:ascii="Trebuchet MS" w:hAnsi="Trebuchet MS" w:cs="Arial"/>
                <w:sz w:val="22"/>
                <w:szCs w:val="22"/>
              </w:rPr>
            </w:pPr>
            <w:r w:rsidRPr="00DD46ED">
              <w:rPr>
                <w:rFonts w:ascii="Trebuchet MS" w:hAnsi="Trebuchet MS" w:cs="Arial"/>
                <w:sz w:val="22"/>
                <w:szCs w:val="22"/>
              </w:rPr>
              <w:t>90</w:t>
            </w:r>
          </w:p>
        </w:tc>
        <w:tc>
          <w:tcPr>
            <w:tcW w:w="750" w:type="dxa"/>
            <w:vAlign w:val="center"/>
          </w:tcPr>
          <w:p w:rsidR="003351E8" w:rsidRPr="00DD46ED" w:rsidRDefault="003351E8" w:rsidP="00C55BA9">
            <w:pPr>
              <w:jc w:val="center"/>
              <w:rPr>
                <w:rFonts w:ascii="Trebuchet MS" w:hAnsi="Trebuchet MS" w:cs="Arial"/>
                <w:sz w:val="22"/>
                <w:szCs w:val="22"/>
              </w:rPr>
            </w:pPr>
            <w:r w:rsidRPr="00DD46ED">
              <w:rPr>
                <w:rFonts w:ascii="Trebuchet MS" w:hAnsi="Trebuchet MS" w:cs="Arial"/>
                <w:sz w:val="22"/>
                <w:szCs w:val="22"/>
              </w:rPr>
              <w:t>90</w:t>
            </w:r>
          </w:p>
        </w:tc>
      </w:tr>
      <w:tr w:rsidR="003351E8" w:rsidRPr="00DD46ED" w:rsidTr="00C55BA9">
        <w:tc>
          <w:tcPr>
            <w:tcW w:w="143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 Cu două căi</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28</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28</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28</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28</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33</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33</w:t>
            </w:r>
          </w:p>
        </w:tc>
      </w:tr>
    </w:tbl>
    <w:p w:rsidR="003351E8" w:rsidRPr="00DD46ED" w:rsidRDefault="003351E8" w:rsidP="003351E8">
      <w:pPr>
        <w:rPr>
          <w:rFonts w:ascii="Trebuchet MS" w:hAnsi="Trebuchet MS" w:cs="Arial"/>
          <w:sz w:val="22"/>
          <w:szCs w:val="22"/>
        </w:rPr>
      </w:pPr>
    </w:p>
    <w:p w:rsidR="003351E8" w:rsidRPr="00DD46ED" w:rsidRDefault="003351E8" w:rsidP="003351E8">
      <w:pPr>
        <w:rPr>
          <w:rFonts w:ascii="Trebuchet MS" w:hAnsi="Trebuchet MS" w:cs="Arial"/>
          <w:sz w:val="22"/>
          <w:szCs w:val="22"/>
        </w:rPr>
      </w:pPr>
    </w:p>
    <w:p w:rsidR="003351E8" w:rsidRPr="00DD46ED" w:rsidRDefault="003351E8" w:rsidP="003351E8">
      <w:pPr>
        <w:rPr>
          <w:rFonts w:ascii="Trebuchet MS" w:hAnsi="Trebuchet MS" w:cs="Arial"/>
          <w:sz w:val="22"/>
          <w:szCs w:val="22"/>
        </w:rPr>
      </w:pPr>
      <w:r w:rsidRPr="00DD46ED">
        <w:rPr>
          <w:rFonts w:ascii="Trebuchet MS" w:hAnsi="Trebuchet MS" w:cs="Arial"/>
          <w:sz w:val="22"/>
          <w:szCs w:val="22"/>
        </w:rPr>
        <w:t>Drumurile publice sunt căile de comunicaţie terestră, cu exceptia căilor ferate, special amenajate pentru traficul pietonal şi rutier deschise  circulaţiei publice.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Lungimea drumurilor publice reprezintă totalitatea drumurilor deschise circulaţiei publice de pe întreg teritoriul ţării; se grupează din punct de vedere administrativ iîn reţea de drumuri naţionale, judeţene şi comunale, incluzând fiecare, categoriile de drumuri respective.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Se înregistrează la o anumită dată (de obicei la sfarşitul anului) şi sunt grupate astfel:</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 drumuri modernizate;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 drumuri cu îmbrăcăminţi uşoare rutiere;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 drumuri pietruite;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 drumuri de pământ.</w:t>
      </w:r>
    </w:p>
    <w:p w:rsidR="003351E8" w:rsidRPr="00DD46ED" w:rsidRDefault="003351E8" w:rsidP="003351E8">
      <w:pPr>
        <w:rPr>
          <w:rFonts w:ascii="Trebuchet MS" w:hAnsi="Trebuchet MS" w:cs="Arial"/>
          <w:sz w:val="22"/>
          <w:szCs w:val="22"/>
          <w:lang w:val="ro-RO"/>
        </w:rPr>
      </w:pPr>
    </w:p>
    <w:p w:rsidR="003351E8" w:rsidRPr="00DD46ED" w:rsidRDefault="003351E8" w:rsidP="003351E8">
      <w:pPr>
        <w:rPr>
          <w:rFonts w:ascii="Trebuchet MS" w:hAnsi="Trebuchet MS" w:cs="Arial"/>
          <w:sz w:val="22"/>
          <w:szCs w:val="22"/>
        </w:rPr>
      </w:pPr>
      <w:r w:rsidRPr="00DD46ED">
        <w:rPr>
          <w:rFonts w:ascii="Trebuchet MS" w:hAnsi="Trebuchet MS" w:cs="Arial"/>
          <w:sz w:val="22"/>
          <w:szCs w:val="22"/>
        </w:rPr>
        <w:t xml:space="preserve">       Tabel nr.   </w:t>
      </w:r>
      <w:r w:rsidRPr="00DD46ED">
        <w:rPr>
          <w:rFonts w:ascii="Trebuchet MS" w:hAnsi="Trebuchet MS" w:cs="Arial"/>
          <w:sz w:val="22"/>
          <w:szCs w:val="22"/>
          <w:lang w:val="ro-RO"/>
        </w:rPr>
        <w:t>IV.3.2.2.</w:t>
      </w:r>
      <w:r w:rsidRPr="00DD46ED">
        <w:rPr>
          <w:rFonts w:ascii="Trebuchet MS" w:hAnsi="Trebuchet MS" w:cs="Arial"/>
          <w:sz w:val="22"/>
          <w:szCs w:val="22"/>
        </w:rPr>
        <w:t xml:space="preserve">         Lungimea drumurilor publice ( km )</w:t>
      </w:r>
    </w:p>
    <w:p w:rsidR="003351E8" w:rsidRPr="00DD46ED" w:rsidRDefault="003351E8" w:rsidP="003351E8">
      <w:pPr>
        <w:rPr>
          <w:rFonts w:ascii="Trebuchet MS" w:hAnsi="Trebuchet MS" w:cs="Arial"/>
          <w:sz w:val="22"/>
          <w:szCs w:val="22"/>
        </w:rPr>
      </w:pPr>
    </w:p>
    <w:tbl>
      <w:tblPr>
        <w:tblW w:w="0" w:type="auto"/>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750"/>
        <w:gridCol w:w="750"/>
        <w:gridCol w:w="750"/>
        <w:gridCol w:w="750"/>
        <w:gridCol w:w="750"/>
      </w:tblGrid>
      <w:tr w:rsidR="003351E8" w:rsidRPr="00DD46ED" w:rsidTr="00C55BA9">
        <w:tc>
          <w:tcPr>
            <w:tcW w:w="1546" w:type="dxa"/>
          </w:tcPr>
          <w:p w:rsidR="003351E8" w:rsidRPr="00DD46ED" w:rsidRDefault="003351E8" w:rsidP="00C55BA9">
            <w:pPr>
              <w:rPr>
                <w:rFonts w:ascii="Trebuchet MS" w:hAnsi="Trebuchet MS" w:cs="Arial"/>
                <w:sz w:val="22"/>
                <w:szCs w:val="22"/>
              </w:rPr>
            </w:pP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2018</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2020</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2021</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2022</w:t>
            </w:r>
          </w:p>
        </w:tc>
        <w:tc>
          <w:tcPr>
            <w:tcW w:w="750" w:type="dxa"/>
          </w:tcPr>
          <w:p w:rsidR="003351E8" w:rsidRPr="00DD46ED" w:rsidRDefault="003351E8" w:rsidP="00C55BA9">
            <w:pPr>
              <w:rPr>
                <w:rFonts w:ascii="Trebuchet MS" w:hAnsi="Trebuchet MS" w:cs="Arial"/>
                <w:b/>
                <w:sz w:val="22"/>
                <w:szCs w:val="22"/>
              </w:rPr>
            </w:pPr>
            <w:r w:rsidRPr="00DD46ED">
              <w:rPr>
                <w:rFonts w:ascii="Trebuchet MS" w:hAnsi="Trebuchet MS" w:cs="Arial"/>
                <w:b/>
                <w:sz w:val="22"/>
                <w:szCs w:val="22"/>
              </w:rPr>
              <w:t>2023</w:t>
            </w:r>
          </w:p>
        </w:tc>
      </w:tr>
      <w:tr w:rsidR="003351E8" w:rsidRPr="00DD46ED" w:rsidTr="00C55BA9">
        <w:tc>
          <w:tcPr>
            <w:tcW w:w="1546"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Drumuri publice</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92</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92</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r>
      <w:tr w:rsidR="003351E8" w:rsidRPr="00DD46ED" w:rsidTr="00C55BA9">
        <w:tc>
          <w:tcPr>
            <w:tcW w:w="1546"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Din care</w:t>
            </w:r>
          </w:p>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 xml:space="preserve"> -modernizate</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92</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92</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r>
      <w:tr w:rsidR="003351E8" w:rsidRPr="00DD46ED" w:rsidTr="00C55BA9">
        <w:tc>
          <w:tcPr>
            <w:tcW w:w="1546"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-drumuri naţionale</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92</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92</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c>
          <w:tcPr>
            <w:tcW w:w="750" w:type="dxa"/>
          </w:tcPr>
          <w:p w:rsidR="003351E8" w:rsidRPr="00DD46ED" w:rsidRDefault="003351E8" w:rsidP="00C55BA9">
            <w:pPr>
              <w:rPr>
                <w:rFonts w:ascii="Trebuchet MS" w:hAnsi="Trebuchet MS" w:cs="Arial"/>
                <w:sz w:val="22"/>
                <w:szCs w:val="22"/>
              </w:rPr>
            </w:pPr>
            <w:r w:rsidRPr="00DD46ED">
              <w:rPr>
                <w:rFonts w:ascii="Trebuchet MS" w:hAnsi="Trebuchet MS" w:cs="Arial"/>
                <w:sz w:val="22"/>
                <w:szCs w:val="22"/>
              </w:rPr>
              <w:t>91</w:t>
            </w:r>
          </w:p>
        </w:tc>
      </w:tr>
    </w:tbl>
    <w:p w:rsidR="003351E8" w:rsidRPr="00DD46ED" w:rsidRDefault="003351E8" w:rsidP="003351E8">
      <w:pPr>
        <w:rPr>
          <w:rFonts w:ascii="Trebuchet MS" w:hAnsi="Trebuchet MS"/>
          <w:sz w:val="22"/>
          <w:szCs w:val="22"/>
        </w:rPr>
      </w:pPr>
    </w:p>
    <w:p w:rsidR="003351E8" w:rsidRPr="00DD46ED" w:rsidRDefault="003351E8" w:rsidP="003351E8">
      <w:pPr>
        <w:rPr>
          <w:rFonts w:ascii="Trebuchet MS" w:hAnsi="Trebuchet MS" w:cs="Arial"/>
          <w:sz w:val="22"/>
          <w:szCs w:val="22"/>
        </w:rPr>
      </w:pPr>
      <w:r w:rsidRPr="00DD46ED">
        <w:rPr>
          <w:rFonts w:ascii="Trebuchet MS" w:hAnsi="Trebuchet MS" w:cs="Arial"/>
          <w:sz w:val="22"/>
          <w:szCs w:val="22"/>
        </w:rPr>
        <w:t xml:space="preserve">        Sursa datelor: Institutul Naţional de Statistică</w:t>
      </w:r>
    </w:p>
    <w:p w:rsidR="003351E8" w:rsidRPr="00DD46ED" w:rsidRDefault="003351E8" w:rsidP="003351E8">
      <w:pPr>
        <w:rPr>
          <w:rFonts w:ascii="Trebuchet MS" w:hAnsi="Trebuchet MS"/>
          <w:sz w:val="22"/>
          <w:szCs w:val="22"/>
        </w:rPr>
      </w:pPr>
    </w:p>
    <w:p w:rsidR="003351E8" w:rsidRPr="00DD46ED" w:rsidRDefault="003351E8" w:rsidP="003351E8">
      <w:pPr>
        <w:autoSpaceDE w:val="0"/>
        <w:autoSpaceDN w:val="0"/>
        <w:adjustRightInd w:val="0"/>
        <w:rPr>
          <w:rFonts w:ascii="Trebuchet MS" w:eastAsia="Times New Roman" w:hAnsi="Trebuchet MS" w:cs="Arial"/>
          <w:b/>
          <w:sz w:val="22"/>
          <w:szCs w:val="22"/>
        </w:rPr>
      </w:pPr>
      <w:r w:rsidRPr="00DD46ED">
        <w:rPr>
          <w:rFonts w:ascii="Trebuchet MS" w:eastAsia="Times New Roman" w:hAnsi="Trebuchet MS" w:cs="Arial"/>
          <w:b/>
          <w:sz w:val="22"/>
          <w:szCs w:val="22"/>
        </w:rPr>
        <w:t xml:space="preserve">    B. Alte date şi informaţii specifice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Amenajarea teritoriului poate juca un rol important în realizarea unei exploatări mai durabile a terenurilor ţinând cont de calitatea şi caracteristicile diferitelor suprafeţe de teren şi de funcţiile solurilor în raport cu obiective şi interese concurente.</w:t>
      </w:r>
    </w:p>
    <w:p w:rsidR="003351E8" w:rsidRPr="00DD46ED" w:rsidRDefault="003351E8" w:rsidP="003351E8">
      <w:pPr>
        <w:jc w:val="both"/>
        <w:rPr>
          <w:rFonts w:ascii="Trebuchet MS" w:eastAsia="Calibri" w:hAnsi="Trebuchet MS" w:cs="Arial"/>
          <w:sz w:val="22"/>
          <w:szCs w:val="22"/>
          <w:lang w:val="ro-RO"/>
        </w:rPr>
      </w:pPr>
      <w:r w:rsidRPr="00DD46ED">
        <w:rPr>
          <w:rFonts w:ascii="Trebuchet MS" w:hAnsi="Trebuchet MS" w:cs="Arial"/>
          <w:sz w:val="22"/>
          <w:szCs w:val="22"/>
        </w:rPr>
        <w:t xml:space="preserve">    Nevoia de locuinţe noi, industrie, locaţii pentru afaceri şi infrastructură de transport reprezintă, de obicei, forţa motrice cheie din spatele impermeabilizării solurilor, în special ca răspuns la o populaţie din ce în ce mai numeroasă şi la cererea unei calităţi mai ridicate a vieţii şi a standardelor de viaţă (locuinţe de dimensiuni mai mari, mai multe facilităţi sociale şi pentru practicarea sporturilor, etc.).</w:t>
      </w:r>
    </w:p>
    <w:p w:rsidR="003351E8" w:rsidRPr="00F9204C" w:rsidRDefault="003351E8" w:rsidP="003351E8">
      <w:pPr>
        <w:rPr>
          <w:rFonts w:ascii="Trebuchet MS" w:hAnsi="Trebuchet MS" w:cs="Arial"/>
          <w:lang w:val="it-IT"/>
        </w:rPr>
      </w:pPr>
    </w:p>
    <w:p w:rsidR="003351E8" w:rsidRPr="00F9204C" w:rsidRDefault="003351E8" w:rsidP="003351E8">
      <w:pPr>
        <w:rPr>
          <w:rFonts w:ascii="Trebuchet MS" w:hAnsi="Trebuchet MS" w:cs="Arial"/>
          <w:b/>
          <w:lang w:val="ro-RO"/>
        </w:rPr>
      </w:pPr>
      <w:r w:rsidRPr="00F9204C">
        <w:rPr>
          <w:rFonts w:ascii="Trebuchet MS" w:hAnsi="Trebuchet MS" w:cs="Arial"/>
          <w:b/>
          <w:lang w:val="ro-RO"/>
        </w:rPr>
        <w:t xml:space="preserve">    IV.4. Prognoze şi acţiuni întreprinse privind utilizarea terenurilor </w:t>
      </w:r>
      <w:r w:rsidRPr="00F9204C">
        <w:rPr>
          <w:rFonts w:ascii="Trebuchet MS" w:hAnsi="Trebuchet MS" w:cs="Arial"/>
          <w:b/>
          <w:lang w:val="ro-RO"/>
        </w:rPr>
        <w:tab/>
      </w:r>
    </w:p>
    <w:p w:rsidR="003351E8" w:rsidRPr="00F9204C" w:rsidRDefault="003351E8" w:rsidP="003351E8">
      <w:pPr>
        <w:rPr>
          <w:rFonts w:ascii="Trebuchet MS" w:hAnsi="Trebuchet MS" w:cs="Arial"/>
          <w:b/>
          <w:lang w:val="ro-RO"/>
        </w:rPr>
      </w:pPr>
    </w:p>
    <w:p w:rsidR="003351E8" w:rsidRPr="00DD46ED" w:rsidRDefault="003351E8" w:rsidP="004F134E">
      <w:pPr>
        <w:numPr>
          <w:ilvl w:val="0"/>
          <w:numId w:val="19"/>
        </w:numPr>
        <w:contextualSpacing/>
        <w:jc w:val="both"/>
        <w:rPr>
          <w:rFonts w:ascii="Trebuchet MS" w:eastAsia="Times New Roman" w:hAnsi="Trebuchet MS" w:cs="Arial"/>
          <w:b/>
          <w:sz w:val="22"/>
          <w:szCs w:val="22"/>
        </w:rPr>
      </w:pPr>
      <w:r w:rsidRPr="00DD46ED">
        <w:rPr>
          <w:rFonts w:ascii="Trebuchet MS" w:eastAsia="Times New Roman" w:hAnsi="Trebuchet MS" w:cs="Arial"/>
          <w:b/>
          <w:sz w:val="22"/>
          <w:szCs w:val="22"/>
        </w:rPr>
        <w:t>Indicatori specifici</w:t>
      </w:r>
    </w:p>
    <w:p w:rsidR="003351E8" w:rsidRPr="00DD46ED" w:rsidRDefault="003351E8" w:rsidP="003351E8">
      <w:pPr>
        <w:autoSpaceDE w:val="0"/>
        <w:autoSpaceDN w:val="0"/>
        <w:adjustRightInd w:val="0"/>
        <w:rPr>
          <w:rFonts w:ascii="Trebuchet MS" w:eastAsia="Times New Roman" w:hAnsi="Trebuchet MS" w:cs="Arial"/>
          <w:sz w:val="22"/>
          <w:szCs w:val="22"/>
        </w:rPr>
      </w:pPr>
      <w:r w:rsidRPr="00DD46ED">
        <w:rPr>
          <w:rFonts w:ascii="Trebuchet MS" w:hAnsi="Trebuchet MS" w:cs="Arial"/>
          <w:sz w:val="22"/>
          <w:szCs w:val="22"/>
        </w:rPr>
        <w:t xml:space="preserve">       Nu este cazul</w:t>
      </w:r>
    </w:p>
    <w:p w:rsidR="003351E8" w:rsidRPr="00DD46ED" w:rsidRDefault="003351E8" w:rsidP="003351E8">
      <w:pPr>
        <w:autoSpaceDE w:val="0"/>
        <w:autoSpaceDN w:val="0"/>
        <w:adjustRightInd w:val="0"/>
        <w:rPr>
          <w:rFonts w:ascii="Trebuchet MS" w:eastAsia="Times New Roman" w:hAnsi="Trebuchet MS" w:cs="Arial"/>
          <w:sz w:val="22"/>
          <w:szCs w:val="22"/>
        </w:rPr>
      </w:pPr>
    </w:p>
    <w:p w:rsidR="003351E8" w:rsidRPr="00DD46ED" w:rsidRDefault="003351E8" w:rsidP="003351E8">
      <w:pPr>
        <w:autoSpaceDE w:val="0"/>
        <w:autoSpaceDN w:val="0"/>
        <w:adjustRightInd w:val="0"/>
        <w:rPr>
          <w:rFonts w:ascii="Trebuchet MS" w:eastAsia="Times New Roman" w:hAnsi="Trebuchet MS" w:cs="Arial"/>
          <w:b/>
          <w:sz w:val="22"/>
          <w:szCs w:val="22"/>
        </w:rPr>
      </w:pPr>
      <w:r w:rsidRPr="00DD46ED">
        <w:rPr>
          <w:rFonts w:ascii="Trebuchet MS" w:eastAsia="Times New Roman" w:hAnsi="Trebuchet MS" w:cs="Arial"/>
          <w:b/>
          <w:sz w:val="22"/>
          <w:szCs w:val="22"/>
        </w:rPr>
        <w:t xml:space="preserve">    B. Alte date şi informaţii specifice</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w:t>
      </w:r>
      <w:r w:rsidRPr="00DD46ED">
        <w:rPr>
          <w:rFonts w:ascii="Trebuchet MS" w:hAnsi="Trebuchet MS" w:cs="Arial"/>
          <w:sz w:val="22"/>
          <w:szCs w:val="22"/>
        </w:rPr>
        <w:tab/>
        <w:t>Impermeabilizarea solului, atunci când terenul este acoperit cu un material impermeabil precum betonul sau asfaltul, reprezintă una dintre principalele cauze ale degradării solului.</w:t>
      </w:r>
    </w:p>
    <w:p w:rsidR="003351E8" w:rsidRPr="00DD46ED" w:rsidRDefault="003351E8" w:rsidP="003351E8">
      <w:pPr>
        <w:jc w:val="both"/>
        <w:rPr>
          <w:rFonts w:ascii="Trebuchet MS" w:hAnsi="Trebuchet MS" w:cs="Arial"/>
          <w:sz w:val="22"/>
          <w:szCs w:val="22"/>
        </w:rPr>
      </w:pPr>
      <w:r w:rsidRPr="00DD46ED">
        <w:rPr>
          <w:rFonts w:ascii="Trebuchet MS" w:hAnsi="Trebuchet MS" w:cs="Arial"/>
          <w:sz w:val="22"/>
          <w:szCs w:val="22"/>
        </w:rPr>
        <w:t xml:space="preserve"> </w:t>
      </w:r>
      <w:r w:rsidRPr="00DD46ED">
        <w:rPr>
          <w:rFonts w:ascii="Trebuchet MS" w:hAnsi="Trebuchet MS" w:cs="Arial"/>
          <w:sz w:val="22"/>
          <w:szCs w:val="22"/>
        </w:rPr>
        <w:tab/>
        <w:t xml:space="preserve"> Impermeabilizarea solului creşte riscul de inundaţii şi de apariţie a unor deficite de apă, contribuie la încălzirea globală, pune în pericol biodiversitatea şi constituie un motiv special de îngrijorare în cazul în care sunt acoperite suprafeţele agricole fertile.</w:t>
      </w:r>
    </w:p>
    <w:p w:rsidR="00DD46ED" w:rsidRDefault="003351E8" w:rsidP="00F9204C">
      <w:pPr>
        <w:jc w:val="both"/>
        <w:rPr>
          <w:rFonts w:ascii="Trebuchet MS" w:hAnsi="Trebuchet MS" w:cs="Arial"/>
          <w:sz w:val="22"/>
          <w:szCs w:val="22"/>
        </w:rPr>
      </w:pPr>
      <w:r w:rsidRPr="00DD46ED">
        <w:rPr>
          <w:rFonts w:ascii="Trebuchet MS" w:hAnsi="Trebuchet MS"/>
          <w:sz w:val="22"/>
          <w:szCs w:val="22"/>
        </w:rPr>
        <w:t xml:space="preserve">  </w:t>
      </w:r>
      <w:r w:rsidRPr="00DD46ED">
        <w:rPr>
          <w:rFonts w:ascii="Trebuchet MS" w:hAnsi="Trebuchet MS"/>
          <w:sz w:val="22"/>
          <w:szCs w:val="22"/>
        </w:rPr>
        <w:tab/>
      </w:r>
      <w:r w:rsidRPr="00DD46ED">
        <w:rPr>
          <w:rFonts w:ascii="Trebuchet MS" w:hAnsi="Trebuchet MS" w:cs="Arial"/>
          <w:sz w:val="22"/>
          <w:szCs w:val="22"/>
        </w:rPr>
        <w:t>Răspândirea suprafeţelor impermeabile ca urmare a urbanizării şi a schimbărilor aduse utilizării terenurilor, precum şi diminuarea resurselor solului, este una dintre cele mai importante provocări de mediu din prezent.</w:t>
      </w:r>
    </w:p>
    <w:p w:rsidR="00DD46ED" w:rsidRDefault="00DD46ED">
      <w:pPr>
        <w:rPr>
          <w:rFonts w:ascii="Trebuchet MS" w:hAnsi="Trebuchet MS" w:cs="Arial"/>
          <w:sz w:val="22"/>
          <w:szCs w:val="22"/>
        </w:rPr>
      </w:pPr>
      <w:r>
        <w:rPr>
          <w:rFonts w:ascii="Trebuchet MS" w:hAnsi="Trebuchet MS" w:cs="Arial"/>
          <w:sz w:val="22"/>
          <w:szCs w:val="22"/>
        </w:rPr>
        <w:br w:type="page"/>
      </w:r>
    </w:p>
    <w:p w:rsidR="00AB6959" w:rsidRPr="00DD46ED" w:rsidRDefault="00AB6959" w:rsidP="00F9204C">
      <w:pPr>
        <w:jc w:val="both"/>
        <w:rPr>
          <w:rFonts w:ascii="Trebuchet MS" w:hAnsi="Trebuchet MS"/>
          <w:sz w:val="22"/>
          <w:szCs w:val="22"/>
        </w:rPr>
      </w:pPr>
    </w:p>
    <w:p w:rsidR="00AE762B" w:rsidRPr="00DD46ED" w:rsidRDefault="00AE762B" w:rsidP="00F60926">
      <w:pPr>
        <w:rPr>
          <w:rFonts w:ascii="Trebuchet MS" w:hAnsi="Trebuchet MS" w:cs="Arial"/>
          <w:b/>
          <w:color w:val="000000"/>
          <w:sz w:val="22"/>
          <w:szCs w:val="22"/>
          <w:lang w:val="ro-RO"/>
        </w:rPr>
      </w:pPr>
    </w:p>
    <w:p w:rsidR="00AE762B" w:rsidRPr="00A60EDC" w:rsidRDefault="00AE762B" w:rsidP="00060665">
      <w:pPr>
        <w:jc w:val="center"/>
        <w:rPr>
          <w:rFonts w:ascii="Trebuchet MS" w:hAnsi="Trebuchet MS" w:cs="Arial"/>
          <w:b/>
          <w:lang w:val="it-IT"/>
        </w:rPr>
      </w:pPr>
      <w:r w:rsidRPr="00A60EDC">
        <w:rPr>
          <w:rFonts w:ascii="Trebuchet MS" w:hAnsi="Trebuchet MS" w:cs="Arial"/>
          <w:b/>
          <w:lang w:val="it-IT"/>
        </w:rPr>
        <w:t>CAPITOLUL V</w:t>
      </w:r>
    </w:p>
    <w:p w:rsidR="00AE762B" w:rsidRPr="00A60EDC" w:rsidRDefault="00AE762B" w:rsidP="00060665">
      <w:pPr>
        <w:jc w:val="center"/>
        <w:rPr>
          <w:rFonts w:ascii="Trebuchet MS" w:hAnsi="Trebuchet MS" w:cs="Arial"/>
          <w:b/>
          <w:lang w:val="it-IT"/>
        </w:rPr>
      </w:pPr>
      <w:r w:rsidRPr="00A60EDC">
        <w:rPr>
          <w:rFonts w:ascii="Trebuchet MS" w:hAnsi="Trebuchet MS" w:cs="Arial"/>
          <w:b/>
          <w:lang w:val="it-IT"/>
        </w:rPr>
        <w:t>PROTECŢIA NATURII ŞI BIODIVERSITATEA</w:t>
      </w:r>
    </w:p>
    <w:p w:rsidR="00AE762B" w:rsidRPr="00A60EDC" w:rsidRDefault="00AE762B" w:rsidP="0071102C">
      <w:pPr>
        <w:rPr>
          <w:rFonts w:ascii="Trebuchet MS" w:hAnsi="Trebuchet MS" w:cs="Arial"/>
          <w:b/>
          <w:lang w:val="it-IT"/>
        </w:rPr>
      </w:pPr>
      <w:r w:rsidRPr="00A60EDC">
        <w:rPr>
          <w:rFonts w:ascii="Trebuchet MS" w:hAnsi="Trebuchet MS" w:cs="Arial"/>
          <w:b/>
          <w:lang w:val="it-IT"/>
        </w:rPr>
        <w:t xml:space="preserve"> </w:t>
      </w:r>
      <w:r w:rsidRPr="00A60EDC">
        <w:rPr>
          <w:rFonts w:ascii="Trebuchet MS" w:hAnsi="Trebuchet MS" w:cs="Arial"/>
          <w:b/>
          <w:lang w:val="it-IT"/>
        </w:rPr>
        <w:tab/>
        <w:t xml:space="preserve"> </w:t>
      </w:r>
    </w:p>
    <w:p w:rsidR="00AE762B" w:rsidRPr="00A60EDC" w:rsidRDefault="00AE762B" w:rsidP="0071102C">
      <w:pPr>
        <w:rPr>
          <w:rFonts w:ascii="Trebuchet MS" w:hAnsi="Trebuchet MS" w:cs="Arial"/>
          <w:b/>
          <w:lang w:val="it-IT"/>
        </w:rPr>
      </w:pPr>
    </w:p>
    <w:p w:rsidR="00672663" w:rsidRPr="00A60EDC" w:rsidRDefault="00672663" w:rsidP="00672663">
      <w:pPr>
        <w:tabs>
          <w:tab w:val="left" w:pos="180"/>
        </w:tabs>
        <w:rPr>
          <w:rFonts w:ascii="Trebuchet MS" w:hAnsi="Trebuchet MS" w:cs="Arial"/>
          <w:b/>
        </w:rPr>
      </w:pPr>
      <w:r w:rsidRPr="00A60EDC">
        <w:rPr>
          <w:rFonts w:ascii="Trebuchet MS" w:hAnsi="Trebuchet MS" w:cs="Arial"/>
          <w:b/>
        </w:rPr>
        <w:t xml:space="preserve">  V.1 Ameninţări pentru biodiversitate şi presiuni exercitate asupra biodiversităţii </w:t>
      </w:r>
      <w:r w:rsidRPr="00A60EDC">
        <w:rPr>
          <w:rFonts w:ascii="Trebuchet MS" w:hAnsi="Trebuchet MS" w:cs="Arial"/>
          <w:b/>
        </w:rPr>
        <w:tab/>
        <w:t xml:space="preserve"> </w:t>
      </w:r>
    </w:p>
    <w:p w:rsidR="00672663" w:rsidRPr="00A60EDC" w:rsidRDefault="00672663" w:rsidP="00672663">
      <w:pPr>
        <w:rPr>
          <w:rFonts w:ascii="Trebuchet MS" w:hAnsi="Trebuchet MS" w:cs="Arial"/>
          <w:b/>
        </w:rPr>
      </w:pPr>
    </w:p>
    <w:p w:rsidR="00672663" w:rsidRPr="00DD46ED" w:rsidRDefault="00672663" w:rsidP="00672663">
      <w:pPr>
        <w:pStyle w:val="NoSpacing"/>
        <w:ind w:firstLine="708"/>
        <w:jc w:val="both"/>
        <w:rPr>
          <w:rFonts w:ascii="Trebuchet MS" w:eastAsia="AJensonPro-Regular" w:hAnsi="Trebuchet MS" w:cs="Arial"/>
          <w:color w:val="FF0000"/>
          <w:lang w:eastAsia="ro-RO"/>
        </w:rPr>
      </w:pPr>
      <w:r w:rsidRPr="00DD46ED">
        <w:rPr>
          <w:rFonts w:ascii="Trebuchet MS" w:hAnsi="Trebuchet MS" w:cs="Arial"/>
        </w:rPr>
        <w:t>Preocupările actuale pentru stoparea distrugerii biodiversităţii sunt justificate de rata nemaiîntâlnită cu care aceasta este pierdută, fiind într-un real pericol de dispariţie categorii întregi de componente ale sale. Speciile care supravieţuiesc suferă o reducere a variabilităţii genetice. Distrugerea componentelor biodiversităţii reduce opţiunile viitoare ale umanităţii şi ameninţă însăşi posibilitatea continuităţii societăţii umane.</w:t>
      </w:r>
    </w:p>
    <w:p w:rsidR="00672663" w:rsidRPr="00DD46ED" w:rsidRDefault="00672663" w:rsidP="00672663">
      <w:pPr>
        <w:pStyle w:val="NoSpacing"/>
        <w:jc w:val="both"/>
        <w:rPr>
          <w:rFonts w:ascii="Trebuchet MS" w:eastAsia="Calibri" w:hAnsi="Trebuchet MS" w:cs="Arial"/>
          <w:lang w:eastAsia="ro-RO"/>
        </w:rPr>
      </w:pPr>
      <w:r w:rsidRPr="00DD46ED">
        <w:rPr>
          <w:rFonts w:ascii="Trebuchet MS" w:eastAsia="Calibri" w:hAnsi="Trebuchet MS" w:cs="Arial"/>
          <w:lang w:eastAsia="ro-RO"/>
        </w:rPr>
        <w:tab/>
        <w:t xml:space="preserve">În afara factorilor naturali (secetă, inundaţii, mişcări seismice, etc.) asupra florei şi faunei se exercită presiuni şi prin: despăduriri, incendii, introducerea de specii alogene, poluări industriale, testări necontrolate de OMG-uri, substanţe fitosanitare, recoltări şi capturări necontrolate, schimbarea destinaţiei terenurilor, etc. </w:t>
      </w:r>
    </w:p>
    <w:p w:rsidR="00672663" w:rsidRPr="00A60EDC" w:rsidRDefault="00672663" w:rsidP="00672663">
      <w:pPr>
        <w:tabs>
          <w:tab w:val="left" w:pos="1176"/>
          <w:tab w:val="left" w:leader="dot" w:pos="9356"/>
        </w:tabs>
        <w:ind w:left="170"/>
        <w:rPr>
          <w:rFonts w:ascii="Trebuchet MS" w:hAnsi="Trebuchet MS" w:cs="Arial"/>
          <w:i/>
          <w:lang w:val="ro-RO"/>
        </w:rPr>
      </w:pPr>
    </w:p>
    <w:p w:rsidR="00672663" w:rsidRPr="00A60EDC" w:rsidRDefault="00672663" w:rsidP="00672663">
      <w:pPr>
        <w:tabs>
          <w:tab w:val="left" w:pos="360"/>
          <w:tab w:val="left" w:pos="1176"/>
          <w:tab w:val="left" w:leader="dot" w:pos="9356"/>
        </w:tabs>
        <w:ind w:left="170"/>
        <w:rPr>
          <w:rFonts w:ascii="Trebuchet MS" w:hAnsi="Trebuchet MS" w:cs="Arial"/>
          <w:b/>
          <w:i/>
          <w:lang w:val="ro-RO"/>
        </w:rPr>
      </w:pPr>
      <w:r w:rsidRPr="00A60EDC">
        <w:rPr>
          <w:rFonts w:ascii="Trebuchet MS" w:hAnsi="Trebuchet MS" w:cs="Arial"/>
          <w:b/>
          <w:i/>
          <w:lang w:val="ro-RO"/>
        </w:rPr>
        <w:t xml:space="preserve"> V.1.1 Speciile invazive  </w:t>
      </w:r>
    </w:p>
    <w:p w:rsidR="00672663" w:rsidRPr="00A60EDC" w:rsidRDefault="00672663" w:rsidP="00672663">
      <w:pPr>
        <w:tabs>
          <w:tab w:val="left" w:pos="1176"/>
          <w:tab w:val="left" w:leader="dot" w:pos="9356"/>
        </w:tabs>
        <w:ind w:left="170"/>
        <w:rPr>
          <w:rFonts w:ascii="Trebuchet MS" w:hAnsi="Trebuchet MS" w:cs="Arial"/>
          <w:i/>
          <w:lang w:val="ro-RO"/>
        </w:rPr>
      </w:pPr>
    </w:p>
    <w:p w:rsidR="00672663" w:rsidRPr="00DD46ED" w:rsidRDefault="00672663" w:rsidP="00672663">
      <w:pPr>
        <w:ind w:firstLine="708"/>
        <w:jc w:val="both"/>
        <w:rPr>
          <w:rFonts w:ascii="Trebuchet MS" w:hAnsi="Trebuchet MS" w:cs="Arial"/>
          <w:sz w:val="22"/>
          <w:szCs w:val="22"/>
        </w:rPr>
      </w:pPr>
      <w:r w:rsidRPr="00DD46ED">
        <w:rPr>
          <w:rFonts w:ascii="Trebuchet MS" w:hAnsi="Trebuchet MS" w:cs="Arial"/>
          <w:sz w:val="22"/>
          <w:szCs w:val="22"/>
        </w:rPr>
        <w:t xml:space="preserve">Speciile invazive reprezintă o problemă actuală reprezentativă pentru întreaga lume. Fie că este vorba de impactul ecologic, cel economic sau social, acesta afectează în cea mai mare măsură fireasca dezvoltare a ecosistemelor, care se leagă în mod direct de confortul și sănătatea publică. </w:t>
      </w:r>
    </w:p>
    <w:p w:rsidR="00672663" w:rsidRPr="00DD46ED" w:rsidRDefault="00672663" w:rsidP="00672663">
      <w:pPr>
        <w:ind w:firstLine="708"/>
        <w:jc w:val="both"/>
        <w:rPr>
          <w:rFonts w:ascii="Trebuchet MS" w:eastAsia="Calibri" w:hAnsi="Trebuchet MS" w:cs="Arial"/>
          <w:sz w:val="22"/>
          <w:szCs w:val="22"/>
          <w:lang w:val="ro-RO" w:eastAsia="ro-RO"/>
        </w:rPr>
      </w:pPr>
      <w:r w:rsidRPr="00DD46ED">
        <w:rPr>
          <w:rFonts w:ascii="Trebuchet MS" w:eastAsia="Calibri" w:hAnsi="Trebuchet MS" w:cs="Arial"/>
          <w:bCs/>
          <w:iCs/>
          <w:sz w:val="22"/>
          <w:szCs w:val="22"/>
          <w:lang w:val="ro-RO" w:eastAsia="ro-RO"/>
        </w:rPr>
        <w:t>Transferul de specii c</w:t>
      </w:r>
      <w:r w:rsidRPr="00DD46ED">
        <w:rPr>
          <w:rFonts w:ascii="Trebuchet MS" w:eastAsia="Calibri" w:hAnsi="Trebuchet MS" w:cs="Arial"/>
          <w:sz w:val="22"/>
          <w:szCs w:val="22"/>
          <w:lang w:val="ro-RO" w:eastAsia="ro-RO"/>
        </w:rPr>
        <w:t>ontribuie puternic la diminuarea biodiversităţii, fiind al doilea factor după distrugerea şi modificarea habitatelor. Speciile alohtone (exotice, introduse) au în multe cazuri comportament invaziv, întrucât factorii care limitau creşterea populaţiilor nu mai acţionează cu aceeaşi intensitate în noile condiţii, speciile de pe nivelurile trofice inferioare nu au adaptări care să permită evitarea noului prădător/parazit, iar cele de pe acelaşi nivel nu reuşesc să le concureze.</w:t>
      </w:r>
    </w:p>
    <w:p w:rsidR="00672663" w:rsidRPr="00DD46ED" w:rsidRDefault="00672663" w:rsidP="00672663">
      <w:pPr>
        <w:ind w:firstLine="708"/>
        <w:jc w:val="both"/>
        <w:rPr>
          <w:rFonts w:ascii="Trebuchet MS" w:hAnsi="Trebuchet MS" w:cs="Arial"/>
          <w:sz w:val="22"/>
          <w:szCs w:val="22"/>
        </w:rPr>
      </w:pPr>
      <w:r w:rsidRPr="00DD46ED">
        <w:rPr>
          <w:rFonts w:ascii="Trebuchet MS" w:hAnsi="Trebuchet MS" w:cs="Arial"/>
          <w:sz w:val="22"/>
          <w:szCs w:val="22"/>
        </w:rPr>
        <w:t>Acestea duc la degradarea habitatelor naturale (de exemplu, prin simplificarea comunităților biologice, scăderea diversității biologice, perturbarea lanțurilor trofice, creșterea competiției pentru resurse), afectarea populațiilor speciilor de plante și animale native (prin scăderea viabilității populațiilor, modificarea comportamentului indivizilor, scăderea diversității genetice), modificarea unor servicii ecosistemice (în special de aprovizionare și de reglare), amplificarea unor riscuri naturale (de exemplu, incendii de vegetație, deshidratarea solurilor, eroziunea solurilor) și implicit afectarea comunităților umane (afectarea securității alimentare, influențarea economiei locale și regionale, creșterea vulnerabilității la boli).</w:t>
      </w:r>
    </w:p>
    <w:p w:rsidR="00672663" w:rsidRPr="00DD46ED" w:rsidRDefault="00672663" w:rsidP="00672663">
      <w:pPr>
        <w:ind w:firstLine="708"/>
        <w:jc w:val="both"/>
        <w:rPr>
          <w:rFonts w:ascii="Trebuchet MS" w:hAnsi="Trebuchet MS" w:cs="Arial"/>
          <w:sz w:val="22"/>
          <w:szCs w:val="22"/>
        </w:rPr>
      </w:pPr>
      <w:r w:rsidRPr="00DD46ED">
        <w:rPr>
          <w:rFonts w:ascii="Trebuchet MS" w:hAnsi="Trebuchet MS" w:cs="Arial"/>
          <w:sz w:val="22"/>
          <w:szCs w:val="22"/>
        </w:rPr>
        <w:t xml:space="preserve"> </w:t>
      </w:r>
      <w:r w:rsidRPr="00DD46ED">
        <w:rPr>
          <w:rFonts w:ascii="Trebuchet MS" w:hAnsi="Trebuchet MS" w:cs="Arial"/>
          <w:b/>
          <w:sz w:val="22"/>
          <w:szCs w:val="22"/>
        </w:rPr>
        <w:t>Impactul speciilor invazive de plante</w:t>
      </w:r>
      <w:r w:rsidRPr="00DD46ED">
        <w:rPr>
          <w:rFonts w:ascii="Trebuchet MS" w:hAnsi="Trebuchet MS" w:cs="Arial"/>
          <w:sz w:val="22"/>
          <w:szCs w:val="22"/>
        </w:rPr>
        <w:t xml:space="preserve">.  </w:t>
      </w:r>
    </w:p>
    <w:p w:rsidR="00672663" w:rsidRPr="00DD46ED" w:rsidRDefault="00672663" w:rsidP="00672663">
      <w:pPr>
        <w:ind w:firstLine="708"/>
        <w:jc w:val="both"/>
        <w:rPr>
          <w:rFonts w:ascii="Trebuchet MS" w:hAnsi="Trebuchet MS" w:cs="Arial"/>
          <w:sz w:val="22"/>
          <w:szCs w:val="22"/>
        </w:rPr>
      </w:pPr>
      <w:r w:rsidRPr="00DD46ED">
        <w:rPr>
          <w:rFonts w:ascii="Trebuchet MS" w:hAnsi="Trebuchet MS" w:cs="Arial"/>
          <w:sz w:val="22"/>
          <w:szCs w:val="22"/>
        </w:rPr>
        <w:t xml:space="preserve">Datorită unui număr foarte mare de factori implicaţi în dereglarea unui ecosistem, relaţia dintre invazie şi dezechilibru rămâne neexplicată. Ipoteza prin care speciile de plante invazive reuşesc să ajungă într-un areal se datorează faptului că ecosistemul perturbat eliberează resurse pe care plantele invazive le pot utiliza mai repede decât speciile native. O specie invazivă odată instalată poate facilita invazia altei specii, astfel poate avea loc estomparea răspândirii primei specii. O a doua cale de oprire a invaziei unei specii constă în faptul că cea iniţială distruge abundenţa speciilor native, astfel comunitatea devine mult mai invazibilă, ceea ce duce la creşterea numărului de invazii în ecosistemul respectiv. </w:t>
      </w:r>
    </w:p>
    <w:p w:rsidR="00672663" w:rsidRPr="00DD46ED" w:rsidRDefault="00672663" w:rsidP="00672663">
      <w:pPr>
        <w:ind w:firstLine="708"/>
        <w:jc w:val="both"/>
        <w:rPr>
          <w:rFonts w:ascii="Trebuchet MS" w:hAnsi="Trebuchet MS" w:cs="Arial"/>
          <w:sz w:val="22"/>
          <w:szCs w:val="22"/>
        </w:rPr>
      </w:pPr>
      <w:r w:rsidRPr="00DD46ED">
        <w:rPr>
          <w:rFonts w:ascii="Trebuchet MS" w:hAnsi="Trebuchet MS" w:cs="Arial"/>
          <w:sz w:val="22"/>
          <w:szCs w:val="22"/>
        </w:rPr>
        <w:t>Lista plantelor alogene invazive şi potenţial invazive din România cuprinde 130 taxoni. Dintre aceştia, 36 fac obiectul Reglementărilor europene nr. 1141/2016, 1263/2017 şi 1262/2019, fiind specii de îngrijorare pentru Uniunea Europeană, însă  doar cinci dintre acestea  cu prezenţă certă în România şi cu răspândire în aproape toate provinciile istorice: Ailanthus altissima (falsul oţetar, cenuşer), Asclepias syriaca (ceara albinei), Elodea nuttallii, , Humulus japonicus, Impatiens glandulifera.</w:t>
      </w:r>
      <w:r w:rsidRPr="00DD46ED">
        <w:rPr>
          <w:rFonts w:ascii="Trebuchet MS" w:hAnsi="Trebuchet MS"/>
          <w:sz w:val="22"/>
          <w:szCs w:val="22"/>
        </w:rPr>
        <w:t xml:space="preserve"> </w:t>
      </w:r>
      <w:r w:rsidRPr="00DD46ED">
        <w:rPr>
          <w:rFonts w:ascii="Trebuchet MS" w:hAnsi="Trebuchet MS" w:cs="Arial"/>
          <w:sz w:val="22"/>
          <w:szCs w:val="22"/>
        </w:rPr>
        <w:t>Dintre speciile de plante enumerate în “lista neagră”, în ţara noastră sunt destul de larg răspândite şi pun probleme următoarele: falsul oţetar sau cenuşerul (Ailanthus altissima), ceara albinei (Asclepias syriaca) şi ciuma apelor cu frunze înguste (Elodea nuttallii). Faţă de populaţiile acestor plante, România are obligaţia eliminării complete şi permanente, conform Reglementării 1143/2014.</w:t>
      </w:r>
    </w:p>
    <w:p w:rsidR="00672663" w:rsidRPr="00DD46ED" w:rsidRDefault="00672663" w:rsidP="00672663">
      <w:pPr>
        <w:ind w:firstLine="708"/>
        <w:jc w:val="both"/>
        <w:rPr>
          <w:rFonts w:ascii="Trebuchet MS" w:hAnsi="Trebuchet MS" w:cs="Arial"/>
          <w:sz w:val="22"/>
          <w:szCs w:val="22"/>
        </w:rPr>
      </w:pPr>
      <w:r w:rsidRPr="00DD46ED">
        <w:rPr>
          <w:rFonts w:ascii="Trebuchet MS" w:hAnsi="Trebuchet MS" w:cs="Arial"/>
          <w:sz w:val="22"/>
          <w:szCs w:val="22"/>
        </w:rPr>
        <w:t xml:space="preserve">Printre speciile de plante alogene invazive şi potenţial invazive prezente în municipiul Bucureşti se numără Ailanthus altissima, Ambrosia artemisiifolia, Fallopia japonica, Impatiens glandulifera, Robinia pseudoacacia. </w:t>
      </w:r>
    </w:p>
    <w:p w:rsidR="00672663" w:rsidRPr="00DD46ED" w:rsidRDefault="00672663" w:rsidP="00672663">
      <w:pPr>
        <w:tabs>
          <w:tab w:val="left" w:pos="720"/>
        </w:tabs>
        <w:jc w:val="both"/>
        <w:rPr>
          <w:rFonts w:ascii="Trebuchet MS" w:hAnsi="Trebuchet MS" w:cs="Arial"/>
          <w:b/>
          <w:sz w:val="22"/>
          <w:szCs w:val="22"/>
        </w:rPr>
      </w:pPr>
      <w:r w:rsidRPr="00DD46ED">
        <w:rPr>
          <w:rStyle w:val="emphasischar"/>
          <w:rFonts w:ascii="Trebuchet MS" w:hAnsi="Trebuchet MS" w:cs="Arial"/>
          <w:color w:val="000000"/>
          <w:sz w:val="22"/>
          <w:szCs w:val="22"/>
        </w:rPr>
        <w:tab/>
      </w:r>
      <w:r w:rsidRPr="00DD46ED">
        <w:rPr>
          <w:rFonts w:ascii="Trebuchet MS" w:hAnsi="Trebuchet MS" w:cs="Arial"/>
          <w:b/>
          <w:sz w:val="22"/>
          <w:szCs w:val="22"/>
        </w:rPr>
        <w:t xml:space="preserve">Impactul   speciilor invazive de nevertebrate:   </w:t>
      </w:r>
    </w:p>
    <w:p w:rsidR="00672663" w:rsidRPr="00DD46ED" w:rsidRDefault="00672663" w:rsidP="004F134E">
      <w:pPr>
        <w:pStyle w:val="ListParagraph"/>
        <w:numPr>
          <w:ilvl w:val="0"/>
          <w:numId w:val="20"/>
        </w:numPr>
        <w:rPr>
          <w:rFonts w:ascii="Trebuchet MS" w:hAnsi="Trebuchet MS" w:cs="Arial"/>
          <w:sz w:val="22"/>
          <w:szCs w:val="22"/>
        </w:rPr>
      </w:pPr>
      <w:r w:rsidRPr="00DD46ED">
        <w:rPr>
          <w:rFonts w:ascii="Trebuchet MS" w:hAnsi="Trebuchet MS" w:cs="Arial"/>
          <w:sz w:val="22"/>
          <w:szCs w:val="22"/>
        </w:rPr>
        <w:t>modificări la nivelul biodiversităţii</w:t>
      </w:r>
    </w:p>
    <w:p w:rsidR="00672663" w:rsidRPr="00DD46ED" w:rsidRDefault="00672663" w:rsidP="004F134E">
      <w:pPr>
        <w:pStyle w:val="ListParagraph"/>
        <w:numPr>
          <w:ilvl w:val="0"/>
          <w:numId w:val="20"/>
        </w:numPr>
        <w:rPr>
          <w:rFonts w:ascii="Trebuchet MS" w:hAnsi="Trebuchet MS" w:cs="Arial"/>
          <w:sz w:val="22"/>
          <w:szCs w:val="22"/>
          <w:lang w:val="it-IT"/>
        </w:rPr>
      </w:pPr>
      <w:r w:rsidRPr="00DD46ED">
        <w:rPr>
          <w:rFonts w:ascii="Trebuchet MS" w:hAnsi="Trebuchet MS" w:cs="Arial"/>
          <w:sz w:val="22"/>
          <w:szCs w:val="22"/>
        </w:rPr>
        <w:t>elimină sau înlocuiesc speciile autohtone ajungând la extincţia de specii</w:t>
      </w:r>
    </w:p>
    <w:p w:rsidR="00672663" w:rsidRPr="00DD46ED" w:rsidRDefault="00672663" w:rsidP="004F134E">
      <w:pPr>
        <w:pStyle w:val="ListParagraph"/>
        <w:numPr>
          <w:ilvl w:val="0"/>
          <w:numId w:val="20"/>
        </w:numPr>
        <w:rPr>
          <w:rFonts w:ascii="Trebuchet MS" w:hAnsi="Trebuchet MS" w:cs="Arial"/>
          <w:sz w:val="22"/>
          <w:szCs w:val="22"/>
          <w:lang w:val="it-IT"/>
        </w:rPr>
      </w:pPr>
      <w:r w:rsidRPr="00DD46ED">
        <w:rPr>
          <w:rFonts w:ascii="Trebuchet MS" w:hAnsi="Trebuchet MS" w:cs="Arial"/>
          <w:sz w:val="22"/>
          <w:szCs w:val="22"/>
          <w:lang w:val="it-IT"/>
        </w:rPr>
        <w:t>distrug interalaţiile trofice între speciile autohtone</w:t>
      </w:r>
    </w:p>
    <w:p w:rsidR="00672663" w:rsidRPr="00DD46ED" w:rsidRDefault="00672663" w:rsidP="004F134E">
      <w:pPr>
        <w:pStyle w:val="ListParagraph"/>
        <w:numPr>
          <w:ilvl w:val="0"/>
          <w:numId w:val="20"/>
        </w:numPr>
        <w:rPr>
          <w:rFonts w:ascii="Trebuchet MS" w:hAnsi="Trebuchet MS" w:cs="Arial"/>
          <w:sz w:val="22"/>
          <w:szCs w:val="22"/>
          <w:lang w:val="it-IT"/>
        </w:rPr>
      </w:pPr>
      <w:r w:rsidRPr="00DD46ED">
        <w:rPr>
          <w:rFonts w:ascii="Trebuchet MS" w:hAnsi="Trebuchet MS" w:cs="Arial"/>
          <w:sz w:val="22"/>
          <w:szCs w:val="22"/>
          <w:lang w:val="it-IT"/>
        </w:rPr>
        <w:t xml:space="preserve">apar noi grupe funcţionale </w:t>
      </w:r>
    </w:p>
    <w:p w:rsidR="00672663" w:rsidRPr="00DD46ED" w:rsidRDefault="00672663" w:rsidP="004F134E">
      <w:pPr>
        <w:pStyle w:val="ListParagraph"/>
        <w:numPr>
          <w:ilvl w:val="0"/>
          <w:numId w:val="20"/>
        </w:numPr>
        <w:rPr>
          <w:rFonts w:ascii="Trebuchet MS" w:hAnsi="Trebuchet MS" w:cs="Arial"/>
          <w:sz w:val="22"/>
          <w:szCs w:val="22"/>
          <w:lang w:val="it-IT"/>
        </w:rPr>
      </w:pPr>
      <w:r w:rsidRPr="00DD46ED">
        <w:rPr>
          <w:rFonts w:ascii="Trebuchet MS" w:hAnsi="Trebuchet MS" w:cs="Arial"/>
          <w:sz w:val="22"/>
          <w:szCs w:val="22"/>
          <w:lang w:val="it-IT"/>
        </w:rPr>
        <w:t>comunităţile autohtone sunt distruse</w:t>
      </w:r>
    </w:p>
    <w:p w:rsidR="00672663" w:rsidRPr="00DD46ED" w:rsidRDefault="00672663" w:rsidP="004F134E">
      <w:pPr>
        <w:numPr>
          <w:ilvl w:val="0"/>
          <w:numId w:val="20"/>
        </w:numPr>
        <w:rPr>
          <w:rFonts w:ascii="Trebuchet MS" w:hAnsi="Trebuchet MS" w:cs="Arial"/>
          <w:sz w:val="22"/>
          <w:szCs w:val="22"/>
          <w:lang w:val="es-ES"/>
        </w:rPr>
      </w:pPr>
      <w:r w:rsidRPr="00DD46ED">
        <w:rPr>
          <w:rFonts w:ascii="Trebuchet MS" w:hAnsi="Trebuchet MS" w:cs="Arial"/>
          <w:sz w:val="22"/>
          <w:szCs w:val="22"/>
          <w:lang w:val="it-IT"/>
        </w:rPr>
        <w:t>modificarea microclimatului</w:t>
      </w:r>
    </w:p>
    <w:p w:rsidR="00672663" w:rsidRPr="00DD46ED" w:rsidRDefault="00672663" w:rsidP="004F134E">
      <w:pPr>
        <w:numPr>
          <w:ilvl w:val="0"/>
          <w:numId w:val="20"/>
        </w:numPr>
        <w:rPr>
          <w:rFonts w:ascii="Trebuchet MS" w:hAnsi="Trebuchet MS" w:cs="Arial"/>
          <w:sz w:val="22"/>
          <w:szCs w:val="22"/>
          <w:lang w:val="es-ES"/>
        </w:rPr>
      </w:pPr>
      <w:r w:rsidRPr="00DD46ED">
        <w:rPr>
          <w:rFonts w:ascii="Trebuchet MS" w:hAnsi="Trebuchet MS" w:cs="Arial"/>
          <w:sz w:val="22"/>
          <w:szCs w:val="22"/>
          <w:lang w:val="es-ES"/>
        </w:rPr>
        <w:t>crează un diconfort pentru oameni- funcţia de recreeere este afectată</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es-ES"/>
        </w:rPr>
        <w:t>apar probleme medicale (alergii, etc).</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it-IT"/>
        </w:rPr>
        <w:t>cresc costurile economice pentru eliminarea lor din ecosistem</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it-IT"/>
        </w:rPr>
        <w:t>resursele trofice sunt folosite cu prepoderenţă de aceste specii invazive, eliminînd speciile autohtone</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it-IT"/>
        </w:rPr>
        <w:t>au impact asupra calităţii hranei, afectând polenizarea</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it-IT"/>
        </w:rPr>
        <w:t>influeţează calitatea hranei produse prin metode  tradiţionale</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it-IT"/>
        </w:rPr>
        <w:t>rata de descompunere a materiei organice este alterată</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it-IT"/>
        </w:rPr>
        <w:t>favorizează apariţia de noi boli, agenţi patogeni</w:t>
      </w:r>
    </w:p>
    <w:p w:rsidR="00672663" w:rsidRPr="00DD46ED" w:rsidRDefault="00672663" w:rsidP="004F134E">
      <w:pPr>
        <w:numPr>
          <w:ilvl w:val="0"/>
          <w:numId w:val="20"/>
        </w:numPr>
        <w:rPr>
          <w:rFonts w:ascii="Trebuchet MS" w:hAnsi="Trebuchet MS" w:cs="Arial"/>
          <w:sz w:val="22"/>
          <w:szCs w:val="22"/>
          <w:lang w:val="it-IT"/>
        </w:rPr>
      </w:pPr>
      <w:r w:rsidRPr="00DD46ED">
        <w:rPr>
          <w:rFonts w:ascii="Trebuchet MS" w:hAnsi="Trebuchet MS" w:cs="Arial"/>
          <w:sz w:val="22"/>
          <w:szCs w:val="22"/>
          <w:lang w:val="it-IT"/>
        </w:rPr>
        <w:t>circuitul nutrienţilor este afectat.</w:t>
      </w:r>
    </w:p>
    <w:p w:rsidR="00672663" w:rsidRPr="00DD46ED" w:rsidRDefault="00672663" w:rsidP="00672663">
      <w:pPr>
        <w:ind w:left="720"/>
        <w:rPr>
          <w:rFonts w:ascii="Trebuchet MS" w:hAnsi="Trebuchet MS" w:cs="Arial"/>
          <w:sz w:val="22"/>
          <w:szCs w:val="22"/>
          <w:lang w:val="it-IT"/>
        </w:rPr>
      </w:pPr>
    </w:p>
    <w:p w:rsidR="00672663" w:rsidRPr="00DD46ED" w:rsidRDefault="00672663" w:rsidP="00672663">
      <w:pPr>
        <w:shd w:val="clear" w:color="auto" w:fill="FFFFFF"/>
        <w:spacing w:after="312"/>
        <w:ind w:left="360"/>
        <w:jc w:val="both"/>
        <w:rPr>
          <w:rFonts w:ascii="Trebuchet MS" w:hAnsi="Trebuchet MS" w:cs="Helvetica"/>
          <w:color w:val="222222"/>
          <w:sz w:val="22"/>
          <w:szCs w:val="22"/>
        </w:rPr>
      </w:pPr>
      <w:r w:rsidRPr="00DD46ED">
        <w:rPr>
          <w:rFonts w:ascii="Trebuchet MS" w:hAnsi="Trebuchet MS" w:cs="Helvetica"/>
          <w:color w:val="222222"/>
          <w:sz w:val="22"/>
          <w:szCs w:val="22"/>
        </w:rPr>
        <w:t>Lista speciilor invazive de interes pentru Uniune din România include 21 specii (iunie 2023) și anume:</w:t>
      </w:r>
    </w:p>
    <w:tbl>
      <w:tblPr>
        <w:tblW w:w="10140" w:type="dxa"/>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2346"/>
        <w:gridCol w:w="4332"/>
        <w:gridCol w:w="3462"/>
      </w:tblGrid>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b/>
                <w:bCs/>
                <w:sz w:val="22"/>
                <w:szCs w:val="22"/>
                <w:lang w:val="en-US"/>
              </w:rPr>
              <w:t>Grup</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b/>
                <w:bCs/>
                <w:sz w:val="22"/>
                <w:szCs w:val="22"/>
                <w:lang w:val="en-US"/>
              </w:rPr>
              <w:t>Taxon</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b/>
                <w:bCs/>
                <w:sz w:val="22"/>
                <w:szCs w:val="22"/>
                <w:lang w:val="en-US"/>
              </w:rPr>
              <w:t>Prezen</w:t>
            </w:r>
            <w:r w:rsidRPr="00DD46ED">
              <w:rPr>
                <w:rFonts w:ascii="Trebuchet MS" w:eastAsia="Times New Roman" w:hAnsi="Trebuchet MS" w:cs="Arial"/>
                <w:b/>
                <w:bCs/>
                <w:sz w:val="22"/>
                <w:szCs w:val="22"/>
                <w:lang w:val="ro-RO"/>
              </w:rPr>
              <w:t xml:space="preserve">ță </w:t>
            </w:r>
            <w:r w:rsidRPr="00DD46ED">
              <w:rPr>
                <w:rFonts w:ascii="Trebuchet MS" w:eastAsia="Times New Roman" w:hAnsi="Trebuchet MS" w:cs="Arial"/>
                <w:b/>
                <w:bCs/>
                <w:sz w:val="22"/>
                <w:szCs w:val="22"/>
                <w:lang w:val="en-US"/>
              </w:rPr>
              <w:t>Romania</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nevertebrate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Eriocheir sinensis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nevertebrate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Orconectes limosus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Ailanthus altissima</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Asclepias syriaca</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Elodea nuttallii</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Heracleum sosnowskyi</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Humulus scandens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Impatiens glandulifera</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Ludwigia peploides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plante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Parthenium hysterophorus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Alopochen aegyptiaca</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Ameiurus melas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Gambusia holbrooki</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Lepomis gibbosus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Myocastor coypus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Nyctereutes procyonoides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Ondatra zibethicus</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Perccottus glenii</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Procyon lotor</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Pseudorasbora parva</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r w:rsidR="00672663" w:rsidRPr="00DD46ED" w:rsidTr="00C55BA9">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vertebrate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Trachemys scripta</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rsidR="00672663" w:rsidRPr="00DD46ED" w:rsidRDefault="00672663" w:rsidP="00C55BA9">
            <w:pPr>
              <w:jc w:val="center"/>
              <w:rPr>
                <w:rFonts w:ascii="Trebuchet MS" w:eastAsia="Times New Roman" w:hAnsi="Trebuchet MS" w:cs="Arial"/>
                <w:sz w:val="22"/>
                <w:szCs w:val="22"/>
                <w:lang w:val="en-US"/>
              </w:rPr>
            </w:pPr>
            <w:r w:rsidRPr="00DD46ED">
              <w:rPr>
                <w:rFonts w:ascii="Trebuchet MS" w:eastAsia="Times New Roman" w:hAnsi="Trebuchet MS" w:cs="Arial"/>
                <w:sz w:val="22"/>
                <w:szCs w:val="22"/>
                <w:lang w:val="en-US"/>
              </w:rPr>
              <w:t>Prezență confirmată</w:t>
            </w:r>
          </w:p>
        </w:tc>
      </w:tr>
    </w:tbl>
    <w:p w:rsidR="00672663" w:rsidRPr="00DD46ED" w:rsidRDefault="00672663" w:rsidP="00672663">
      <w:pPr>
        <w:rPr>
          <w:rFonts w:ascii="Trebuchet MS" w:hAnsi="Trebuchet MS" w:cs="Arial"/>
          <w:sz w:val="22"/>
          <w:szCs w:val="22"/>
          <w:lang w:val="it-IT"/>
        </w:rPr>
      </w:pPr>
    </w:p>
    <w:p w:rsidR="00672663" w:rsidRPr="00DD46ED" w:rsidRDefault="00672663" w:rsidP="00672663">
      <w:pPr>
        <w:ind w:left="720"/>
        <w:rPr>
          <w:rFonts w:ascii="Trebuchet MS" w:hAnsi="Trebuchet MS" w:cs="Arial"/>
          <w:sz w:val="22"/>
          <w:szCs w:val="22"/>
          <w:lang w:val="it-IT"/>
        </w:rPr>
      </w:pPr>
    </w:p>
    <w:p w:rsidR="00672663" w:rsidRPr="00DD46ED" w:rsidRDefault="00672663" w:rsidP="00672663">
      <w:pPr>
        <w:ind w:firstLine="360"/>
        <w:jc w:val="both"/>
        <w:rPr>
          <w:rFonts w:ascii="Trebuchet MS" w:hAnsi="Trebuchet MS" w:cs="Arial"/>
          <w:sz w:val="22"/>
          <w:szCs w:val="22"/>
          <w:lang w:val="it-IT"/>
        </w:rPr>
      </w:pPr>
      <w:r w:rsidRPr="00DD46ED">
        <w:rPr>
          <w:rFonts w:ascii="Trebuchet MS" w:hAnsi="Trebuchet MS" w:cs="Arial"/>
          <w:sz w:val="22"/>
          <w:szCs w:val="22"/>
          <w:lang w:val="it-IT"/>
        </w:rPr>
        <w:t xml:space="preserve">   În municipiul București, dintre  nevertebrate terestre care  afectează speciile de plante au fost identificate ca specii invazive Hyphantria cunea, Tarachidia (Acontia) candefacta,  Cameraria ohridella, Cydalima perspectalis, Echinothrips americanus Frankliniella occidentalis, Heliothrips haemorrhoidalis, Hercinothrips bicinctus, Hercinothrips femoralis, Parthenothrips dracaenae, Thrips simplex şi Scutigera coleoptrata.  </w:t>
      </w:r>
    </w:p>
    <w:p w:rsidR="00672663" w:rsidRPr="00DD46ED" w:rsidRDefault="00672663" w:rsidP="00672663">
      <w:pPr>
        <w:ind w:firstLine="360"/>
        <w:jc w:val="both"/>
        <w:rPr>
          <w:rFonts w:ascii="Trebuchet MS" w:hAnsi="Trebuchet MS" w:cs="Arial"/>
          <w:sz w:val="22"/>
          <w:szCs w:val="22"/>
          <w:lang w:val="it-IT"/>
        </w:rPr>
      </w:pPr>
    </w:p>
    <w:p w:rsidR="00672663" w:rsidRPr="00DD46ED" w:rsidRDefault="00672663" w:rsidP="00672663">
      <w:pPr>
        <w:rPr>
          <w:rFonts w:ascii="Trebuchet MS" w:hAnsi="Trebuchet MS" w:cs="Arial"/>
          <w:sz w:val="22"/>
          <w:szCs w:val="22"/>
        </w:rPr>
      </w:pPr>
      <w:r w:rsidRPr="00DD46ED">
        <w:rPr>
          <w:rFonts w:ascii="Trebuchet MS" w:hAnsi="Trebuchet MS" w:cs="Arial"/>
          <w:sz w:val="22"/>
          <w:szCs w:val="22"/>
        </w:rPr>
        <w:t xml:space="preserve">   Tabel </w:t>
      </w:r>
      <w:r w:rsidRPr="00DD46ED">
        <w:rPr>
          <w:rFonts w:ascii="Trebuchet MS" w:hAnsi="Trebuchet MS" w:cs="Arial"/>
          <w:i/>
          <w:sz w:val="22"/>
          <w:szCs w:val="22"/>
          <w:lang w:val="ro-RO"/>
        </w:rPr>
        <w:t xml:space="preserve">V.1.1  </w:t>
      </w:r>
      <w:r w:rsidRPr="00DD46ED">
        <w:rPr>
          <w:rFonts w:ascii="Trebuchet MS" w:hAnsi="Trebuchet MS" w:cs="Arial"/>
          <w:sz w:val="22"/>
          <w:szCs w:val="22"/>
        </w:rPr>
        <w:t xml:space="preserve">Specii invazive de nevertebrate prezente în Bucureşti. </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5"/>
        <w:gridCol w:w="2430"/>
        <w:gridCol w:w="3905"/>
      </w:tblGrid>
      <w:tr w:rsidR="00672663" w:rsidRPr="00DD46ED" w:rsidTr="00C55BA9">
        <w:trPr>
          <w:trHeight w:val="209"/>
          <w:jc w:val="center"/>
        </w:trPr>
        <w:tc>
          <w:tcPr>
            <w:tcW w:w="3505"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Specie</w:t>
            </w:r>
          </w:p>
        </w:tc>
        <w:tc>
          <w:tcPr>
            <w:tcW w:w="2430"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Denumire populara</w:t>
            </w:r>
          </w:p>
        </w:tc>
        <w:tc>
          <w:tcPr>
            <w:tcW w:w="3905"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Plante gazda in Romania</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highlight w:val="yellow"/>
              </w:rPr>
            </w:pPr>
            <w:r w:rsidRPr="00DD46ED">
              <w:rPr>
                <w:rFonts w:ascii="Trebuchet MS" w:hAnsi="Trebuchet MS" w:cs="Arial"/>
                <w:sz w:val="22"/>
                <w:szCs w:val="22"/>
              </w:rPr>
              <w:t>LEPIDOPTERA</w:t>
            </w:r>
          </w:p>
        </w:tc>
        <w:tc>
          <w:tcPr>
            <w:tcW w:w="2430" w:type="dxa"/>
            <w:vAlign w:val="center"/>
          </w:tcPr>
          <w:p w:rsidR="00672663" w:rsidRPr="00DD46ED" w:rsidRDefault="00672663" w:rsidP="00C55BA9">
            <w:pPr>
              <w:jc w:val="center"/>
              <w:rPr>
                <w:rFonts w:ascii="Trebuchet MS" w:hAnsi="Trebuchet MS" w:cs="Arial"/>
                <w:sz w:val="22"/>
                <w:szCs w:val="22"/>
              </w:rPr>
            </w:pPr>
          </w:p>
        </w:tc>
        <w:tc>
          <w:tcPr>
            <w:tcW w:w="3905" w:type="dxa"/>
            <w:vAlign w:val="center"/>
          </w:tcPr>
          <w:p w:rsidR="00672663" w:rsidRPr="00DD46ED" w:rsidRDefault="00672663" w:rsidP="00C55BA9">
            <w:pPr>
              <w:jc w:val="center"/>
              <w:rPr>
                <w:rFonts w:ascii="Trebuchet MS" w:hAnsi="Trebuchet MS" w:cs="Arial"/>
                <w:sz w:val="22"/>
                <w:szCs w:val="22"/>
              </w:rPr>
            </w:pPr>
          </w:p>
        </w:tc>
      </w:tr>
      <w:tr w:rsidR="00672663" w:rsidRPr="00DD46ED" w:rsidTr="00C55BA9">
        <w:trPr>
          <w:trHeight w:val="620"/>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i/>
                <w:iCs/>
                <w:sz w:val="22"/>
                <w:szCs w:val="22"/>
              </w:rPr>
              <w:t>Hyphantria cunea</w:t>
            </w:r>
            <w:r w:rsidRPr="00DD46ED">
              <w:rPr>
                <w:rFonts w:ascii="Trebuchet MS" w:hAnsi="Trebuchet MS" w:cs="Arial"/>
                <w:iCs/>
                <w:sz w:val="22"/>
                <w:szCs w:val="22"/>
              </w:rPr>
              <w:t xml:space="preserve"> (Drury, 1773)</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color w:val="000000"/>
                <w:sz w:val="22"/>
                <w:szCs w:val="22"/>
                <w:shd w:val="clear" w:color="auto" w:fill="FFFFFF"/>
              </w:rPr>
              <w:t>Fluture alb american</w:t>
            </w:r>
          </w:p>
        </w:tc>
        <w:tc>
          <w:tcPr>
            <w:tcW w:w="3905" w:type="dxa"/>
            <w:vAlign w:val="center"/>
          </w:tcPr>
          <w:p w:rsidR="00672663" w:rsidRPr="00DD46ED" w:rsidRDefault="00672663" w:rsidP="00C55B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rebuchet MS" w:hAnsi="Trebuchet MS" w:cs="Arial"/>
                <w:sz w:val="22"/>
                <w:szCs w:val="22"/>
              </w:rPr>
            </w:pPr>
            <w:r w:rsidRPr="00DD46ED">
              <w:rPr>
                <w:rFonts w:ascii="Trebuchet MS" w:hAnsi="Trebuchet MS" w:cs="Arial"/>
                <w:color w:val="212121"/>
                <w:sz w:val="22"/>
                <w:szCs w:val="22"/>
                <w:lang w:val="ro-RO"/>
              </w:rPr>
              <w:t>Pomi si arbusti decorativi , precum și  mai multe culturi agricole</w:t>
            </w:r>
          </w:p>
        </w:tc>
      </w:tr>
      <w:tr w:rsidR="00672663" w:rsidRPr="00DD46ED" w:rsidTr="00C55BA9">
        <w:trPr>
          <w:trHeight w:val="418"/>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i/>
                <w:iCs/>
                <w:sz w:val="22"/>
                <w:szCs w:val="22"/>
              </w:rPr>
              <w:t>Tarachidia (Acontia) candefacta</w:t>
            </w:r>
            <w:r w:rsidRPr="00DD46ED">
              <w:rPr>
                <w:rFonts w:ascii="Trebuchet MS" w:hAnsi="Trebuchet MS" w:cs="Arial"/>
                <w:iCs/>
                <w:sz w:val="22"/>
                <w:szCs w:val="22"/>
              </w:rPr>
              <w:t xml:space="preserve"> </w:t>
            </w:r>
            <w:r w:rsidRPr="00DD46ED">
              <w:rPr>
                <w:rFonts w:ascii="Trebuchet MS" w:hAnsi="Trebuchet MS" w:cs="Arial"/>
                <w:color w:val="222222"/>
                <w:sz w:val="22"/>
                <w:szCs w:val="22"/>
                <w:shd w:val="clear" w:color="auto" w:fill="FFFFFF"/>
              </w:rPr>
              <w:t>(Hübner, 1831)</w:t>
            </w:r>
          </w:p>
        </w:tc>
        <w:tc>
          <w:tcPr>
            <w:tcW w:w="2430" w:type="dxa"/>
            <w:vAlign w:val="center"/>
          </w:tcPr>
          <w:p w:rsidR="00672663" w:rsidRPr="00DD46ED" w:rsidRDefault="00672663" w:rsidP="00C55BA9">
            <w:pPr>
              <w:jc w:val="center"/>
              <w:rPr>
                <w:rFonts w:ascii="Trebuchet MS" w:hAnsi="Trebuchet MS" w:cs="Arial"/>
                <w:color w:val="222222"/>
                <w:sz w:val="22"/>
                <w:szCs w:val="22"/>
                <w:shd w:val="clear" w:color="auto" w:fill="FFFFFF"/>
              </w:rPr>
            </w:pPr>
            <w:r w:rsidRPr="00DD46ED">
              <w:rPr>
                <w:rFonts w:ascii="Trebuchet MS" w:hAnsi="Trebuchet MS" w:cs="Arial"/>
                <w:color w:val="222222"/>
                <w:sz w:val="22"/>
                <w:szCs w:val="22"/>
                <w:shd w:val="clear" w:color="auto" w:fill="FFFFFF"/>
              </w:rPr>
              <w:t>Olive-shaded Bird-dropping Moth</w:t>
            </w:r>
          </w:p>
          <w:p w:rsidR="00672663" w:rsidRPr="00DD46ED" w:rsidRDefault="00672663" w:rsidP="00C55BA9">
            <w:pPr>
              <w:jc w:val="center"/>
              <w:rPr>
                <w:rFonts w:ascii="Trebuchet MS" w:hAnsi="Trebuchet MS" w:cs="Arial"/>
                <w:sz w:val="22"/>
                <w:szCs w:val="22"/>
              </w:rPr>
            </w:pPr>
            <w:r w:rsidRPr="00DD46ED">
              <w:rPr>
                <w:rFonts w:ascii="Trebuchet MS" w:hAnsi="Trebuchet MS" w:cs="Arial"/>
                <w:color w:val="222222"/>
                <w:sz w:val="22"/>
                <w:szCs w:val="22"/>
                <w:shd w:val="clear" w:color="auto" w:fill="FFFFFF"/>
              </w:rPr>
              <w:t>Fluture european</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color w:val="000000"/>
                <w:sz w:val="22"/>
                <w:szCs w:val="22"/>
              </w:rPr>
              <w:t xml:space="preserve">Specii din Fam. Asteraceae: </w:t>
            </w:r>
            <w:r w:rsidRPr="00DD46ED">
              <w:rPr>
                <w:rStyle w:val="Emphasis"/>
                <w:rFonts w:ascii="Trebuchet MS" w:hAnsi="Trebuchet MS" w:cs="Arial"/>
                <w:color w:val="000000"/>
                <w:sz w:val="22"/>
                <w:szCs w:val="22"/>
              </w:rPr>
              <w:t>Ambrosia artemisiifolia</w:t>
            </w:r>
            <w:r w:rsidRPr="00DD46ED">
              <w:rPr>
                <w:rStyle w:val="apple-converted-space"/>
                <w:rFonts w:ascii="Trebuchet MS" w:hAnsi="Trebuchet MS" w:cs="Arial"/>
                <w:color w:val="000000"/>
                <w:sz w:val="22"/>
                <w:szCs w:val="22"/>
              </w:rPr>
              <w:t> si  </w:t>
            </w:r>
            <w:r w:rsidRPr="00DD46ED">
              <w:rPr>
                <w:rStyle w:val="Emphasis"/>
                <w:rFonts w:ascii="Trebuchet MS" w:hAnsi="Trebuchet MS" w:cs="Arial"/>
                <w:color w:val="000000"/>
                <w:sz w:val="22"/>
                <w:szCs w:val="22"/>
              </w:rPr>
              <w:t>A. psilostachya, Arctium Lappa,</w:t>
            </w:r>
            <w:r w:rsidRPr="00DD46ED">
              <w:rPr>
                <w:rStyle w:val="apple-converted-space"/>
                <w:rFonts w:ascii="Trebuchet MS" w:hAnsi="Trebuchet MS" w:cs="Arial"/>
                <w:i/>
                <w:iCs/>
                <w:color w:val="000000"/>
                <w:sz w:val="22"/>
                <w:szCs w:val="22"/>
              </w:rPr>
              <w:t>  </w:t>
            </w:r>
            <w:r w:rsidRPr="00DD46ED">
              <w:rPr>
                <w:rStyle w:val="Emphasis"/>
                <w:rFonts w:ascii="Trebuchet MS" w:hAnsi="Trebuchet MS" w:cs="Arial"/>
                <w:color w:val="000000"/>
                <w:sz w:val="22"/>
                <w:szCs w:val="22"/>
              </w:rPr>
              <w:t>Aster dumosus</w:t>
            </w:r>
          </w:p>
        </w:tc>
      </w:tr>
      <w:tr w:rsidR="00672663" w:rsidRPr="00DD46ED" w:rsidTr="00C55BA9">
        <w:trPr>
          <w:trHeight w:val="437"/>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i/>
                <w:iCs/>
                <w:sz w:val="22"/>
                <w:szCs w:val="22"/>
              </w:rPr>
              <w:t>Cameraria ohridella</w:t>
            </w:r>
            <w:r w:rsidRPr="00DD46ED">
              <w:rPr>
                <w:rFonts w:ascii="Trebuchet MS" w:hAnsi="Trebuchet MS" w:cs="Arial"/>
                <w:iCs/>
                <w:sz w:val="22"/>
                <w:szCs w:val="22"/>
              </w:rPr>
              <w:t xml:space="preserve"> </w:t>
            </w:r>
            <w:r w:rsidRPr="00DD46ED">
              <w:rPr>
                <w:rFonts w:ascii="Trebuchet MS" w:hAnsi="Trebuchet MS" w:cs="Arial"/>
                <w:sz w:val="22"/>
                <w:szCs w:val="22"/>
              </w:rPr>
              <w:t>(Deschka &amp; Dimić, 1986)</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Molia minieră a castanului ornamental</w:t>
            </w:r>
          </w:p>
        </w:tc>
        <w:tc>
          <w:tcPr>
            <w:tcW w:w="3905" w:type="dxa"/>
            <w:vAlign w:val="center"/>
          </w:tcPr>
          <w:p w:rsidR="00672663" w:rsidRPr="00DD46ED" w:rsidRDefault="00672663" w:rsidP="00C55BA9">
            <w:pPr>
              <w:jc w:val="center"/>
              <w:rPr>
                <w:rFonts w:ascii="Trebuchet MS" w:hAnsi="Trebuchet MS" w:cs="Arial"/>
                <w:sz w:val="22"/>
                <w:szCs w:val="22"/>
                <w:lang w:val="pt-BR"/>
              </w:rPr>
            </w:pPr>
            <w:r w:rsidRPr="00DD46ED">
              <w:rPr>
                <w:rFonts w:ascii="Trebuchet MS" w:hAnsi="Trebuchet MS" w:cs="Arial"/>
                <w:iCs/>
                <w:sz w:val="22"/>
                <w:szCs w:val="22"/>
                <w:shd w:val="clear" w:color="auto" w:fill="FFFFFF"/>
                <w:lang w:val="pt-BR"/>
              </w:rPr>
              <w:t>Specii de castani:</w:t>
            </w:r>
            <w:r w:rsidRPr="00DD46ED">
              <w:rPr>
                <w:rFonts w:ascii="Trebuchet MS" w:hAnsi="Trebuchet MS" w:cs="Arial"/>
                <w:i/>
                <w:iCs/>
                <w:sz w:val="22"/>
                <w:szCs w:val="22"/>
                <w:shd w:val="clear" w:color="auto" w:fill="FFFFFF"/>
                <w:lang w:val="pt-BR"/>
              </w:rPr>
              <w:t xml:space="preserve"> Aesculus pavia</w:t>
            </w:r>
            <w:r w:rsidRPr="00DD46ED">
              <w:rPr>
                <w:rFonts w:ascii="Trebuchet MS" w:hAnsi="Trebuchet MS" w:cs="Arial"/>
                <w:sz w:val="22"/>
                <w:szCs w:val="22"/>
                <w:shd w:val="clear" w:color="auto" w:fill="FFFFFF"/>
                <w:lang w:val="pt-BR"/>
              </w:rPr>
              <w:t>,</w:t>
            </w:r>
            <w:r w:rsidRPr="00DD46ED">
              <w:rPr>
                <w:rStyle w:val="apple-converted-space"/>
                <w:rFonts w:ascii="Trebuchet MS" w:hAnsi="Trebuchet MS" w:cs="Arial"/>
                <w:sz w:val="22"/>
                <w:szCs w:val="22"/>
                <w:shd w:val="clear" w:color="auto" w:fill="FFFFFF"/>
                <w:lang w:val="pt-BR"/>
              </w:rPr>
              <w:t xml:space="preserve">  </w:t>
            </w:r>
            <w:r w:rsidRPr="00DD46ED">
              <w:rPr>
                <w:rFonts w:ascii="Trebuchet MS" w:hAnsi="Trebuchet MS" w:cs="Arial"/>
                <w:i/>
                <w:iCs/>
                <w:sz w:val="22"/>
                <w:szCs w:val="22"/>
                <w:shd w:val="clear" w:color="auto" w:fill="FFFFFF"/>
                <w:lang w:val="pt-BR"/>
              </w:rPr>
              <w:t xml:space="preserve">Acer platanoides, </w:t>
            </w:r>
            <w:r w:rsidRPr="00DD46ED">
              <w:rPr>
                <w:rStyle w:val="apple-converted-space"/>
                <w:rFonts w:ascii="Trebuchet MS" w:hAnsi="Trebuchet MS" w:cs="Arial"/>
                <w:sz w:val="22"/>
                <w:szCs w:val="22"/>
                <w:shd w:val="clear" w:color="auto" w:fill="FFFFFF"/>
                <w:lang w:val="pt-BR"/>
              </w:rPr>
              <w:t> </w:t>
            </w:r>
            <w:r w:rsidRPr="00DD46ED">
              <w:rPr>
                <w:rFonts w:ascii="Trebuchet MS" w:hAnsi="Trebuchet MS" w:cs="Arial"/>
                <w:i/>
                <w:iCs/>
                <w:sz w:val="22"/>
                <w:szCs w:val="22"/>
                <w:shd w:val="clear" w:color="auto" w:fill="FFFFFF"/>
                <w:lang w:val="pt-BR"/>
              </w:rPr>
              <w:t>Acer pseudoplatanus.</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i/>
                <w:iCs/>
                <w:sz w:val="22"/>
                <w:szCs w:val="22"/>
              </w:rPr>
              <w:t>Cydalima perspectalis</w:t>
            </w:r>
            <w:r w:rsidRPr="00DD46ED">
              <w:rPr>
                <w:rFonts w:ascii="Trebuchet MS" w:hAnsi="Trebuchet MS" w:cs="Arial"/>
                <w:iCs/>
                <w:sz w:val="22"/>
                <w:szCs w:val="22"/>
              </w:rPr>
              <w:t xml:space="preserve"> (</w:t>
            </w:r>
            <w:r w:rsidRPr="00DD46ED">
              <w:rPr>
                <w:rFonts w:ascii="Trebuchet MS" w:hAnsi="Trebuchet MS" w:cs="Arial"/>
                <w:sz w:val="22"/>
                <w:szCs w:val="22"/>
                <w:shd w:val="clear" w:color="auto" w:fill="F9F9F9"/>
              </w:rPr>
              <w:t>Walker, 1859)</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bCs/>
                <w:color w:val="000000"/>
                <w:sz w:val="22"/>
                <w:szCs w:val="22"/>
                <w:shd w:val="clear" w:color="auto" w:fill="FFFFFF"/>
              </w:rPr>
              <w:t>Omida păroasă a Buxusului</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 xml:space="preserve">Specii de </w:t>
            </w:r>
            <w:r w:rsidRPr="00DD46ED">
              <w:rPr>
                <w:rFonts w:ascii="Trebuchet MS" w:hAnsi="Trebuchet MS" w:cs="Arial"/>
                <w:i/>
                <w:sz w:val="22"/>
                <w:szCs w:val="22"/>
              </w:rPr>
              <w:t>Buxus</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THYSANOPTERA</w:t>
            </w:r>
          </w:p>
        </w:tc>
        <w:tc>
          <w:tcPr>
            <w:tcW w:w="2430" w:type="dxa"/>
            <w:vAlign w:val="center"/>
          </w:tcPr>
          <w:p w:rsidR="00672663" w:rsidRPr="00DD46ED" w:rsidRDefault="00672663" w:rsidP="00C55BA9">
            <w:pPr>
              <w:jc w:val="center"/>
              <w:rPr>
                <w:rFonts w:ascii="Trebuchet MS" w:hAnsi="Trebuchet MS" w:cs="Arial"/>
                <w:sz w:val="22"/>
                <w:szCs w:val="22"/>
              </w:rPr>
            </w:pPr>
          </w:p>
        </w:tc>
        <w:tc>
          <w:tcPr>
            <w:tcW w:w="3905" w:type="dxa"/>
            <w:vAlign w:val="center"/>
          </w:tcPr>
          <w:p w:rsidR="00672663" w:rsidRPr="00DD46ED" w:rsidRDefault="00672663" w:rsidP="00C55BA9">
            <w:pPr>
              <w:jc w:val="center"/>
              <w:rPr>
                <w:rFonts w:ascii="Trebuchet MS" w:hAnsi="Trebuchet MS" w:cs="Arial"/>
                <w:sz w:val="22"/>
                <w:szCs w:val="22"/>
              </w:rPr>
            </w:pP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i/>
                <w:sz w:val="22"/>
                <w:szCs w:val="22"/>
              </w:rPr>
              <w:t>Echinothrips americanus</w:t>
            </w:r>
            <w:r w:rsidRPr="00DD46ED">
              <w:rPr>
                <w:rFonts w:ascii="Trebuchet MS" w:hAnsi="Trebuchet MS" w:cs="Arial"/>
                <w:sz w:val="22"/>
                <w:szCs w:val="22"/>
              </w:rPr>
              <w:t xml:space="preserve"> Morgan, 1913</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Viermele sp. Poinsettia</w:t>
            </w:r>
          </w:p>
        </w:tc>
        <w:tc>
          <w:tcPr>
            <w:tcW w:w="3905" w:type="dxa"/>
            <w:vAlign w:val="center"/>
          </w:tcPr>
          <w:p w:rsidR="00672663" w:rsidRPr="00DD46ED" w:rsidRDefault="00672663" w:rsidP="00C55BA9">
            <w:pPr>
              <w:jc w:val="center"/>
              <w:rPr>
                <w:rFonts w:ascii="Trebuchet MS" w:hAnsi="Trebuchet MS" w:cs="Arial"/>
                <w:b/>
                <w:sz w:val="22"/>
                <w:szCs w:val="22"/>
              </w:rPr>
            </w:pPr>
            <w:r w:rsidRPr="00DD46ED">
              <w:rPr>
                <w:rFonts w:ascii="Trebuchet MS" w:hAnsi="Trebuchet MS" w:cs="Arial"/>
                <w:sz w:val="22"/>
                <w:szCs w:val="22"/>
              </w:rPr>
              <w:t>Specii de plante ornamentale</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bCs/>
                <w:i/>
                <w:sz w:val="22"/>
                <w:szCs w:val="22"/>
              </w:rPr>
              <w:t xml:space="preserve">Frankliniella occidentalis </w:t>
            </w:r>
            <w:r w:rsidRPr="00DD46ED">
              <w:rPr>
                <w:rFonts w:ascii="Trebuchet MS" w:hAnsi="Trebuchet MS" w:cs="Arial"/>
                <w:bCs/>
                <w:sz w:val="22"/>
                <w:szCs w:val="22"/>
              </w:rPr>
              <w:t>(Pergande, 1895)</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Tripsul californian</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Toate speciile din culturile de seră</w:t>
            </w:r>
          </w:p>
        </w:tc>
      </w:tr>
      <w:tr w:rsidR="00672663" w:rsidRPr="00DD46ED" w:rsidTr="00C55BA9">
        <w:trPr>
          <w:trHeight w:val="418"/>
          <w:jc w:val="center"/>
        </w:trPr>
        <w:tc>
          <w:tcPr>
            <w:tcW w:w="3505" w:type="dxa"/>
            <w:vAlign w:val="center"/>
          </w:tcPr>
          <w:p w:rsidR="00672663" w:rsidRPr="00DD46ED" w:rsidRDefault="00672663" w:rsidP="00C55BA9">
            <w:pPr>
              <w:jc w:val="center"/>
              <w:rPr>
                <w:rFonts w:ascii="Trebuchet MS" w:hAnsi="Trebuchet MS" w:cs="Arial"/>
                <w:bCs/>
                <w:i/>
                <w:sz w:val="22"/>
                <w:szCs w:val="22"/>
              </w:rPr>
            </w:pPr>
            <w:r w:rsidRPr="00DD46ED">
              <w:rPr>
                <w:rFonts w:ascii="Trebuchet MS" w:hAnsi="Trebuchet MS" w:cs="Arial"/>
                <w:bCs/>
                <w:i/>
                <w:sz w:val="22"/>
                <w:szCs w:val="22"/>
              </w:rPr>
              <w:t xml:space="preserve">Heliothrips haemorrhoidalis </w:t>
            </w:r>
            <w:r w:rsidRPr="00DD46ED">
              <w:rPr>
                <w:rFonts w:ascii="Trebuchet MS" w:hAnsi="Trebuchet MS" w:cs="Arial"/>
                <w:bCs/>
                <w:sz w:val="22"/>
                <w:szCs w:val="22"/>
              </w:rPr>
              <w:t>(Bouché, 1833)</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Tripsul plantelor de seră</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Specii de plante ornamentale</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bCs/>
                <w:i/>
                <w:sz w:val="22"/>
                <w:szCs w:val="22"/>
              </w:rPr>
            </w:pPr>
            <w:r w:rsidRPr="00DD46ED">
              <w:rPr>
                <w:rFonts w:ascii="Trebuchet MS" w:hAnsi="Trebuchet MS" w:cs="Arial"/>
                <w:bCs/>
                <w:i/>
                <w:sz w:val="22"/>
                <w:szCs w:val="22"/>
              </w:rPr>
              <w:t>Hercinothrips bicinctus (</w:t>
            </w:r>
            <w:r w:rsidRPr="00DD46ED">
              <w:rPr>
                <w:rFonts w:ascii="Trebuchet MS" w:hAnsi="Trebuchet MS" w:cs="Arial"/>
                <w:color w:val="545454"/>
                <w:sz w:val="22"/>
                <w:szCs w:val="22"/>
                <w:shd w:val="clear" w:color="auto" w:fill="FFFFFF"/>
              </w:rPr>
              <w:t>Bagnall, 1919)</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Tripsul sp Smilax</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Specii de plante ornamentale</w:t>
            </w:r>
          </w:p>
        </w:tc>
      </w:tr>
      <w:tr w:rsidR="00672663" w:rsidRPr="00DD46ED" w:rsidTr="00C55BA9">
        <w:trPr>
          <w:trHeight w:val="437"/>
          <w:jc w:val="center"/>
        </w:trPr>
        <w:tc>
          <w:tcPr>
            <w:tcW w:w="3505" w:type="dxa"/>
            <w:vAlign w:val="center"/>
          </w:tcPr>
          <w:p w:rsidR="00672663" w:rsidRPr="00DD46ED" w:rsidRDefault="00672663" w:rsidP="00C55BA9">
            <w:pPr>
              <w:jc w:val="center"/>
              <w:rPr>
                <w:rFonts w:ascii="Trebuchet MS" w:hAnsi="Trebuchet MS" w:cs="Arial"/>
                <w:bCs/>
                <w:i/>
                <w:sz w:val="22"/>
                <w:szCs w:val="22"/>
              </w:rPr>
            </w:pPr>
            <w:r w:rsidRPr="00DD46ED">
              <w:rPr>
                <w:rFonts w:ascii="Trebuchet MS" w:hAnsi="Trebuchet MS" w:cs="Arial"/>
                <w:bCs/>
                <w:i/>
                <w:sz w:val="22"/>
                <w:szCs w:val="22"/>
              </w:rPr>
              <w:t xml:space="preserve">Hercinothrips femoralis </w:t>
            </w:r>
            <w:r w:rsidRPr="00DD46ED">
              <w:rPr>
                <w:rFonts w:ascii="Trebuchet MS" w:hAnsi="Trebuchet MS" w:cs="Arial"/>
                <w:bCs/>
                <w:sz w:val="22"/>
                <w:szCs w:val="22"/>
              </w:rPr>
              <w:t>(O. M. Reuter, 1891)</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Tripsul lamelar al plantelor de seră</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Specii de plante ornamentale</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bCs/>
                <w:i/>
                <w:sz w:val="22"/>
                <w:szCs w:val="22"/>
              </w:rPr>
            </w:pPr>
            <w:r w:rsidRPr="00DD46ED">
              <w:rPr>
                <w:rFonts w:ascii="Trebuchet MS" w:hAnsi="Trebuchet MS" w:cs="Arial"/>
                <w:bCs/>
                <w:i/>
                <w:sz w:val="22"/>
                <w:szCs w:val="22"/>
              </w:rPr>
              <w:t xml:space="preserve">Parthenothrips dracaenae </w:t>
            </w:r>
            <w:r w:rsidRPr="00DD46ED">
              <w:rPr>
                <w:rFonts w:ascii="Trebuchet MS" w:hAnsi="Trebuchet MS" w:cs="Arial"/>
                <w:bCs/>
                <w:sz w:val="22"/>
                <w:szCs w:val="22"/>
              </w:rPr>
              <w:t>(Heeger, 1854)</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Tripsul palmierilor ornamentali</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Specii de plante ornamentale</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i/>
                <w:sz w:val="22"/>
                <w:szCs w:val="22"/>
              </w:rPr>
              <w:t>Thrips simplex</w:t>
            </w:r>
            <w:r w:rsidRPr="00DD46ED">
              <w:rPr>
                <w:rFonts w:ascii="Trebuchet MS" w:hAnsi="Trebuchet MS" w:cs="Arial"/>
                <w:sz w:val="22"/>
                <w:szCs w:val="22"/>
              </w:rPr>
              <w:t xml:space="preserve"> (Morison 1930)</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Tripsul sp.  Gladiolus</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Specii de</w:t>
            </w:r>
            <w:r w:rsidRPr="00DD46ED">
              <w:rPr>
                <w:rFonts w:ascii="Trebuchet MS" w:hAnsi="Trebuchet MS" w:cs="Arial"/>
                <w:i/>
                <w:sz w:val="22"/>
                <w:szCs w:val="22"/>
              </w:rPr>
              <w:t xml:space="preserve"> Gladiolus</w:t>
            </w:r>
            <w:r w:rsidRPr="00DD46ED">
              <w:rPr>
                <w:rFonts w:ascii="Trebuchet MS" w:hAnsi="Trebuchet MS" w:cs="Arial"/>
                <w:sz w:val="22"/>
                <w:szCs w:val="22"/>
              </w:rPr>
              <w:t>.</w:t>
            </w: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MYRIAPODA</w:t>
            </w:r>
          </w:p>
        </w:tc>
        <w:tc>
          <w:tcPr>
            <w:tcW w:w="2430" w:type="dxa"/>
            <w:vAlign w:val="center"/>
          </w:tcPr>
          <w:p w:rsidR="00672663" w:rsidRPr="00DD46ED" w:rsidRDefault="00672663" w:rsidP="00C55BA9">
            <w:pPr>
              <w:jc w:val="center"/>
              <w:rPr>
                <w:rFonts w:ascii="Trebuchet MS" w:hAnsi="Trebuchet MS" w:cs="Arial"/>
                <w:sz w:val="22"/>
                <w:szCs w:val="22"/>
              </w:rPr>
            </w:pPr>
          </w:p>
        </w:tc>
        <w:tc>
          <w:tcPr>
            <w:tcW w:w="3905" w:type="dxa"/>
            <w:vAlign w:val="center"/>
          </w:tcPr>
          <w:p w:rsidR="00672663" w:rsidRPr="00DD46ED" w:rsidRDefault="00672663" w:rsidP="00C55BA9">
            <w:pPr>
              <w:jc w:val="center"/>
              <w:rPr>
                <w:rFonts w:ascii="Trebuchet MS" w:hAnsi="Trebuchet MS" w:cs="Arial"/>
                <w:i/>
                <w:sz w:val="22"/>
                <w:szCs w:val="22"/>
              </w:rPr>
            </w:pPr>
          </w:p>
        </w:tc>
      </w:tr>
      <w:tr w:rsidR="00672663" w:rsidRPr="00DD46ED" w:rsidTr="00C55BA9">
        <w:trPr>
          <w:trHeight w:val="209"/>
          <w:jc w:val="center"/>
        </w:trPr>
        <w:tc>
          <w:tcPr>
            <w:tcW w:w="35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i/>
                <w:sz w:val="22"/>
                <w:szCs w:val="22"/>
              </w:rPr>
              <w:t xml:space="preserve">Scutigera coleoptrata </w:t>
            </w:r>
            <w:r w:rsidRPr="00DD46ED">
              <w:rPr>
                <w:rFonts w:ascii="Trebuchet MS" w:eastAsia="Calibri" w:hAnsi="Trebuchet MS" w:cs="Arial"/>
                <w:iCs/>
                <w:sz w:val="22"/>
                <w:szCs w:val="22"/>
                <w:lang w:val="ro-RO"/>
              </w:rPr>
              <w:t>(Linnaeus, 1758)</w:t>
            </w:r>
          </w:p>
        </w:tc>
        <w:tc>
          <w:tcPr>
            <w:tcW w:w="2430"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Chilopodul caselor</w:t>
            </w:r>
          </w:p>
        </w:tc>
        <w:tc>
          <w:tcPr>
            <w:tcW w:w="3905" w:type="dxa"/>
            <w:vAlign w:val="center"/>
          </w:tcPr>
          <w:p w:rsidR="00672663" w:rsidRPr="00DD46ED" w:rsidRDefault="00672663" w:rsidP="00C55BA9">
            <w:pPr>
              <w:jc w:val="center"/>
              <w:rPr>
                <w:rFonts w:ascii="Trebuchet MS" w:hAnsi="Trebuchet MS" w:cs="Arial"/>
                <w:sz w:val="22"/>
                <w:szCs w:val="22"/>
              </w:rPr>
            </w:pPr>
            <w:r w:rsidRPr="00DD46ED">
              <w:rPr>
                <w:rFonts w:ascii="Trebuchet MS" w:hAnsi="Trebuchet MS" w:cs="Arial"/>
                <w:color w:val="000000"/>
                <w:sz w:val="22"/>
                <w:szCs w:val="22"/>
                <w:shd w:val="clear" w:color="auto" w:fill="FFFFFF"/>
              </w:rPr>
              <w:t>Locuri umede si răcoroase- habitate umane</w:t>
            </w:r>
          </w:p>
        </w:tc>
      </w:tr>
    </w:tbl>
    <w:p w:rsidR="00672663" w:rsidRPr="00DD46ED" w:rsidRDefault="00672663" w:rsidP="00672663">
      <w:pPr>
        <w:rPr>
          <w:rFonts w:ascii="Trebuchet MS" w:hAnsi="Trebuchet MS" w:cs="Arial"/>
          <w:sz w:val="22"/>
          <w:szCs w:val="22"/>
          <w:lang w:val="ro-RO"/>
        </w:rPr>
      </w:pPr>
      <w:r w:rsidRPr="00DD46ED">
        <w:rPr>
          <w:rFonts w:ascii="Trebuchet MS" w:hAnsi="Trebuchet MS" w:cs="Arial"/>
          <w:sz w:val="22"/>
          <w:szCs w:val="22"/>
        </w:rPr>
        <w:t xml:space="preserve">              </w:t>
      </w:r>
      <w:r w:rsidRPr="00DD46ED">
        <w:rPr>
          <w:rFonts w:ascii="Trebuchet MS" w:hAnsi="Trebuchet MS" w:cs="Arial"/>
          <w:sz w:val="22"/>
          <w:szCs w:val="22"/>
          <w:lang w:val="ro-RO"/>
        </w:rPr>
        <w:t>Sursa: Cercetator Dr. Minodora Manu, ICEBIOL</w:t>
      </w:r>
    </w:p>
    <w:p w:rsidR="00672663" w:rsidRPr="00DD46ED" w:rsidRDefault="00672663" w:rsidP="00672663">
      <w:pPr>
        <w:rPr>
          <w:rFonts w:ascii="Trebuchet MS" w:hAnsi="Trebuchet MS" w:cs="Arial"/>
          <w:sz w:val="22"/>
          <w:szCs w:val="22"/>
        </w:rPr>
      </w:pPr>
    </w:p>
    <w:p w:rsidR="00672663" w:rsidRPr="00DD46ED" w:rsidRDefault="00672663" w:rsidP="00672663">
      <w:pPr>
        <w:rPr>
          <w:rFonts w:ascii="Trebuchet MS" w:hAnsi="Trebuchet MS" w:cs="Arial"/>
          <w:sz w:val="22"/>
          <w:szCs w:val="22"/>
          <w:lang w:val="it-IT"/>
        </w:rPr>
      </w:pPr>
      <w:r w:rsidRPr="00DD46ED">
        <w:rPr>
          <w:rFonts w:ascii="Trebuchet MS" w:hAnsi="Trebuchet MS" w:cs="Arial"/>
          <w:sz w:val="22"/>
          <w:szCs w:val="22"/>
          <w:lang w:val="it-IT"/>
        </w:rPr>
        <w:t xml:space="preserve">        Grafic V.1.1 Numărul de specii de nevertebrate invazive din Bucureşti</w:t>
      </w:r>
    </w:p>
    <w:p w:rsidR="00672663" w:rsidRPr="00947524" w:rsidRDefault="00672663" w:rsidP="00672663">
      <w:pPr>
        <w:ind w:left="720"/>
        <w:rPr>
          <w:rFonts w:ascii="Arial" w:hAnsi="Arial" w:cs="Arial"/>
          <w:lang w:val="it-IT"/>
        </w:rPr>
      </w:pPr>
      <w:r w:rsidRPr="00947524">
        <w:rPr>
          <w:rFonts w:ascii="Arial" w:hAnsi="Arial" w:cs="Arial"/>
          <w:noProof/>
          <w:lang w:val="en-US"/>
        </w:rPr>
        <w:drawing>
          <wp:anchor distT="0" distB="0" distL="114300" distR="114300" simplePos="0" relativeHeight="251698688" behindDoc="1" locked="0" layoutInCell="1" allowOverlap="1" wp14:anchorId="30E9A486" wp14:editId="0E597F86">
            <wp:simplePos x="0" y="0"/>
            <wp:positionH relativeFrom="column">
              <wp:posOffset>464185</wp:posOffset>
            </wp:positionH>
            <wp:positionV relativeFrom="paragraph">
              <wp:posOffset>85090</wp:posOffset>
            </wp:positionV>
            <wp:extent cx="5504815" cy="3206750"/>
            <wp:effectExtent l="0" t="0" r="19685" b="12700"/>
            <wp:wrapTight wrapText="bothSides">
              <wp:wrapPolygon edited="0">
                <wp:start x="0" y="0"/>
                <wp:lineTo x="0" y="21557"/>
                <wp:lineTo x="21602" y="21557"/>
                <wp:lineTo x="21602" y="0"/>
                <wp:lineTo x="0" y="0"/>
              </wp:wrapPolygon>
            </wp:wrapTight>
            <wp:docPr id="410" name="Object 4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page">
              <wp14:pctWidth>0</wp14:pctWidth>
            </wp14:sizeRelH>
            <wp14:sizeRelV relativeFrom="page">
              <wp14:pctHeight>0</wp14:pctHeight>
            </wp14:sizeRelV>
          </wp:anchor>
        </w:drawing>
      </w:r>
    </w:p>
    <w:p w:rsidR="00672663" w:rsidRPr="00947524" w:rsidRDefault="00672663" w:rsidP="00672663">
      <w:pPr>
        <w:ind w:left="720"/>
        <w:rPr>
          <w:rFonts w:ascii="Arial" w:hAnsi="Arial" w:cs="Arial"/>
          <w:lang w:val="it-IT"/>
        </w:rPr>
      </w:pPr>
    </w:p>
    <w:p w:rsidR="00672663" w:rsidRPr="00947524" w:rsidRDefault="00672663" w:rsidP="00672663">
      <w:pPr>
        <w:ind w:left="720"/>
        <w:rPr>
          <w:rFonts w:ascii="Arial" w:hAnsi="Arial" w:cs="Arial"/>
          <w:lang w:val="it-IT"/>
        </w:rPr>
      </w:pPr>
    </w:p>
    <w:p w:rsidR="00672663" w:rsidRPr="00947524" w:rsidRDefault="00672663" w:rsidP="00672663">
      <w:pPr>
        <w:rPr>
          <w:rFonts w:ascii="Arial" w:hAnsi="Arial" w:cs="Arial"/>
          <w:lang w:val="it-IT"/>
        </w:rPr>
      </w:pPr>
    </w:p>
    <w:p w:rsidR="00672663" w:rsidRPr="00947524" w:rsidRDefault="00672663" w:rsidP="00672663">
      <w:pPr>
        <w:rPr>
          <w:rFonts w:ascii="Arial" w:hAnsi="Arial" w:cs="Arial"/>
          <w:lang w:val="it-IT"/>
        </w:rPr>
      </w:pPr>
    </w:p>
    <w:p w:rsidR="00672663" w:rsidRPr="00947524" w:rsidRDefault="00672663" w:rsidP="00672663">
      <w:pPr>
        <w:jc w:val="both"/>
        <w:rPr>
          <w:rFonts w:ascii="Arial" w:hAnsi="Arial" w:cs="Arial"/>
          <w:caps/>
          <w:highlight w:val="green"/>
        </w:rPr>
      </w:pPr>
    </w:p>
    <w:p w:rsidR="00672663" w:rsidRPr="00947524" w:rsidRDefault="00672663" w:rsidP="00672663">
      <w:pPr>
        <w:tabs>
          <w:tab w:val="left" w:pos="1176"/>
          <w:tab w:val="left" w:leader="dot" w:pos="9356"/>
        </w:tabs>
        <w:ind w:left="170"/>
        <w:jc w:val="both"/>
        <w:rPr>
          <w:rFonts w:ascii="Arial" w:hAnsi="Arial" w:cs="Arial"/>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lang w:val="ro-RO"/>
        </w:rPr>
      </w:pPr>
      <w:r w:rsidRPr="00947524">
        <w:rPr>
          <w:rFonts w:ascii="Arial" w:hAnsi="Arial" w:cs="Arial"/>
          <w:lang w:val="ro-RO"/>
        </w:rPr>
        <w:t xml:space="preserve">             </w:t>
      </w:r>
    </w:p>
    <w:p w:rsidR="00672663" w:rsidRPr="00A60EDC" w:rsidRDefault="00672663" w:rsidP="00A60EDC">
      <w:pPr>
        <w:tabs>
          <w:tab w:val="left" w:pos="1176"/>
          <w:tab w:val="left" w:leader="dot" w:pos="9356"/>
        </w:tabs>
        <w:ind w:left="170"/>
        <w:rPr>
          <w:rFonts w:ascii="Trebuchet MS" w:hAnsi="Trebuchet MS" w:cs="Arial"/>
          <w:lang w:val="ro-RO"/>
        </w:rPr>
      </w:pPr>
      <w:r w:rsidRPr="00A60EDC">
        <w:rPr>
          <w:rFonts w:ascii="Trebuchet MS" w:hAnsi="Trebuchet MS" w:cs="Arial"/>
          <w:lang w:val="ro-RO"/>
        </w:rPr>
        <w:t xml:space="preserve">               </w:t>
      </w:r>
    </w:p>
    <w:p w:rsidR="00672663" w:rsidRPr="00DD46ED" w:rsidRDefault="00672663" w:rsidP="00A60EDC">
      <w:pPr>
        <w:tabs>
          <w:tab w:val="left" w:pos="1176"/>
          <w:tab w:val="left" w:leader="dot" w:pos="9356"/>
        </w:tabs>
        <w:ind w:left="170"/>
        <w:jc w:val="both"/>
        <w:rPr>
          <w:rFonts w:ascii="Trebuchet MS" w:hAnsi="Trebuchet MS" w:cs="Arial"/>
          <w:sz w:val="22"/>
          <w:szCs w:val="22"/>
          <w:lang w:val="ro-RO"/>
        </w:rPr>
      </w:pPr>
      <w:r w:rsidRPr="00A60EDC">
        <w:rPr>
          <w:rFonts w:ascii="Trebuchet MS" w:hAnsi="Trebuchet MS" w:cs="Arial"/>
          <w:lang w:val="ro-RO"/>
        </w:rPr>
        <w:t xml:space="preserve">        </w:t>
      </w:r>
      <w:r w:rsidRPr="00DD46ED">
        <w:rPr>
          <w:rFonts w:ascii="Trebuchet MS" w:hAnsi="Trebuchet MS" w:cs="Arial"/>
          <w:sz w:val="22"/>
          <w:szCs w:val="22"/>
          <w:lang w:val="ro-RO"/>
        </w:rPr>
        <w:t>Dintre nevertebratele de apă dulce invazive și potențial invazive au fost identificate în  oraș și în zonele din jurul municipiului București:</w:t>
      </w:r>
      <w:r w:rsidRPr="00DD46ED">
        <w:rPr>
          <w:rFonts w:ascii="Trebuchet MS" w:hAnsi="Trebuchet MS"/>
          <w:sz w:val="22"/>
          <w:szCs w:val="22"/>
        </w:rPr>
        <w:t xml:space="preserve"> </w:t>
      </w:r>
      <w:r w:rsidRPr="00DD46ED">
        <w:rPr>
          <w:rFonts w:ascii="Trebuchet MS" w:hAnsi="Trebuchet MS" w:cs="Arial"/>
          <w:sz w:val="22"/>
          <w:szCs w:val="22"/>
          <w:lang w:val="ro-RO"/>
        </w:rPr>
        <w:t>Aedes albopictus (Țânțarul tigru asiatic), Pectinatella magnifica (Lacul Snagov), Sinanodonta woodiana (Scoica uriașă chinezească), Physella acuta, Schyzocotyle acheilognathi (tenia peștilor), etc.</w:t>
      </w:r>
    </w:p>
    <w:p w:rsidR="00672663" w:rsidRPr="00DD46ED" w:rsidRDefault="00672663" w:rsidP="00A60EDC">
      <w:pPr>
        <w:tabs>
          <w:tab w:val="left" w:pos="1176"/>
          <w:tab w:val="left" w:leader="dot" w:pos="9356"/>
        </w:tabs>
        <w:ind w:left="170"/>
        <w:jc w:val="both"/>
        <w:rPr>
          <w:rFonts w:ascii="Trebuchet MS" w:hAnsi="Trebuchet MS" w:cs="Arial"/>
          <w:sz w:val="22"/>
          <w:szCs w:val="22"/>
          <w:lang w:val="ro-RO"/>
        </w:rPr>
      </w:pPr>
      <w:r w:rsidRPr="00DD46ED">
        <w:rPr>
          <w:rFonts w:ascii="Trebuchet MS" w:hAnsi="Trebuchet MS" w:cs="Arial"/>
          <w:b/>
          <w:sz w:val="22"/>
          <w:szCs w:val="22"/>
          <w:lang w:val="ro-RO"/>
        </w:rPr>
        <w:t xml:space="preserve">        Notă.</w:t>
      </w:r>
      <w:r w:rsidRPr="00DD46ED">
        <w:rPr>
          <w:rFonts w:ascii="Trebuchet MS" w:hAnsi="Trebuchet MS" w:cs="Arial"/>
          <w:sz w:val="22"/>
          <w:szCs w:val="22"/>
          <w:lang w:val="ro-RO"/>
        </w:rPr>
        <w:t xml:space="preserve"> Informaţiile au fost obţinute de pe site-ul Proiectelor: Inventarul Distribuţiei Speciilor Invazive din Europa (DAISIE - Delivering Alien Invasive Species Inventories for Europe) - http://www.europe -aliens.org/ și ”Managementul adecvat al speciilor invazive din Romania, în conformitate cu Regulamentul UE 1143/2014 referitor la prevenirea și gestionarea introducerii și răspândirii speciilor alogene invazive”  şi de la cercetători din cadrul Institutului de Biologie  Bucureşti.   </w:t>
      </w:r>
    </w:p>
    <w:p w:rsidR="00672663" w:rsidRPr="00DD46ED" w:rsidRDefault="00672663" w:rsidP="00A60EDC">
      <w:pPr>
        <w:tabs>
          <w:tab w:val="left" w:pos="1176"/>
          <w:tab w:val="left" w:leader="dot" w:pos="9356"/>
        </w:tabs>
        <w:ind w:left="170"/>
        <w:rPr>
          <w:rFonts w:ascii="Trebuchet MS" w:hAnsi="Trebuchet MS" w:cs="Arial"/>
          <w:sz w:val="22"/>
          <w:szCs w:val="22"/>
          <w:lang w:val="ro-RO"/>
        </w:rPr>
      </w:pPr>
    </w:p>
    <w:p w:rsidR="00672663" w:rsidRPr="00DD46ED" w:rsidRDefault="00672663" w:rsidP="00A60EDC">
      <w:pPr>
        <w:tabs>
          <w:tab w:val="left" w:pos="1176"/>
          <w:tab w:val="left" w:leader="dot" w:pos="9356"/>
        </w:tabs>
        <w:ind w:left="170"/>
        <w:jc w:val="both"/>
        <w:rPr>
          <w:rFonts w:ascii="Trebuchet MS" w:hAnsi="Trebuchet MS" w:cs="Arial"/>
          <w:b/>
          <w:sz w:val="22"/>
          <w:szCs w:val="22"/>
          <w:lang w:val="ro-RO"/>
        </w:rPr>
      </w:pPr>
      <w:r w:rsidRPr="00DD46ED">
        <w:rPr>
          <w:rFonts w:ascii="Trebuchet MS" w:hAnsi="Trebuchet MS" w:cs="Arial"/>
          <w:sz w:val="22"/>
          <w:szCs w:val="22"/>
          <w:lang w:val="ro-RO"/>
        </w:rPr>
        <w:tab/>
      </w:r>
      <w:r w:rsidRPr="00DD46ED">
        <w:rPr>
          <w:rFonts w:ascii="Trebuchet MS" w:hAnsi="Trebuchet MS" w:cs="Arial"/>
          <w:b/>
          <w:sz w:val="22"/>
          <w:szCs w:val="22"/>
          <w:lang w:val="ro-RO"/>
        </w:rPr>
        <w:t>Măsuri implementate</w:t>
      </w:r>
    </w:p>
    <w:p w:rsidR="00672663" w:rsidRPr="00DD46ED" w:rsidRDefault="00672663" w:rsidP="00A60EDC">
      <w:pPr>
        <w:tabs>
          <w:tab w:val="left" w:pos="1176"/>
          <w:tab w:val="left" w:leader="dot" w:pos="9356"/>
        </w:tabs>
        <w:ind w:left="170"/>
        <w:jc w:val="both"/>
        <w:rPr>
          <w:rFonts w:ascii="Trebuchet MS" w:hAnsi="Trebuchet MS" w:cs="Arial"/>
          <w:sz w:val="22"/>
          <w:szCs w:val="22"/>
          <w:lang w:val="ro-RO"/>
        </w:rPr>
      </w:pPr>
      <w:r w:rsidRPr="00DD46ED">
        <w:rPr>
          <w:rFonts w:ascii="Trebuchet MS" w:hAnsi="Trebuchet MS" w:cs="Arial"/>
          <w:sz w:val="22"/>
          <w:szCs w:val="22"/>
          <w:lang w:val="ro-RO"/>
        </w:rPr>
        <w:tab/>
        <w:t xml:space="preserve">Guvernul României a adoptat Legea 62/2018 privind  combaterea buruienii Ambrozia (Ambrosia artemisiifolia) la nivel național, precum și Hotărârea Guvernului nr. 707/2018 pentru aprobarea Normelor metodologice de aplicare a Legii nr. 62/2018 privind combaterea buruienii ambrozia. </w:t>
      </w:r>
    </w:p>
    <w:p w:rsidR="00672663" w:rsidRPr="00DD46ED" w:rsidRDefault="00672663" w:rsidP="00A60EDC">
      <w:pPr>
        <w:tabs>
          <w:tab w:val="left" w:pos="1176"/>
          <w:tab w:val="left" w:leader="dot" w:pos="9356"/>
        </w:tabs>
        <w:ind w:left="170"/>
        <w:jc w:val="both"/>
        <w:rPr>
          <w:rFonts w:ascii="Trebuchet MS" w:hAnsi="Trebuchet MS" w:cs="Arial"/>
          <w:sz w:val="22"/>
          <w:szCs w:val="22"/>
          <w:lang w:val="ro-RO"/>
        </w:rPr>
      </w:pPr>
      <w:r w:rsidRPr="00DD46ED">
        <w:rPr>
          <w:rFonts w:ascii="Trebuchet MS" w:hAnsi="Trebuchet MS" w:cs="Arial"/>
          <w:sz w:val="22"/>
          <w:szCs w:val="22"/>
          <w:lang w:val="ro-RO"/>
        </w:rPr>
        <w:tab/>
        <w:t>În ședința C.G.M.B. din 26.02.2019 a fost aprobat proiectul de hotarâre privind aprobarea instrucțiunilor de aplicare a prevederilor acestor acte normative pe teritoriul municipiului București.</w:t>
      </w:r>
    </w:p>
    <w:p w:rsidR="00672663" w:rsidRPr="00DD46ED" w:rsidRDefault="00672663" w:rsidP="00A60EDC">
      <w:pPr>
        <w:tabs>
          <w:tab w:val="left" w:pos="1176"/>
          <w:tab w:val="left" w:leader="dot" w:pos="9356"/>
        </w:tabs>
        <w:ind w:left="170"/>
        <w:jc w:val="both"/>
        <w:rPr>
          <w:rFonts w:ascii="Trebuchet MS" w:hAnsi="Trebuchet MS" w:cs="Arial"/>
          <w:sz w:val="22"/>
          <w:szCs w:val="22"/>
          <w:lang w:val="ro-RO"/>
        </w:rPr>
      </w:pPr>
      <w:r w:rsidRPr="00DD46ED">
        <w:rPr>
          <w:rFonts w:ascii="Trebuchet MS" w:hAnsi="Trebuchet MS" w:cs="Arial"/>
          <w:sz w:val="22"/>
          <w:szCs w:val="22"/>
          <w:lang w:val="ro-RO"/>
        </w:rPr>
        <w:tab/>
        <w:t xml:space="preserve">Ministerul Mediului a derulat în perioada 2018-2023 proiectul ”Managementul adecvat al speciilor invazive din Romania, în conformitate cu Regulamentul UE 1143/2014 referitor la prevenirea și gestionarea introducerii și răspândirii speciilor alogene invazive” – Cod SMIS 2014+120008, ce contribuie la atingerea Obiectivului 5 din Strategia UE pentru Biodiversitate 2020, prin identificarea și prioritizarea speciilor alogene invazive în România și a căilor de introducere, controlul și eradicarea speciilor prioritare. </w:t>
      </w:r>
    </w:p>
    <w:p w:rsidR="00672663" w:rsidRPr="00DD46ED" w:rsidRDefault="00672663" w:rsidP="00A60EDC">
      <w:pPr>
        <w:tabs>
          <w:tab w:val="left" w:pos="1176"/>
          <w:tab w:val="left" w:leader="dot" w:pos="9356"/>
        </w:tabs>
        <w:ind w:left="170"/>
        <w:jc w:val="both"/>
        <w:rPr>
          <w:rFonts w:ascii="Trebuchet MS" w:hAnsi="Trebuchet MS" w:cs="Arial"/>
          <w:sz w:val="22"/>
          <w:szCs w:val="22"/>
          <w:lang w:val="ro-RO"/>
        </w:rPr>
      </w:pPr>
      <w:r w:rsidRPr="00DD46ED">
        <w:rPr>
          <w:rFonts w:ascii="Trebuchet MS" w:hAnsi="Trebuchet MS" w:cs="Arial"/>
          <w:sz w:val="22"/>
          <w:szCs w:val="22"/>
          <w:lang w:val="ro-RO"/>
        </w:rPr>
        <w:tab/>
        <w:t>Printre rezultatele proiectului se numără:</w:t>
      </w:r>
    </w:p>
    <w:p w:rsidR="00672663" w:rsidRPr="00DD46ED" w:rsidRDefault="00672663" w:rsidP="00A60EDC">
      <w:pPr>
        <w:pStyle w:val="ListParagraph"/>
        <w:numPr>
          <w:ilvl w:val="0"/>
          <w:numId w:val="20"/>
        </w:numPr>
        <w:tabs>
          <w:tab w:val="left" w:pos="1176"/>
          <w:tab w:val="left" w:leader="dot" w:pos="9356"/>
        </w:tabs>
        <w:jc w:val="both"/>
        <w:rPr>
          <w:rFonts w:ascii="Trebuchet MS" w:hAnsi="Trebuchet MS" w:cs="Arial"/>
          <w:sz w:val="22"/>
          <w:szCs w:val="22"/>
          <w:lang w:val="ro-RO"/>
        </w:rPr>
      </w:pPr>
      <w:r w:rsidRPr="00DD46ED">
        <w:rPr>
          <w:rFonts w:ascii="Trebuchet MS" w:hAnsi="Trebuchet MS" w:cs="Arial"/>
          <w:sz w:val="22"/>
          <w:szCs w:val="22"/>
          <w:lang w:val="ro-RO"/>
        </w:rPr>
        <w:t xml:space="preserve">Lista preliminară națională a speciilor de plante alogene invazive și potențial invazive din România </w:t>
      </w:r>
    </w:p>
    <w:p w:rsidR="00672663" w:rsidRPr="00DD46ED" w:rsidRDefault="00672663" w:rsidP="00A60EDC">
      <w:pPr>
        <w:pStyle w:val="ListParagraph"/>
        <w:numPr>
          <w:ilvl w:val="0"/>
          <w:numId w:val="20"/>
        </w:numPr>
        <w:tabs>
          <w:tab w:val="left" w:pos="1176"/>
          <w:tab w:val="left" w:leader="dot" w:pos="9356"/>
        </w:tabs>
        <w:jc w:val="both"/>
        <w:rPr>
          <w:rFonts w:ascii="Trebuchet MS" w:hAnsi="Trebuchet MS" w:cs="Arial"/>
          <w:sz w:val="22"/>
          <w:szCs w:val="22"/>
          <w:lang w:val="ro-RO"/>
        </w:rPr>
      </w:pPr>
      <w:r w:rsidRPr="00DD46ED">
        <w:rPr>
          <w:rFonts w:ascii="Trebuchet MS" w:hAnsi="Trebuchet MS" w:cs="Arial"/>
          <w:sz w:val="22"/>
          <w:szCs w:val="22"/>
          <w:lang w:val="ro-RO"/>
        </w:rPr>
        <w:t>Ghid de inventariere şi cartare a distribuţiei speciilor de plante alogene invazive şi potenţial invazive din România</w:t>
      </w:r>
    </w:p>
    <w:p w:rsidR="00672663" w:rsidRPr="00DD46ED" w:rsidRDefault="00672663" w:rsidP="00A60EDC">
      <w:pPr>
        <w:pStyle w:val="ListParagraph"/>
        <w:numPr>
          <w:ilvl w:val="0"/>
          <w:numId w:val="20"/>
        </w:numPr>
        <w:tabs>
          <w:tab w:val="left" w:pos="1176"/>
          <w:tab w:val="left" w:leader="dot" w:pos="9356"/>
        </w:tabs>
        <w:jc w:val="both"/>
        <w:rPr>
          <w:rFonts w:ascii="Trebuchet MS" w:hAnsi="Trebuchet MS" w:cs="Arial"/>
          <w:sz w:val="22"/>
          <w:szCs w:val="22"/>
          <w:lang w:val="ro-RO"/>
        </w:rPr>
      </w:pPr>
      <w:r w:rsidRPr="00DD46ED">
        <w:rPr>
          <w:rFonts w:ascii="Trebuchet MS" w:hAnsi="Trebuchet MS" w:cs="Arial"/>
          <w:sz w:val="22"/>
          <w:szCs w:val="22"/>
          <w:lang w:val="ro-RO"/>
        </w:rPr>
        <w:t>Listă preliminară a speciilor de vertebrate invazive și potențial invazive din România (pești, mamifere, reptile, păsări)</w:t>
      </w:r>
    </w:p>
    <w:p w:rsidR="00672663" w:rsidRPr="00DD46ED" w:rsidRDefault="00672663" w:rsidP="00A60EDC">
      <w:pPr>
        <w:pStyle w:val="ListParagraph"/>
        <w:numPr>
          <w:ilvl w:val="0"/>
          <w:numId w:val="20"/>
        </w:numPr>
        <w:tabs>
          <w:tab w:val="left" w:pos="1176"/>
          <w:tab w:val="left" w:leader="dot" w:pos="9356"/>
        </w:tabs>
        <w:jc w:val="both"/>
        <w:rPr>
          <w:rFonts w:ascii="Trebuchet MS" w:hAnsi="Trebuchet MS" w:cs="Arial"/>
          <w:sz w:val="22"/>
          <w:szCs w:val="22"/>
          <w:lang w:val="ro-RO"/>
        </w:rPr>
      </w:pPr>
      <w:r w:rsidRPr="00DD46ED">
        <w:rPr>
          <w:rFonts w:ascii="Trebuchet MS" w:hAnsi="Trebuchet MS" w:cs="Arial"/>
          <w:sz w:val="22"/>
          <w:szCs w:val="22"/>
          <w:lang w:val="ro-RO"/>
        </w:rPr>
        <w:t>Ghid de inventariere şi cartare a distribuţiei speciilor alogene de vertebrate terestre din România</w:t>
      </w:r>
    </w:p>
    <w:p w:rsidR="00672663" w:rsidRPr="00DD46ED" w:rsidRDefault="00672663" w:rsidP="00A60EDC">
      <w:pPr>
        <w:pStyle w:val="ListParagraph"/>
        <w:numPr>
          <w:ilvl w:val="0"/>
          <w:numId w:val="20"/>
        </w:numPr>
        <w:tabs>
          <w:tab w:val="left" w:pos="1176"/>
          <w:tab w:val="left" w:leader="dot" w:pos="9356"/>
        </w:tabs>
        <w:jc w:val="both"/>
        <w:rPr>
          <w:rFonts w:ascii="Trebuchet MS" w:hAnsi="Trebuchet MS" w:cs="Arial"/>
          <w:sz w:val="22"/>
          <w:szCs w:val="22"/>
          <w:lang w:val="ro-RO"/>
        </w:rPr>
      </w:pPr>
      <w:r w:rsidRPr="00DD46ED">
        <w:rPr>
          <w:rFonts w:ascii="Trebuchet MS" w:hAnsi="Trebuchet MS" w:cs="Arial"/>
          <w:sz w:val="22"/>
          <w:szCs w:val="22"/>
          <w:lang w:val="ro-RO"/>
        </w:rPr>
        <w:t>Lista preliminară a speciilor de nevertebrate de apă dulce alogene din România</w:t>
      </w:r>
    </w:p>
    <w:p w:rsidR="00672663" w:rsidRPr="00DD46ED" w:rsidRDefault="00672663" w:rsidP="00A60EDC">
      <w:pPr>
        <w:pStyle w:val="ListParagraph"/>
        <w:numPr>
          <w:ilvl w:val="0"/>
          <w:numId w:val="20"/>
        </w:numPr>
        <w:tabs>
          <w:tab w:val="left" w:pos="1176"/>
          <w:tab w:val="left" w:leader="dot" w:pos="9356"/>
        </w:tabs>
        <w:jc w:val="both"/>
        <w:rPr>
          <w:rFonts w:ascii="Trebuchet MS" w:hAnsi="Trebuchet MS" w:cs="Arial"/>
          <w:sz w:val="22"/>
          <w:szCs w:val="22"/>
          <w:lang w:val="ro-RO"/>
        </w:rPr>
      </w:pPr>
      <w:r w:rsidRPr="00DD46ED">
        <w:rPr>
          <w:rFonts w:ascii="Trebuchet MS" w:hAnsi="Trebuchet MS" w:cs="Arial"/>
          <w:sz w:val="22"/>
          <w:szCs w:val="22"/>
          <w:lang w:val="ro-RO"/>
        </w:rPr>
        <w:t>Raport integrat privind cele mai bune practici de eradicare/control a speciilor alogene invazive și potențialul lor de aplicare în România, etc.</w:t>
      </w:r>
    </w:p>
    <w:p w:rsidR="00672663" w:rsidRPr="00DD46ED" w:rsidRDefault="00672663" w:rsidP="00A60EDC">
      <w:pPr>
        <w:tabs>
          <w:tab w:val="left" w:pos="1176"/>
          <w:tab w:val="left" w:leader="dot" w:pos="9356"/>
        </w:tabs>
        <w:ind w:left="170"/>
        <w:jc w:val="both"/>
        <w:rPr>
          <w:rFonts w:ascii="Trebuchet MS" w:hAnsi="Trebuchet MS" w:cs="Arial"/>
          <w:sz w:val="22"/>
          <w:szCs w:val="22"/>
          <w:lang w:val="ro-RO"/>
        </w:rPr>
      </w:pPr>
      <w:r w:rsidRPr="00DD46ED">
        <w:rPr>
          <w:rFonts w:ascii="Trebuchet MS" w:hAnsi="Trebuchet MS" w:cs="Arial"/>
          <w:sz w:val="22"/>
          <w:szCs w:val="22"/>
          <w:lang w:val="ro-RO"/>
        </w:rPr>
        <w:tab/>
      </w:r>
    </w:p>
    <w:p w:rsidR="00672663" w:rsidRPr="00A60EDC" w:rsidRDefault="00672663" w:rsidP="00A60EDC">
      <w:pPr>
        <w:tabs>
          <w:tab w:val="left" w:pos="1176"/>
          <w:tab w:val="left" w:leader="dot" w:pos="9356"/>
        </w:tabs>
        <w:ind w:left="170"/>
        <w:rPr>
          <w:rFonts w:ascii="Trebuchet MS" w:hAnsi="Trebuchet MS" w:cs="Arial"/>
          <w:lang w:val="ro-RO"/>
        </w:rPr>
      </w:pPr>
    </w:p>
    <w:p w:rsidR="00672663" w:rsidRPr="00A60EDC" w:rsidRDefault="00672663" w:rsidP="00A60EDC">
      <w:pPr>
        <w:tabs>
          <w:tab w:val="left" w:pos="1176"/>
          <w:tab w:val="left" w:leader="dot" w:pos="9356"/>
        </w:tabs>
        <w:ind w:left="170"/>
        <w:rPr>
          <w:rFonts w:ascii="Trebuchet MS" w:hAnsi="Trebuchet MS" w:cs="Arial"/>
          <w:i/>
          <w:lang w:val="ro-RO"/>
        </w:rPr>
      </w:pPr>
      <w:r w:rsidRPr="00A60EDC">
        <w:rPr>
          <w:rFonts w:ascii="Trebuchet MS" w:hAnsi="Trebuchet MS" w:cs="Arial"/>
          <w:i/>
          <w:lang w:val="ro-RO"/>
        </w:rPr>
        <w:t xml:space="preserve">   V.1.2 Poluarea şi încărcarea cu nutrienţi  </w:t>
      </w:r>
    </w:p>
    <w:p w:rsidR="00672663" w:rsidRPr="00A60EDC" w:rsidRDefault="00672663" w:rsidP="00A60EDC">
      <w:pPr>
        <w:tabs>
          <w:tab w:val="left" w:pos="1176"/>
          <w:tab w:val="left" w:leader="dot" w:pos="9356"/>
        </w:tabs>
        <w:ind w:left="170"/>
        <w:rPr>
          <w:rFonts w:ascii="Trebuchet MS" w:hAnsi="Trebuchet MS" w:cs="Arial"/>
          <w:i/>
          <w:lang w:val="ro-RO"/>
        </w:rPr>
      </w:pPr>
    </w:p>
    <w:p w:rsidR="00672663" w:rsidRPr="00A60EDC" w:rsidRDefault="00672663" w:rsidP="00A60EDC">
      <w:pPr>
        <w:tabs>
          <w:tab w:val="left" w:pos="360"/>
          <w:tab w:val="left" w:pos="540"/>
          <w:tab w:val="left" w:pos="720"/>
          <w:tab w:val="left" w:pos="900"/>
          <w:tab w:val="left" w:pos="1176"/>
          <w:tab w:val="left" w:leader="dot" w:pos="9356"/>
        </w:tabs>
        <w:ind w:left="170"/>
        <w:rPr>
          <w:rFonts w:ascii="Trebuchet MS" w:hAnsi="Trebuchet MS" w:cs="Arial"/>
          <w:lang w:val="ro-RO"/>
        </w:rPr>
      </w:pPr>
      <w:r w:rsidRPr="00A60EDC">
        <w:rPr>
          <w:rFonts w:ascii="Trebuchet MS" w:hAnsi="Trebuchet MS" w:cs="Arial"/>
          <w:lang w:val="ro-RO"/>
        </w:rPr>
        <w:t xml:space="preserve">         Nu deţinem date.</w:t>
      </w:r>
    </w:p>
    <w:p w:rsidR="00672663" w:rsidRPr="00A60EDC" w:rsidRDefault="00672663" w:rsidP="00A60EDC">
      <w:pPr>
        <w:tabs>
          <w:tab w:val="left" w:pos="1176"/>
          <w:tab w:val="left" w:leader="dot" w:pos="9356"/>
        </w:tabs>
        <w:ind w:left="170"/>
        <w:rPr>
          <w:rFonts w:ascii="Trebuchet MS" w:hAnsi="Trebuchet MS" w:cs="Arial"/>
          <w:lang w:val="ro-RO"/>
        </w:rPr>
      </w:pPr>
    </w:p>
    <w:p w:rsidR="00672663" w:rsidRPr="00A60EDC" w:rsidRDefault="00672663" w:rsidP="00A60EDC">
      <w:pPr>
        <w:tabs>
          <w:tab w:val="left" w:pos="1176"/>
          <w:tab w:val="left" w:leader="dot" w:pos="9356"/>
        </w:tabs>
        <w:ind w:left="170"/>
        <w:rPr>
          <w:rFonts w:ascii="Trebuchet MS" w:hAnsi="Trebuchet MS" w:cs="Arial"/>
          <w:i/>
          <w:lang w:val="ro-RO"/>
        </w:rPr>
      </w:pPr>
      <w:r w:rsidRPr="00A60EDC">
        <w:rPr>
          <w:rFonts w:ascii="Trebuchet MS" w:hAnsi="Trebuchet MS" w:cs="Arial"/>
          <w:i/>
          <w:lang w:val="ro-RO"/>
        </w:rPr>
        <w:t xml:space="preserve">    V.1.3 Schimbările climatice  </w:t>
      </w:r>
    </w:p>
    <w:p w:rsidR="00672663" w:rsidRPr="00A60EDC" w:rsidRDefault="00672663" w:rsidP="00A60EDC">
      <w:pPr>
        <w:tabs>
          <w:tab w:val="left" w:pos="1176"/>
          <w:tab w:val="left" w:leader="dot" w:pos="9356"/>
        </w:tabs>
        <w:ind w:left="170"/>
        <w:rPr>
          <w:rFonts w:ascii="Trebuchet MS" w:hAnsi="Trebuchet MS" w:cs="Arial"/>
          <w:i/>
          <w:lang w:val="ro-RO"/>
        </w:rPr>
      </w:pPr>
    </w:p>
    <w:p w:rsidR="00672663" w:rsidRPr="00DD46ED" w:rsidRDefault="00672663" w:rsidP="00A60EDC">
      <w:pPr>
        <w:tabs>
          <w:tab w:val="left" w:pos="720"/>
          <w:tab w:val="left" w:pos="1176"/>
          <w:tab w:val="left" w:leader="dot" w:pos="9356"/>
        </w:tabs>
        <w:ind w:left="170"/>
        <w:rPr>
          <w:rFonts w:ascii="Trebuchet MS" w:hAnsi="Trebuchet MS" w:cs="Arial"/>
          <w:sz w:val="22"/>
          <w:szCs w:val="22"/>
          <w:lang w:val="ro-RO"/>
        </w:rPr>
      </w:pPr>
      <w:r w:rsidRPr="00DD46ED">
        <w:rPr>
          <w:rFonts w:ascii="Trebuchet MS" w:hAnsi="Trebuchet MS" w:cs="Arial"/>
          <w:sz w:val="22"/>
          <w:szCs w:val="22"/>
          <w:lang w:val="ro-RO"/>
        </w:rPr>
        <w:t xml:space="preserve">         Nu deţinem date. </w:t>
      </w:r>
    </w:p>
    <w:p w:rsidR="00672663" w:rsidRPr="00A60EDC" w:rsidRDefault="00672663" w:rsidP="00A60EDC">
      <w:pPr>
        <w:tabs>
          <w:tab w:val="left" w:pos="1176"/>
          <w:tab w:val="left" w:leader="dot" w:pos="9356"/>
        </w:tabs>
        <w:ind w:left="170"/>
        <w:rPr>
          <w:rFonts w:ascii="Trebuchet MS" w:hAnsi="Trebuchet MS" w:cs="Arial"/>
          <w:lang w:val="ro-RO"/>
        </w:rPr>
      </w:pPr>
    </w:p>
    <w:p w:rsidR="00672663" w:rsidRPr="00A60EDC" w:rsidRDefault="00672663" w:rsidP="00A60EDC">
      <w:pPr>
        <w:tabs>
          <w:tab w:val="left" w:pos="270"/>
          <w:tab w:val="left" w:pos="1176"/>
          <w:tab w:val="left" w:leader="dot" w:pos="9356"/>
        </w:tabs>
        <w:ind w:left="170"/>
        <w:rPr>
          <w:rFonts w:ascii="Trebuchet MS" w:hAnsi="Trebuchet MS" w:cs="Arial"/>
          <w:i/>
          <w:lang w:val="ro-RO"/>
        </w:rPr>
      </w:pPr>
      <w:r w:rsidRPr="00A60EDC">
        <w:rPr>
          <w:rFonts w:ascii="Trebuchet MS" w:hAnsi="Trebuchet MS" w:cs="Arial"/>
          <w:i/>
          <w:lang w:val="ro-RO"/>
        </w:rPr>
        <w:t xml:space="preserve">   V.1.4 Modificarea habitatelor  </w:t>
      </w:r>
    </w:p>
    <w:p w:rsidR="00672663" w:rsidRPr="00A60EDC" w:rsidRDefault="00672663" w:rsidP="00A60EDC">
      <w:pPr>
        <w:tabs>
          <w:tab w:val="left" w:pos="270"/>
          <w:tab w:val="left" w:pos="1176"/>
          <w:tab w:val="left" w:leader="dot" w:pos="9356"/>
        </w:tabs>
        <w:ind w:left="170"/>
        <w:rPr>
          <w:rFonts w:ascii="Trebuchet MS" w:hAnsi="Trebuchet MS" w:cs="Arial"/>
          <w:i/>
          <w:lang w:val="ro-RO"/>
        </w:rPr>
      </w:pPr>
    </w:p>
    <w:p w:rsidR="00672663" w:rsidRPr="00A60EDC" w:rsidRDefault="00672663" w:rsidP="00A60EDC">
      <w:pPr>
        <w:tabs>
          <w:tab w:val="left" w:leader="dot" w:pos="9356"/>
        </w:tabs>
        <w:ind w:left="426"/>
        <w:rPr>
          <w:rFonts w:ascii="Trebuchet MS" w:hAnsi="Trebuchet MS" w:cs="Arial"/>
          <w:lang w:val="ro-RO"/>
        </w:rPr>
      </w:pPr>
      <w:r w:rsidRPr="00A60EDC">
        <w:rPr>
          <w:rFonts w:ascii="Trebuchet MS" w:hAnsi="Trebuchet MS" w:cs="Arial"/>
          <w:lang w:val="ro-RO"/>
        </w:rPr>
        <w:t xml:space="preserve">V.1.4.1. Fragmentarea ecosistemelor  </w:t>
      </w:r>
    </w:p>
    <w:p w:rsidR="00672663" w:rsidRPr="00A60EDC" w:rsidRDefault="00672663" w:rsidP="00A60EDC">
      <w:pPr>
        <w:tabs>
          <w:tab w:val="left" w:leader="dot" w:pos="9356"/>
        </w:tabs>
        <w:ind w:left="1135"/>
        <w:rPr>
          <w:rFonts w:ascii="Trebuchet MS" w:hAnsi="Trebuchet MS" w:cs="Arial"/>
          <w:lang w:val="ro-RO"/>
        </w:rPr>
      </w:pPr>
    </w:p>
    <w:p w:rsidR="00672663" w:rsidRPr="00DD46ED" w:rsidRDefault="00672663" w:rsidP="00A60EDC">
      <w:pPr>
        <w:pStyle w:val="NoSpacing"/>
        <w:jc w:val="both"/>
        <w:rPr>
          <w:rFonts w:ascii="Trebuchet MS" w:hAnsi="Trebuchet MS" w:cs="Arial"/>
        </w:rPr>
      </w:pPr>
      <w:r w:rsidRPr="00A60EDC">
        <w:rPr>
          <w:rFonts w:ascii="Trebuchet MS" w:hAnsi="Trebuchet MS" w:cs="Arial"/>
          <w:sz w:val="24"/>
          <w:szCs w:val="24"/>
        </w:rPr>
        <w:t xml:space="preserve">            </w:t>
      </w:r>
      <w:r w:rsidRPr="00DD46ED">
        <w:rPr>
          <w:rFonts w:ascii="Trebuchet MS" w:hAnsi="Trebuchet MS" w:cs="Arial"/>
        </w:rPr>
        <w:t>Nu deţinem date.</w:t>
      </w:r>
    </w:p>
    <w:p w:rsidR="00672663" w:rsidRPr="00A60EDC" w:rsidRDefault="00672663" w:rsidP="00A60EDC">
      <w:pPr>
        <w:tabs>
          <w:tab w:val="left" w:leader="dot" w:pos="9356"/>
        </w:tabs>
        <w:ind w:left="1135"/>
        <w:rPr>
          <w:rFonts w:ascii="Trebuchet MS" w:hAnsi="Trebuchet MS" w:cs="Arial"/>
          <w:lang w:val="ro-RO"/>
        </w:rPr>
      </w:pPr>
    </w:p>
    <w:p w:rsidR="00672663" w:rsidRPr="00A60EDC" w:rsidRDefault="00672663" w:rsidP="00A60EDC">
      <w:pPr>
        <w:tabs>
          <w:tab w:val="left" w:pos="360"/>
          <w:tab w:val="left" w:leader="dot" w:pos="9356"/>
        </w:tabs>
        <w:rPr>
          <w:rFonts w:ascii="Trebuchet MS" w:hAnsi="Trebuchet MS" w:cs="Arial"/>
          <w:lang w:val="ro-RO"/>
        </w:rPr>
      </w:pPr>
      <w:r w:rsidRPr="00A60EDC">
        <w:rPr>
          <w:rFonts w:ascii="Trebuchet MS" w:hAnsi="Trebuchet MS" w:cs="Arial"/>
          <w:lang w:val="ro-RO"/>
        </w:rPr>
        <w:t xml:space="preserve">      V.1.4.2 Reducerea habitatelor naturale şi semi-naturale </w:t>
      </w:r>
    </w:p>
    <w:p w:rsidR="00672663" w:rsidRPr="00A60EDC" w:rsidRDefault="00672663" w:rsidP="00A60EDC">
      <w:pPr>
        <w:tabs>
          <w:tab w:val="left" w:leader="dot" w:pos="9356"/>
        </w:tabs>
        <w:ind w:left="1135"/>
        <w:rPr>
          <w:rFonts w:ascii="Trebuchet MS" w:hAnsi="Trebuchet MS" w:cs="Arial"/>
          <w:lang w:val="ro-RO"/>
        </w:rPr>
      </w:pPr>
    </w:p>
    <w:p w:rsidR="00672663" w:rsidRPr="00DD46ED" w:rsidRDefault="00672663" w:rsidP="00A60EDC">
      <w:pPr>
        <w:pStyle w:val="NoSpacing"/>
        <w:ind w:firstLine="708"/>
        <w:jc w:val="both"/>
        <w:rPr>
          <w:rFonts w:ascii="Trebuchet MS" w:hAnsi="Trebuchet MS" w:cs="Arial"/>
        </w:rPr>
      </w:pPr>
      <w:r w:rsidRPr="00DD46ED">
        <w:rPr>
          <w:rFonts w:ascii="Trebuchet MS" w:hAnsi="Trebuchet MS" w:cs="Arial"/>
        </w:rPr>
        <w:t>Reducerea habitatelor naturale şi semi-naturale apare atunci când există aglomerări mari de locuinţe, dar şi în cazul celor izolate, datorită construcţiei suplimentare de căi de acces şi utilităţi. Construirea haotică, fără respectarea unei stategii de urbanism coerentă şi consecventă conduce la utilizarea nejudicioasă a zonelor destinate pentru construcţii şi extinderea acestora în detrimentul celor naturale, provocând pierderea spaţiilor verzi din oraşe şi din apropierea lor.</w:t>
      </w:r>
    </w:p>
    <w:p w:rsidR="00672663" w:rsidRPr="00DD46ED" w:rsidRDefault="00672663" w:rsidP="00A60EDC">
      <w:pPr>
        <w:tabs>
          <w:tab w:val="left" w:leader="dot" w:pos="9356"/>
        </w:tabs>
        <w:rPr>
          <w:rFonts w:ascii="Trebuchet MS" w:hAnsi="Trebuchet MS" w:cs="Arial"/>
          <w:bCs/>
          <w:sz w:val="22"/>
          <w:szCs w:val="22"/>
        </w:rPr>
      </w:pPr>
    </w:p>
    <w:p w:rsidR="00672663" w:rsidRPr="00DD46ED" w:rsidRDefault="00672663" w:rsidP="00A60EDC">
      <w:pPr>
        <w:pStyle w:val="NoSpacing"/>
        <w:jc w:val="both"/>
        <w:rPr>
          <w:rFonts w:ascii="Trebuchet MS" w:hAnsi="Trebuchet MS" w:cs="Arial"/>
        </w:rPr>
      </w:pPr>
      <w:r w:rsidRPr="00DD46ED">
        <w:rPr>
          <w:rFonts w:ascii="Trebuchet MS" w:hAnsi="Trebuchet MS" w:cs="Arial"/>
        </w:rPr>
        <w:t xml:space="preserve">      Tabelul V.1.4.2 Suprafaţa locuibilă existentă în Mun. Bucureşti în perioada 2019-2023 (Ha)</w:t>
      </w:r>
    </w:p>
    <w:p w:rsidR="00672663" w:rsidRPr="00DD46ED" w:rsidRDefault="00672663" w:rsidP="00A60EDC">
      <w:pPr>
        <w:pStyle w:val="NoSpacing"/>
        <w:jc w:val="both"/>
        <w:rPr>
          <w:rFonts w:ascii="Trebuchet MS" w:hAnsi="Trebuchet MS" w:cs="Arial"/>
        </w:rPr>
      </w:pPr>
    </w:p>
    <w:tbl>
      <w:tblPr>
        <w:tblW w:w="804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1392"/>
        <w:gridCol w:w="1425"/>
        <w:gridCol w:w="1285"/>
        <w:gridCol w:w="1215"/>
        <w:gridCol w:w="1097"/>
      </w:tblGrid>
      <w:tr w:rsidR="00672663" w:rsidRPr="00DD46ED" w:rsidTr="00C55BA9">
        <w:tc>
          <w:tcPr>
            <w:tcW w:w="1626" w:type="dxa"/>
          </w:tcPr>
          <w:p w:rsidR="00672663" w:rsidRPr="00DD46ED" w:rsidRDefault="00672663" w:rsidP="00A60EDC">
            <w:pPr>
              <w:pStyle w:val="NoSpacing"/>
              <w:jc w:val="center"/>
              <w:rPr>
                <w:rFonts w:ascii="Trebuchet MS" w:hAnsi="Trebuchet MS" w:cs="Arial"/>
                <w:lang w:eastAsia="ro-RO"/>
              </w:rPr>
            </w:pPr>
          </w:p>
        </w:tc>
        <w:tc>
          <w:tcPr>
            <w:tcW w:w="1392"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2019</w:t>
            </w:r>
          </w:p>
        </w:tc>
        <w:tc>
          <w:tcPr>
            <w:tcW w:w="1425"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2020</w:t>
            </w:r>
          </w:p>
        </w:tc>
        <w:tc>
          <w:tcPr>
            <w:tcW w:w="1285"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2021</w:t>
            </w:r>
          </w:p>
        </w:tc>
        <w:tc>
          <w:tcPr>
            <w:tcW w:w="1215"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2022</w:t>
            </w:r>
          </w:p>
        </w:tc>
        <w:tc>
          <w:tcPr>
            <w:tcW w:w="1097"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2023</w:t>
            </w:r>
          </w:p>
        </w:tc>
      </w:tr>
      <w:tr w:rsidR="00672663" w:rsidRPr="00DD46ED" w:rsidTr="00C55BA9">
        <w:tc>
          <w:tcPr>
            <w:tcW w:w="1626" w:type="dxa"/>
          </w:tcPr>
          <w:p w:rsidR="00672663" w:rsidRPr="00DD46ED" w:rsidRDefault="00672663" w:rsidP="00A60EDC">
            <w:pPr>
              <w:pStyle w:val="NoSpacing"/>
              <w:tabs>
                <w:tab w:val="left" w:pos="375"/>
              </w:tabs>
              <w:jc w:val="center"/>
              <w:rPr>
                <w:rFonts w:ascii="Trebuchet MS" w:hAnsi="Trebuchet MS" w:cs="Arial"/>
                <w:lang w:eastAsia="ro-RO"/>
              </w:rPr>
            </w:pPr>
            <w:r w:rsidRPr="00DD46ED">
              <w:rPr>
                <w:rFonts w:ascii="Trebuchet MS" w:hAnsi="Trebuchet MS" w:cs="Arial"/>
                <w:lang w:eastAsia="ro-RO"/>
              </w:rPr>
              <w:t>Suprafaţa locuibilă (ha)</w:t>
            </w:r>
          </w:p>
        </w:tc>
        <w:tc>
          <w:tcPr>
            <w:tcW w:w="1392"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4125</w:t>
            </w:r>
          </w:p>
        </w:tc>
        <w:tc>
          <w:tcPr>
            <w:tcW w:w="1425"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4198</w:t>
            </w:r>
          </w:p>
        </w:tc>
        <w:tc>
          <w:tcPr>
            <w:tcW w:w="1285"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4874</w:t>
            </w:r>
          </w:p>
        </w:tc>
        <w:tc>
          <w:tcPr>
            <w:tcW w:w="1215"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4935</w:t>
            </w:r>
          </w:p>
        </w:tc>
        <w:tc>
          <w:tcPr>
            <w:tcW w:w="1097" w:type="dxa"/>
          </w:tcPr>
          <w:p w:rsidR="00672663" w:rsidRPr="00DD46ED" w:rsidRDefault="00672663" w:rsidP="00A60EDC">
            <w:pPr>
              <w:pStyle w:val="NoSpacing"/>
              <w:jc w:val="center"/>
              <w:rPr>
                <w:rFonts w:ascii="Trebuchet MS" w:hAnsi="Trebuchet MS" w:cs="Arial"/>
                <w:lang w:eastAsia="ro-RO"/>
              </w:rPr>
            </w:pPr>
            <w:r w:rsidRPr="00DD46ED">
              <w:rPr>
                <w:rFonts w:ascii="Trebuchet MS" w:hAnsi="Trebuchet MS" w:cs="Arial"/>
                <w:lang w:eastAsia="ro-RO"/>
              </w:rPr>
              <w:t>5007</w:t>
            </w:r>
          </w:p>
        </w:tc>
      </w:tr>
    </w:tbl>
    <w:p w:rsidR="00672663" w:rsidRPr="00DD46ED" w:rsidRDefault="00672663" w:rsidP="00A60EDC">
      <w:pPr>
        <w:pStyle w:val="NoSpacing"/>
        <w:ind w:firstLine="708"/>
        <w:rPr>
          <w:rFonts w:ascii="Trebuchet MS" w:hAnsi="Trebuchet MS" w:cs="Arial"/>
        </w:rPr>
      </w:pPr>
      <w:r w:rsidRPr="00DD46ED">
        <w:rPr>
          <w:rFonts w:ascii="Trebuchet MS" w:hAnsi="Trebuchet MS" w:cs="Arial"/>
        </w:rPr>
        <w:t>Sursa: INS - Baze de date statistice – TEMPO online, serii de timp</w:t>
      </w:r>
    </w:p>
    <w:p w:rsidR="00A60EDC" w:rsidRPr="00DD46ED" w:rsidRDefault="00672663" w:rsidP="00A60EDC">
      <w:pPr>
        <w:tabs>
          <w:tab w:val="left" w:leader="dot" w:pos="9356"/>
        </w:tabs>
        <w:rPr>
          <w:rFonts w:ascii="Trebuchet MS" w:hAnsi="Trebuchet MS" w:cs="Arial"/>
          <w:sz w:val="22"/>
          <w:szCs w:val="22"/>
        </w:rPr>
      </w:pPr>
      <w:r w:rsidRPr="00DD46ED">
        <w:rPr>
          <w:rFonts w:ascii="Trebuchet MS" w:hAnsi="Trebuchet MS" w:cs="Arial"/>
          <w:sz w:val="22"/>
          <w:szCs w:val="22"/>
        </w:rPr>
        <w:t xml:space="preserve">    </w:t>
      </w:r>
    </w:p>
    <w:p w:rsidR="00DD46ED" w:rsidRDefault="00672663" w:rsidP="00A60EDC">
      <w:pPr>
        <w:tabs>
          <w:tab w:val="left" w:leader="dot" w:pos="9356"/>
        </w:tabs>
        <w:rPr>
          <w:rFonts w:ascii="Trebuchet MS" w:hAnsi="Trebuchet MS" w:cs="Arial"/>
          <w:sz w:val="22"/>
          <w:szCs w:val="22"/>
        </w:rPr>
      </w:pPr>
      <w:r w:rsidRPr="00DD46ED">
        <w:rPr>
          <w:rFonts w:ascii="Trebuchet MS" w:hAnsi="Trebuchet MS" w:cs="Arial"/>
          <w:sz w:val="22"/>
          <w:szCs w:val="22"/>
        </w:rPr>
        <w:t xml:space="preserve">       </w:t>
      </w:r>
    </w:p>
    <w:p w:rsidR="00DD46ED" w:rsidRDefault="00DD46ED" w:rsidP="00A60EDC">
      <w:pPr>
        <w:tabs>
          <w:tab w:val="left" w:leader="dot" w:pos="9356"/>
        </w:tabs>
        <w:rPr>
          <w:rFonts w:ascii="Trebuchet MS" w:hAnsi="Trebuchet MS" w:cs="Arial"/>
          <w:sz w:val="22"/>
          <w:szCs w:val="22"/>
        </w:rPr>
      </w:pPr>
    </w:p>
    <w:p w:rsidR="00672663" w:rsidRPr="00DD46ED" w:rsidRDefault="00672663" w:rsidP="00A60EDC">
      <w:pPr>
        <w:tabs>
          <w:tab w:val="left" w:leader="dot" w:pos="9356"/>
        </w:tabs>
        <w:rPr>
          <w:rFonts w:ascii="Trebuchet MS" w:hAnsi="Trebuchet MS" w:cs="Arial"/>
          <w:sz w:val="22"/>
          <w:szCs w:val="22"/>
          <w:lang w:val="ro-RO"/>
        </w:rPr>
      </w:pPr>
      <w:r w:rsidRPr="00DD46ED">
        <w:rPr>
          <w:rFonts w:ascii="Trebuchet MS" w:hAnsi="Trebuchet MS" w:cs="Arial"/>
          <w:sz w:val="22"/>
          <w:szCs w:val="22"/>
        </w:rPr>
        <w:t>Grafic V.1.4.2 Suprafaţa locuibilă existentă în Mun. Bucureşti în perioada 2019-2023 (Ha)</w:t>
      </w:r>
    </w:p>
    <w:p w:rsidR="00672663" w:rsidRPr="00947524" w:rsidRDefault="00672663" w:rsidP="00672663">
      <w:pPr>
        <w:tabs>
          <w:tab w:val="left" w:leader="dot" w:pos="9356"/>
        </w:tabs>
        <w:jc w:val="center"/>
        <w:rPr>
          <w:rFonts w:ascii="Arial" w:hAnsi="Arial" w:cs="Arial"/>
          <w:lang w:val="ro-RO"/>
        </w:rPr>
      </w:pPr>
      <w:r w:rsidRPr="00947524">
        <w:rPr>
          <w:rFonts w:ascii="Arial" w:hAnsi="Arial" w:cs="Arial"/>
          <w:noProof/>
          <w:lang w:val="en-US"/>
        </w:rPr>
        <w:drawing>
          <wp:anchor distT="0" distB="0" distL="114300" distR="114300" simplePos="0" relativeHeight="251699712" behindDoc="1" locked="0" layoutInCell="1" allowOverlap="1" wp14:anchorId="08E6BCA0" wp14:editId="16DEEA8B">
            <wp:simplePos x="0" y="0"/>
            <wp:positionH relativeFrom="column">
              <wp:posOffset>473710</wp:posOffset>
            </wp:positionH>
            <wp:positionV relativeFrom="paragraph">
              <wp:posOffset>85090</wp:posOffset>
            </wp:positionV>
            <wp:extent cx="5196840" cy="3434715"/>
            <wp:effectExtent l="0" t="0" r="5080" b="4445"/>
            <wp:wrapTight wrapText="bothSides">
              <wp:wrapPolygon edited="0">
                <wp:start x="-74" y="0"/>
                <wp:lineTo x="-74" y="21600"/>
                <wp:lineTo x="21674" y="21600"/>
                <wp:lineTo x="21674" y="0"/>
                <wp:lineTo x="-74" y="0"/>
              </wp:wrapPolygon>
            </wp:wrapTight>
            <wp:docPr id="411" name="Object 4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page">
              <wp14:pctWidth>0</wp14:pctWidth>
            </wp14:sizeRelH>
            <wp14:sizeRelV relativeFrom="page">
              <wp14:pctHeight>0</wp14:pctHeight>
            </wp14:sizeRelV>
          </wp:anchor>
        </w:drawing>
      </w:r>
    </w:p>
    <w:p w:rsidR="00672663" w:rsidRPr="00947524" w:rsidRDefault="00672663" w:rsidP="00672663">
      <w:pPr>
        <w:tabs>
          <w:tab w:val="left" w:leader="dot" w:pos="9356"/>
        </w:tabs>
        <w:jc w:val="center"/>
        <w:rPr>
          <w:rFonts w:ascii="Arial" w:hAnsi="Arial" w:cs="Arial"/>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947524" w:rsidRDefault="00672663" w:rsidP="00672663">
      <w:pPr>
        <w:tabs>
          <w:tab w:val="left" w:pos="1176"/>
          <w:tab w:val="left" w:leader="dot" w:pos="9356"/>
        </w:tabs>
        <w:ind w:left="170"/>
        <w:rPr>
          <w:rFonts w:ascii="Arial" w:hAnsi="Arial" w:cs="Arial"/>
          <w:i/>
          <w:lang w:val="ro-RO"/>
        </w:rPr>
      </w:pPr>
    </w:p>
    <w:p w:rsidR="00672663" w:rsidRPr="00A60EDC" w:rsidRDefault="00672663" w:rsidP="00672663">
      <w:pPr>
        <w:tabs>
          <w:tab w:val="left" w:pos="1176"/>
          <w:tab w:val="left" w:leader="dot" w:pos="9356"/>
        </w:tabs>
        <w:ind w:left="170"/>
        <w:rPr>
          <w:rFonts w:ascii="Trebuchet MS" w:hAnsi="Trebuchet MS" w:cs="Arial"/>
          <w:lang w:val="ro-RO"/>
        </w:rPr>
      </w:pPr>
    </w:p>
    <w:p w:rsidR="00672663" w:rsidRPr="00A60EDC" w:rsidRDefault="00672663" w:rsidP="00672663">
      <w:pPr>
        <w:pStyle w:val="NoSpacing"/>
        <w:ind w:firstLine="708"/>
        <w:jc w:val="both"/>
        <w:rPr>
          <w:rFonts w:ascii="Trebuchet MS" w:hAnsi="Trebuchet MS" w:cs="Arial"/>
          <w:sz w:val="24"/>
          <w:szCs w:val="24"/>
        </w:rPr>
      </w:pPr>
    </w:p>
    <w:p w:rsidR="00672663" w:rsidRPr="00DD46ED" w:rsidRDefault="00672663" w:rsidP="00672663">
      <w:pPr>
        <w:pStyle w:val="NoSpacing"/>
        <w:ind w:firstLine="708"/>
        <w:jc w:val="both"/>
        <w:rPr>
          <w:rFonts w:ascii="Trebuchet MS" w:hAnsi="Trebuchet MS" w:cs="Arial"/>
        </w:rPr>
      </w:pPr>
      <w:r w:rsidRPr="00DD46ED">
        <w:rPr>
          <w:rFonts w:ascii="Trebuchet MS" w:hAnsi="Trebuchet MS" w:cs="Arial"/>
        </w:rPr>
        <w:t>Datorită procesului de extindere a zonelor rezidenţiale, comerciale şi industriale (în special în zona de Nord a capitalei), există o presiune continuă asupra zonelor împădurite şi spaţiilor verzi şi afectează starea de sănătate a populaţiei.</w:t>
      </w:r>
    </w:p>
    <w:p w:rsidR="00672663" w:rsidRPr="00A60EDC" w:rsidRDefault="00672663" w:rsidP="00672663">
      <w:pPr>
        <w:tabs>
          <w:tab w:val="left" w:pos="1176"/>
          <w:tab w:val="left" w:leader="dot" w:pos="9356"/>
        </w:tabs>
        <w:ind w:left="170"/>
        <w:rPr>
          <w:rFonts w:ascii="Trebuchet MS" w:hAnsi="Trebuchet MS" w:cs="Arial"/>
          <w:i/>
          <w:lang w:val="ro-RO"/>
        </w:rPr>
      </w:pPr>
    </w:p>
    <w:p w:rsidR="00672663" w:rsidRPr="00A60EDC" w:rsidRDefault="00672663" w:rsidP="00672663">
      <w:pPr>
        <w:tabs>
          <w:tab w:val="left" w:pos="270"/>
          <w:tab w:val="left" w:pos="1176"/>
          <w:tab w:val="left" w:leader="dot" w:pos="9356"/>
        </w:tabs>
        <w:ind w:left="170"/>
        <w:rPr>
          <w:rFonts w:ascii="Trebuchet MS" w:hAnsi="Trebuchet MS" w:cs="Arial"/>
          <w:i/>
          <w:lang w:val="ro-RO"/>
        </w:rPr>
      </w:pPr>
      <w:r w:rsidRPr="00A60EDC">
        <w:rPr>
          <w:rFonts w:ascii="Trebuchet MS" w:hAnsi="Trebuchet MS" w:cs="Arial"/>
          <w:i/>
          <w:lang w:val="ro-RO"/>
        </w:rPr>
        <w:t xml:space="preserve">  V.1.5 Exploatarea excesivă a resurselor naturale </w:t>
      </w:r>
    </w:p>
    <w:p w:rsidR="00672663" w:rsidRPr="00A60EDC" w:rsidRDefault="00672663" w:rsidP="00672663">
      <w:pPr>
        <w:tabs>
          <w:tab w:val="left" w:pos="270"/>
          <w:tab w:val="left" w:pos="1176"/>
          <w:tab w:val="left" w:leader="dot" w:pos="9356"/>
        </w:tabs>
        <w:ind w:left="170"/>
        <w:rPr>
          <w:rFonts w:ascii="Trebuchet MS" w:hAnsi="Trebuchet MS" w:cs="Arial"/>
          <w:lang w:val="ro-RO"/>
        </w:rPr>
      </w:pPr>
    </w:p>
    <w:p w:rsidR="00672663" w:rsidRPr="00DD46ED" w:rsidRDefault="00672663" w:rsidP="00672663">
      <w:pPr>
        <w:pStyle w:val="NoSpacing"/>
        <w:ind w:firstLine="708"/>
        <w:jc w:val="both"/>
        <w:rPr>
          <w:rFonts w:ascii="Trebuchet MS" w:eastAsia="Calibri" w:hAnsi="Trebuchet MS" w:cs="Arial"/>
          <w:lang w:eastAsia="ro-RO"/>
        </w:rPr>
      </w:pPr>
      <w:r w:rsidRPr="00DD46ED">
        <w:rPr>
          <w:rFonts w:ascii="Trebuchet MS" w:eastAsia="Calibri" w:hAnsi="Trebuchet MS" w:cs="Arial"/>
          <w:lang w:eastAsia="ro-RO"/>
        </w:rPr>
        <w:t>În ceea ce priveşte exploatările de resurse, presiunile antropice asupra ariilor naturale protejate şi a biodiversităţii în general, se manifestă prin exploatările forestiere, achiziţia şi recoltarea de plante şi animale din flora şi fauna sălbatică, păşunatul iraţional, dar de multe ori şi prin turismul necontrolat şi needucat. Din acest motiv se impune creşterea suprafeţelor din categoria ariilor naturale protejate, unde să se instituie regimuri de protecţie, în special pentru speciile vulnerabile, endemice şi pe cale de dispariţie.</w:t>
      </w:r>
    </w:p>
    <w:p w:rsidR="00672663" w:rsidRPr="00A60EDC" w:rsidRDefault="00672663" w:rsidP="00672663">
      <w:pPr>
        <w:pStyle w:val="NoSpacing"/>
        <w:ind w:firstLine="708"/>
        <w:jc w:val="both"/>
        <w:rPr>
          <w:rFonts w:ascii="Trebuchet MS" w:eastAsia="Calibri" w:hAnsi="Trebuchet MS" w:cs="Arial"/>
          <w:sz w:val="24"/>
          <w:szCs w:val="24"/>
          <w:lang w:eastAsia="ro-RO"/>
        </w:rPr>
      </w:pPr>
    </w:p>
    <w:p w:rsidR="00672663" w:rsidRPr="00A60EDC" w:rsidRDefault="00672663" w:rsidP="00672663">
      <w:pPr>
        <w:tabs>
          <w:tab w:val="left" w:pos="360"/>
          <w:tab w:val="left" w:leader="dot" w:pos="9356"/>
        </w:tabs>
        <w:rPr>
          <w:rFonts w:ascii="Trebuchet MS" w:hAnsi="Trebuchet MS" w:cs="Arial"/>
          <w:lang w:val="ro-RO"/>
        </w:rPr>
      </w:pPr>
      <w:r w:rsidRPr="00A60EDC">
        <w:rPr>
          <w:rFonts w:ascii="Trebuchet MS" w:hAnsi="Trebuchet MS" w:cs="Arial"/>
          <w:lang w:val="ro-RO"/>
        </w:rPr>
        <w:t xml:space="preserve">      V.1.5.1 Exploatarea forestieră </w:t>
      </w:r>
    </w:p>
    <w:p w:rsidR="00672663" w:rsidRPr="00A60EDC" w:rsidRDefault="00672663" w:rsidP="00672663">
      <w:pPr>
        <w:tabs>
          <w:tab w:val="left" w:leader="dot" w:pos="9356"/>
        </w:tabs>
        <w:ind w:left="1135"/>
        <w:rPr>
          <w:rFonts w:ascii="Trebuchet MS" w:hAnsi="Trebuchet MS" w:cs="Arial"/>
          <w:lang w:val="ro-RO"/>
        </w:rPr>
      </w:pPr>
    </w:p>
    <w:p w:rsidR="00672663" w:rsidRPr="00DD46ED" w:rsidRDefault="00672663" w:rsidP="00672663">
      <w:pPr>
        <w:ind w:left="360"/>
        <w:jc w:val="both"/>
        <w:rPr>
          <w:rFonts w:ascii="Trebuchet MS" w:hAnsi="Trebuchet MS" w:cs="Arial"/>
          <w:sz w:val="22"/>
          <w:szCs w:val="22"/>
        </w:rPr>
      </w:pPr>
      <w:r w:rsidRPr="00A60EDC">
        <w:rPr>
          <w:rFonts w:ascii="Trebuchet MS" w:hAnsi="Trebuchet MS" w:cs="Arial"/>
        </w:rPr>
        <w:t xml:space="preserve"> </w:t>
      </w:r>
      <w:r w:rsidRPr="00DD46ED">
        <w:rPr>
          <w:rFonts w:ascii="Trebuchet MS" w:hAnsi="Trebuchet MS" w:cs="Arial"/>
          <w:sz w:val="22"/>
          <w:szCs w:val="22"/>
        </w:rPr>
        <w:t>Tabel V.1.5.1 Evoluţia masei lemnoase recoltate în raza Mun Bucureşti în perioada 2019 – 2023.</w:t>
      </w:r>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5"/>
        <w:gridCol w:w="1170"/>
        <w:gridCol w:w="3060"/>
        <w:gridCol w:w="1995"/>
        <w:gridCol w:w="2070"/>
      </w:tblGrid>
      <w:tr w:rsidR="00672663" w:rsidRPr="00DD46ED" w:rsidTr="00C55BA9">
        <w:trPr>
          <w:trHeight w:val="390"/>
          <w:jc w:val="center"/>
        </w:trPr>
        <w:tc>
          <w:tcPr>
            <w:tcW w:w="825" w:type="dxa"/>
            <w:vMerge w:val="restart"/>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Nr.</w:t>
            </w:r>
          </w:p>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Crt.</w:t>
            </w:r>
          </w:p>
        </w:tc>
        <w:tc>
          <w:tcPr>
            <w:tcW w:w="1170" w:type="dxa"/>
            <w:vMerge w:val="restart"/>
          </w:tcPr>
          <w:p w:rsidR="00672663" w:rsidRPr="00DD46ED" w:rsidRDefault="00672663" w:rsidP="00C55BA9">
            <w:pPr>
              <w:ind w:left="360" w:hanging="360"/>
              <w:jc w:val="center"/>
              <w:rPr>
                <w:rFonts w:ascii="Trebuchet MS" w:hAnsi="Trebuchet MS" w:cs="Arial"/>
                <w:sz w:val="22"/>
                <w:szCs w:val="22"/>
              </w:rPr>
            </w:pPr>
          </w:p>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Anul</w:t>
            </w:r>
          </w:p>
        </w:tc>
        <w:tc>
          <w:tcPr>
            <w:tcW w:w="3060" w:type="dxa"/>
            <w:vMerge w:val="restart"/>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Suprafaţa fondului forestier din raza</w:t>
            </w:r>
          </w:p>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de competenţă a D. S. Ilfov în raza Mun. Bucureşti</w:t>
            </w:r>
          </w:p>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Total (ha)</w:t>
            </w:r>
          </w:p>
        </w:tc>
        <w:tc>
          <w:tcPr>
            <w:tcW w:w="1995" w:type="dxa"/>
            <w:vMerge w:val="restart"/>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Volum</w:t>
            </w:r>
          </w:p>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Recoltat</w:t>
            </w:r>
          </w:p>
          <w:p w:rsidR="00672663" w:rsidRPr="00DD46ED" w:rsidRDefault="00672663" w:rsidP="00C55BA9">
            <w:pPr>
              <w:ind w:left="360" w:hanging="360"/>
              <w:rPr>
                <w:rFonts w:ascii="Trebuchet MS" w:hAnsi="Trebuchet MS" w:cs="Arial"/>
                <w:sz w:val="22"/>
                <w:szCs w:val="22"/>
              </w:rPr>
            </w:pPr>
            <w:r w:rsidRPr="00DD46ED">
              <w:rPr>
                <w:rFonts w:ascii="Trebuchet MS" w:hAnsi="Trebuchet MS" w:cs="Arial"/>
                <w:sz w:val="22"/>
                <w:szCs w:val="22"/>
              </w:rPr>
              <w:t>Total (mii  mc)</w:t>
            </w:r>
          </w:p>
          <w:p w:rsidR="00672663" w:rsidRPr="00DD46ED" w:rsidRDefault="00672663" w:rsidP="00C55BA9">
            <w:pPr>
              <w:ind w:left="360" w:hanging="360"/>
              <w:jc w:val="center"/>
              <w:rPr>
                <w:rFonts w:ascii="Trebuchet MS" w:hAnsi="Trebuchet MS" w:cs="Arial"/>
                <w:sz w:val="22"/>
                <w:szCs w:val="22"/>
              </w:rPr>
            </w:pPr>
          </w:p>
        </w:tc>
        <w:tc>
          <w:tcPr>
            <w:tcW w:w="2070" w:type="dxa"/>
            <w:vMerge w:val="restart"/>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Revin</w:t>
            </w:r>
          </w:p>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mc/ha</w:t>
            </w:r>
          </w:p>
          <w:p w:rsidR="00672663" w:rsidRPr="00DD46ED" w:rsidRDefault="00672663" w:rsidP="00C55BA9">
            <w:pPr>
              <w:ind w:left="360" w:hanging="360"/>
              <w:jc w:val="center"/>
              <w:rPr>
                <w:rFonts w:ascii="Trebuchet MS" w:hAnsi="Trebuchet MS" w:cs="Arial"/>
                <w:sz w:val="22"/>
                <w:szCs w:val="22"/>
              </w:rPr>
            </w:pPr>
          </w:p>
          <w:p w:rsidR="00672663" w:rsidRPr="00DD46ED" w:rsidRDefault="00672663" w:rsidP="00C55BA9">
            <w:pPr>
              <w:ind w:left="360" w:hanging="360"/>
              <w:jc w:val="center"/>
              <w:rPr>
                <w:rFonts w:ascii="Trebuchet MS" w:hAnsi="Trebuchet MS" w:cs="Arial"/>
                <w:sz w:val="22"/>
                <w:szCs w:val="22"/>
              </w:rPr>
            </w:pPr>
          </w:p>
          <w:p w:rsidR="00672663" w:rsidRPr="00DD46ED" w:rsidRDefault="00672663" w:rsidP="00C55BA9">
            <w:pPr>
              <w:ind w:left="360" w:hanging="360"/>
              <w:jc w:val="center"/>
              <w:rPr>
                <w:rFonts w:ascii="Trebuchet MS" w:hAnsi="Trebuchet MS" w:cs="Arial"/>
                <w:sz w:val="22"/>
                <w:szCs w:val="22"/>
              </w:rPr>
            </w:pPr>
          </w:p>
        </w:tc>
      </w:tr>
      <w:tr w:rsidR="00672663" w:rsidRPr="00DD46ED" w:rsidTr="00C55BA9">
        <w:trPr>
          <w:trHeight w:val="420"/>
          <w:jc w:val="center"/>
        </w:trPr>
        <w:tc>
          <w:tcPr>
            <w:tcW w:w="825" w:type="dxa"/>
            <w:vMerge/>
          </w:tcPr>
          <w:p w:rsidR="00672663" w:rsidRPr="00DD46ED" w:rsidRDefault="00672663" w:rsidP="00C55BA9">
            <w:pPr>
              <w:ind w:left="360" w:hanging="360"/>
              <w:jc w:val="center"/>
              <w:rPr>
                <w:rFonts w:ascii="Trebuchet MS" w:hAnsi="Trebuchet MS" w:cs="Arial"/>
                <w:sz w:val="22"/>
                <w:szCs w:val="22"/>
              </w:rPr>
            </w:pPr>
          </w:p>
        </w:tc>
        <w:tc>
          <w:tcPr>
            <w:tcW w:w="1170" w:type="dxa"/>
            <w:vMerge/>
          </w:tcPr>
          <w:p w:rsidR="00672663" w:rsidRPr="00DD46ED" w:rsidRDefault="00672663" w:rsidP="00C55BA9">
            <w:pPr>
              <w:ind w:left="360" w:hanging="360"/>
              <w:jc w:val="center"/>
              <w:rPr>
                <w:rFonts w:ascii="Trebuchet MS" w:hAnsi="Trebuchet MS" w:cs="Arial"/>
                <w:sz w:val="22"/>
                <w:szCs w:val="22"/>
              </w:rPr>
            </w:pPr>
          </w:p>
        </w:tc>
        <w:tc>
          <w:tcPr>
            <w:tcW w:w="3060" w:type="dxa"/>
            <w:vMerge/>
          </w:tcPr>
          <w:p w:rsidR="00672663" w:rsidRPr="00DD46ED" w:rsidRDefault="00672663" w:rsidP="00C55BA9">
            <w:pPr>
              <w:ind w:left="360" w:hanging="360"/>
              <w:jc w:val="center"/>
              <w:rPr>
                <w:rFonts w:ascii="Trebuchet MS" w:hAnsi="Trebuchet MS" w:cs="Arial"/>
                <w:sz w:val="22"/>
                <w:szCs w:val="22"/>
              </w:rPr>
            </w:pPr>
          </w:p>
        </w:tc>
        <w:tc>
          <w:tcPr>
            <w:tcW w:w="1995" w:type="dxa"/>
            <w:vMerge/>
          </w:tcPr>
          <w:p w:rsidR="00672663" w:rsidRPr="00DD46ED" w:rsidRDefault="00672663" w:rsidP="00C55BA9">
            <w:pPr>
              <w:ind w:left="360" w:hanging="360"/>
              <w:jc w:val="center"/>
              <w:rPr>
                <w:rFonts w:ascii="Trebuchet MS" w:hAnsi="Trebuchet MS" w:cs="Arial"/>
                <w:sz w:val="22"/>
                <w:szCs w:val="22"/>
              </w:rPr>
            </w:pPr>
          </w:p>
        </w:tc>
        <w:tc>
          <w:tcPr>
            <w:tcW w:w="2070" w:type="dxa"/>
            <w:vMerge/>
          </w:tcPr>
          <w:p w:rsidR="00672663" w:rsidRPr="00DD46ED" w:rsidRDefault="00672663" w:rsidP="00C55BA9">
            <w:pPr>
              <w:ind w:left="360" w:hanging="360"/>
              <w:jc w:val="center"/>
              <w:rPr>
                <w:rFonts w:ascii="Trebuchet MS" w:hAnsi="Trebuchet MS" w:cs="Arial"/>
                <w:sz w:val="22"/>
                <w:szCs w:val="22"/>
              </w:rPr>
            </w:pPr>
          </w:p>
        </w:tc>
      </w:tr>
      <w:tr w:rsidR="00672663" w:rsidRPr="00DD46ED" w:rsidTr="00C55BA9">
        <w:trPr>
          <w:jc w:val="center"/>
        </w:trPr>
        <w:tc>
          <w:tcPr>
            <w:tcW w:w="825"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1</w:t>
            </w:r>
          </w:p>
        </w:tc>
        <w:tc>
          <w:tcPr>
            <w:tcW w:w="11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2019</w:t>
            </w:r>
          </w:p>
        </w:tc>
        <w:tc>
          <w:tcPr>
            <w:tcW w:w="3060"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995"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0.2</w:t>
            </w:r>
          </w:p>
        </w:tc>
        <w:tc>
          <w:tcPr>
            <w:tcW w:w="20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0.3</w:t>
            </w:r>
          </w:p>
        </w:tc>
      </w:tr>
      <w:tr w:rsidR="00672663" w:rsidRPr="00DD46ED" w:rsidTr="00C55BA9">
        <w:trPr>
          <w:jc w:val="center"/>
        </w:trPr>
        <w:tc>
          <w:tcPr>
            <w:tcW w:w="825"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2</w:t>
            </w:r>
          </w:p>
        </w:tc>
        <w:tc>
          <w:tcPr>
            <w:tcW w:w="11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2020</w:t>
            </w:r>
          </w:p>
        </w:tc>
        <w:tc>
          <w:tcPr>
            <w:tcW w:w="3060"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995"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0.5</w:t>
            </w:r>
          </w:p>
        </w:tc>
        <w:tc>
          <w:tcPr>
            <w:tcW w:w="20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0.8</w:t>
            </w:r>
          </w:p>
        </w:tc>
      </w:tr>
      <w:tr w:rsidR="00672663" w:rsidRPr="00DD46ED" w:rsidTr="00C55BA9">
        <w:trPr>
          <w:jc w:val="center"/>
        </w:trPr>
        <w:tc>
          <w:tcPr>
            <w:tcW w:w="825"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3</w:t>
            </w:r>
          </w:p>
        </w:tc>
        <w:tc>
          <w:tcPr>
            <w:tcW w:w="11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2021</w:t>
            </w:r>
          </w:p>
        </w:tc>
        <w:tc>
          <w:tcPr>
            <w:tcW w:w="3060"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995"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0.2</w:t>
            </w:r>
          </w:p>
        </w:tc>
        <w:tc>
          <w:tcPr>
            <w:tcW w:w="20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0.3</w:t>
            </w:r>
          </w:p>
        </w:tc>
      </w:tr>
      <w:tr w:rsidR="00672663" w:rsidRPr="00DD46ED" w:rsidTr="00C55BA9">
        <w:trPr>
          <w:jc w:val="center"/>
        </w:trPr>
        <w:tc>
          <w:tcPr>
            <w:tcW w:w="825"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4</w:t>
            </w:r>
          </w:p>
        </w:tc>
        <w:tc>
          <w:tcPr>
            <w:tcW w:w="11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2022</w:t>
            </w:r>
          </w:p>
        </w:tc>
        <w:tc>
          <w:tcPr>
            <w:tcW w:w="3060"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995"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0.3</w:t>
            </w:r>
          </w:p>
        </w:tc>
        <w:tc>
          <w:tcPr>
            <w:tcW w:w="20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0.8</w:t>
            </w:r>
          </w:p>
        </w:tc>
      </w:tr>
      <w:tr w:rsidR="00672663" w:rsidRPr="00DD46ED" w:rsidTr="00C55BA9">
        <w:trPr>
          <w:trHeight w:val="107"/>
          <w:jc w:val="center"/>
        </w:trPr>
        <w:tc>
          <w:tcPr>
            <w:tcW w:w="825"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5</w:t>
            </w:r>
          </w:p>
        </w:tc>
        <w:tc>
          <w:tcPr>
            <w:tcW w:w="11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2023</w:t>
            </w:r>
          </w:p>
        </w:tc>
        <w:tc>
          <w:tcPr>
            <w:tcW w:w="3060" w:type="dxa"/>
          </w:tcPr>
          <w:p w:rsidR="00672663" w:rsidRPr="00DD46ED" w:rsidRDefault="00672663" w:rsidP="00C55BA9">
            <w:pPr>
              <w:ind w:left="360" w:hanging="360"/>
              <w:jc w:val="center"/>
              <w:rPr>
                <w:rFonts w:ascii="Trebuchet MS" w:hAnsi="Trebuchet MS" w:cs="Arial"/>
                <w:sz w:val="22"/>
                <w:szCs w:val="22"/>
              </w:rPr>
            </w:pPr>
            <w:r w:rsidRPr="00DD46ED">
              <w:rPr>
                <w:rFonts w:ascii="Trebuchet MS" w:hAnsi="Trebuchet MS" w:cs="Arial"/>
                <w:sz w:val="22"/>
                <w:szCs w:val="22"/>
              </w:rPr>
              <w:t>519</w:t>
            </w:r>
          </w:p>
        </w:tc>
        <w:tc>
          <w:tcPr>
            <w:tcW w:w="1995"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0.6</w:t>
            </w:r>
          </w:p>
        </w:tc>
        <w:tc>
          <w:tcPr>
            <w:tcW w:w="2070" w:type="dxa"/>
          </w:tcPr>
          <w:p w:rsidR="00672663" w:rsidRPr="00DD46ED" w:rsidRDefault="00672663" w:rsidP="00C55BA9">
            <w:pPr>
              <w:rPr>
                <w:rFonts w:ascii="Trebuchet MS" w:hAnsi="Trebuchet MS" w:cs="Arial"/>
                <w:sz w:val="22"/>
                <w:szCs w:val="22"/>
              </w:rPr>
            </w:pPr>
            <w:r w:rsidRPr="00DD46ED">
              <w:rPr>
                <w:rFonts w:ascii="Trebuchet MS" w:hAnsi="Trebuchet MS" w:cs="Arial"/>
                <w:sz w:val="22"/>
                <w:szCs w:val="22"/>
              </w:rPr>
              <w:t>1.2</w:t>
            </w:r>
          </w:p>
        </w:tc>
      </w:tr>
    </w:tbl>
    <w:p w:rsidR="00672663" w:rsidRPr="00DD46ED" w:rsidRDefault="00672663" w:rsidP="00672663">
      <w:pPr>
        <w:ind w:left="360" w:hanging="360"/>
        <w:rPr>
          <w:rFonts w:ascii="Trebuchet MS" w:hAnsi="Trebuchet MS" w:cs="Arial"/>
          <w:sz w:val="22"/>
          <w:szCs w:val="22"/>
        </w:rPr>
      </w:pPr>
      <w:r w:rsidRPr="00DD46ED">
        <w:rPr>
          <w:rFonts w:ascii="Trebuchet MS" w:hAnsi="Trebuchet MS" w:cs="Arial"/>
          <w:sz w:val="22"/>
          <w:szCs w:val="22"/>
        </w:rPr>
        <w:t xml:space="preserve">          Sursa: Direcţia Silvică Ilfov</w:t>
      </w:r>
    </w:p>
    <w:p w:rsidR="00672663" w:rsidRPr="00DD46ED" w:rsidRDefault="00672663" w:rsidP="00672663">
      <w:pPr>
        <w:ind w:left="360" w:hanging="360"/>
        <w:rPr>
          <w:rFonts w:ascii="Trebuchet MS" w:hAnsi="Trebuchet MS" w:cs="Arial"/>
          <w:sz w:val="22"/>
          <w:szCs w:val="22"/>
        </w:rPr>
      </w:pPr>
    </w:p>
    <w:p w:rsidR="00672663" w:rsidRPr="00DD46ED" w:rsidRDefault="00672663" w:rsidP="00672663">
      <w:pPr>
        <w:ind w:left="360"/>
        <w:jc w:val="both"/>
        <w:rPr>
          <w:rFonts w:ascii="Trebuchet MS" w:hAnsi="Trebuchet MS" w:cs="Arial"/>
          <w:sz w:val="22"/>
          <w:szCs w:val="22"/>
        </w:rPr>
      </w:pPr>
      <w:r w:rsidRPr="00DD46ED">
        <w:rPr>
          <w:rFonts w:ascii="Trebuchet MS" w:hAnsi="Trebuchet MS" w:cs="Arial"/>
          <w:sz w:val="22"/>
          <w:szCs w:val="22"/>
        </w:rPr>
        <w:t xml:space="preserve"> Grafic V.1.5.1 Evoluţia masei lemnoase recoltate în raza Mun. Bucureşti în perioada 2019-2023 (mii mc)    </w:t>
      </w:r>
    </w:p>
    <w:p w:rsidR="00672663" w:rsidRPr="00947524" w:rsidRDefault="00672663" w:rsidP="00672663">
      <w:pPr>
        <w:ind w:left="360" w:hanging="360"/>
        <w:jc w:val="center"/>
        <w:rPr>
          <w:rFonts w:ascii="Arial" w:hAnsi="Arial" w:cs="Arial"/>
        </w:rPr>
      </w:pPr>
    </w:p>
    <w:p w:rsidR="00672663" w:rsidRPr="00947524" w:rsidRDefault="00672663" w:rsidP="00672663">
      <w:pPr>
        <w:ind w:left="360" w:hanging="360"/>
        <w:jc w:val="center"/>
        <w:rPr>
          <w:rFonts w:ascii="Arial" w:hAnsi="Arial" w:cs="Arial"/>
        </w:rPr>
      </w:pPr>
      <w:r w:rsidRPr="00947524">
        <w:rPr>
          <w:rFonts w:ascii="Arial" w:hAnsi="Arial" w:cs="Arial"/>
          <w:noProof/>
          <w:lang w:val="en-US"/>
        </w:rPr>
        <w:drawing>
          <wp:anchor distT="0" distB="3048" distL="114300" distR="114300" simplePos="0" relativeHeight="251700736" behindDoc="1" locked="0" layoutInCell="1" allowOverlap="1" wp14:anchorId="00D8949E" wp14:editId="0FCA14C5">
            <wp:simplePos x="0" y="0"/>
            <wp:positionH relativeFrom="column">
              <wp:posOffset>541655</wp:posOffset>
            </wp:positionH>
            <wp:positionV relativeFrom="paragraph">
              <wp:posOffset>6350</wp:posOffset>
            </wp:positionV>
            <wp:extent cx="5200650" cy="3105150"/>
            <wp:effectExtent l="0" t="0" r="19050" b="19050"/>
            <wp:wrapTight wrapText="bothSides">
              <wp:wrapPolygon edited="0">
                <wp:start x="0" y="0"/>
                <wp:lineTo x="0" y="21600"/>
                <wp:lineTo x="21600" y="21600"/>
                <wp:lineTo x="21600" y="0"/>
                <wp:lineTo x="0" y="0"/>
              </wp:wrapPolygon>
            </wp:wrapTight>
            <wp:docPr id="412" name="Object 4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947524" w:rsidRDefault="00672663" w:rsidP="00672663">
      <w:pPr>
        <w:jc w:val="both"/>
        <w:rPr>
          <w:rFonts w:ascii="Arial" w:hAnsi="Arial" w:cs="Arial"/>
        </w:rPr>
      </w:pPr>
    </w:p>
    <w:p w:rsidR="00672663" w:rsidRPr="00DD46ED" w:rsidRDefault="00672663" w:rsidP="00A60EDC">
      <w:pPr>
        <w:ind w:firstLine="708"/>
        <w:jc w:val="both"/>
        <w:rPr>
          <w:rFonts w:ascii="Trebuchet MS" w:hAnsi="Trebuchet MS" w:cs="Arial"/>
          <w:sz w:val="22"/>
          <w:szCs w:val="22"/>
        </w:rPr>
      </w:pPr>
      <w:r w:rsidRPr="00DD46ED">
        <w:rPr>
          <w:rFonts w:ascii="Trebuchet MS" w:hAnsi="Trebuchet MS" w:cs="Arial"/>
          <w:sz w:val="22"/>
          <w:szCs w:val="22"/>
        </w:rPr>
        <w:t>Proporţia lemnului mort în suprafaţa de fond forestier aflată în competenţa administrativ – teritorială a Direcţiei Silvice Ilfov din raza Mun. Bucureşti în ultimii 5 ani este foarte mică, cantitatea acestui lemn fiind nesemnificativă, neputându-se în prezent cuantifica într-o cantitate (volum) de masă lemnoasă la hectar.</w:t>
      </w:r>
    </w:p>
    <w:p w:rsidR="00672663" w:rsidRPr="00DD46ED" w:rsidRDefault="00672663" w:rsidP="00A60EDC">
      <w:pPr>
        <w:ind w:left="360" w:hanging="360"/>
        <w:jc w:val="center"/>
        <w:rPr>
          <w:rFonts w:ascii="Trebuchet MS" w:hAnsi="Trebuchet MS" w:cs="Arial"/>
          <w:sz w:val="22"/>
          <w:szCs w:val="22"/>
        </w:rPr>
      </w:pPr>
    </w:p>
    <w:p w:rsidR="00672663" w:rsidRPr="00A60EDC" w:rsidRDefault="00672663" w:rsidP="00A60EDC">
      <w:pPr>
        <w:tabs>
          <w:tab w:val="left" w:pos="180"/>
        </w:tabs>
        <w:rPr>
          <w:rFonts w:ascii="Trebuchet MS" w:hAnsi="Trebuchet MS" w:cs="Arial"/>
          <w:b/>
        </w:rPr>
      </w:pPr>
      <w:r w:rsidRPr="00A60EDC">
        <w:rPr>
          <w:rFonts w:ascii="Trebuchet MS" w:hAnsi="Trebuchet MS" w:cs="Arial"/>
          <w:b/>
        </w:rPr>
        <w:t xml:space="preserve">   V.2 Protecţia naturii şi biodiversitatea: prognoze şi acţiuni întreprinse </w:t>
      </w:r>
    </w:p>
    <w:p w:rsidR="00672663" w:rsidRPr="00A60EDC" w:rsidRDefault="00672663" w:rsidP="00A60EDC">
      <w:pPr>
        <w:tabs>
          <w:tab w:val="left" w:pos="270"/>
          <w:tab w:val="left" w:pos="1204"/>
          <w:tab w:val="left" w:leader="dot" w:pos="9356"/>
        </w:tabs>
        <w:ind w:left="170"/>
        <w:rPr>
          <w:rFonts w:ascii="Trebuchet MS" w:hAnsi="Trebuchet MS" w:cs="Arial"/>
          <w:b/>
          <w:i/>
          <w:lang w:val="ro-RO"/>
        </w:rPr>
      </w:pPr>
      <w:r w:rsidRPr="00A60EDC">
        <w:rPr>
          <w:rFonts w:ascii="Trebuchet MS" w:hAnsi="Trebuchet MS" w:cs="Arial"/>
          <w:b/>
          <w:i/>
          <w:lang w:val="ro-RO"/>
        </w:rPr>
        <w:t xml:space="preserve">V.2.1 Reţeaua de arii protejate </w:t>
      </w:r>
    </w:p>
    <w:p w:rsidR="00672663" w:rsidRPr="00A60EDC" w:rsidRDefault="00672663" w:rsidP="00A60EDC">
      <w:pPr>
        <w:tabs>
          <w:tab w:val="left" w:pos="1204"/>
          <w:tab w:val="left" w:leader="dot" w:pos="9356"/>
        </w:tabs>
        <w:ind w:left="170"/>
        <w:rPr>
          <w:rFonts w:ascii="Trebuchet MS" w:eastAsia="Calibri" w:hAnsi="Trebuchet MS" w:cs="Arial"/>
          <w:b/>
          <w:bCs/>
        </w:rPr>
      </w:pPr>
    </w:p>
    <w:p w:rsidR="00672663" w:rsidRPr="00DD46ED" w:rsidRDefault="00672663" w:rsidP="00A60EDC">
      <w:pPr>
        <w:tabs>
          <w:tab w:val="left" w:pos="630"/>
        </w:tabs>
        <w:jc w:val="both"/>
        <w:rPr>
          <w:rFonts w:ascii="Trebuchet MS" w:hAnsi="Trebuchet MS" w:cs="Arial"/>
          <w:sz w:val="22"/>
          <w:szCs w:val="22"/>
        </w:rPr>
      </w:pPr>
      <w:r w:rsidRPr="00A60EDC">
        <w:rPr>
          <w:rFonts w:ascii="Trebuchet MS" w:hAnsi="Trebuchet MS" w:cs="Arial"/>
        </w:rPr>
        <w:tab/>
      </w:r>
      <w:r w:rsidRPr="00DD46ED">
        <w:rPr>
          <w:rFonts w:ascii="Trebuchet MS" w:hAnsi="Trebuchet MS" w:cs="Arial"/>
          <w:sz w:val="22"/>
          <w:szCs w:val="22"/>
        </w:rPr>
        <w:t>Zona naturală „Acumulare Văcăreşti” a fost desemnată ca arie naturală protejată - Parc Natural, prin HG nr. 349/2016, prin care au fost stabilite şi limitele ariei protejate. Prin H.C.G.M.B</w:t>
      </w:r>
      <w:r w:rsidRPr="00DD46ED">
        <w:rPr>
          <w:rFonts w:ascii="Trebuchet MS" w:hAnsi="Trebuchet MS"/>
          <w:sz w:val="22"/>
          <w:szCs w:val="22"/>
        </w:rPr>
        <w:t xml:space="preserve"> </w:t>
      </w:r>
      <w:r w:rsidRPr="00DD46ED">
        <w:rPr>
          <w:rFonts w:ascii="Trebuchet MS" w:hAnsi="Trebuchet MS" w:cs="Arial"/>
          <w:sz w:val="22"/>
          <w:szCs w:val="22"/>
        </w:rPr>
        <w:t>nr.328/2021</w:t>
      </w:r>
      <w:r w:rsidRPr="00DD46ED">
        <w:rPr>
          <w:rFonts w:ascii="Trebuchet MS" w:hAnsi="Trebuchet MS"/>
          <w:sz w:val="22"/>
          <w:szCs w:val="22"/>
        </w:rPr>
        <w:t xml:space="preserve"> </w:t>
      </w:r>
      <w:r w:rsidRPr="00DD46ED">
        <w:rPr>
          <w:rFonts w:ascii="Trebuchet MS" w:hAnsi="Trebuchet MS" w:cs="Arial"/>
          <w:sz w:val="22"/>
          <w:szCs w:val="22"/>
        </w:rPr>
        <w:t>a fost</w:t>
      </w:r>
      <w:r w:rsidRPr="00DD46ED">
        <w:rPr>
          <w:rFonts w:ascii="Trebuchet MS" w:hAnsi="Trebuchet MS"/>
          <w:sz w:val="22"/>
          <w:szCs w:val="22"/>
        </w:rPr>
        <w:t xml:space="preserve"> </w:t>
      </w:r>
      <w:r w:rsidRPr="00DD46ED">
        <w:rPr>
          <w:rFonts w:ascii="Trebuchet MS" w:hAnsi="Trebuchet MS" w:cs="Arial"/>
          <w:sz w:val="22"/>
          <w:szCs w:val="22"/>
        </w:rPr>
        <w:t>înființată Administrația Parcul Natural Văcărești, în scopul administrării ariei naturale protejate Parcul Natural Văcărești.</w:t>
      </w:r>
    </w:p>
    <w:p w:rsidR="00672663" w:rsidRPr="00DD46ED" w:rsidRDefault="00672663" w:rsidP="00A60EDC">
      <w:pPr>
        <w:tabs>
          <w:tab w:val="left" w:pos="630"/>
        </w:tabs>
        <w:jc w:val="both"/>
        <w:rPr>
          <w:rFonts w:ascii="Trebuchet MS" w:eastAsia="Times New Roman" w:hAnsi="Trebuchet MS" w:cs="Arial"/>
          <w:sz w:val="22"/>
          <w:szCs w:val="22"/>
          <w:lang w:val="en-US" w:eastAsia="ro-RO"/>
        </w:rPr>
      </w:pPr>
      <w:r w:rsidRPr="00DD46ED">
        <w:rPr>
          <w:rFonts w:ascii="Trebuchet MS" w:hAnsi="Trebuchet MS" w:cs="Arial"/>
          <w:sz w:val="22"/>
          <w:szCs w:val="22"/>
          <w:shd w:val="clear" w:color="auto" w:fill="FFFFFF"/>
        </w:rPr>
        <w:tab/>
      </w:r>
      <w:r w:rsidRPr="00DD46ED">
        <w:rPr>
          <w:rFonts w:ascii="Trebuchet MS" w:eastAsia="Times New Roman" w:hAnsi="Trebuchet MS" w:cs="Arial"/>
          <w:sz w:val="22"/>
          <w:szCs w:val="22"/>
          <w:lang w:val="en-US" w:eastAsia="ro-RO"/>
        </w:rPr>
        <w:t>Parcul Natural Văcărești este localizat în sudul Bucureștiului, în Sectorul 4, între cartierele Timpuri noi și Vitan la nord și Berceni la sud, la sud de Râul Dâmbovița, în imediata apropiere a acestuia, în interiorul unui patrulater format de 4 artere principale ale capitalei: la nord Splaiul Unirii, la est Șoseaua Vitan-Bârzești, la sud Șoseaua Olteniței, la vest Calea Văcărești.</w:t>
      </w:r>
    </w:p>
    <w:p w:rsidR="00672663" w:rsidRPr="00DD46ED" w:rsidRDefault="00672663" w:rsidP="00A60EDC">
      <w:pPr>
        <w:tabs>
          <w:tab w:val="left" w:pos="630"/>
        </w:tabs>
        <w:jc w:val="both"/>
        <w:rPr>
          <w:rFonts w:ascii="Trebuchet MS" w:eastAsia="Times New Roman" w:hAnsi="Trebuchet MS" w:cs="Arial"/>
          <w:sz w:val="22"/>
          <w:szCs w:val="22"/>
          <w:lang w:val="en-US" w:eastAsia="ro-RO"/>
        </w:rPr>
      </w:pPr>
      <w:r w:rsidRPr="00DD46ED">
        <w:rPr>
          <w:rFonts w:ascii="Trebuchet MS" w:eastAsia="Times New Roman" w:hAnsi="Trebuchet MS" w:cs="Arial"/>
          <w:sz w:val="22"/>
          <w:szCs w:val="22"/>
          <w:lang w:val="en-US" w:eastAsia="ro-RO"/>
        </w:rPr>
        <w:tab/>
        <w:t>S-a format pe amplasamentul fostei amenajări hidrotehnice ”Acumulare Lac Văcărești”, abandonată în 1989. Aici s-a dezvoltat de peste 20 de ani un ecosistem umed cu întinderi de mlaștini, ochiuri de apă, stufăriș, crânguri de sălcii, cuiburi de plopi, perdele de trestie și stuf, care constituie habitatul a numeroase specii de păsări de apă, dar și al multor specii de reptile, insecte, broaște și chiar mamifere.</w:t>
      </w:r>
    </w:p>
    <w:p w:rsidR="00672663" w:rsidRPr="00DD46ED" w:rsidRDefault="00672663" w:rsidP="00A60EDC">
      <w:pPr>
        <w:autoSpaceDE w:val="0"/>
        <w:autoSpaceDN w:val="0"/>
        <w:adjustRightInd w:val="0"/>
        <w:ind w:firstLine="720"/>
        <w:jc w:val="both"/>
        <w:rPr>
          <w:rFonts w:ascii="Trebuchet MS" w:hAnsi="Trebuchet MS" w:cs="Arial"/>
          <w:sz w:val="22"/>
          <w:szCs w:val="22"/>
          <w:shd w:val="clear" w:color="auto" w:fill="FFFFFF"/>
        </w:rPr>
      </w:pPr>
      <w:r w:rsidRPr="00DD46ED">
        <w:rPr>
          <w:rFonts w:ascii="Trebuchet MS" w:eastAsia="Times New Roman" w:hAnsi="Trebuchet MS" w:cs="Arial"/>
          <w:sz w:val="22"/>
          <w:szCs w:val="22"/>
          <w:lang w:val="en-US" w:eastAsia="ro-RO"/>
        </w:rPr>
        <w:t xml:space="preserve">Referitor la flora din zonă s-au făcut câteva inventarieri ale taxonilor prezenți, de către un colectiv de la Grădina Botanică din București, în urma cărora au fost identificați 101 taxoni dintre plantele vasculare. Aici nu sunt habitate naturale și nici nu există termeni de referință din trecut, fiind vorba de comunități recent instalate, deci nu se poate face niciun fel de apreciere referitor la starea de conservare a habitatelor. </w:t>
      </w:r>
      <w:r w:rsidRPr="00DD46ED">
        <w:rPr>
          <w:rFonts w:ascii="Trebuchet MS" w:hAnsi="Trebuchet MS" w:cs="Arial"/>
          <w:sz w:val="22"/>
          <w:szCs w:val="22"/>
          <w:shd w:val="clear" w:color="auto" w:fill="FFFFFF"/>
        </w:rPr>
        <w:t>Dintre speciile de plante predomină speciile de salcie: Salix alba, Sallix fragilis (răchită), Salix cinerea (zălog) și plop (Populus sp), sălcioara (Elaeagnus angustifolia), dar și specii exotice precum cenușarul (oțetar chinezesc sau arborele paradisului - Ailanthus altissima), frasinul american (Fraxinus pennsylvanica) și ulmul siberian (Ulmus pumilla), sau specii fructifere comune precum: corcodușul (Prunus cerasifera), dudul alb (Morus alba) și nucul (Juglans regia),</w:t>
      </w:r>
      <w:r w:rsidRPr="00DD46ED">
        <w:rPr>
          <w:rFonts w:ascii="Trebuchet MS" w:hAnsi="Trebuchet MS"/>
          <w:sz w:val="22"/>
          <w:szCs w:val="22"/>
        </w:rPr>
        <w:t xml:space="preserve"> </w:t>
      </w:r>
      <w:r w:rsidRPr="00DD46ED">
        <w:rPr>
          <w:rFonts w:ascii="Trebuchet MS" w:hAnsi="Trebuchet MS" w:cs="Arial"/>
          <w:sz w:val="22"/>
          <w:szCs w:val="22"/>
          <w:shd w:val="clear" w:color="auto" w:fill="FFFFFF"/>
        </w:rPr>
        <w:t>dar și specii  foarte rare precum Wolffia arrhiza.</w:t>
      </w:r>
    </w:p>
    <w:p w:rsidR="00672663" w:rsidRPr="00DD46ED" w:rsidRDefault="00672663" w:rsidP="00A60EDC">
      <w:pPr>
        <w:autoSpaceDE w:val="0"/>
        <w:autoSpaceDN w:val="0"/>
        <w:adjustRightInd w:val="0"/>
        <w:ind w:firstLine="720"/>
        <w:jc w:val="both"/>
        <w:rPr>
          <w:rFonts w:ascii="Trebuchet MS" w:eastAsia="Times New Roman" w:hAnsi="Trebuchet MS" w:cs="Arial"/>
          <w:sz w:val="22"/>
          <w:szCs w:val="22"/>
          <w:lang w:val="en-US" w:eastAsia="ro-RO"/>
        </w:rPr>
      </w:pPr>
      <w:r w:rsidRPr="00DD46ED">
        <w:rPr>
          <w:rFonts w:ascii="Trebuchet MS" w:eastAsia="Times New Roman" w:hAnsi="Trebuchet MS" w:cs="Arial"/>
          <w:sz w:val="22"/>
          <w:szCs w:val="22"/>
          <w:lang w:val="en-US" w:eastAsia="ro-RO"/>
        </w:rPr>
        <w:t>Printre speciile de faună prezente se numără: șoarecele de câmp (Microtus arvalis), chiţcanul pitic (Sorex minutus); nevăstuica (Mustela nivalis), vulpea (Vulpes vulpes), vidra (Lutra lutra), triton cu creastă (Triturus  cristatus), țestoasa de apă europenă (Emys orbicularis), guşter (Lacerta viridis), șarpele lui Esculap (Zamenis longissimus), etc, care supravieţuiesc într-un ecosistem stabil. Multe din aceste specii sunt menționate în anexele Ordonanței de urgenţă a Guvernului nr. 57/2007, cu modificările şi completările ulterioare.</w:t>
      </w:r>
    </w:p>
    <w:p w:rsidR="00672663" w:rsidRPr="00DD46ED" w:rsidRDefault="00672663" w:rsidP="00A60EDC">
      <w:pPr>
        <w:ind w:firstLine="708"/>
        <w:jc w:val="both"/>
        <w:rPr>
          <w:rFonts w:ascii="Trebuchet MS" w:hAnsi="Trebuchet MS" w:cs="Arial"/>
          <w:sz w:val="22"/>
          <w:szCs w:val="22"/>
          <w:shd w:val="clear" w:color="auto" w:fill="FFFFFF"/>
        </w:rPr>
      </w:pPr>
      <w:r w:rsidRPr="00DD46ED">
        <w:rPr>
          <w:rFonts w:ascii="Trebuchet MS" w:hAnsi="Trebuchet MS" w:cs="Arial"/>
          <w:sz w:val="22"/>
          <w:szCs w:val="22"/>
          <w:shd w:val="clear" w:color="auto" w:fill="FFFFFF"/>
        </w:rPr>
        <w:t>Cele mai bine reprezentate sunt păsările, aici găsindu-și loc de hrănire, odihnă și cuibărire cca 150 de specii, din care 56 sunt sub regim de protecție. Se remarcă în special egrete, cormorani, gâște și rațe sălbatice, stârci, pescăruși, lebede, lișițe, păsări migratoare rare, păsări cântătoare, cinteze, sticleți, florinte.</w:t>
      </w:r>
    </w:p>
    <w:p w:rsidR="00672663" w:rsidRPr="00DD46ED" w:rsidRDefault="00672663" w:rsidP="00A60EDC">
      <w:pPr>
        <w:ind w:firstLine="708"/>
        <w:jc w:val="both"/>
        <w:rPr>
          <w:rFonts w:ascii="Trebuchet MS" w:hAnsi="Trebuchet MS" w:cs="Arial"/>
          <w:sz w:val="22"/>
          <w:szCs w:val="22"/>
          <w:shd w:val="clear" w:color="auto" w:fill="FFFFFF"/>
        </w:rPr>
      </w:pPr>
      <w:r w:rsidRPr="00DD46ED">
        <w:rPr>
          <w:rFonts w:ascii="Trebuchet MS" w:hAnsi="Trebuchet MS" w:cs="Arial"/>
          <w:sz w:val="22"/>
          <w:szCs w:val="22"/>
          <w:shd w:val="clear" w:color="auto" w:fill="FFFFFF"/>
        </w:rPr>
        <w:t>În Parcul Natural Văcărești sunt permise activități de turism, educație, cercetare științifică, cu respectarea regulilor de vizitare a parcului.</w:t>
      </w:r>
    </w:p>
    <w:p w:rsidR="00672663" w:rsidRPr="00DD46ED" w:rsidRDefault="00672663" w:rsidP="00A60EDC">
      <w:pPr>
        <w:ind w:firstLine="708"/>
        <w:jc w:val="both"/>
        <w:rPr>
          <w:rFonts w:ascii="Trebuchet MS" w:hAnsi="Trebuchet MS" w:cs="Arial"/>
          <w:sz w:val="22"/>
          <w:szCs w:val="22"/>
          <w:shd w:val="clear" w:color="auto" w:fill="FFFFFF"/>
        </w:rPr>
      </w:pPr>
    </w:p>
    <w:p w:rsidR="00672663" w:rsidRPr="00DD46ED" w:rsidRDefault="00672663" w:rsidP="00A60EDC">
      <w:pPr>
        <w:jc w:val="center"/>
        <w:rPr>
          <w:rFonts w:ascii="Trebuchet MS" w:hAnsi="Trebuchet MS" w:cs="Arial"/>
          <w:b/>
          <w:sz w:val="22"/>
          <w:szCs w:val="22"/>
          <w:lang w:val="ro-RO"/>
        </w:rPr>
      </w:pPr>
    </w:p>
    <w:p w:rsidR="00672663" w:rsidRPr="00DD46ED" w:rsidRDefault="00672663" w:rsidP="00A60EDC">
      <w:pPr>
        <w:jc w:val="center"/>
        <w:rPr>
          <w:rFonts w:ascii="Trebuchet MS" w:hAnsi="Trebuchet MS" w:cs="Arial"/>
          <w:b/>
          <w:sz w:val="22"/>
          <w:szCs w:val="22"/>
          <w:lang w:val="ro-RO"/>
        </w:rPr>
      </w:pPr>
    </w:p>
    <w:p w:rsidR="00672663" w:rsidRPr="00DD46ED" w:rsidRDefault="00672663" w:rsidP="00A60EDC">
      <w:pPr>
        <w:jc w:val="center"/>
        <w:rPr>
          <w:rFonts w:ascii="Trebuchet MS" w:hAnsi="Trebuchet MS" w:cs="Arial"/>
          <w:b/>
          <w:sz w:val="22"/>
          <w:szCs w:val="22"/>
          <w:lang w:val="ro-RO"/>
        </w:rPr>
      </w:pPr>
    </w:p>
    <w:p w:rsidR="00672663" w:rsidRPr="00DD46ED" w:rsidRDefault="00672663" w:rsidP="00A60EDC">
      <w:pPr>
        <w:rPr>
          <w:rFonts w:ascii="Trebuchet MS" w:hAnsi="Trebuchet MS" w:cs="Arial"/>
          <w:sz w:val="22"/>
          <w:szCs w:val="22"/>
          <w:lang w:val="ro-RO"/>
        </w:rPr>
      </w:pPr>
    </w:p>
    <w:p w:rsidR="00672663" w:rsidRPr="00DD46ED" w:rsidRDefault="00672663" w:rsidP="00A60EDC">
      <w:pPr>
        <w:rPr>
          <w:rFonts w:ascii="Trebuchet MS" w:hAnsi="Trebuchet MS" w:cs="Arial"/>
          <w:sz w:val="22"/>
          <w:szCs w:val="22"/>
          <w:lang w:val="ro-RO"/>
        </w:rPr>
      </w:pPr>
      <w:r w:rsidRPr="00DD46ED">
        <w:rPr>
          <w:rFonts w:ascii="Trebuchet MS" w:hAnsi="Trebuchet MS" w:cs="Arial"/>
          <w:sz w:val="22"/>
          <w:szCs w:val="22"/>
          <w:lang w:val="ro-RO"/>
        </w:rPr>
        <w:t>Tabel V.1.5.1 Specii de păsări din Parcul Natural Văcărești</w:t>
      </w:r>
    </w:p>
    <w:p w:rsidR="00672663" w:rsidRPr="00DD46ED" w:rsidRDefault="00672663" w:rsidP="00A60EDC">
      <w:pPr>
        <w:rPr>
          <w:rFonts w:ascii="Trebuchet MS" w:hAnsi="Trebuchet MS" w:cs="Arial"/>
          <w:sz w:val="22"/>
          <w:szCs w:val="22"/>
          <w:lang w:val="ro-RO"/>
        </w:rPr>
      </w:pPr>
    </w:p>
    <w:tbl>
      <w:tblPr>
        <w:tblW w:w="0" w:type="auto"/>
        <w:tblCellMar>
          <w:top w:w="15" w:type="dxa"/>
          <w:left w:w="15" w:type="dxa"/>
          <w:bottom w:w="15" w:type="dxa"/>
          <w:right w:w="15" w:type="dxa"/>
        </w:tblCellMar>
        <w:tblLook w:val="04A0" w:firstRow="1" w:lastRow="0" w:firstColumn="1" w:lastColumn="0" w:noHBand="0" w:noVBand="1"/>
      </w:tblPr>
      <w:tblGrid>
        <w:gridCol w:w="1828"/>
        <w:gridCol w:w="2038"/>
        <w:gridCol w:w="3262"/>
        <w:gridCol w:w="3117"/>
      </w:tblGrid>
      <w:tr w:rsidR="00672663" w:rsidRPr="00DD46ED" w:rsidTr="00C55BA9">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b/>
                <w:bCs/>
              </w:rPr>
            </w:pPr>
            <w:r w:rsidRPr="00DD46ED">
              <w:rPr>
                <w:rFonts w:ascii="Trebuchet MS" w:hAnsi="Trebuchet MS" w:cs="Calibri"/>
                <w:b/>
                <w:bCs/>
              </w:rPr>
              <w:t>Denumirea populară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b/>
                <w:bCs/>
              </w:rPr>
            </w:pPr>
            <w:r w:rsidRPr="00DD46ED">
              <w:rPr>
                <w:rFonts w:ascii="Trebuchet MS" w:hAnsi="Trebuchet MS" w:cs="Calibri"/>
                <w:b/>
                <w:bCs/>
              </w:rPr>
              <w:t>Denumirea științifică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b/>
                <w:bCs/>
              </w:rPr>
            </w:pPr>
            <w:r w:rsidRPr="00DD46ED">
              <w:rPr>
                <w:rFonts w:ascii="Trebuchet MS" w:hAnsi="Trebuchet MS" w:cs="Calibri"/>
                <w:b/>
                <w:bCs/>
              </w:rPr>
              <w:t>Statutul în România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b/>
                <w:bCs/>
              </w:rPr>
            </w:pPr>
            <w:r w:rsidRPr="00DD46ED">
              <w:rPr>
                <w:rFonts w:ascii="Trebuchet MS" w:hAnsi="Trebuchet MS" w:cs="Calibri"/>
                <w:b/>
                <w:bCs/>
              </w:rPr>
              <w:t>Statutul în Parcul Natural Văcărești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Lebadă de vară*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Cygnus olor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 (2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Gâscă de vară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Anser anser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Gârliță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Anser albifrons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Rață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Anas platyrhynchos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Oaspete de iarnă;</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Rață pestriță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Anas strepera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Rață mică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Anas crecca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Oaspete de iarnă, Oaspete de vară -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Rață câraitoare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Anas querquedula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Oaspete de vară;</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Rată lingurar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Anas clypeata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Rață cu ciuf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Netta rufina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Rață moțată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Aythya fulligua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 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Rată cu cap castaniu*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Aythya ferina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 (5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Rață roșie*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Aythya nyroca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Potârniche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Perdix perdix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Fazan*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Phasianus colchicus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 (5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Prepeliță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Coturnix coturnix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Pelican creț</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Pelecanus crispus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Cormoran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Phalacrocorax carbo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Cormoran 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Microcarbo pygmeus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necuibăritoare (50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Buhai de baltă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Botaurus stellaris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Stârc pitic*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Ixobrychus minutus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Egretă mică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Egretta garzetta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Egretă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Casmerodius albus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Stârc galben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Ardeola ralloides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Stârc cenușiu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Ardea cinerea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Stârc roșu*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Ardea purpurea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p w:rsidR="00672663" w:rsidRPr="00DD46ED" w:rsidRDefault="00672663" w:rsidP="00A60EDC">
            <w:pPr>
              <w:pStyle w:val="NoSpacing"/>
              <w:rPr>
                <w:rFonts w:ascii="Trebuchet MS" w:hAnsi="Trebuchet MS" w:cs="Calibri"/>
              </w:rPr>
            </w:pPr>
            <w:r w:rsidRPr="00DD46ED">
              <w:rPr>
                <w:rFonts w:ascii="Trebuchet MS" w:hAnsi="Trebuchet MS" w:cs="Calibri"/>
              </w:rPr>
              <w:t>(1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Stârc de noapte*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Nycticorax nycticorax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p w:rsidR="00672663" w:rsidRPr="00DD46ED" w:rsidRDefault="00672663" w:rsidP="00A60EDC">
            <w:pPr>
              <w:pStyle w:val="NoSpacing"/>
              <w:rPr>
                <w:rFonts w:ascii="Trebuchet MS" w:hAnsi="Trebuchet MS" w:cs="Calibri"/>
              </w:rPr>
            </w:pPr>
            <w:r w:rsidRPr="00DD46ED">
              <w:rPr>
                <w:rFonts w:ascii="Trebuchet MS" w:hAnsi="Trebuchet MS" w:cs="Calibri"/>
              </w:rPr>
              <w:t>(1-2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Barză albă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Ciconia cicona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Corcodel 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Tachybaptus ruficollis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(1-2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Corcodel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Podiceps cristatus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(2-5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Corcodel cu gât roșu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Podiceps grisegena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Corcodel cu gât negru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Podiceps nigricollis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Acvilă țipătoare mică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Clanga pomarina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Acvilă pitică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Aquila penatta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Șerpar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Circaetus gallicus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Șorecar comun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Buteo buteo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Viespar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Pernis apivorus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Uliu păsărar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Accipiter nisus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Uliu cu picioare scurte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Accipiter brevipes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Uligan pescar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Pandion haliaetus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Erete de stuf*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Circus aeruginosus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Erete vânăt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Circus cyaneus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Erete alb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Circus macrourus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Erete sur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i/>
                <w:iCs/>
              </w:rPr>
            </w:pPr>
            <w:r w:rsidRPr="00DD46ED">
              <w:rPr>
                <w:rFonts w:ascii="Trebuchet MS" w:hAnsi="Trebuchet MS" w:cs="Calibri"/>
                <w:i/>
                <w:iCs/>
              </w:rPr>
              <w:t>Circus pygargus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Șoim călător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Falco peregrinus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Șoimul rândunelelor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Falco subbuteo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necuibăritoare ( 5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Vânturel de seară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Falco vespertinus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Vânturel roșu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Falco tinnunculus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Cârstel de baltă*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Rallus aquaticus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 (1-2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Cristel de câmp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Crex crex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Găinușă de baltă*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Gallinula chloropus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Lișiță*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Fulica atra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Nagâț</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Vanellus vanellus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Sitar de pădure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Scolopax rusticola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Becațină comună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Gallinago gallinago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Becațină mică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Lymnocryptes minimus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Fluierar de munte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Actitis hypoleucus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Fluierar de mlaștină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Tringa glareola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Piciorong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Himantopus himantopus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Pescăruș cu picioare galbene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Larus michahellis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Specie de pasaj;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Pescăruș pontic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Larus cachinnans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Specie de pasaj;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Pescăruș sur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Larus canus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Pescăruș râzător*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Chroicocephalus ridibundus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(3-5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Chirighiță cu obraz alb*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Chlidonias hybrida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(15-20 de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Chiră de baltă*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Sterna hirundo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Porumbel domestic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Columba livia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Porumbel gulerat*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Columba palumbus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Guguștiuc*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Streptopelia decaocto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w:t>
            </w:r>
          </w:p>
          <w:p w:rsidR="00672663" w:rsidRPr="00DD46ED" w:rsidRDefault="00672663" w:rsidP="00A60EDC">
            <w:pPr>
              <w:pStyle w:val="NoSpacing"/>
              <w:rPr>
                <w:rFonts w:ascii="Trebuchet MS" w:hAnsi="Trebuchet MS" w:cs="Calibri"/>
              </w:rPr>
            </w:pPr>
            <w:r w:rsidRPr="00DD46ED">
              <w:rPr>
                <w:rFonts w:ascii="Trebuchet MS" w:hAnsi="Trebuchet MS" w:cs="Calibri"/>
              </w:rPr>
              <w:t> Cuibăritoare (1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Cuc*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Cuculus canorus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Cucuvea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Athene noctua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 (1-5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Drepnea neagră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Apus apus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necuibăritoare (100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Pescarăș albastru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Alcedo atthis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Prigorie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Merops apiaster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Pupăză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Upupa epops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Posibil cuibăritoare (1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Ciocanitoare pestriță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Dendrocopos major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Ciocanitoare de grădini*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Dendrocopos syriacus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 (1-2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Capântortură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Jynx  torquilla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Ciocârlan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Galerida cristata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Ciocârlie de camp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Alauda arvensis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Lăstun de mal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Riparia riparia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necuibăritoare ce utilizează situl ca zonă de hrănire (100 de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Rândunică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Hirundo rustica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necuibăritoare ce utilizează Parcul ca zonă de hrănire (50 de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Rândunică roșcată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Cecropis daurica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Lăstun de casă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Delichon urbica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necuibăritoare ce utilizează Parcul ca zonă de hrănire (50 de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Fâsă de pădure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Anthus trivialis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Fâsă de câmp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Anthus campestris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Fâsă de luncă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Anthus pratensis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Fâsă de munte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Anthus spinoletta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Codobatură galbenă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Motacilla flava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Codobatură de munte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Motacilla cinerea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Codobatură albă*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Motacilla alba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Codobatură cu cap galben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i/>
                <w:iCs/>
              </w:rPr>
            </w:pPr>
            <w:r w:rsidRPr="00DD46ED">
              <w:rPr>
                <w:rFonts w:ascii="Trebuchet MS" w:hAnsi="Trebuchet MS" w:cs="Calibri"/>
                <w:i/>
                <w:iCs/>
              </w:rPr>
              <w:t>Motacilla citreola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Ochiuboului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Troglodytes troglodytes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Brumariță de pădure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Prunella modularis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Codroș de pădure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Phoenicurus phoenicurus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Codroș de munte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Phoenicurus ochruros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Măcaleandru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Erithacus rubecula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Privighetoare de zăvoi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Luscinia luscinia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Pietrar sur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Oenanthe oenanthe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Măracinar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Saxicola rubetra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Măracinar negru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Saxicola rubicola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Mierlă*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Turdus merula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Sturz cântător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Turdus philomelos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Cocoșar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Turdus pilaris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Oaspete de iarnă;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Grelușel de stuf*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Locustella luscinoides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(5-15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Lăcar de stuf*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Acrocephalus scirpaceus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Lăcar de mlaștină*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Acrocephalus palustris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Lăcar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Acrocephalus arundinaceus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(10-20 de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Lăcar 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Acrocephalus schoenobaenus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Posibil cuibăritoare (1-2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Silvie de camp*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Sylvia communis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Silvie mică*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Sylvia curruca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Pitulice mică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Phylloscopus collybita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Pitulice fluierătoare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Phylloscopus trochillus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Pitulice sfârâitoare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Phylloscopus sibilatrix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Muscar negru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Ficedula hypoleuca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Specie de pasaj;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Muscar sur*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Muscicapa striata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Posibil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Muscar 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Ficedula parva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Pițigoi albastru*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Cyanistes caeruleus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Pițigoi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Parus major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Pițigoi de stuf*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Panurus biarmicus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 (1-2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Boicuș*</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Remiz pendulinus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 (2-5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Sfrâncioc roșiatic*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Lanius collurio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Sfrâncioc cu fruntea neagră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Lanius minor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Grangur*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Oriolus oriolus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Graur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Sturnus vulgaris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Posibil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Gaiță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Garrulus glandarius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Coțofană*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Pica pica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 (5-10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Stancuță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Corvus monedula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 (50 indivizi)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Cioară de semănătură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Corvus frugilegus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Cioară grivă*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Corvus cornix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Posibil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Vrabie de casă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Passer domesticus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Vrabie de câmp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Passer montanus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Cinteză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Fringilla coelebs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Cinteză de iarnă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Fringilla montifringilla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Botgros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Coccothraustes coccothraustes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w:t>
            </w:r>
          </w:p>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Cănăraș</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Serinus serinus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Florinte*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Chloris chloris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Posibil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Scatiu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Spinus spinus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Migrator parţial, Oaspete de iarnă;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Sticlete*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Carduelis carduelis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Oaspete de iarnă;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Cuibaritoare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Cânepar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Linaria cannabina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Presură sură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Emberiza calandra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parțial;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Presură galbenă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Emberiza citrinella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Presură de stuf*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Emberiza schoeniclus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Posibil cuibăritoare (1-5 perechi)</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Papagal Micul Alexandru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Psittacula kramei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Necuibăritoare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Sedentară posibil 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Porumbel de scorbura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Columba oenas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Migratoare parţial;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Ciuf de camp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Asio flammeus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Inarita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Acanthis flammea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Sorecar incaltat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Buteo lagopus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iarnă</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Califar alb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Tadorna tadorna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Migrator parţial, Cuibaritoare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Ghionoaie sura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Picus canus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Cuibaritoare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Ciocanitoare de stejar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Dendrocopos medius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sedentară;  Cuibaritoare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Ausel cu cap galben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Regulus regulus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Migrator parţial, Cuibaritoare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Silvie cu cap negru </w:t>
            </w:r>
          </w:p>
          <w:p w:rsidR="00672663" w:rsidRPr="00DD46ED" w:rsidRDefault="00672663" w:rsidP="00A60EDC">
            <w:pPr>
              <w:pStyle w:val="NoSpacing"/>
              <w:rPr>
                <w:rFonts w:ascii="Trebuchet MS" w:hAnsi="Trebuchet MS" w:cs="Calibri"/>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Sylvia atricapilla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Peruș</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Melopsittacus undulatus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Exemplare evadate din colectii private</w:t>
            </w:r>
          </w:p>
          <w:p w:rsidR="00672663" w:rsidRPr="00DD46ED" w:rsidRDefault="00672663" w:rsidP="00A60EDC">
            <w:pPr>
              <w:pStyle w:val="NoSpacing"/>
              <w:rPr>
                <w:rFonts w:ascii="Trebuchet MS" w:hAnsi="Trebuchet MS" w:cs="Calibri"/>
              </w:rPr>
            </w:pPr>
            <w:r w:rsidRPr="00DD46ED">
              <w:rPr>
                <w:rFonts w:ascii="Trebuchet MS" w:hAnsi="Trebuchet MS" w:cs="Calibri"/>
              </w:rPr>
              <w:t>Necuibăritoare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Necuibăritoare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Caprimulg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Caprimulgus europaeus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Presura cu cap negru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Emberiza melanocephala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Frunzarita galbena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Hippolais iecterina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Lacustar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Pastor roseus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Ciuf de padure*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Asio otus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Sedentara; Cuibaritoare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Cuibaritoare (1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Muscar gulerat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Ficedula albicollis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Sfarncioc mare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Lanius excubitor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Sedentara; Cuibaritoare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Sturz de vii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Turdus iliacus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Pitulice sprancenata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Phylloscopus proregulus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Ausel sparcenat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Regulus ignicapila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Sedentara</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Tiganus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Plegadis falcinellus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Pelican comn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Pelecanus onocrotalus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Silvia porumbaca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Sylvia nisoria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Turturica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Streptopelia turtur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Privighetoare*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Luscinia megarhynchos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 / Posibil cuibaritoare ( 1 pereche)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Cius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Otus scops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Mugurar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Phyrulla phyrulla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Cojoaica de padure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Certhia familiaris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iarna</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Rata fluieratoare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Anas penelope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Pescarus negricios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Larus fuscus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iarna</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Mierla gulerata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Turdus torquatus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p w:rsidR="00672663" w:rsidRPr="00DD46ED" w:rsidRDefault="00672663" w:rsidP="00A60EDC">
            <w:pPr>
              <w:pStyle w:val="NoSpacing"/>
              <w:rPr>
                <w:rFonts w:ascii="Trebuchet MS" w:hAnsi="Trebuchet MS" w:cs="Calibri"/>
              </w:rPr>
            </w:pP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Chirighita neagra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Chlidonias niger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Prundaras gulerat 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Charadrius dubius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Fluierar cu picioare verzi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Tringa nebularia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Fluierar de zavoi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Tringa ochropus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Barza neagra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Ciconia nigra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Rata de padure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Aix sponsa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introdusa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Pitigoi codat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Aegithalos caudatus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Cuibăritoare</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Sitar de mal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Limosa limosa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Struz de vasc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Turdus viscivorus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Sedentara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iarna</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Bataus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Calidris pugnax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Becatina mare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Gallinago media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Lopatar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i/>
                <w:iCs/>
              </w:rPr>
              <w:t>Platalea leucorodia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Cresteț pestriț</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i/>
                <w:iCs/>
              </w:rPr>
            </w:pPr>
            <w:r w:rsidRPr="00DD46ED">
              <w:rPr>
                <w:rFonts w:ascii="Trebuchet MS" w:hAnsi="Trebuchet MS" w:cs="Calibri"/>
                <w:i/>
                <w:iCs/>
              </w:rPr>
              <w:t>Porzana porzana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Cresteţ cenuşiu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i/>
                <w:iCs/>
              </w:rPr>
            </w:pPr>
            <w:r w:rsidRPr="00DD46ED">
              <w:rPr>
                <w:rFonts w:ascii="Trebuchet MS" w:hAnsi="Trebuchet MS" w:cs="Calibri"/>
                <w:i/>
                <w:iCs/>
              </w:rPr>
              <w:t>Porzana parva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 xml:space="preserve">Pescăruş mic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i/>
                <w:iCs/>
              </w:rPr>
            </w:pPr>
            <w:r w:rsidRPr="00DD46ED">
              <w:rPr>
                <w:rFonts w:ascii="Trebuchet MS" w:hAnsi="Trebuchet MS" w:cs="Calibri"/>
                <w:i/>
                <w:iCs/>
              </w:rPr>
              <w:t>Larus minutus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Frunzăriţă cenuşie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i/>
                <w:iCs/>
              </w:rPr>
            </w:pPr>
            <w:r w:rsidRPr="00DD46ED">
              <w:rPr>
                <w:rFonts w:ascii="Trebuchet MS" w:hAnsi="Trebuchet MS" w:cs="Calibri"/>
                <w:i/>
                <w:iCs/>
              </w:rPr>
              <w:t>Iduna pallida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r w:rsidR="00672663" w:rsidRPr="00DD46ED" w:rsidTr="00C55BA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Pescăruş cu cap negru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i/>
                <w:iCs/>
              </w:rPr>
            </w:pPr>
            <w:r w:rsidRPr="00DD46ED">
              <w:rPr>
                <w:rFonts w:ascii="Trebuchet MS" w:hAnsi="Trebuchet MS" w:cs="Calibri"/>
                <w:i/>
                <w:iCs/>
              </w:rPr>
              <w:t>Ichthyaetus melanocephalus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Oaspete de vară; Cuibăritoare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72663" w:rsidRPr="00DD46ED" w:rsidRDefault="00672663" w:rsidP="00A60EDC">
            <w:pPr>
              <w:pStyle w:val="NoSpacing"/>
              <w:rPr>
                <w:rFonts w:ascii="Trebuchet MS" w:hAnsi="Trebuchet MS" w:cs="Calibri"/>
              </w:rPr>
            </w:pPr>
            <w:r w:rsidRPr="00DD46ED">
              <w:rPr>
                <w:rFonts w:ascii="Trebuchet MS" w:hAnsi="Trebuchet MS" w:cs="Calibri"/>
              </w:rPr>
              <w:t>Specie de pasaj</w:t>
            </w:r>
          </w:p>
        </w:tc>
      </w:tr>
    </w:tbl>
    <w:p w:rsidR="00672663" w:rsidRPr="00DD46ED" w:rsidRDefault="00672663" w:rsidP="00A60EDC">
      <w:pPr>
        <w:rPr>
          <w:rFonts w:ascii="Trebuchet MS" w:hAnsi="Trebuchet MS" w:cs="Arial"/>
          <w:sz w:val="22"/>
          <w:szCs w:val="22"/>
          <w:lang w:val="ro-RO"/>
        </w:rPr>
      </w:pPr>
      <w:r w:rsidRPr="00DD46ED">
        <w:rPr>
          <w:rFonts w:ascii="Trebuchet MS" w:hAnsi="Trebuchet MS" w:cs="Arial"/>
          <w:sz w:val="22"/>
          <w:szCs w:val="22"/>
          <w:lang w:val="ro-RO"/>
        </w:rPr>
        <w:t xml:space="preserve">     Sursa: Administrația Parcul Natural Văcărești </w:t>
      </w:r>
    </w:p>
    <w:p w:rsidR="00871F9F" w:rsidRPr="00DD46ED" w:rsidRDefault="00871F9F" w:rsidP="00871F9F">
      <w:pPr>
        <w:jc w:val="center"/>
        <w:rPr>
          <w:rFonts w:ascii="Arial" w:hAnsi="Arial" w:cs="Arial"/>
          <w:b/>
          <w:sz w:val="22"/>
          <w:szCs w:val="22"/>
          <w:lang w:val="ro-RO"/>
        </w:rPr>
      </w:pPr>
    </w:p>
    <w:p w:rsidR="00A60EDC" w:rsidRPr="00DD46ED" w:rsidRDefault="00A60EDC">
      <w:pPr>
        <w:rPr>
          <w:rFonts w:ascii="Arial" w:hAnsi="Arial" w:cs="Arial"/>
          <w:sz w:val="22"/>
          <w:szCs w:val="22"/>
          <w:shd w:val="clear" w:color="auto" w:fill="FFFFFF"/>
        </w:rPr>
      </w:pPr>
      <w:r w:rsidRPr="00DD46ED">
        <w:rPr>
          <w:rFonts w:ascii="Arial" w:hAnsi="Arial" w:cs="Arial"/>
          <w:sz w:val="22"/>
          <w:szCs w:val="22"/>
          <w:shd w:val="clear" w:color="auto" w:fill="FFFFFF"/>
        </w:rPr>
        <w:br w:type="page"/>
      </w:r>
    </w:p>
    <w:p w:rsidR="00AE762B" w:rsidRPr="004F0887" w:rsidRDefault="00AE762B" w:rsidP="004F0887">
      <w:pPr>
        <w:jc w:val="center"/>
        <w:rPr>
          <w:rFonts w:ascii="Trebuchet MS" w:hAnsi="Trebuchet MS" w:cs="Arial"/>
          <w:b/>
          <w:sz w:val="32"/>
          <w:szCs w:val="32"/>
          <w:lang w:val="ro-RO"/>
        </w:rPr>
      </w:pPr>
      <w:r w:rsidRPr="004F0887">
        <w:rPr>
          <w:rFonts w:ascii="Trebuchet MS" w:hAnsi="Trebuchet MS" w:cs="Arial"/>
          <w:b/>
          <w:sz w:val="32"/>
          <w:szCs w:val="32"/>
          <w:lang w:val="ro-RO"/>
        </w:rPr>
        <w:t>Capitolul VI</w:t>
      </w:r>
    </w:p>
    <w:p w:rsidR="00AE762B" w:rsidRPr="004F0887" w:rsidRDefault="00AE762B" w:rsidP="004F0887">
      <w:pPr>
        <w:jc w:val="center"/>
        <w:rPr>
          <w:rFonts w:ascii="Trebuchet MS" w:hAnsi="Trebuchet MS" w:cs="Arial"/>
          <w:b/>
          <w:sz w:val="32"/>
          <w:szCs w:val="32"/>
          <w:lang w:val="it-IT"/>
        </w:rPr>
      </w:pPr>
      <w:r w:rsidRPr="004F0887">
        <w:rPr>
          <w:rFonts w:ascii="Trebuchet MS" w:hAnsi="Trebuchet MS" w:cs="Arial"/>
          <w:b/>
          <w:sz w:val="32"/>
          <w:szCs w:val="32"/>
          <w:lang w:val="it-IT"/>
        </w:rPr>
        <w:t>PĂDURILE</w:t>
      </w:r>
    </w:p>
    <w:p w:rsidR="00672663" w:rsidRPr="004F0887" w:rsidRDefault="00672663" w:rsidP="004F0887">
      <w:pPr>
        <w:rPr>
          <w:rFonts w:ascii="Trebuchet MS" w:hAnsi="Trebuchet MS" w:cs="Arial"/>
          <w:b/>
        </w:rPr>
      </w:pPr>
      <w:r w:rsidRPr="004F0887">
        <w:rPr>
          <w:rFonts w:ascii="Trebuchet MS" w:hAnsi="Trebuchet MS" w:cs="Arial"/>
          <w:b/>
        </w:rPr>
        <w:t>V.1 Fondul forestier naţional: stare şi consecinţe</w:t>
      </w:r>
    </w:p>
    <w:p w:rsidR="00672663" w:rsidRPr="004F0887" w:rsidRDefault="00672663" w:rsidP="004F0887">
      <w:pPr>
        <w:rPr>
          <w:rFonts w:ascii="Trebuchet MS" w:hAnsi="Trebuchet MS" w:cs="Arial"/>
          <w:i/>
          <w:lang w:val="ro-RO"/>
        </w:rPr>
      </w:pPr>
      <w:r w:rsidRPr="004F0887">
        <w:rPr>
          <w:rFonts w:ascii="Trebuchet MS" w:hAnsi="Trebuchet MS" w:cs="Arial"/>
          <w:b/>
        </w:rPr>
        <w:t xml:space="preserve">   </w:t>
      </w:r>
      <w:r w:rsidRPr="004F0887">
        <w:rPr>
          <w:rFonts w:ascii="Trebuchet MS" w:hAnsi="Trebuchet MS" w:cs="Arial"/>
          <w:i/>
          <w:lang w:val="ro-RO"/>
        </w:rPr>
        <w:t>VI.1.1 Evoluţia suprafeţei fondului forestier</w:t>
      </w:r>
    </w:p>
    <w:p w:rsidR="00672663" w:rsidRPr="004F0887" w:rsidRDefault="00672663" w:rsidP="004F0887">
      <w:pPr>
        <w:tabs>
          <w:tab w:val="left" w:pos="1276"/>
          <w:tab w:val="left" w:leader="dot" w:pos="9356"/>
        </w:tabs>
        <w:ind w:left="170"/>
        <w:rPr>
          <w:rFonts w:ascii="Trebuchet MS" w:hAnsi="Trebuchet MS" w:cs="Arial"/>
          <w:i/>
          <w:lang w:val="ro-RO"/>
        </w:rPr>
      </w:pPr>
      <w:r w:rsidRPr="004F0887">
        <w:rPr>
          <w:rFonts w:ascii="Trebuchet MS" w:hAnsi="Trebuchet MS" w:cs="Arial"/>
          <w:i/>
          <w:lang w:val="ro-RO"/>
        </w:rPr>
        <w:t xml:space="preserve"> </w:t>
      </w:r>
    </w:p>
    <w:p w:rsidR="00672663" w:rsidRPr="00DD46ED" w:rsidRDefault="00672663" w:rsidP="004F0887">
      <w:pPr>
        <w:pStyle w:val="NoSpacing"/>
        <w:tabs>
          <w:tab w:val="left" w:pos="720"/>
        </w:tabs>
        <w:ind w:firstLine="708"/>
        <w:jc w:val="both"/>
        <w:rPr>
          <w:rFonts w:ascii="Trebuchet MS" w:hAnsi="Trebuchet MS" w:cs="Arial"/>
        </w:rPr>
      </w:pPr>
      <w:r w:rsidRPr="00DD46ED">
        <w:rPr>
          <w:rFonts w:ascii="Trebuchet MS" w:hAnsi="Trebuchet MS" w:cs="Arial"/>
        </w:rPr>
        <w:t>La data de 31.12.2023 fondul forestier total de pe raza Municipiului Bucureşti este de  519 ha, din care: 352  ha  păduri proprietatea statului, aflate în administrarea Ocolului Silvic Bucureşti - 344 hectare pe raza sectorului 1 şi 8 hectare pe raza sectorului 2  şi  167 ha păduri proprietate particulară și alți administratori. Din totalul  celor  519 ha fond forestier, 509 ha sunt ocupate de pădure, 10 ha fiind terenuri destinate administraţiei silvice. Diferența de 113 ha proprietate privată a trecut în administrarea altor structuri silvice (ocoale silvice private).</w:t>
      </w:r>
    </w:p>
    <w:p w:rsidR="00672663" w:rsidRPr="00DD46ED" w:rsidRDefault="00672663" w:rsidP="004F0887">
      <w:pPr>
        <w:pStyle w:val="NoSpacing"/>
        <w:ind w:firstLine="708"/>
        <w:jc w:val="both"/>
        <w:rPr>
          <w:rFonts w:ascii="Trebuchet MS" w:hAnsi="Trebuchet MS" w:cs="Arial"/>
        </w:rPr>
      </w:pPr>
    </w:p>
    <w:p w:rsidR="00672663" w:rsidRPr="00DD46ED" w:rsidRDefault="00672663" w:rsidP="004F0887">
      <w:pPr>
        <w:ind w:left="360"/>
        <w:jc w:val="both"/>
        <w:rPr>
          <w:rFonts w:ascii="Trebuchet MS" w:hAnsi="Trebuchet MS" w:cs="Arial"/>
          <w:sz w:val="22"/>
          <w:szCs w:val="22"/>
        </w:rPr>
      </w:pPr>
      <w:r w:rsidRPr="00DD46ED">
        <w:rPr>
          <w:rFonts w:ascii="Trebuchet MS" w:hAnsi="Trebuchet MS" w:cs="Arial"/>
          <w:sz w:val="22"/>
          <w:szCs w:val="22"/>
        </w:rPr>
        <w:t xml:space="preserve">Tabel </w:t>
      </w:r>
      <w:r w:rsidRPr="00DD46ED">
        <w:rPr>
          <w:rFonts w:ascii="Trebuchet MS" w:hAnsi="Trebuchet MS" w:cs="Arial"/>
          <w:i/>
          <w:sz w:val="22"/>
          <w:szCs w:val="22"/>
          <w:lang w:val="ro-RO"/>
        </w:rPr>
        <w:t>VI.1.1</w:t>
      </w:r>
      <w:r w:rsidRPr="00DD46ED">
        <w:rPr>
          <w:rFonts w:ascii="Trebuchet MS" w:hAnsi="Trebuchet MS" w:cs="Arial"/>
          <w:sz w:val="22"/>
          <w:szCs w:val="22"/>
        </w:rPr>
        <w:t xml:space="preserve"> Evoluţia fondului forestier aflat în administrarea Direcției Silvice Ilfov, pe raza Municipiului </w:t>
      </w:r>
      <w:r w:rsidRPr="00DD46ED">
        <w:rPr>
          <w:rFonts w:ascii="Trebuchet MS" w:hAnsi="Trebuchet MS" w:cs="Arial"/>
          <w:sz w:val="22"/>
          <w:szCs w:val="22"/>
          <w:lang w:val="ro-RO"/>
        </w:rPr>
        <w:t>Bucureşti,</w:t>
      </w:r>
      <w:r w:rsidRPr="00DD46ED">
        <w:rPr>
          <w:rFonts w:ascii="Trebuchet MS" w:hAnsi="Trebuchet MS" w:cs="Arial"/>
          <w:sz w:val="22"/>
          <w:szCs w:val="22"/>
        </w:rPr>
        <w:t xml:space="preserve"> în perioada 2019 – 2023.</w:t>
      </w: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1320"/>
        <w:gridCol w:w="3664"/>
        <w:gridCol w:w="1530"/>
        <w:gridCol w:w="2520"/>
      </w:tblGrid>
      <w:tr w:rsidR="00672663" w:rsidRPr="00DD46ED" w:rsidTr="00C55BA9">
        <w:trPr>
          <w:trHeight w:val="390"/>
        </w:trPr>
        <w:tc>
          <w:tcPr>
            <w:tcW w:w="603" w:type="dxa"/>
            <w:vMerge w:val="restart"/>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Nr.</w:t>
            </w:r>
          </w:p>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Crt.</w:t>
            </w:r>
          </w:p>
        </w:tc>
        <w:tc>
          <w:tcPr>
            <w:tcW w:w="1320" w:type="dxa"/>
            <w:vMerge w:val="restart"/>
          </w:tcPr>
          <w:p w:rsidR="00672663" w:rsidRPr="00DD46ED" w:rsidRDefault="00672663" w:rsidP="004F0887">
            <w:pPr>
              <w:ind w:left="360" w:hanging="360"/>
              <w:jc w:val="center"/>
              <w:rPr>
                <w:rFonts w:ascii="Trebuchet MS" w:hAnsi="Trebuchet MS" w:cs="Arial"/>
                <w:sz w:val="22"/>
                <w:szCs w:val="22"/>
              </w:rPr>
            </w:pPr>
          </w:p>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Anul</w:t>
            </w:r>
          </w:p>
        </w:tc>
        <w:tc>
          <w:tcPr>
            <w:tcW w:w="3664" w:type="dxa"/>
            <w:vMerge w:val="restart"/>
          </w:tcPr>
          <w:p w:rsidR="00672663" w:rsidRPr="00DD46ED" w:rsidRDefault="00672663" w:rsidP="004F0887">
            <w:pPr>
              <w:jc w:val="center"/>
              <w:rPr>
                <w:rFonts w:ascii="Trebuchet MS" w:hAnsi="Trebuchet MS" w:cs="Arial"/>
                <w:sz w:val="22"/>
                <w:szCs w:val="22"/>
              </w:rPr>
            </w:pPr>
            <w:r w:rsidRPr="00DD46ED">
              <w:rPr>
                <w:rFonts w:ascii="Trebuchet MS" w:hAnsi="Trebuchet MS" w:cs="Arial"/>
                <w:sz w:val="22"/>
                <w:szCs w:val="22"/>
              </w:rPr>
              <w:t>Suprafaţa fondului forestier din raza de competenţă a D. S. Ilfov în raza Mun. Bucureşti Total (ha)</w:t>
            </w:r>
          </w:p>
        </w:tc>
        <w:tc>
          <w:tcPr>
            <w:tcW w:w="4050" w:type="dxa"/>
            <w:gridSpan w:val="2"/>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din care</w:t>
            </w:r>
          </w:p>
        </w:tc>
      </w:tr>
      <w:tr w:rsidR="00672663" w:rsidRPr="00DD46ED" w:rsidTr="00C55BA9">
        <w:trPr>
          <w:trHeight w:val="420"/>
        </w:trPr>
        <w:tc>
          <w:tcPr>
            <w:tcW w:w="603" w:type="dxa"/>
            <w:vMerge/>
          </w:tcPr>
          <w:p w:rsidR="00672663" w:rsidRPr="00DD46ED" w:rsidRDefault="00672663" w:rsidP="004F0887">
            <w:pPr>
              <w:ind w:left="360" w:hanging="360"/>
              <w:jc w:val="center"/>
              <w:rPr>
                <w:rFonts w:ascii="Trebuchet MS" w:hAnsi="Trebuchet MS" w:cs="Arial"/>
                <w:sz w:val="22"/>
                <w:szCs w:val="22"/>
              </w:rPr>
            </w:pPr>
          </w:p>
        </w:tc>
        <w:tc>
          <w:tcPr>
            <w:tcW w:w="1320" w:type="dxa"/>
            <w:vMerge/>
          </w:tcPr>
          <w:p w:rsidR="00672663" w:rsidRPr="00DD46ED" w:rsidRDefault="00672663" w:rsidP="004F0887">
            <w:pPr>
              <w:ind w:left="360" w:hanging="360"/>
              <w:jc w:val="center"/>
              <w:rPr>
                <w:rFonts w:ascii="Trebuchet MS" w:hAnsi="Trebuchet MS" w:cs="Arial"/>
                <w:sz w:val="22"/>
                <w:szCs w:val="22"/>
              </w:rPr>
            </w:pPr>
          </w:p>
        </w:tc>
        <w:tc>
          <w:tcPr>
            <w:tcW w:w="3664" w:type="dxa"/>
            <w:vMerge/>
          </w:tcPr>
          <w:p w:rsidR="00672663" w:rsidRPr="00DD46ED" w:rsidRDefault="00672663" w:rsidP="004F0887">
            <w:pPr>
              <w:ind w:left="360" w:hanging="360"/>
              <w:jc w:val="center"/>
              <w:rPr>
                <w:rFonts w:ascii="Trebuchet MS" w:hAnsi="Trebuchet MS" w:cs="Arial"/>
                <w:sz w:val="22"/>
                <w:szCs w:val="22"/>
              </w:rPr>
            </w:pPr>
          </w:p>
        </w:tc>
        <w:tc>
          <w:tcPr>
            <w:tcW w:w="1530"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Proprietatea</w:t>
            </w:r>
          </w:p>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statului (ha)</w:t>
            </w:r>
          </w:p>
        </w:tc>
        <w:tc>
          <w:tcPr>
            <w:tcW w:w="2520"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Proprietate</w:t>
            </w:r>
          </w:p>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particulară  și alți administratori (ha)</w:t>
            </w:r>
          </w:p>
        </w:tc>
      </w:tr>
      <w:tr w:rsidR="00672663" w:rsidRPr="00DD46ED" w:rsidTr="00C55BA9">
        <w:tc>
          <w:tcPr>
            <w:tcW w:w="603"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1</w:t>
            </w:r>
          </w:p>
        </w:tc>
        <w:tc>
          <w:tcPr>
            <w:tcW w:w="13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2019</w:t>
            </w:r>
          </w:p>
        </w:tc>
        <w:tc>
          <w:tcPr>
            <w:tcW w:w="3664"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53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374</w:t>
            </w:r>
          </w:p>
        </w:tc>
        <w:tc>
          <w:tcPr>
            <w:tcW w:w="25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259</w:t>
            </w:r>
          </w:p>
        </w:tc>
      </w:tr>
      <w:tr w:rsidR="00672663" w:rsidRPr="00DD46ED" w:rsidTr="00C55BA9">
        <w:tc>
          <w:tcPr>
            <w:tcW w:w="603"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2</w:t>
            </w:r>
          </w:p>
        </w:tc>
        <w:tc>
          <w:tcPr>
            <w:tcW w:w="13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2020</w:t>
            </w:r>
          </w:p>
        </w:tc>
        <w:tc>
          <w:tcPr>
            <w:tcW w:w="3664"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53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353</w:t>
            </w:r>
          </w:p>
        </w:tc>
        <w:tc>
          <w:tcPr>
            <w:tcW w:w="25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280</w:t>
            </w:r>
          </w:p>
        </w:tc>
      </w:tr>
      <w:tr w:rsidR="00672663" w:rsidRPr="00DD46ED" w:rsidTr="00C55BA9">
        <w:tc>
          <w:tcPr>
            <w:tcW w:w="603"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3</w:t>
            </w:r>
          </w:p>
        </w:tc>
        <w:tc>
          <w:tcPr>
            <w:tcW w:w="13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2021</w:t>
            </w:r>
          </w:p>
        </w:tc>
        <w:tc>
          <w:tcPr>
            <w:tcW w:w="3664"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53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353</w:t>
            </w:r>
          </w:p>
        </w:tc>
        <w:tc>
          <w:tcPr>
            <w:tcW w:w="25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280</w:t>
            </w:r>
          </w:p>
        </w:tc>
      </w:tr>
      <w:tr w:rsidR="00672663" w:rsidRPr="00DD46ED" w:rsidTr="00C55BA9">
        <w:tc>
          <w:tcPr>
            <w:tcW w:w="603"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4</w:t>
            </w:r>
          </w:p>
        </w:tc>
        <w:tc>
          <w:tcPr>
            <w:tcW w:w="13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2022</w:t>
            </w:r>
          </w:p>
        </w:tc>
        <w:tc>
          <w:tcPr>
            <w:tcW w:w="3664"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633</w:t>
            </w:r>
          </w:p>
        </w:tc>
        <w:tc>
          <w:tcPr>
            <w:tcW w:w="153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353</w:t>
            </w:r>
          </w:p>
        </w:tc>
        <w:tc>
          <w:tcPr>
            <w:tcW w:w="25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280</w:t>
            </w:r>
          </w:p>
        </w:tc>
      </w:tr>
      <w:tr w:rsidR="00672663" w:rsidRPr="00DD46ED" w:rsidTr="00C55BA9">
        <w:trPr>
          <w:trHeight w:val="70"/>
        </w:trPr>
        <w:tc>
          <w:tcPr>
            <w:tcW w:w="603"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5</w:t>
            </w:r>
          </w:p>
        </w:tc>
        <w:tc>
          <w:tcPr>
            <w:tcW w:w="13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2023</w:t>
            </w:r>
          </w:p>
        </w:tc>
        <w:tc>
          <w:tcPr>
            <w:tcW w:w="3664" w:type="dxa"/>
          </w:tcPr>
          <w:p w:rsidR="00672663" w:rsidRPr="00DD46ED" w:rsidRDefault="00672663" w:rsidP="004F0887">
            <w:pPr>
              <w:ind w:left="360" w:hanging="360"/>
              <w:jc w:val="center"/>
              <w:rPr>
                <w:rFonts w:ascii="Trebuchet MS" w:hAnsi="Trebuchet MS" w:cs="Arial"/>
                <w:sz w:val="22"/>
                <w:szCs w:val="22"/>
              </w:rPr>
            </w:pPr>
            <w:r w:rsidRPr="00DD46ED">
              <w:rPr>
                <w:rFonts w:ascii="Trebuchet MS" w:hAnsi="Trebuchet MS" w:cs="Arial"/>
                <w:sz w:val="22"/>
                <w:szCs w:val="22"/>
              </w:rPr>
              <w:t>519</w:t>
            </w:r>
          </w:p>
        </w:tc>
        <w:tc>
          <w:tcPr>
            <w:tcW w:w="153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352</w:t>
            </w:r>
          </w:p>
        </w:tc>
        <w:tc>
          <w:tcPr>
            <w:tcW w:w="2520" w:type="dxa"/>
          </w:tcPr>
          <w:p w:rsidR="00672663" w:rsidRPr="00DD46ED" w:rsidRDefault="00672663" w:rsidP="004F0887">
            <w:pPr>
              <w:rPr>
                <w:rFonts w:ascii="Trebuchet MS" w:hAnsi="Trebuchet MS" w:cs="Arial"/>
                <w:sz w:val="22"/>
                <w:szCs w:val="22"/>
              </w:rPr>
            </w:pPr>
            <w:r w:rsidRPr="00DD46ED">
              <w:rPr>
                <w:rFonts w:ascii="Trebuchet MS" w:hAnsi="Trebuchet MS" w:cs="Arial"/>
                <w:sz w:val="22"/>
                <w:szCs w:val="22"/>
              </w:rPr>
              <w:t>167</w:t>
            </w:r>
          </w:p>
        </w:tc>
      </w:tr>
    </w:tbl>
    <w:p w:rsidR="00672663" w:rsidRPr="00DD46ED" w:rsidRDefault="00672663" w:rsidP="004F0887">
      <w:pPr>
        <w:tabs>
          <w:tab w:val="left" w:pos="1276"/>
          <w:tab w:val="left" w:leader="dot" w:pos="9356"/>
        </w:tabs>
        <w:ind w:left="170"/>
        <w:jc w:val="both"/>
        <w:rPr>
          <w:rFonts w:ascii="Trebuchet MS" w:hAnsi="Trebuchet MS" w:cs="Arial"/>
          <w:sz w:val="22"/>
          <w:szCs w:val="22"/>
          <w:lang w:val="ro-RO"/>
        </w:rPr>
      </w:pPr>
      <w:r w:rsidRPr="00DD46ED">
        <w:rPr>
          <w:rFonts w:ascii="Trebuchet MS" w:hAnsi="Trebuchet MS" w:cs="Arial"/>
          <w:sz w:val="22"/>
          <w:szCs w:val="22"/>
        </w:rPr>
        <w:t xml:space="preserve">    Sursa: Direcţia Silvică Ilfov</w:t>
      </w:r>
    </w:p>
    <w:p w:rsidR="00672663" w:rsidRPr="00DD46ED" w:rsidRDefault="00672663" w:rsidP="004F0887">
      <w:pPr>
        <w:ind w:left="360"/>
        <w:jc w:val="both"/>
        <w:rPr>
          <w:rFonts w:ascii="Trebuchet MS" w:hAnsi="Trebuchet MS" w:cs="Arial"/>
          <w:sz w:val="22"/>
          <w:szCs w:val="22"/>
        </w:rPr>
      </w:pPr>
    </w:p>
    <w:p w:rsidR="00672663" w:rsidRPr="00DD46ED" w:rsidRDefault="00672663" w:rsidP="004F0887">
      <w:pPr>
        <w:ind w:left="360"/>
        <w:jc w:val="both"/>
        <w:rPr>
          <w:rFonts w:ascii="Trebuchet MS" w:hAnsi="Trebuchet MS" w:cs="Arial"/>
          <w:i/>
          <w:sz w:val="22"/>
          <w:szCs w:val="22"/>
          <w:lang w:val="ro-RO"/>
        </w:rPr>
      </w:pPr>
      <w:r w:rsidRPr="00DD46ED">
        <w:rPr>
          <w:rFonts w:ascii="Trebuchet MS" w:hAnsi="Trebuchet MS" w:cs="Arial"/>
          <w:sz w:val="22"/>
          <w:szCs w:val="22"/>
        </w:rPr>
        <w:t xml:space="preserve">Grafic </w:t>
      </w:r>
      <w:r w:rsidRPr="00DD46ED">
        <w:rPr>
          <w:rFonts w:ascii="Trebuchet MS" w:hAnsi="Trebuchet MS" w:cs="Arial"/>
          <w:i/>
          <w:sz w:val="22"/>
          <w:szCs w:val="22"/>
          <w:lang w:val="ro-RO"/>
        </w:rPr>
        <w:t>VI.1.1</w:t>
      </w:r>
      <w:r w:rsidRPr="00DD46ED">
        <w:rPr>
          <w:rFonts w:ascii="Trebuchet MS" w:hAnsi="Trebuchet MS" w:cs="Arial"/>
          <w:sz w:val="22"/>
          <w:szCs w:val="22"/>
        </w:rPr>
        <w:t xml:space="preserve"> Evoluţia fondului forestier aflat </w:t>
      </w:r>
      <w:r w:rsidRPr="00DD46ED">
        <w:rPr>
          <w:rFonts w:ascii="Trebuchet MS" w:hAnsi="Trebuchet MS" w:cs="Arial"/>
          <w:sz w:val="22"/>
          <w:szCs w:val="22"/>
          <w:lang w:val="ro-RO"/>
        </w:rPr>
        <w:t xml:space="preserve">în administrarea Direcției Silvice Ilfov, </w:t>
      </w:r>
      <w:r w:rsidRPr="00DD46ED">
        <w:rPr>
          <w:rFonts w:ascii="Trebuchet MS" w:hAnsi="Trebuchet MS" w:cs="Arial"/>
          <w:sz w:val="22"/>
          <w:szCs w:val="22"/>
        </w:rPr>
        <w:t xml:space="preserve">pe raza Municipiului  </w:t>
      </w:r>
      <w:r w:rsidRPr="00DD46ED">
        <w:rPr>
          <w:rFonts w:ascii="Trebuchet MS" w:hAnsi="Trebuchet MS" w:cs="Arial"/>
          <w:sz w:val="22"/>
          <w:szCs w:val="22"/>
          <w:lang w:val="ro-RO"/>
        </w:rPr>
        <w:t>Bucureşti,</w:t>
      </w:r>
      <w:r w:rsidRPr="00DD46ED">
        <w:rPr>
          <w:rFonts w:ascii="Trebuchet MS" w:hAnsi="Trebuchet MS" w:cs="Arial"/>
          <w:sz w:val="22"/>
          <w:szCs w:val="22"/>
        </w:rPr>
        <w:t xml:space="preserve"> în perioada 2019 – 2023.</w:t>
      </w:r>
    </w:p>
    <w:p w:rsidR="00672663" w:rsidRPr="00947524" w:rsidRDefault="00672663" w:rsidP="00672663">
      <w:pPr>
        <w:tabs>
          <w:tab w:val="left" w:pos="270"/>
          <w:tab w:val="left" w:pos="765"/>
        </w:tabs>
        <w:ind w:left="170"/>
        <w:rPr>
          <w:rFonts w:ascii="Arial" w:hAnsi="Arial" w:cs="Arial"/>
          <w:i/>
          <w:lang w:val="ro-RO"/>
        </w:rPr>
      </w:pPr>
      <w:r w:rsidRPr="00947524">
        <w:rPr>
          <w:rFonts w:ascii="Arial" w:hAnsi="Arial" w:cs="Arial"/>
          <w:noProof/>
          <w:lang w:val="en-US"/>
        </w:rPr>
        <w:drawing>
          <wp:anchor distT="0" distB="762" distL="114300" distR="114300" simplePos="0" relativeHeight="251703808" behindDoc="1" locked="0" layoutInCell="1" allowOverlap="1" wp14:anchorId="5AFB78CA" wp14:editId="7C55D0D8">
            <wp:simplePos x="0" y="0"/>
            <wp:positionH relativeFrom="column">
              <wp:posOffset>646430</wp:posOffset>
            </wp:positionH>
            <wp:positionV relativeFrom="paragraph">
              <wp:posOffset>110490</wp:posOffset>
            </wp:positionV>
            <wp:extent cx="4914900" cy="3495040"/>
            <wp:effectExtent l="0" t="0" r="0" b="10160"/>
            <wp:wrapTight wrapText="bothSides">
              <wp:wrapPolygon edited="0">
                <wp:start x="0" y="0"/>
                <wp:lineTo x="0" y="21545"/>
                <wp:lineTo x="21516" y="21545"/>
                <wp:lineTo x="21516" y="0"/>
                <wp:lineTo x="0" y="0"/>
              </wp:wrapPolygon>
            </wp:wrapTight>
            <wp:docPr id="413" name="Object 4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r>
        <w:rPr>
          <w:rFonts w:ascii="Arial" w:hAnsi="Arial" w:cs="Arial"/>
          <w:i/>
          <w:lang w:val="ro-RO"/>
        </w:rPr>
        <w:tab/>
      </w:r>
      <w:r>
        <w:rPr>
          <w:rFonts w:ascii="Arial" w:hAnsi="Arial" w:cs="Arial"/>
          <w:i/>
          <w:lang w:val="ro-RO"/>
        </w:rPr>
        <w:tab/>
      </w: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DD46ED" w:rsidRDefault="00672663" w:rsidP="00672663">
      <w:pPr>
        <w:tabs>
          <w:tab w:val="left" w:pos="270"/>
          <w:tab w:val="left" w:pos="360"/>
          <w:tab w:val="left" w:pos="1276"/>
          <w:tab w:val="left" w:leader="dot" w:pos="9356"/>
        </w:tabs>
        <w:ind w:left="170"/>
        <w:rPr>
          <w:rFonts w:ascii="Arial" w:hAnsi="Arial" w:cs="Arial"/>
          <w:i/>
          <w:lang w:val="ro-RO"/>
        </w:rPr>
      </w:pPr>
      <w:r w:rsidRPr="00947524">
        <w:rPr>
          <w:rFonts w:ascii="Arial" w:hAnsi="Arial" w:cs="Arial"/>
          <w:i/>
          <w:lang w:val="ro-RO"/>
        </w:rPr>
        <w:t xml:space="preserve"> </w:t>
      </w:r>
    </w:p>
    <w:p w:rsidR="00672663" w:rsidRPr="00DD46ED" w:rsidRDefault="00672663" w:rsidP="00672663">
      <w:pPr>
        <w:tabs>
          <w:tab w:val="left" w:pos="270"/>
          <w:tab w:val="left" w:pos="360"/>
          <w:tab w:val="left" w:pos="1276"/>
          <w:tab w:val="left" w:leader="dot" w:pos="9356"/>
        </w:tabs>
        <w:ind w:left="170"/>
        <w:rPr>
          <w:rFonts w:ascii="Trebuchet MS" w:hAnsi="Trebuchet MS" w:cs="Arial"/>
          <w:i/>
          <w:lang w:val="ro-RO"/>
        </w:rPr>
      </w:pPr>
      <w:r w:rsidRPr="00DD46ED">
        <w:rPr>
          <w:rFonts w:ascii="Trebuchet MS" w:hAnsi="Trebuchet MS" w:cs="Arial"/>
          <w:i/>
          <w:lang w:val="ro-RO"/>
        </w:rPr>
        <w:t xml:space="preserve">VI.1.2 Distribuţia pădurilor după principalele forme de relief </w:t>
      </w:r>
    </w:p>
    <w:p w:rsidR="00672663" w:rsidRPr="00DD46ED" w:rsidRDefault="00672663" w:rsidP="00672663">
      <w:pPr>
        <w:tabs>
          <w:tab w:val="left" w:pos="1276"/>
          <w:tab w:val="left" w:leader="dot" w:pos="9356"/>
        </w:tabs>
        <w:ind w:left="170"/>
        <w:rPr>
          <w:rFonts w:ascii="Trebuchet MS" w:hAnsi="Trebuchet MS" w:cs="Arial"/>
          <w:i/>
          <w:lang w:val="ro-RO"/>
        </w:rPr>
      </w:pPr>
      <w:r w:rsidRPr="00DD46ED">
        <w:rPr>
          <w:rFonts w:ascii="Trebuchet MS" w:hAnsi="Trebuchet MS" w:cs="Arial"/>
          <w:i/>
          <w:lang w:val="ro-RO"/>
        </w:rPr>
        <w:t xml:space="preserve"> </w:t>
      </w:r>
    </w:p>
    <w:p w:rsidR="00672663" w:rsidRPr="00DD46ED" w:rsidRDefault="00672663" w:rsidP="00672663">
      <w:pPr>
        <w:tabs>
          <w:tab w:val="left" w:pos="720"/>
          <w:tab w:val="left" w:pos="810"/>
          <w:tab w:val="left" w:pos="1276"/>
          <w:tab w:val="left" w:leader="dot" w:pos="9356"/>
        </w:tabs>
        <w:ind w:left="170"/>
        <w:jc w:val="both"/>
        <w:rPr>
          <w:rFonts w:ascii="Trebuchet MS" w:hAnsi="Trebuchet MS" w:cs="Arial"/>
          <w:i/>
          <w:sz w:val="22"/>
          <w:szCs w:val="22"/>
          <w:lang w:val="ro-RO"/>
        </w:rPr>
      </w:pPr>
      <w:r w:rsidRPr="00DD46ED">
        <w:rPr>
          <w:rFonts w:ascii="Trebuchet MS" w:hAnsi="Trebuchet MS" w:cs="Arial"/>
          <w:i/>
          <w:sz w:val="22"/>
          <w:szCs w:val="22"/>
          <w:lang w:val="ro-RO"/>
        </w:rPr>
        <w:t xml:space="preserve">        </w:t>
      </w:r>
      <w:r w:rsidRPr="00DD46ED">
        <w:rPr>
          <w:rFonts w:ascii="Trebuchet MS" w:hAnsi="Trebuchet MS" w:cs="Arial"/>
          <w:sz w:val="22"/>
          <w:szCs w:val="22"/>
        </w:rPr>
        <w:t>Pădurile aflate in administrarea Direcţiei Silvice Ilfov sunt situate în zona de câmpie forestieră, principala formă de relief întâlnită fiind cea de câmpie plană şi în mică măsură, în luncile interioare ale râurilor (Argeş, Ialomiţa). Altitudinea medie la care sunt amplasate pădurile administrate de Direcţia Silvică Ilfov este de 80 m.</w:t>
      </w:r>
    </w:p>
    <w:p w:rsidR="00672663" w:rsidRPr="00DD46ED" w:rsidRDefault="00672663" w:rsidP="00672663">
      <w:pPr>
        <w:ind w:left="360"/>
        <w:jc w:val="both"/>
        <w:rPr>
          <w:rFonts w:ascii="Trebuchet MS" w:hAnsi="Trebuchet MS" w:cs="Arial"/>
          <w:sz w:val="22"/>
          <w:szCs w:val="22"/>
        </w:rPr>
      </w:pPr>
    </w:p>
    <w:p w:rsidR="00672663" w:rsidRPr="00DD46ED" w:rsidRDefault="00672663" w:rsidP="00672663">
      <w:pPr>
        <w:jc w:val="both"/>
        <w:rPr>
          <w:rFonts w:ascii="Trebuchet MS" w:hAnsi="Trebuchet MS" w:cs="Arial"/>
          <w:sz w:val="22"/>
          <w:szCs w:val="22"/>
        </w:rPr>
      </w:pPr>
      <w:r w:rsidRPr="00DD46ED">
        <w:rPr>
          <w:rFonts w:ascii="Trebuchet MS" w:hAnsi="Trebuchet MS" w:cs="Arial"/>
          <w:sz w:val="22"/>
          <w:szCs w:val="22"/>
        </w:rPr>
        <w:t xml:space="preserve">   Tabel </w:t>
      </w:r>
      <w:r w:rsidRPr="00DD46ED">
        <w:rPr>
          <w:rFonts w:ascii="Trebuchet MS" w:hAnsi="Trebuchet MS" w:cs="Arial"/>
          <w:i/>
          <w:sz w:val="22"/>
          <w:szCs w:val="22"/>
          <w:lang w:val="ro-RO"/>
        </w:rPr>
        <w:t xml:space="preserve">VI.1.2 </w:t>
      </w:r>
      <w:r w:rsidRPr="00DD46ED">
        <w:rPr>
          <w:rFonts w:ascii="Trebuchet MS" w:hAnsi="Trebuchet MS" w:cs="Arial"/>
          <w:sz w:val="22"/>
          <w:szCs w:val="22"/>
        </w:rPr>
        <w:t xml:space="preserve"> Ponderea compoziţiei fondului forestier în raza Mun. Bucureşti</w:t>
      </w:r>
    </w:p>
    <w:p w:rsidR="00672663" w:rsidRPr="00DD46ED" w:rsidRDefault="00672663" w:rsidP="00672663">
      <w:pPr>
        <w:tabs>
          <w:tab w:val="left" w:pos="1276"/>
          <w:tab w:val="left" w:leader="dot" w:pos="9356"/>
        </w:tabs>
        <w:ind w:left="170"/>
        <w:rPr>
          <w:rFonts w:ascii="Trebuchet MS" w:hAnsi="Trebuchet MS" w:cs="Arial"/>
          <w:sz w:val="22"/>
          <w:szCs w:val="22"/>
          <w:lang w:val="ro-RO"/>
        </w:rPr>
      </w:pPr>
    </w:p>
    <w:tbl>
      <w:tblPr>
        <w:tblW w:w="7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7"/>
        <w:gridCol w:w="1486"/>
        <w:gridCol w:w="1080"/>
        <w:gridCol w:w="2671"/>
      </w:tblGrid>
      <w:tr w:rsidR="00672663" w:rsidRPr="00DD46ED" w:rsidTr="00C55BA9">
        <w:trPr>
          <w:trHeight w:val="450"/>
          <w:jc w:val="center"/>
        </w:trPr>
        <w:tc>
          <w:tcPr>
            <w:tcW w:w="1907" w:type="dxa"/>
            <w:vMerge w:val="restart"/>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Nr.</w:t>
            </w:r>
          </w:p>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crt.</w:t>
            </w:r>
          </w:p>
        </w:tc>
        <w:tc>
          <w:tcPr>
            <w:tcW w:w="5237" w:type="dxa"/>
            <w:gridSpan w:val="3"/>
            <w:vMerge w:val="restart"/>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Suprafaţa fondului forestier din raza de competenţă a D. S. Ilfov în raza Mun. Bucureşti Total (ha)</w:t>
            </w:r>
          </w:p>
        </w:tc>
      </w:tr>
      <w:tr w:rsidR="00672663" w:rsidRPr="00DD46ED" w:rsidTr="00C55BA9">
        <w:trPr>
          <w:trHeight w:val="279"/>
          <w:jc w:val="center"/>
        </w:trPr>
        <w:tc>
          <w:tcPr>
            <w:tcW w:w="1907" w:type="dxa"/>
            <w:vMerge/>
          </w:tcPr>
          <w:p w:rsidR="00672663" w:rsidRPr="00DD46ED" w:rsidRDefault="00672663" w:rsidP="00C55BA9">
            <w:pPr>
              <w:jc w:val="center"/>
              <w:rPr>
                <w:rFonts w:ascii="Trebuchet MS" w:hAnsi="Trebuchet MS" w:cs="Arial"/>
                <w:sz w:val="22"/>
                <w:szCs w:val="22"/>
              </w:rPr>
            </w:pPr>
          </w:p>
        </w:tc>
        <w:tc>
          <w:tcPr>
            <w:tcW w:w="5237" w:type="dxa"/>
            <w:gridSpan w:val="3"/>
            <w:vMerge/>
          </w:tcPr>
          <w:p w:rsidR="00672663" w:rsidRPr="00DD46ED" w:rsidRDefault="00672663" w:rsidP="00C55BA9">
            <w:pPr>
              <w:jc w:val="center"/>
              <w:rPr>
                <w:rFonts w:ascii="Trebuchet MS" w:hAnsi="Trebuchet MS" w:cs="Arial"/>
                <w:sz w:val="22"/>
                <w:szCs w:val="22"/>
              </w:rPr>
            </w:pPr>
          </w:p>
        </w:tc>
      </w:tr>
      <w:tr w:rsidR="00672663" w:rsidRPr="00DD46ED" w:rsidTr="00C55BA9">
        <w:trPr>
          <w:trHeight w:val="279"/>
          <w:jc w:val="center"/>
        </w:trPr>
        <w:tc>
          <w:tcPr>
            <w:tcW w:w="1907" w:type="dxa"/>
            <w:vMerge/>
          </w:tcPr>
          <w:p w:rsidR="00672663" w:rsidRPr="00DD46ED" w:rsidRDefault="00672663" w:rsidP="00C55BA9">
            <w:pPr>
              <w:jc w:val="center"/>
              <w:rPr>
                <w:rFonts w:ascii="Trebuchet MS" w:hAnsi="Trebuchet MS" w:cs="Arial"/>
                <w:sz w:val="22"/>
                <w:szCs w:val="22"/>
              </w:rPr>
            </w:pPr>
          </w:p>
        </w:tc>
        <w:tc>
          <w:tcPr>
            <w:tcW w:w="5237" w:type="dxa"/>
            <w:gridSpan w:val="3"/>
            <w:vMerge/>
          </w:tcPr>
          <w:p w:rsidR="00672663" w:rsidRPr="00DD46ED" w:rsidRDefault="00672663" w:rsidP="00C55BA9">
            <w:pPr>
              <w:jc w:val="center"/>
              <w:rPr>
                <w:rFonts w:ascii="Trebuchet MS" w:hAnsi="Trebuchet MS" w:cs="Arial"/>
                <w:sz w:val="22"/>
                <w:szCs w:val="22"/>
              </w:rPr>
            </w:pPr>
          </w:p>
        </w:tc>
      </w:tr>
      <w:tr w:rsidR="00672663" w:rsidRPr="00DD46ED" w:rsidTr="00C55BA9">
        <w:trPr>
          <w:jc w:val="center"/>
        </w:trPr>
        <w:tc>
          <w:tcPr>
            <w:tcW w:w="1907"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1</w:t>
            </w:r>
          </w:p>
        </w:tc>
        <w:tc>
          <w:tcPr>
            <w:tcW w:w="5237" w:type="dxa"/>
            <w:gridSpan w:val="3"/>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519</w:t>
            </w:r>
          </w:p>
        </w:tc>
      </w:tr>
      <w:tr w:rsidR="00672663" w:rsidRPr="00DD46ED" w:rsidTr="00C55BA9">
        <w:tblPrEx>
          <w:tblLook w:val="0000" w:firstRow="0" w:lastRow="0" w:firstColumn="0" w:lastColumn="0" w:noHBand="0" w:noVBand="0"/>
        </w:tblPrEx>
        <w:trPr>
          <w:trHeight w:val="120"/>
          <w:jc w:val="center"/>
        </w:trPr>
        <w:tc>
          <w:tcPr>
            <w:tcW w:w="1907" w:type="dxa"/>
            <w:vMerge w:val="restart"/>
          </w:tcPr>
          <w:p w:rsidR="00672663" w:rsidRPr="00DD46ED" w:rsidRDefault="00672663" w:rsidP="00C55BA9">
            <w:pPr>
              <w:jc w:val="center"/>
              <w:rPr>
                <w:rFonts w:ascii="Trebuchet MS" w:hAnsi="Trebuchet MS" w:cs="Arial"/>
                <w:sz w:val="22"/>
                <w:szCs w:val="22"/>
              </w:rPr>
            </w:pPr>
          </w:p>
        </w:tc>
        <w:tc>
          <w:tcPr>
            <w:tcW w:w="1486"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Răşini</w:t>
            </w:r>
          </w:p>
        </w:tc>
        <w:tc>
          <w:tcPr>
            <w:tcW w:w="1080"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Foioase</w:t>
            </w:r>
          </w:p>
        </w:tc>
        <w:tc>
          <w:tcPr>
            <w:tcW w:w="2671"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Alte terenuri</w:t>
            </w:r>
          </w:p>
        </w:tc>
      </w:tr>
      <w:tr w:rsidR="00672663" w:rsidRPr="00DD46ED" w:rsidTr="00C55BA9">
        <w:tblPrEx>
          <w:tblLook w:val="0000" w:firstRow="0" w:lastRow="0" w:firstColumn="0" w:lastColumn="0" w:noHBand="0" w:noVBand="0"/>
        </w:tblPrEx>
        <w:trPr>
          <w:trHeight w:val="195"/>
          <w:jc w:val="center"/>
        </w:trPr>
        <w:tc>
          <w:tcPr>
            <w:tcW w:w="1907" w:type="dxa"/>
            <w:vMerge/>
          </w:tcPr>
          <w:p w:rsidR="00672663" w:rsidRPr="00DD46ED" w:rsidRDefault="00672663" w:rsidP="00C55BA9">
            <w:pPr>
              <w:jc w:val="center"/>
              <w:rPr>
                <w:rFonts w:ascii="Trebuchet MS" w:hAnsi="Trebuchet MS" w:cs="Arial"/>
                <w:sz w:val="22"/>
                <w:szCs w:val="22"/>
              </w:rPr>
            </w:pPr>
          </w:p>
        </w:tc>
        <w:tc>
          <w:tcPr>
            <w:tcW w:w="1486"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2</w:t>
            </w:r>
          </w:p>
        </w:tc>
        <w:tc>
          <w:tcPr>
            <w:tcW w:w="1080"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507</w:t>
            </w:r>
          </w:p>
        </w:tc>
        <w:tc>
          <w:tcPr>
            <w:tcW w:w="2671" w:type="dxa"/>
          </w:tcPr>
          <w:p w:rsidR="00672663" w:rsidRPr="00DD46ED" w:rsidRDefault="00672663" w:rsidP="00C55BA9">
            <w:pPr>
              <w:jc w:val="center"/>
              <w:rPr>
                <w:rFonts w:ascii="Trebuchet MS" w:hAnsi="Trebuchet MS" w:cs="Arial"/>
                <w:sz w:val="22"/>
                <w:szCs w:val="22"/>
              </w:rPr>
            </w:pPr>
            <w:r w:rsidRPr="00DD46ED">
              <w:rPr>
                <w:rFonts w:ascii="Trebuchet MS" w:hAnsi="Trebuchet MS" w:cs="Arial"/>
                <w:sz w:val="22"/>
                <w:szCs w:val="22"/>
              </w:rPr>
              <w:t>10</w:t>
            </w:r>
          </w:p>
        </w:tc>
      </w:tr>
    </w:tbl>
    <w:p w:rsidR="00672663" w:rsidRPr="00DD46ED" w:rsidRDefault="00672663" w:rsidP="00672663">
      <w:pPr>
        <w:tabs>
          <w:tab w:val="left" w:pos="1276"/>
          <w:tab w:val="left" w:leader="dot" w:pos="9356"/>
        </w:tabs>
        <w:ind w:left="170"/>
        <w:jc w:val="both"/>
        <w:rPr>
          <w:rFonts w:ascii="Trebuchet MS" w:hAnsi="Trebuchet MS" w:cs="Arial"/>
          <w:sz w:val="22"/>
          <w:szCs w:val="22"/>
          <w:lang w:val="ro-RO"/>
        </w:rPr>
      </w:pPr>
      <w:r w:rsidRPr="00DD46ED">
        <w:rPr>
          <w:rFonts w:ascii="Trebuchet MS" w:hAnsi="Trebuchet MS" w:cs="Arial"/>
          <w:sz w:val="22"/>
          <w:szCs w:val="22"/>
        </w:rPr>
        <w:t xml:space="preserve">                       Sursa: Direcţia Silvică Ilfov</w:t>
      </w:r>
    </w:p>
    <w:p w:rsidR="00672663" w:rsidRPr="00DD46ED" w:rsidRDefault="00672663" w:rsidP="00672663">
      <w:pPr>
        <w:tabs>
          <w:tab w:val="left" w:pos="1276"/>
          <w:tab w:val="left" w:leader="dot" w:pos="9356"/>
        </w:tabs>
        <w:ind w:left="170"/>
        <w:rPr>
          <w:rFonts w:ascii="Trebuchet MS" w:hAnsi="Trebuchet MS" w:cs="Arial"/>
          <w:sz w:val="22"/>
          <w:szCs w:val="22"/>
          <w:lang w:val="ro-RO"/>
        </w:rPr>
      </w:pPr>
    </w:p>
    <w:p w:rsidR="00672663" w:rsidRPr="00DD46ED" w:rsidRDefault="00672663" w:rsidP="00672663">
      <w:pPr>
        <w:tabs>
          <w:tab w:val="left" w:pos="270"/>
        </w:tabs>
        <w:jc w:val="both"/>
        <w:rPr>
          <w:rFonts w:ascii="Trebuchet MS" w:hAnsi="Trebuchet MS" w:cs="Arial"/>
          <w:sz w:val="22"/>
          <w:szCs w:val="22"/>
        </w:rPr>
      </w:pPr>
      <w:r w:rsidRPr="00DD46ED">
        <w:rPr>
          <w:rFonts w:ascii="Trebuchet MS" w:hAnsi="Trebuchet MS" w:cs="Arial"/>
          <w:sz w:val="22"/>
          <w:szCs w:val="22"/>
        </w:rPr>
        <w:t xml:space="preserve">    Grafic </w:t>
      </w:r>
      <w:r w:rsidRPr="00DD46ED">
        <w:rPr>
          <w:rFonts w:ascii="Trebuchet MS" w:hAnsi="Trebuchet MS" w:cs="Arial"/>
          <w:i/>
          <w:sz w:val="22"/>
          <w:szCs w:val="22"/>
          <w:lang w:val="ro-RO"/>
        </w:rPr>
        <w:t xml:space="preserve">VI.1.2 </w:t>
      </w:r>
      <w:r w:rsidRPr="00DD46ED">
        <w:rPr>
          <w:rFonts w:ascii="Trebuchet MS" w:hAnsi="Trebuchet MS" w:cs="Arial"/>
          <w:sz w:val="22"/>
          <w:szCs w:val="22"/>
        </w:rPr>
        <w:t xml:space="preserve"> Ponderea compoziţiei fondului forestier în raza Mun. Bucureşti</w:t>
      </w:r>
    </w:p>
    <w:p w:rsidR="00672663" w:rsidRPr="00DD46ED" w:rsidRDefault="00672663" w:rsidP="00672663">
      <w:pPr>
        <w:tabs>
          <w:tab w:val="left" w:pos="1276"/>
          <w:tab w:val="left" w:leader="dot" w:pos="9356"/>
        </w:tabs>
        <w:ind w:left="170"/>
        <w:rPr>
          <w:rFonts w:ascii="Trebuchet MS" w:hAnsi="Trebuchet MS" w:cs="Arial"/>
          <w:sz w:val="22"/>
          <w:szCs w:val="22"/>
          <w:lang w:val="ro-RO"/>
        </w:rPr>
      </w:pPr>
    </w:p>
    <w:p w:rsidR="00672663" w:rsidRPr="00947524" w:rsidRDefault="00672663" w:rsidP="00672663">
      <w:pPr>
        <w:tabs>
          <w:tab w:val="left" w:pos="1276"/>
          <w:tab w:val="left" w:leader="dot" w:pos="9356"/>
        </w:tabs>
        <w:ind w:left="170"/>
        <w:rPr>
          <w:rFonts w:ascii="Arial" w:hAnsi="Arial" w:cs="Arial"/>
          <w:i/>
          <w:lang w:val="ro-RO"/>
        </w:rPr>
      </w:pPr>
      <w:r w:rsidRPr="00947524">
        <w:rPr>
          <w:rFonts w:ascii="Arial" w:hAnsi="Arial" w:cs="Arial"/>
          <w:noProof/>
          <w:lang w:val="en-US"/>
        </w:rPr>
        <w:drawing>
          <wp:anchor distT="0" distB="0" distL="114300" distR="114300" simplePos="0" relativeHeight="251704832" behindDoc="1" locked="0" layoutInCell="1" allowOverlap="1" wp14:anchorId="0339EB27" wp14:editId="5FFEF43C">
            <wp:simplePos x="0" y="0"/>
            <wp:positionH relativeFrom="column">
              <wp:posOffset>845185</wp:posOffset>
            </wp:positionH>
            <wp:positionV relativeFrom="paragraph">
              <wp:posOffset>84455</wp:posOffset>
            </wp:positionV>
            <wp:extent cx="4736465" cy="3055620"/>
            <wp:effectExtent l="0" t="0" r="0" b="2540"/>
            <wp:wrapTight wrapText="bothSides">
              <wp:wrapPolygon edited="0">
                <wp:start x="-75" y="0"/>
                <wp:lineTo x="-75" y="21542"/>
                <wp:lineTo x="21638" y="21542"/>
                <wp:lineTo x="21638" y="0"/>
                <wp:lineTo x="-75" y="0"/>
              </wp:wrapPolygon>
            </wp:wrapTight>
            <wp:docPr id="414" name="Object 4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page">
              <wp14:pctWidth>0</wp14:pctWidth>
            </wp14:sizeRelH>
            <wp14:sizeRelV relativeFrom="page">
              <wp14:pctHeight>0</wp14:pctHeight>
            </wp14:sizeRelV>
          </wp:anchor>
        </w:drawing>
      </w:r>
    </w:p>
    <w:p w:rsidR="00672663" w:rsidRPr="00947524" w:rsidRDefault="00672663" w:rsidP="00672663">
      <w:pPr>
        <w:tabs>
          <w:tab w:val="left" w:pos="270"/>
          <w:tab w:val="left" w:pos="1276"/>
          <w:tab w:val="left" w:leader="dot" w:pos="9356"/>
        </w:tabs>
        <w:ind w:left="170"/>
        <w:rPr>
          <w:rFonts w:ascii="Arial" w:hAnsi="Arial" w:cs="Arial"/>
          <w:i/>
          <w:lang w:val="ro-RO"/>
        </w:rPr>
      </w:pPr>
      <w:r w:rsidRPr="00947524">
        <w:rPr>
          <w:rFonts w:ascii="Arial" w:hAnsi="Arial" w:cs="Arial"/>
          <w:i/>
          <w:lang w:val="ro-RO"/>
        </w:rPr>
        <w:t xml:space="preserve"> </w:t>
      </w: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i/>
          <w:lang w:val="ro-RO"/>
        </w:rPr>
      </w:pPr>
    </w:p>
    <w:p w:rsidR="00672663" w:rsidRPr="00947524" w:rsidRDefault="00672663" w:rsidP="00672663">
      <w:pPr>
        <w:tabs>
          <w:tab w:val="left" w:pos="270"/>
          <w:tab w:val="left" w:pos="1276"/>
          <w:tab w:val="left" w:leader="dot" w:pos="9356"/>
        </w:tabs>
        <w:ind w:left="170"/>
        <w:rPr>
          <w:rFonts w:ascii="Arial" w:hAnsi="Arial" w:cs="Arial"/>
          <w:lang w:val="ro-RO"/>
        </w:rPr>
      </w:pPr>
    </w:p>
    <w:p w:rsidR="00672663" w:rsidRPr="0083125D" w:rsidRDefault="00672663" w:rsidP="00672663">
      <w:pPr>
        <w:tabs>
          <w:tab w:val="left" w:pos="270"/>
          <w:tab w:val="left" w:pos="1276"/>
          <w:tab w:val="left" w:leader="dot" w:pos="9356"/>
        </w:tabs>
        <w:ind w:left="170"/>
        <w:rPr>
          <w:rFonts w:ascii="Trebuchet MS" w:hAnsi="Trebuchet MS" w:cs="Arial"/>
          <w:i/>
          <w:sz w:val="22"/>
          <w:szCs w:val="22"/>
          <w:lang w:val="ro-RO"/>
        </w:rPr>
      </w:pPr>
      <w:r w:rsidRPr="0083125D">
        <w:rPr>
          <w:rFonts w:ascii="Trebuchet MS" w:hAnsi="Trebuchet MS" w:cs="Arial"/>
          <w:i/>
          <w:sz w:val="22"/>
          <w:szCs w:val="22"/>
          <w:lang w:val="ro-RO"/>
        </w:rPr>
        <w:t xml:space="preserve">VI.1.3 Starea de sănătate a pădurilor  </w:t>
      </w:r>
    </w:p>
    <w:p w:rsidR="00672663" w:rsidRPr="0083125D" w:rsidRDefault="00672663" w:rsidP="00672663">
      <w:pPr>
        <w:tabs>
          <w:tab w:val="left" w:pos="1276"/>
          <w:tab w:val="left" w:leader="dot" w:pos="9356"/>
        </w:tabs>
        <w:ind w:left="170"/>
        <w:rPr>
          <w:rFonts w:ascii="Trebuchet MS" w:hAnsi="Trebuchet MS" w:cs="Arial"/>
          <w:sz w:val="22"/>
          <w:szCs w:val="22"/>
          <w:lang w:val="ro-RO"/>
        </w:rPr>
      </w:pPr>
    </w:p>
    <w:p w:rsidR="00672663" w:rsidRPr="0083125D" w:rsidRDefault="00672663" w:rsidP="00672663">
      <w:pPr>
        <w:tabs>
          <w:tab w:val="left" w:pos="360"/>
          <w:tab w:val="left" w:pos="450"/>
          <w:tab w:val="left" w:pos="630"/>
          <w:tab w:val="left" w:pos="720"/>
          <w:tab w:val="left" w:pos="1276"/>
          <w:tab w:val="left" w:leader="dot" w:pos="9356"/>
        </w:tabs>
        <w:jc w:val="both"/>
        <w:rPr>
          <w:rFonts w:ascii="Trebuchet MS" w:hAnsi="Trebuchet MS" w:cs="Arial"/>
          <w:sz w:val="22"/>
          <w:szCs w:val="22"/>
        </w:rPr>
      </w:pPr>
      <w:r w:rsidRPr="0083125D">
        <w:rPr>
          <w:rFonts w:ascii="Trebuchet MS" w:hAnsi="Trebuchet MS" w:cs="Arial"/>
          <w:sz w:val="22"/>
          <w:szCs w:val="22"/>
          <w:lang w:val="ro-RO"/>
        </w:rPr>
        <w:tab/>
      </w:r>
      <w:r w:rsidRPr="0083125D">
        <w:rPr>
          <w:rFonts w:ascii="Trebuchet MS" w:hAnsi="Trebuchet MS" w:cs="Arial"/>
          <w:sz w:val="22"/>
          <w:szCs w:val="22"/>
          <w:lang w:val="ro-RO"/>
        </w:rPr>
        <w:tab/>
      </w:r>
      <w:r w:rsidRPr="0083125D">
        <w:rPr>
          <w:rFonts w:ascii="Trebuchet MS" w:hAnsi="Trebuchet MS" w:cs="Arial"/>
          <w:sz w:val="22"/>
          <w:szCs w:val="22"/>
          <w:lang w:val="ro-RO"/>
        </w:rPr>
        <w:tab/>
      </w:r>
      <w:r w:rsidRPr="0083125D">
        <w:rPr>
          <w:rFonts w:ascii="Trebuchet MS" w:hAnsi="Trebuchet MS" w:cs="Arial"/>
          <w:sz w:val="22"/>
          <w:szCs w:val="22"/>
        </w:rPr>
        <w:t>Referitor la efectul negativ pe care îl pot avea atacurile dăunatorilor forestieri mentionăm că Direcţia Silvică Ilfov în anul 2023, pentru asigurarea unei stări fitosanitare corespunzătoare în pepiniere şi arborete, s-au executat lucrări de depistare  şi prognoză a  dăunătorilor, pe toată suprafaţa fondului forestier indiferent de propriatate, acţionându-se în sensul prevenirii şi combaterii diverşilor dăunători, în special a atacurilor manifestate în plantaţii şi regenerări naturale, în care specia forestieră Stejar pedunculat participă în proporţie de cel puţin 60%. În anul 2023 nu s-au înregistrat atacuri puternice de dăunători și nu a fost necesară aplicarea de tratamente.</w:t>
      </w:r>
    </w:p>
    <w:p w:rsidR="00672663" w:rsidRPr="0083125D" w:rsidRDefault="00672663" w:rsidP="00672663">
      <w:pPr>
        <w:tabs>
          <w:tab w:val="left" w:pos="360"/>
          <w:tab w:val="left" w:pos="450"/>
          <w:tab w:val="left" w:pos="630"/>
          <w:tab w:val="left" w:pos="720"/>
          <w:tab w:val="left" w:pos="1276"/>
          <w:tab w:val="left" w:leader="dot" w:pos="9356"/>
        </w:tabs>
        <w:jc w:val="both"/>
        <w:rPr>
          <w:rFonts w:ascii="Trebuchet MS" w:hAnsi="Trebuchet MS" w:cs="Arial"/>
          <w:sz w:val="22"/>
          <w:szCs w:val="22"/>
        </w:rPr>
      </w:pPr>
      <w:r w:rsidRPr="0083125D">
        <w:rPr>
          <w:rFonts w:ascii="Trebuchet MS" w:hAnsi="Trebuchet MS" w:cs="Arial"/>
          <w:sz w:val="22"/>
          <w:szCs w:val="22"/>
        </w:rPr>
        <w:tab/>
      </w:r>
      <w:r w:rsidRPr="0083125D">
        <w:rPr>
          <w:rFonts w:ascii="Trebuchet MS" w:hAnsi="Trebuchet MS" w:cs="Arial"/>
          <w:sz w:val="22"/>
          <w:szCs w:val="22"/>
        </w:rPr>
        <w:tab/>
        <w:t xml:space="preserve">   Proporţia lemnului mort în suprafaţa de fond forestier, aflată în competenţa administrativ – teritorială a Direcţiei Silvice Ilfov din raza Mun. Bucureşti, în ultimii 5 ani este foarte mică, cantitatea acestui lemn fiind nesimnificativă, neputându-se în prezent cuantifica într-o cantitate (volum) de masă lemnoasă la hectar.</w:t>
      </w:r>
    </w:p>
    <w:p w:rsidR="00672663" w:rsidRPr="0083125D" w:rsidRDefault="00672663" w:rsidP="00672663">
      <w:pPr>
        <w:tabs>
          <w:tab w:val="left" w:pos="360"/>
          <w:tab w:val="left" w:pos="450"/>
          <w:tab w:val="left" w:pos="630"/>
          <w:tab w:val="left" w:pos="720"/>
          <w:tab w:val="left" w:pos="1276"/>
          <w:tab w:val="left" w:leader="dot" w:pos="9356"/>
        </w:tabs>
        <w:jc w:val="both"/>
        <w:rPr>
          <w:rFonts w:ascii="Trebuchet MS" w:hAnsi="Trebuchet MS" w:cs="Arial"/>
          <w:i/>
          <w:sz w:val="22"/>
          <w:szCs w:val="22"/>
          <w:lang w:val="ro-RO"/>
        </w:rPr>
      </w:pPr>
    </w:p>
    <w:p w:rsidR="00672663" w:rsidRPr="0083125D" w:rsidRDefault="00672663" w:rsidP="00672663">
      <w:pPr>
        <w:tabs>
          <w:tab w:val="left" w:pos="270"/>
          <w:tab w:val="left" w:pos="1276"/>
          <w:tab w:val="left" w:leader="dot" w:pos="9356"/>
        </w:tabs>
        <w:ind w:left="170"/>
        <w:rPr>
          <w:rFonts w:ascii="Trebuchet MS" w:hAnsi="Trebuchet MS" w:cs="Arial"/>
          <w:i/>
          <w:lang w:val="ro-RO"/>
        </w:rPr>
      </w:pPr>
      <w:r w:rsidRPr="0083125D">
        <w:rPr>
          <w:rFonts w:ascii="Trebuchet MS" w:hAnsi="Trebuchet MS" w:cs="Arial"/>
          <w:i/>
          <w:lang w:val="ro-RO"/>
        </w:rPr>
        <w:t xml:space="preserve"> VI.1.4 Suprafeţe de păduri regenerate  </w:t>
      </w:r>
    </w:p>
    <w:p w:rsidR="00672663" w:rsidRPr="0083125D" w:rsidRDefault="00672663" w:rsidP="00672663">
      <w:pPr>
        <w:tabs>
          <w:tab w:val="left" w:pos="1276"/>
          <w:tab w:val="left" w:leader="dot" w:pos="9356"/>
        </w:tabs>
        <w:ind w:left="170"/>
        <w:rPr>
          <w:rFonts w:ascii="Trebuchet MS" w:hAnsi="Trebuchet MS" w:cs="Arial"/>
          <w:sz w:val="22"/>
          <w:szCs w:val="22"/>
          <w:lang w:val="ro-RO"/>
        </w:rPr>
      </w:pPr>
    </w:p>
    <w:p w:rsidR="00672663" w:rsidRPr="0083125D" w:rsidRDefault="00672663" w:rsidP="00672663">
      <w:pPr>
        <w:tabs>
          <w:tab w:val="left" w:pos="720"/>
          <w:tab w:val="left" w:pos="1276"/>
          <w:tab w:val="left" w:leader="dot" w:pos="9356"/>
        </w:tabs>
        <w:ind w:left="170"/>
        <w:jc w:val="both"/>
        <w:rPr>
          <w:rFonts w:ascii="Trebuchet MS" w:hAnsi="Trebuchet MS" w:cs="Arial"/>
          <w:sz w:val="22"/>
          <w:szCs w:val="22"/>
          <w:lang w:val="ro-RO"/>
        </w:rPr>
      </w:pPr>
      <w:r w:rsidRPr="0083125D">
        <w:rPr>
          <w:rFonts w:ascii="Trebuchet MS" w:hAnsi="Trebuchet MS" w:cs="Arial"/>
          <w:sz w:val="22"/>
          <w:szCs w:val="22"/>
          <w:lang w:val="ro-RO"/>
        </w:rPr>
        <w:t xml:space="preserve">        În anul 2023 la nivelul  Direcţiei Silvice Ilfov s-a realizat ajutorarea regenerărilor naturale pe 1 hectar. Pe suprafaţa de fond forestier aflată administrativ  teritoriul în Municipiului Bucureşti este declanşată regenerarea naturală pe 7 hectare şi se va extinde în funcţie de fructificaţia speciilor principale ce compun arboretele.</w:t>
      </w:r>
    </w:p>
    <w:p w:rsidR="00672663" w:rsidRPr="0083125D" w:rsidRDefault="00672663" w:rsidP="00672663">
      <w:pPr>
        <w:tabs>
          <w:tab w:val="left" w:pos="540"/>
          <w:tab w:val="left" w:pos="720"/>
          <w:tab w:val="left" w:pos="1276"/>
          <w:tab w:val="left" w:leader="dot" w:pos="9356"/>
        </w:tabs>
        <w:ind w:left="170"/>
        <w:jc w:val="both"/>
        <w:rPr>
          <w:rFonts w:ascii="Trebuchet MS" w:hAnsi="Trebuchet MS" w:cs="Arial"/>
          <w:sz w:val="22"/>
          <w:szCs w:val="22"/>
        </w:rPr>
      </w:pPr>
      <w:r w:rsidRPr="0083125D">
        <w:rPr>
          <w:rFonts w:ascii="Trebuchet MS" w:hAnsi="Trebuchet MS" w:cs="Arial"/>
          <w:sz w:val="22"/>
          <w:szCs w:val="22"/>
        </w:rPr>
        <w:t xml:space="preserve">        În pădurile din raza administrativ teritorială a Municipiului Bucureşti în cursul anului 2023 s-au exploatat 0,6 mii mc., proveniţi din tăieri de igienă și lucrări speciale de conservare, lucrări necesară a se efectua într-o gospodărire silvică cu scopul asigurării unei stări fitosanitare corespunzătoare a arboretelor.</w:t>
      </w:r>
    </w:p>
    <w:p w:rsidR="00672663" w:rsidRPr="0083125D" w:rsidRDefault="00672663" w:rsidP="00672663">
      <w:pPr>
        <w:tabs>
          <w:tab w:val="left" w:pos="540"/>
          <w:tab w:val="left" w:pos="720"/>
          <w:tab w:val="left" w:pos="1276"/>
          <w:tab w:val="left" w:leader="dot" w:pos="9356"/>
        </w:tabs>
        <w:ind w:left="170"/>
        <w:jc w:val="both"/>
        <w:rPr>
          <w:rFonts w:ascii="Trebuchet MS" w:hAnsi="Trebuchet MS" w:cs="Arial"/>
          <w:i/>
          <w:sz w:val="22"/>
          <w:szCs w:val="22"/>
          <w:lang w:val="ro-RO"/>
        </w:rPr>
      </w:pPr>
    </w:p>
    <w:p w:rsidR="00672663" w:rsidRPr="0083125D" w:rsidRDefault="00672663" w:rsidP="00672663">
      <w:pPr>
        <w:tabs>
          <w:tab w:val="left" w:pos="270"/>
          <w:tab w:val="left" w:pos="1276"/>
          <w:tab w:val="left" w:leader="dot" w:pos="9356"/>
        </w:tabs>
        <w:ind w:left="170"/>
        <w:rPr>
          <w:rFonts w:ascii="Trebuchet MS" w:hAnsi="Trebuchet MS" w:cs="Arial"/>
          <w:i/>
          <w:lang w:val="ro-RO"/>
        </w:rPr>
      </w:pPr>
      <w:r w:rsidRPr="0083125D">
        <w:rPr>
          <w:rFonts w:ascii="Trebuchet MS" w:hAnsi="Trebuchet MS" w:cs="Arial"/>
          <w:i/>
          <w:sz w:val="22"/>
          <w:szCs w:val="22"/>
          <w:lang w:val="ro-RO"/>
        </w:rPr>
        <w:t xml:space="preserve"> </w:t>
      </w:r>
      <w:r w:rsidRPr="0083125D">
        <w:rPr>
          <w:rFonts w:ascii="Trebuchet MS" w:hAnsi="Trebuchet MS" w:cs="Arial"/>
          <w:i/>
          <w:lang w:val="ro-RO"/>
        </w:rPr>
        <w:t xml:space="preserve">VI.1.5 Zone cu deficit de vegetaţie forestieră şi disponibilităţi de împădurire  </w:t>
      </w:r>
    </w:p>
    <w:p w:rsidR="00672663" w:rsidRPr="0083125D" w:rsidRDefault="00672663" w:rsidP="00672663">
      <w:pPr>
        <w:tabs>
          <w:tab w:val="left" w:pos="270"/>
          <w:tab w:val="left" w:pos="1276"/>
          <w:tab w:val="left" w:leader="dot" w:pos="9356"/>
        </w:tabs>
        <w:ind w:left="170"/>
        <w:rPr>
          <w:rFonts w:ascii="Trebuchet MS" w:hAnsi="Trebuchet MS" w:cs="Arial"/>
          <w:i/>
          <w:sz w:val="22"/>
          <w:szCs w:val="22"/>
          <w:lang w:val="ro-RO"/>
        </w:rPr>
      </w:pPr>
    </w:p>
    <w:p w:rsidR="00672663" w:rsidRPr="0083125D" w:rsidRDefault="00672663" w:rsidP="00672663">
      <w:pPr>
        <w:tabs>
          <w:tab w:val="left" w:pos="270"/>
          <w:tab w:val="left" w:pos="720"/>
          <w:tab w:val="left" w:pos="810"/>
          <w:tab w:val="left" w:pos="1276"/>
          <w:tab w:val="left" w:leader="dot" w:pos="9356"/>
        </w:tabs>
        <w:ind w:left="170"/>
        <w:jc w:val="both"/>
        <w:rPr>
          <w:rFonts w:ascii="Trebuchet MS" w:hAnsi="Trebuchet MS" w:cs="Arial"/>
          <w:sz w:val="22"/>
          <w:szCs w:val="22"/>
        </w:rPr>
      </w:pPr>
      <w:r w:rsidRPr="0083125D">
        <w:rPr>
          <w:rFonts w:ascii="Trebuchet MS" w:hAnsi="Trebuchet MS" w:cs="Arial"/>
          <w:i/>
          <w:sz w:val="22"/>
          <w:szCs w:val="22"/>
          <w:lang w:val="ro-RO"/>
        </w:rPr>
        <w:tab/>
      </w:r>
      <w:r w:rsidRPr="0083125D">
        <w:rPr>
          <w:rFonts w:ascii="Trebuchet MS" w:hAnsi="Trebuchet MS" w:cs="Arial"/>
          <w:i/>
          <w:sz w:val="22"/>
          <w:szCs w:val="22"/>
          <w:lang w:val="ro-RO"/>
        </w:rPr>
        <w:tab/>
      </w:r>
      <w:r w:rsidRPr="0083125D">
        <w:rPr>
          <w:rFonts w:ascii="Trebuchet MS" w:hAnsi="Trebuchet MS" w:cs="Arial"/>
          <w:sz w:val="22"/>
          <w:szCs w:val="22"/>
        </w:rPr>
        <w:t>Tot arealul cuprins în raza judeţului Ilfov şi a Municipiului Bucureşti se situează sub media pe ţară de 27% privind ponderea pădurilor. Ca urmare, se impune necesitatea împăduririi tuturor terenurilor degradate care nu mai pot fi date în producţie, dar şi reînfiinţarea perdelelor silvice de protecţie a câmpurilor agricole, precum şi mărirea suprafeţei cu vegetaţie forestieră care să îndeplinească rolul de “ plămân verde “ al Municipiului Bucureşti. Cele mai expuse fenomenelor de aridizare şi secetei sunt zonele din partea de sud şi est a judeţului Ilfov. De asemenea, în lunca Argeşului, ca urmare a amenajărilor privind Canalul Argeş – Dunăre, excavaţiilor şi balastierelor instalate, au dus la modificarea registrului hidric, apa freatică scăzând cu 10-20 m, ceea ce a dus la dispariţia vegetaţiei din vecinătatea sa, fiind necesare lucrări de recontrucţie ecologică deosebit de dificile.</w:t>
      </w:r>
    </w:p>
    <w:p w:rsidR="00672663" w:rsidRPr="0083125D" w:rsidRDefault="00672663" w:rsidP="00672663">
      <w:pPr>
        <w:tabs>
          <w:tab w:val="left" w:pos="270"/>
          <w:tab w:val="left" w:pos="720"/>
          <w:tab w:val="left" w:pos="810"/>
          <w:tab w:val="left" w:pos="1276"/>
          <w:tab w:val="left" w:leader="dot" w:pos="9356"/>
        </w:tabs>
        <w:ind w:left="170"/>
        <w:jc w:val="both"/>
        <w:rPr>
          <w:rFonts w:ascii="Trebuchet MS" w:hAnsi="Trebuchet MS" w:cs="Arial"/>
          <w:sz w:val="22"/>
          <w:szCs w:val="22"/>
          <w:lang w:val="ro-RO"/>
        </w:rPr>
      </w:pPr>
      <w:r w:rsidRPr="0083125D">
        <w:rPr>
          <w:rFonts w:ascii="Trebuchet MS" w:hAnsi="Trebuchet MS" w:cs="Arial"/>
          <w:sz w:val="22"/>
          <w:szCs w:val="22"/>
          <w:lang w:val="ro-RO"/>
        </w:rPr>
        <w:tab/>
      </w:r>
      <w:r w:rsidRPr="0083125D">
        <w:rPr>
          <w:rFonts w:ascii="Trebuchet MS" w:hAnsi="Trebuchet MS" w:cs="Arial"/>
          <w:sz w:val="22"/>
          <w:szCs w:val="22"/>
          <w:lang w:val="ro-RO"/>
        </w:rPr>
        <w:tab/>
        <w:t>Regia Națională a Pădurilor are alocate fonduri pentru cumpărarea de terenuri în vederea împădurii.</w:t>
      </w:r>
    </w:p>
    <w:p w:rsidR="00672663" w:rsidRPr="0083125D" w:rsidRDefault="00672663" w:rsidP="00672663">
      <w:pPr>
        <w:tabs>
          <w:tab w:val="left" w:leader="dot" w:pos="9356"/>
        </w:tabs>
        <w:rPr>
          <w:rFonts w:ascii="Trebuchet MS" w:hAnsi="Trebuchet MS" w:cs="Arial"/>
          <w:i/>
          <w:sz w:val="22"/>
          <w:szCs w:val="22"/>
          <w:lang w:val="ro-RO"/>
        </w:rPr>
      </w:pPr>
    </w:p>
    <w:p w:rsidR="00672663" w:rsidRPr="0083125D" w:rsidRDefault="00672663" w:rsidP="00672663">
      <w:pPr>
        <w:tabs>
          <w:tab w:val="left" w:pos="1276"/>
          <w:tab w:val="left" w:leader="dot" w:pos="9356"/>
        </w:tabs>
        <w:ind w:left="170"/>
        <w:jc w:val="both"/>
        <w:rPr>
          <w:rFonts w:ascii="Trebuchet MS" w:hAnsi="Trebuchet MS" w:cs="Arial"/>
          <w:i/>
          <w:lang w:val="ro-RO"/>
        </w:rPr>
      </w:pPr>
    </w:p>
    <w:p w:rsidR="00672663" w:rsidRPr="0083125D" w:rsidRDefault="00672663" w:rsidP="00672663">
      <w:pPr>
        <w:rPr>
          <w:rFonts w:ascii="Trebuchet MS" w:hAnsi="Trebuchet MS" w:cs="Arial"/>
          <w:b/>
        </w:rPr>
      </w:pPr>
      <w:r w:rsidRPr="0083125D">
        <w:rPr>
          <w:rFonts w:ascii="Trebuchet MS" w:hAnsi="Trebuchet MS" w:cs="Arial"/>
          <w:b/>
        </w:rPr>
        <w:t xml:space="preserve">   VI.2 Ameninţări şi presiuni exercitate asupra pădurilor </w:t>
      </w:r>
      <w:r w:rsidRPr="0083125D">
        <w:rPr>
          <w:rFonts w:ascii="Trebuchet MS" w:hAnsi="Trebuchet MS" w:cs="Arial"/>
          <w:b/>
        </w:rPr>
        <w:tab/>
      </w:r>
    </w:p>
    <w:p w:rsidR="00672663" w:rsidRPr="0083125D" w:rsidRDefault="00672663" w:rsidP="00672663">
      <w:pPr>
        <w:pStyle w:val="Default"/>
        <w:ind w:firstLine="708"/>
        <w:rPr>
          <w:rFonts w:ascii="Trebuchet MS" w:hAnsi="Trebuchet MS"/>
        </w:rPr>
      </w:pPr>
    </w:p>
    <w:p w:rsidR="00672663" w:rsidRPr="0083125D" w:rsidRDefault="00672663" w:rsidP="00672663">
      <w:pPr>
        <w:pStyle w:val="Default"/>
        <w:ind w:firstLine="708"/>
        <w:rPr>
          <w:rFonts w:ascii="Trebuchet MS" w:hAnsi="Trebuchet MS"/>
          <w:sz w:val="22"/>
          <w:szCs w:val="22"/>
        </w:rPr>
      </w:pPr>
      <w:r w:rsidRPr="0083125D">
        <w:rPr>
          <w:rFonts w:ascii="Trebuchet MS" w:hAnsi="Trebuchet MS"/>
          <w:sz w:val="22"/>
          <w:szCs w:val="22"/>
        </w:rPr>
        <w:t xml:space="preserve">Principalele ameninţări care afectează pădurile sunt:  </w:t>
      </w:r>
    </w:p>
    <w:p w:rsidR="00672663" w:rsidRPr="0083125D" w:rsidRDefault="00672663" w:rsidP="004F134E">
      <w:pPr>
        <w:pStyle w:val="ListParagraph"/>
        <w:numPr>
          <w:ilvl w:val="0"/>
          <w:numId w:val="20"/>
        </w:numPr>
        <w:tabs>
          <w:tab w:val="left" w:pos="1176"/>
          <w:tab w:val="left" w:leader="dot" w:pos="9356"/>
        </w:tabs>
        <w:jc w:val="both"/>
        <w:rPr>
          <w:rFonts w:ascii="Trebuchet MS" w:hAnsi="Trebuchet MS" w:cs="Arial"/>
          <w:sz w:val="22"/>
          <w:szCs w:val="22"/>
        </w:rPr>
      </w:pPr>
      <w:r w:rsidRPr="0083125D">
        <w:rPr>
          <w:rFonts w:ascii="Trebuchet MS" w:hAnsi="Trebuchet MS" w:cs="Arial"/>
          <w:sz w:val="22"/>
          <w:szCs w:val="22"/>
        </w:rPr>
        <w:t xml:space="preserve">defrişările (în exces, în scopuri industriale sau pentru obţinerea de energie sau biocombustibili, dar mai ales cele ilegale; de asemenea, tăierile datorate conversiei pădurilor la terenuri agricole au rol important) </w:t>
      </w:r>
    </w:p>
    <w:p w:rsidR="00672663" w:rsidRPr="0083125D" w:rsidRDefault="00672663" w:rsidP="004F134E">
      <w:pPr>
        <w:pStyle w:val="ListParagraph"/>
        <w:numPr>
          <w:ilvl w:val="0"/>
          <w:numId w:val="20"/>
        </w:numPr>
        <w:tabs>
          <w:tab w:val="left" w:pos="1176"/>
          <w:tab w:val="left" w:leader="dot" w:pos="9356"/>
        </w:tabs>
        <w:jc w:val="both"/>
        <w:rPr>
          <w:rFonts w:ascii="Trebuchet MS" w:hAnsi="Trebuchet MS" w:cs="Arial"/>
          <w:sz w:val="22"/>
          <w:szCs w:val="22"/>
        </w:rPr>
      </w:pPr>
      <w:r w:rsidRPr="0083125D">
        <w:rPr>
          <w:rFonts w:ascii="Trebuchet MS" w:hAnsi="Trebuchet MS" w:cs="Arial"/>
          <w:sz w:val="22"/>
          <w:szCs w:val="22"/>
        </w:rPr>
        <w:t xml:space="preserve">fragmentarea ecosistemelor </w:t>
      </w:r>
    </w:p>
    <w:p w:rsidR="00672663" w:rsidRPr="0083125D" w:rsidRDefault="00672663" w:rsidP="004F134E">
      <w:pPr>
        <w:pStyle w:val="ListParagraph"/>
        <w:numPr>
          <w:ilvl w:val="0"/>
          <w:numId w:val="20"/>
        </w:numPr>
        <w:tabs>
          <w:tab w:val="left" w:pos="1176"/>
          <w:tab w:val="left" w:leader="dot" w:pos="9356"/>
        </w:tabs>
        <w:jc w:val="both"/>
        <w:rPr>
          <w:rFonts w:ascii="Trebuchet MS" w:hAnsi="Trebuchet MS" w:cs="Arial"/>
          <w:sz w:val="22"/>
          <w:szCs w:val="22"/>
        </w:rPr>
      </w:pPr>
      <w:r w:rsidRPr="0083125D">
        <w:rPr>
          <w:rFonts w:ascii="Trebuchet MS" w:hAnsi="Trebuchet MS" w:cs="Arial"/>
          <w:sz w:val="22"/>
          <w:szCs w:val="22"/>
        </w:rPr>
        <w:t xml:space="preserve">degradarea pădurilor, din cauza dăunătorilor sau bolilor sau a speciilor invazive </w:t>
      </w:r>
    </w:p>
    <w:p w:rsidR="00672663" w:rsidRPr="0083125D" w:rsidRDefault="00672663" w:rsidP="004F134E">
      <w:pPr>
        <w:pStyle w:val="ListParagraph"/>
        <w:numPr>
          <w:ilvl w:val="0"/>
          <w:numId w:val="20"/>
        </w:numPr>
        <w:tabs>
          <w:tab w:val="left" w:pos="1176"/>
          <w:tab w:val="left" w:leader="dot" w:pos="9356"/>
        </w:tabs>
        <w:jc w:val="both"/>
        <w:rPr>
          <w:rFonts w:ascii="Trebuchet MS" w:hAnsi="Trebuchet MS" w:cs="Arial"/>
          <w:sz w:val="22"/>
          <w:szCs w:val="22"/>
        </w:rPr>
      </w:pPr>
      <w:r w:rsidRPr="0083125D">
        <w:rPr>
          <w:rFonts w:ascii="Trebuchet MS" w:hAnsi="Trebuchet MS" w:cs="Arial"/>
          <w:sz w:val="22"/>
          <w:szCs w:val="22"/>
        </w:rPr>
        <w:t xml:space="preserve">schimbările climatice, inclusiv incendiile de pădure </w:t>
      </w:r>
    </w:p>
    <w:p w:rsidR="00672663" w:rsidRPr="0083125D" w:rsidRDefault="00672663" w:rsidP="004F134E">
      <w:pPr>
        <w:pStyle w:val="ListParagraph"/>
        <w:numPr>
          <w:ilvl w:val="0"/>
          <w:numId w:val="20"/>
        </w:numPr>
        <w:tabs>
          <w:tab w:val="left" w:pos="1176"/>
          <w:tab w:val="left" w:leader="dot" w:pos="9356"/>
        </w:tabs>
        <w:jc w:val="both"/>
        <w:rPr>
          <w:rFonts w:ascii="Trebuchet MS" w:hAnsi="Trebuchet MS" w:cs="Arial"/>
          <w:sz w:val="22"/>
          <w:szCs w:val="22"/>
        </w:rPr>
      </w:pPr>
      <w:r w:rsidRPr="0083125D">
        <w:rPr>
          <w:rFonts w:ascii="Trebuchet MS" w:hAnsi="Trebuchet MS" w:cs="Arial"/>
          <w:sz w:val="22"/>
          <w:szCs w:val="22"/>
        </w:rPr>
        <w:t xml:space="preserve">turismul negestionat. </w:t>
      </w:r>
    </w:p>
    <w:p w:rsidR="00672663" w:rsidRPr="0083125D" w:rsidRDefault="00672663" w:rsidP="00672663">
      <w:pPr>
        <w:pStyle w:val="ListParagraph"/>
        <w:tabs>
          <w:tab w:val="left" w:pos="1176"/>
          <w:tab w:val="left" w:leader="dot" w:pos="9356"/>
        </w:tabs>
        <w:jc w:val="both"/>
        <w:rPr>
          <w:rFonts w:ascii="Trebuchet MS" w:hAnsi="Trebuchet MS" w:cs="Arial"/>
          <w:sz w:val="22"/>
          <w:szCs w:val="22"/>
        </w:rPr>
      </w:pPr>
    </w:p>
    <w:p w:rsidR="00672663" w:rsidRPr="0083125D" w:rsidRDefault="00672663" w:rsidP="00672663">
      <w:pPr>
        <w:pStyle w:val="ListParagraph"/>
        <w:tabs>
          <w:tab w:val="left" w:pos="1176"/>
          <w:tab w:val="left" w:leader="dot" w:pos="9356"/>
        </w:tabs>
        <w:ind w:left="360"/>
        <w:rPr>
          <w:rFonts w:ascii="Trebuchet MS" w:hAnsi="Trebuchet MS" w:cs="Arial"/>
        </w:rPr>
      </w:pPr>
      <w:r w:rsidRPr="0083125D">
        <w:rPr>
          <w:rFonts w:ascii="Trebuchet MS" w:hAnsi="Trebuchet MS" w:cs="Arial"/>
        </w:rPr>
        <w:t xml:space="preserve">  </w:t>
      </w:r>
    </w:p>
    <w:p w:rsidR="00672663" w:rsidRPr="0083125D" w:rsidRDefault="00672663" w:rsidP="00672663">
      <w:pPr>
        <w:tabs>
          <w:tab w:val="left" w:pos="270"/>
          <w:tab w:val="left" w:pos="1176"/>
          <w:tab w:val="left" w:leader="dot" w:pos="9356"/>
        </w:tabs>
        <w:ind w:left="170"/>
        <w:rPr>
          <w:rFonts w:ascii="Trebuchet MS" w:hAnsi="Trebuchet MS" w:cs="Arial"/>
          <w:i/>
          <w:lang w:val="ro-RO"/>
        </w:rPr>
      </w:pPr>
      <w:r w:rsidRPr="0083125D">
        <w:rPr>
          <w:rFonts w:ascii="Trebuchet MS" w:hAnsi="Trebuchet MS" w:cs="Arial"/>
          <w:i/>
          <w:lang w:val="ro-RO"/>
        </w:rPr>
        <w:t xml:space="preserve"> VI.2.1 Suprafeţe de pădure parcurse cu tăieri </w:t>
      </w:r>
    </w:p>
    <w:p w:rsidR="00672663" w:rsidRPr="0083125D" w:rsidRDefault="00672663" w:rsidP="00672663">
      <w:pPr>
        <w:tabs>
          <w:tab w:val="left" w:pos="1176"/>
          <w:tab w:val="left" w:leader="dot" w:pos="9356"/>
        </w:tabs>
        <w:ind w:left="170"/>
        <w:rPr>
          <w:rFonts w:ascii="Trebuchet MS" w:hAnsi="Trebuchet MS" w:cs="Arial"/>
          <w:i/>
          <w:lang w:val="ro-RO"/>
        </w:rPr>
      </w:pPr>
    </w:p>
    <w:p w:rsidR="00672663" w:rsidRPr="0083125D" w:rsidRDefault="00672663" w:rsidP="00672663">
      <w:pPr>
        <w:tabs>
          <w:tab w:val="left" w:pos="360"/>
          <w:tab w:val="left" w:pos="1176"/>
          <w:tab w:val="left" w:leader="dot" w:pos="9356"/>
        </w:tabs>
        <w:ind w:left="170"/>
        <w:jc w:val="both"/>
        <w:rPr>
          <w:rFonts w:ascii="Trebuchet MS" w:hAnsi="Trebuchet MS" w:cs="Arial"/>
          <w:sz w:val="22"/>
          <w:szCs w:val="22"/>
          <w:lang w:val="ro-RO"/>
        </w:rPr>
      </w:pPr>
      <w:r w:rsidRPr="0083125D">
        <w:rPr>
          <w:rFonts w:ascii="Trebuchet MS" w:hAnsi="Trebuchet MS" w:cs="Arial"/>
        </w:rPr>
        <w:t xml:space="preserve">          </w:t>
      </w:r>
      <w:r w:rsidRPr="0083125D">
        <w:rPr>
          <w:rFonts w:ascii="Trebuchet MS" w:hAnsi="Trebuchet MS" w:cs="Arial"/>
          <w:sz w:val="22"/>
          <w:szCs w:val="22"/>
        </w:rPr>
        <w:t xml:space="preserve">În pădurile din raza administrativ teritorială a Municipiului Bucureşti în cursul anului 2018 s-au exploatat 0.2 mii mc, proveniţi din tăieri de igienă  </w:t>
      </w:r>
      <w:r w:rsidRPr="0083125D">
        <w:rPr>
          <w:rFonts w:ascii="Trebuchet MS" w:hAnsi="Trebuchet MS" w:cs="Arial"/>
          <w:sz w:val="22"/>
          <w:szCs w:val="22"/>
          <w:lang w:val="ro-RO"/>
        </w:rPr>
        <w:t>și din tăieri de regenerare</w:t>
      </w:r>
      <w:r w:rsidRPr="0083125D">
        <w:rPr>
          <w:rFonts w:ascii="Trebuchet MS" w:hAnsi="Trebuchet MS" w:cs="Arial"/>
          <w:sz w:val="22"/>
          <w:szCs w:val="22"/>
        </w:rPr>
        <w:t>, necesare a se efectua într-o gospodărire silvică, cu scopul asigurării unei stări fitosanitare corespunzătoare a arboretelor, precum și regenerarea arboretului ajuns la vârsta în care începe declinul biologic.</w:t>
      </w:r>
    </w:p>
    <w:p w:rsidR="00672663" w:rsidRDefault="00672663" w:rsidP="00672663">
      <w:pPr>
        <w:tabs>
          <w:tab w:val="left" w:pos="1176"/>
          <w:tab w:val="left" w:leader="dot" w:pos="9356"/>
        </w:tabs>
        <w:ind w:left="170"/>
        <w:rPr>
          <w:rFonts w:ascii="Trebuchet MS" w:hAnsi="Trebuchet MS" w:cs="Arial"/>
          <w:i/>
          <w:lang w:val="ro-RO"/>
        </w:rPr>
      </w:pPr>
    </w:p>
    <w:p w:rsidR="0083125D" w:rsidRDefault="0083125D" w:rsidP="00672663">
      <w:pPr>
        <w:tabs>
          <w:tab w:val="left" w:pos="1176"/>
          <w:tab w:val="left" w:leader="dot" w:pos="9356"/>
        </w:tabs>
        <w:ind w:left="170"/>
        <w:rPr>
          <w:rFonts w:ascii="Trebuchet MS" w:hAnsi="Trebuchet MS" w:cs="Arial"/>
          <w:i/>
          <w:lang w:val="ro-RO"/>
        </w:rPr>
      </w:pPr>
    </w:p>
    <w:p w:rsidR="0083125D" w:rsidRDefault="0083125D" w:rsidP="00672663">
      <w:pPr>
        <w:tabs>
          <w:tab w:val="left" w:pos="1176"/>
          <w:tab w:val="left" w:leader="dot" w:pos="9356"/>
        </w:tabs>
        <w:ind w:left="170"/>
        <w:rPr>
          <w:rFonts w:ascii="Trebuchet MS" w:hAnsi="Trebuchet MS" w:cs="Arial"/>
          <w:i/>
          <w:lang w:val="ro-RO"/>
        </w:rPr>
      </w:pPr>
    </w:p>
    <w:p w:rsidR="0083125D" w:rsidRDefault="0083125D" w:rsidP="00672663">
      <w:pPr>
        <w:ind w:left="360"/>
        <w:jc w:val="both"/>
        <w:rPr>
          <w:rFonts w:ascii="Trebuchet MS" w:hAnsi="Trebuchet MS" w:cs="Arial"/>
          <w:sz w:val="22"/>
          <w:szCs w:val="22"/>
        </w:rPr>
      </w:pPr>
    </w:p>
    <w:p w:rsidR="00672663" w:rsidRPr="0083125D" w:rsidRDefault="00672663" w:rsidP="00672663">
      <w:pPr>
        <w:ind w:left="360"/>
        <w:jc w:val="both"/>
        <w:rPr>
          <w:rFonts w:ascii="Trebuchet MS" w:hAnsi="Trebuchet MS" w:cs="Arial"/>
          <w:sz w:val="22"/>
          <w:szCs w:val="22"/>
        </w:rPr>
      </w:pPr>
      <w:r w:rsidRPr="0083125D">
        <w:rPr>
          <w:rFonts w:ascii="Trebuchet MS" w:hAnsi="Trebuchet MS" w:cs="Arial"/>
          <w:sz w:val="22"/>
          <w:szCs w:val="22"/>
        </w:rPr>
        <w:t xml:space="preserve">Tabel </w:t>
      </w:r>
      <w:r w:rsidRPr="0083125D">
        <w:rPr>
          <w:rFonts w:ascii="Trebuchet MS" w:hAnsi="Trebuchet MS" w:cs="Arial"/>
          <w:i/>
          <w:sz w:val="22"/>
          <w:szCs w:val="22"/>
          <w:lang w:val="ro-RO"/>
        </w:rPr>
        <w:t xml:space="preserve">VI.2.1 </w:t>
      </w:r>
      <w:r w:rsidRPr="0083125D">
        <w:rPr>
          <w:rFonts w:ascii="Trebuchet MS" w:hAnsi="Trebuchet MS" w:cs="Arial"/>
          <w:sz w:val="22"/>
          <w:szCs w:val="22"/>
        </w:rPr>
        <w:t>Evoluţia masei lemnoase recoltate în raza Mun. Bucureşti în perioada 2019 – 2023</w:t>
      </w:r>
    </w:p>
    <w:p w:rsidR="00672663" w:rsidRPr="0083125D" w:rsidRDefault="00672663" w:rsidP="00672663">
      <w:pPr>
        <w:ind w:left="360"/>
        <w:jc w:val="both"/>
        <w:rPr>
          <w:rFonts w:ascii="Trebuchet MS" w:hAnsi="Trebuchet MS" w:cs="Arial"/>
        </w:rPr>
      </w:pPr>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5"/>
        <w:gridCol w:w="1170"/>
        <w:gridCol w:w="4030"/>
        <w:gridCol w:w="1800"/>
        <w:gridCol w:w="1295"/>
      </w:tblGrid>
      <w:tr w:rsidR="00672663" w:rsidRPr="0083125D" w:rsidTr="00C55BA9">
        <w:trPr>
          <w:trHeight w:val="390"/>
          <w:jc w:val="center"/>
        </w:trPr>
        <w:tc>
          <w:tcPr>
            <w:tcW w:w="825" w:type="dxa"/>
            <w:vMerge w:val="restart"/>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Nr.</w:t>
            </w: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Crt.</w:t>
            </w:r>
          </w:p>
        </w:tc>
        <w:tc>
          <w:tcPr>
            <w:tcW w:w="1170" w:type="dxa"/>
            <w:vMerge w:val="restart"/>
          </w:tcPr>
          <w:p w:rsidR="00672663" w:rsidRPr="0083125D" w:rsidRDefault="00672663" w:rsidP="00C55BA9">
            <w:pPr>
              <w:ind w:left="360" w:hanging="360"/>
              <w:jc w:val="center"/>
              <w:rPr>
                <w:rFonts w:ascii="Trebuchet MS" w:hAnsi="Trebuchet MS" w:cs="Arial"/>
                <w:sz w:val="22"/>
                <w:szCs w:val="22"/>
              </w:rPr>
            </w:pP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Anul</w:t>
            </w:r>
          </w:p>
        </w:tc>
        <w:tc>
          <w:tcPr>
            <w:tcW w:w="4030" w:type="dxa"/>
            <w:vMerge w:val="restart"/>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Suprafaţa fondului forestier din raza</w:t>
            </w: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de competenţă a D. S. Ilfov în raza Mun. Bucureşti Total (ha)</w:t>
            </w:r>
          </w:p>
        </w:tc>
        <w:tc>
          <w:tcPr>
            <w:tcW w:w="1800" w:type="dxa"/>
            <w:vMerge w:val="restart"/>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Volum</w:t>
            </w: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Recoltat</w:t>
            </w:r>
          </w:p>
          <w:p w:rsidR="00672663" w:rsidRPr="0083125D" w:rsidRDefault="00672663" w:rsidP="00C55BA9">
            <w:pPr>
              <w:ind w:left="360" w:hanging="360"/>
              <w:rPr>
                <w:rFonts w:ascii="Trebuchet MS" w:hAnsi="Trebuchet MS" w:cs="Arial"/>
                <w:sz w:val="22"/>
                <w:szCs w:val="22"/>
              </w:rPr>
            </w:pPr>
            <w:r w:rsidRPr="0083125D">
              <w:rPr>
                <w:rFonts w:ascii="Trebuchet MS" w:hAnsi="Trebuchet MS" w:cs="Arial"/>
                <w:sz w:val="22"/>
                <w:szCs w:val="22"/>
              </w:rPr>
              <w:t>Total (mii  mc)</w:t>
            </w:r>
          </w:p>
        </w:tc>
        <w:tc>
          <w:tcPr>
            <w:tcW w:w="1295" w:type="dxa"/>
            <w:vMerge w:val="restart"/>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Revin</w:t>
            </w: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mc/ha</w:t>
            </w:r>
          </w:p>
          <w:p w:rsidR="00672663" w:rsidRPr="0083125D" w:rsidRDefault="00672663" w:rsidP="00C55BA9">
            <w:pPr>
              <w:ind w:left="360" w:hanging="360"/>
              <w:jc w:val="center"/>
              <w:rPr>
                <w:rFonts w:ascii="Trebuchet MS" w:hAnsi="Trebuchet MS" w:cs="Arial"/>
                <w:sz w:val="22"/>
                <w:szCs w:val="22"/>
              </w:rPr>
            </w:pPr>
          </w:p>
        </w:tc>
      </w:tr>
      <w:tr w:rsidR="00672663" w:rsidRPr="0083125D" w:rsidTr="00C55BA9">
        <w:trPr>
          <w:trHeight w:val="575"/>
          <w:jc w:val="center"/>
        </w:trPr>
        <w:tc>
          <w:tcPr>
            <w:tcW w:w="825" w:type="dxa"/>
            <w:vMerge/>
          </w:tcPr>
          <w:p w:rsidR="00672663" w:rsidRPr="0083125D" w:rsidRDefault="00672663" w:rsidP="00C55BA9">
            <w:pPr>
              <w:ind w:left="360" w:hanging="360"/>
              <w:jc w:val="center"/>
              <w:rPr>
                <w:rFonts w:ascii="Trebuchet MS" w:hAnsi="Trebuchet MS" w:cs="Arial"/>
                <w:sz w:val="22"/>
                <w:szCs w:val="22"/>
              </w:rPr>
            </w:pPr>
          </w:p>
        </w:tc>
        <w:tc>
          <w:tcPr>
            <w:tcW w:w="1170" w:type="dxa"/>
            <w:vMerge/>
          </w:tcPr>
          <w:p w:rsidR="00672663" w:rsidRPr="0083125D" w:rsidRDefault="00672663" w:rsidP="00C55BA9">
            <w:pPr>
              <w:ind w:left="360" w:hanging="360"/>
              <w:jc w:val="center"/>
              <w:rPr>
                <w:rFonts w:ascii="Trebuchet MS" w:hAnsi="Trebuchet MS" w:cs="Arial"/>
                <w:sz w:val="22"/>
                <w:szCs w:val="22"/>
              </w:rPr>
            </w:pPr>
          </w:p>
        </w:tc>
        <w:tc>
          <w:tcPr>
            <w:tcW w:w="4030" w:type="dxa"/>
            <w:vMerge/>
          </w:tcPr>
          <w:p w:rsidR="00672663" w:rsidRPr="0083125D" w:rsidRDefault="00672663" w:rsidP="00C55BA9">
            <w:pPr>
              <w:ind w:left="360" w:hanging="360"/>
              <w:jc w:val="center"/>
              <w:rPr>
                <w:rFonts w:ascii="Trebuchet MS" w:hAnsi="Trebuchet MS" w:cs="Arial"/>
                <w:sz w:val="22"/>
                <w:szCs w:val="22"/>
              </w:rPr>
            </w:pPr>
          </w:p>
        </w:tc>
        <w:tc>
          <w:tcPr>
            <w:tcW w:w="1800" w:type="dxa"/>
            <w:vMerge/>
          </w:tcPr>
          <w:p w:rsidR="00672663" w:rsidRPr="0083125D" w:rsidRDefault="00672663" w:rsidP="00C55BA9">
            <w:pPr>
              <w:ind w:left="360" w:hanging="360"/>
              <w:jc w:val="center"/>
              <w:rPr>
                <w:rFonts w:ascii="Trebuchet MS" w:hAnsi="Trebuchet MS" w:cs="Arial"/>
                <w:sz w:val="22"/>
                <w:szCs w:val="22"/>
              </w:rPr>
            </w:pPr>
          </w:p>
        </w:tc>
        <w:tc>
          <w:tcPr>
            <w:tcW w:w="1295" w:type="dxa"/>
            <w:vMerge/>
          </w:tcPr>
          <w:p w:rsidR="00672663" w:rsidRPr="0083125D" w:rsidRDefault="00672663" w:rsidP="00C55BA9">
            <w:pPr>
              <w:ind w:left="360" w:hanging="360"/>
              <w:jc w:val="center"/>
              <w:rPr>
                <w:rFonts w:ascii="Trebuchet MS" w:hAnsi="Trebuchet MS" w:cs="Arial"/>
                <w:sz w:val="22"/>
                <w:szCs w:val="22"/>
              </w:rPr>
            </w:pPr>
          </w:p>
        </w:tc>
      </w:tr>
      <w:tr w:rsidR="00672663" w:rsidRPr="0083125D" w:rsidTr="00C55BA9">
        <w:trPr>
          <w:jc w:val="center"/>
        </w:trPr>
        <w:tc>
          <w:tcPr>
            <w:tcW w:w="825"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1</w:t>
            </w:r>
          </w:p>
        </w:tc>
        <w:tc>
          <w:tcPr>
            <w:tcW w:w="117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2019</w:t>
            </w:r>
          </w:p>
        </w:tc>
        <w:tc>
          <w:tcPr>
            <w:tcW w:w="4030"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633</w:t>
            </w:r>
          </w:p>
        </w:tc>
        <w:tc>
          <w:tcPr>
            <w:tcW w:w="180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0.2</w:t>
            </w:r>
          </w:p>
        </w:tc>
        <w:tc>
          <w:tcPr>
            <w:tcW w:w="1295"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0.3</w:t>
            </w:r>
          </w:p>
        </w:tc>
      </w:tr>
      <w:tr w:rsidR="00672663" w:rsidRPr="0083125D" w:rsidTr="00C55BA9">
        <w:trPr>
          <w:jc w:val="center"/>
        </w:trPr>
        <w:tc>
          <w:tcPr>
            <w:tcW w:w="825"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2</w:t>
            </w:r>
          </w:p>
        </w:tc>
        <w:tc>
          <w:tcPr>
            <w:tcW w:w="117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2020</w:t>
            </w:r>
          </w:p>
        </w:tc>
        <w:tc>
          <w:tcPr>
            <w:tcW w:w="4030"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633</w:t>
            </w:r>
          </w:p>
        </w:tc>
        <w:tc>
          <w:tcPr>
            <w:tcW w:w="180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0.5</w:t>
            </w:r>
          </w:p>
        </w:tc>
        <w:tc>
          <w:tcPr>
            <w:tcW w:w="1295"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0.8</w:t>
            </w:r>
          </w:p>
        </w:tc>
      </w:tr>
      <w:tr w:rsidR="00672663" w:rsidRPr="0083125D" w:rsidTr="00C55BA9">
        <w:trPr>
          <w:jc w:val="center"/>
        </w:trPr>
        <w:tc>
          <w:tcPr>
            <w:tcW w:w="825"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3</w:t>
            </w:r>
          </w:p>
        </w:tc>
        <w:tc>
          <w:tcPr>
            <w:tcW w:w="117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2021</w:t>
            </w:r>
          </w:p>
        </w:tc>
        <w:tc>
          <w:tcPr>
            <w:tcW w:w="4030"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633</w:t>
            </w:r>
          </w:p>
        </w:tc>
        <w:tc>
          <w:tcPr>
            <w:tcW w:w="180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0.2</w:t>
            </w:r>
          </w:p>
        </w:tc>
        <w:tc>
          <w:tcPr>
            <w:tcW w:w="1295"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0.3</w:t>
            </w:r>
          </w:p>
        </w:tc>
      </w:tr>
      <w:tr w:rsidR="00672663" w:rsidRPr="0083125D" w:rsidTr="00C55BA9">
        <w:trPr>
          <w:jc w:val="center"/>
        </w:trPr>
        <w:tc>
          <w:tcPr>
            <w:tcW w:w="825"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4</w:t>
            </w:r>
          </w:p>
        </w:tc>
        <w:tc>
          <w:tcPr>
            <w:tcW w:w="117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2022</w:t>
            </w:r>
          </w:p>
        </w:tc>
        <w:tc>
          <w:tcPr>
            <w:tcW w:w="4030"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633</w:t>
            </w:r>
          </w:p>
        </w:tc>
        <w:tc>
          <w:tcPr>
            <w:tcW w:w="180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0.3</w:t>
            </w:r>
          </w:p>
        </w:tc>
        <w:tc>
          <w:tcPr>
            <w:tcW w:w="1295"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0.8</w:t>
            </w:r>
          </w:p>
        </w:tc>
      </w:tr>
      <w:tr w:rsidR="00672663" w:rsidRPr="0083125D" w:rsidTr="00C55BA9">
        <w:trPr>
          <w:jc w:val="center"/>
        </w:trPr>
        <w:tc>
          <w:tcPr>
            <w:tcW w:w="825"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5</w:t>
            </w:r>
          </w:p>
        </w:tc>
        <w:tc>
          <w:tcPr>
            <w:tcW w:w="117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2023</w:t>
            </w:r>
          </w:p>
        </w:tc>
        <w:tc>
          <w:tcPr>
            <w:tcW w:w="4030"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519</w:t>
            </w:r>
          </w:p>
        </w:tc>
        <w:tc>
          <w:tcPr>
            <w:tcW w:w="180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0.6</w:t>
            </w:r>
          </w:p>
        </w:tc>
        <w:tc>
          <w:tcPr>
            <w:tcW w:w="1295"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1.2</w:t>
            </w:r>
          </w:p>
        </w:tc>
      </w:tr>
    </w:tbl>
    <w:p w:rsidR="00672663" w:rsidRPr="0083125D" w:rsidRDefault="00672663" w:rsidP="00672663">
      <w:pPr>
        <w:tabs>
          <w:tab w:val="left" w:pos="1276"/>
          <w:tab w:val="left" w:leader="dot" w:pos="9356"/>
        </w:tabs>
        <w:ind w:left="170"/>
        <w:jc w:val="both"/>
        <w:rPr>
          <w:rFonts w:ascii="Trebuchet MS" w:hAnsi="Trebuchet MS" w:cs="Arial"/>
        </w:rPr>
      </w:pPr>
      <w:r w:rsidRPr="0083125D">
        <w:rPr>
          <w:rFonts w:ascii="Trebuchet MS" w:hAnsi="Trebuchet MS" w:cs="Arial"/>
        </w:rPr>
        <w:t xml:space="preserve">       Sursa: Direcţia Silvică Ilfov</w:t>
      </w:r>
    </w:p>
    <w:p w:rsidR="00672663" w:rsidRPr="0083125D" w:rsidRDefault="00672663" w:rsidP="00672663">
      <w:pPr>
        <w:tabs>
          <w:tab w:val="left" w:pos="1276"/>
          <w:tab w:val="left" w:leader="dot" w:pos="9356"/>
        </w:tabs>
        <w:ind w:left="170"/>
        <w:jc w:val="both"/>
        <w:rPr>
          <w:rFonts w:ascii="Trebuchet MS" w:hAnsi="Trebuchet MS" w:cs="Arial"/>
          <w:sz w:val="22"/>
          <w:szCs w:val="22"/>
          <w:lang w:val="ro-RO"/>
        </w:rPr>
      </w:pPr>
    </w:p>
    <w:p w:rsidR="00672663" w:rsidRPr="0083125D" w:rsidRDefault="00672663" w:rsidP="00672663">
      <w:pPr>
        <w:tabs>
          <w:tab w:val="left" w:pos="0"/>
        </w:tabs>
        <w:jc w:val="both"/>
        <w:rPr>
          <w:rFonts w:ascii="Trebuchet MS" w:hAnsi="Trebuchet MS" w:cs="Arial"/>
          <w:sz w:val="22"/>
          <w:szCs w:val="22"/>
        </w:rPr>
      </w:pPr>
    </w:p>
    <w:p w:rsidR="00672663" w:rsidRPr="0083125D" w:rsidRDefault="00672663" w:rsidP="00672663">
      <w:pPr>
        <w:tabs>
          <w:tab w:val="left" w:pos="0"/>
          <w:tab w:val="left" w:pos="270"/>
          <w:tab w:val="left" w:pos="360"/>
        </w:tabs>
        <w:jc w:val="both"/>
        <w:rPr>
          <w:rFonts w:ascii="Trebuchet MS" w:hAnsi="Trebuchet MS" w:cs="Arial"/>
          <w:sz w:val="22"/>
          <w:szCs w:val="22"/>
        </w:rPr>
      </w:pPr>
      <w:r w:rsidRPr="0083125D">
        <w:rPr>
          <w:rFonts w:ascii="Trebuchet MS" w:hAnsi="Trebuchet MS" w:cs="Arial"/>
          <w:sz w:val="22"/>
          <w:szCs w:val="22"/>
        </w:rPr>
        <w:t xml:space="preserve">      Grafic </w:t>
      </w:r>
      <w:r w:rsidRPr="0083125D">
        <w:rPr>
          <w:rFonts w:ascii="Trebuchet MS" w:hAnsi="Trebuchet MS" w:cs="Arial"/>
          <w:i/>
          <w:sz w:val="22"/>
          <w:szCs w:val="22"/>
          <w:lang w:val="ro-RO"/>
        </w:rPr>
        <w:t xml:space="preserve">VI.2.1 </w:t>
      </w:r>
      <w:r w:rsidRPr="0083125D">
        <w:rPr>
          <w:rFonts w:ascii="Trebuchet MS" w:hAnsi="Trebuchet MS" w:cs="Arial"/>
          <w:sz w:val="22"/>
          <w:szCs w:val="22"/>
        </w:rPr>
        <w:t xml:space="preserve">Evoluţia masei lemnoase recoltate în raza Mun. Bucureşti în perioada 2019 </w:t>
      </w:r>
    </w:p>
    <w:p w:rsidR="00672663" w:rsidRPr="0083125D" w:rsidRDefault="00672663" w:rsidP="00672663">
      <w:pPr>
        <w:tabs>
          <w:tab w:val="left" w:pos="0"/>
        </w:tabs>
        <w:jc w:val="both"/>
        <w:rPr>
          <w:rFonts w:ascii="Trebuchet MS" w:hAnsi="Trebuchet MS" w:cs="Arial"/>
          <w:sz w:val="22"/>
          <w:szCs w:val="22"/>
        </w:rPr>
      </w:pPr>
      <w:r w:rsidRPr="0083125D">
        <w:rPr>
          <w:rFonts w:ascii="Trebuchet MS" w:hAnsi="Trebuchet MS" w:cs="Arial"/>
          <w:sz w:val="22"/>
          <w:szCs w:val="22"/>
        </w:rPr>
        <w:t xml:space="preserve">       – 2023</w:t>
      </w:r>
    </w:p>
    <w:p w:rsidR="00672663" w:rsidRPr="00947524" w:rsidRDefault="00672663" w:rsidP="00672663">
      <w:pPr>
        <w:tabs>
          <w:tab w:val="left" w:pos="0"/>
        </w:tabs>
        <w:jc w:val="center"/>
        <w:rPr>
          <w:rFonts w:ascii="Arial" w:hAnsi="Arial" w:cs="Arial"/>
        </w:rPr>
      </w:pPr>
      <w:r w:rsidRPr="00947524">
        <w:rPr>
          <w:rFonts w:ascii="Arial" w:hAnsi="Arial" w:cs="Arial"/>
          <w:noProof/>
          <w:lang w:val="en-US"/>
        </w:rPr>
        <w:drawing>
          <wp:anchor distT="0" distB="1524" distL="114300" distR="114300" simplePos="0" relativeHeight="251705856" behindDoc="1" locked="0" layoutInCell="1" allowOverlap="1" wp14:anchorId="52EC7D10" wp14:editId="5586A26E">
            <wp:simplePos x="0" y="0"/>
            <wp:positionH relativeFrom="column">
              <wp:posOffset>389255</wp:posOffset>
            </wp:positionH>
            <wp:positionV relativeFrom="paragraph">
              <wp:posOffset>152400</wp:posOffset>
            </wp:positionV>
            <wp:extent cx="5581650" cy="3905885"/>
            <wp:effectExtent l="0" t="0" r="0" b="3175"/>
            <wp:wrapTight wrapText="bothSides">
              <wp:wrapPolygon edited="0">
                <wp:start x="0" y="0"/>
                <wp:lineTo x="0" y="21510"/>
                <wp:lineTo x="21525" y="21510"/>
                <wp:lineTo x="21525" y="0"/>
                <wp:lineTo x="0" y="0"/>
              </wp:wrapPolygon>
            </wp:wrapTight>
            <wp:docPr id="416" name="Object 4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page">
              <wp14:pctWidth>0</wp14:pctWidth>
            </wp14:sizeRelH>
            <wp14:sizeRelV relativeFrom="page">
              <wp14:pctHeight>0</wp14:pctHeight>
            </wp14:sizeRelV>
          </wp:anchor>
        </w:drawing>
      </w:r>
      <w:r w:rsidRPr="00947524">
        <w:rPr>
          <w:rFonts w:ascii="Arial" w:hAnsi="Arial" w:cs="Arial"/>
          <w:noProof/>
          <w:lang w:val="en-US"/>
        </w:rPr>
        <mc:AlternateContent>
          <mc:Choice Requires="wps">
            <w:drawing>
              <wp:anchor distT="0" distB="0" distL="114300" distR="114300" simplePos="0" relativeHeight="251702784" behindDoc="0" locked="0" layoutInCell="1" allowOverlap="1" wp14:anchorId="29124B13" wp14:editId="3DD6EE12">
                <wp:simplePos x="0" y="0"/>
                <wp:positionH relativeFrom="column">
                  <wp:posOffset>600075</wp:posOffset>
                </wp:positionH>
                <wp:positionV relativeFrom="paragraph">
                  <wp:posOffset>156210</wp:posOffset>
                </wp:positionV>
                <wp:extent cx="5257800" cy="294640"/>
                <wp:effectExtent l="10795" t="13970" r="8255" b="5715"/>
                <wp:wrapNone/>
                <wp:docPr id="9"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94640"/>
                        </a:xfrm>
                        <a:prstGeom prst="rect">
                          <a:avLst/>
                        </a:prstGeom>
                        <a:solidFill>
                          <a:srgbClr val="FFFFFF"/>
                        </a:solidFill>
                        <a:ln w="9525">
                          <a:solidFill>
                            <a:srgbClr val="000000"/>
                          </a:solidFill>
                          <a:miter lim="800000"/>
                          <a:headEnd/>
                          <a:tailEnd/>
                        </a:ln>
                      </wps:spPr>
                      <wps:txbx>
                        <w:txbxContent>
                          <w:p w:rsidR="00DD46ED" w:rsidRDefault="00DD46ED" w:rsidP="00672663">
                            <w:pPr>
                              <w:jc w:val="center"/>
                            </w:pPr>
                            <w:r>
                              <w:t>Evoluţ</w:t>
                            </w:r>
                            <w:r w:rsidRPr="0043168C">
                              <w:t xml:space="preserve">ia masei lemnoase recoltate </w:t>
                            </w:r>
                            <w:r>
                              <w:t>î</w:t>
                            </w:r>
                            <w:r w:rsidRPr="0043168C">
                              <w:t xml:space="preserve">n </w:t>
                            </w:r>
                            <w:r>
                              <w:t>raza Mun Bucureş</w:t>
                            </w:r>
                            <w:r w:rsidRPr="0043168C">
                              <w:t>ti</w:t>
                            </w:r>
                            <w:r>
                              <w:t xml:space="preserve"> î</w:t>
                            </w:r>
                            <w:r w:rsidRPr="0043168C">
                              <w:t>n perioada 201</w:t>
                            </w:r>
                            <w:r>
                              <w:t>3</w:t>
                            </w:r>
                            <w:r w:rsidRPr="0043168C">
                              <w:t xml:space="preserve"> – 201</w:t>
                            </w:r>
                            <w: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5" o:spid="_x0000_s1032" type="#_x0000_t202" style="position:absolute;left:0;text-align:left;margin-left:47.25pt;margin-top:12.3pt;width:414pt;height:23.2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">
                <v:textbox>
                  <w:txbxContent>
                    <w:p w:rsidR="00DD46ED" w:rsidRDefault="00DD46ED" w:rsidP="00672663">
                      <w:pPr>
                        <w:jc w:val="center"/>
                      </w:pPr>
                      <w:r>
                        <w:t>Evoluţ</w:t>
                      </w:r>
                      <w:r w:rsidRPr="0043168C">
                        <w:t xml:space="preserve">ia masei lemnoase recoltate </w:t>
                      </w:r>
                      <w:r>
                        <w:t>î</w:t>
                      </w:r>
                      <w:r w:rsidRPr="0043168C">
                        <w:t xml:space="preserve">n </w:t>
                      </w:r>
                      <w:r>
                        <w:t>raza Mun Bucureş</w:t>
                      </w:r>
                      <w:r w:rsidRPr="0043168C">
                        <w:t>ti</w:t>
                      </w:r>
                      <w:r>
                        <w:t xml:space="preserve"> î</w:t>
                      </w:r>
                      <w:r w:rsidRPr="0043168C">
                        <w:t>n perioada 201</w:t>
                      </w:r>
                      <w:r>
                        <w:t>3</w:t>
                      </w:r>
                      <w:r w:rsidRPr="0043168C">
                        <w:t xml:space="preserve"> – 201</w:t>
                      </w:r>
                      <w:r>
                        <w:t>7</w:t>
                      </w:r>
                    </w:p>
                  </w:txbxContent>
                </v:textbox>
              </v:shape>
            </w:pict>
          </mc:Fallback>
        </mc:AlternateContent>
      </w:r>
    </w:p>
    <w:p w:rsidR="00672663" w:rsidRPr="00947524" w:rsidRDefault="00672663" w:rsidP="00672663">
      <w:pPr>
        <w:tabs>
          <w:tab w:val="left" w:pos="0"/>
        </w:tabs>
        <w:jc w:val="both"/>
        <w:rPr>
          <w:rFonts w:ascii="Arial" w:hAnsi="Arial" w:cs="Arial"/>
        </w:rPr>
      </w:pPr>
    </w:p>
    <w:p w:rsidR="00672663" w:rsidRPr="00947524" w:rsidRDefault="00672663" w:rsidP="00672663">
      <w:pPr>
        <w:tabs>
          <w:tab w:val="left" w:pos="0"/>
        </w:tabs>
        <w:jc w:val="both"/>
        <w:rPr>
          <w:rFonts w:ascii="Arial" w:hAnsi="Arial" w:cs="Arial"/>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947524" w:rsidRDefault="00672663" w:rsidP="00672663">
      <w:pPr>
        <w:tabs>
          <w:tab w:val="left" w:pos="0"/>
        </w:tabs>
        <w:jc w:val="both"/>
        <w:rPr>
          <w:rFonts w:ascii="Arial" w:hAnsi="Arial" w:cs="Arial"/>
          <w:i/>
          <w:lang w:val="ro-RO"/>
        </w:rPr>
      </w:pPr>
    </w:p>
    <w:p w:rsidR="00672663" w:rsidRPr="0083125D" w:rsidRDefault="00672663" w:rsidP="00672663">
      <w:pPr>
        <w:tabs>
          <w:tab w:val="left" w:pos="0"/>
          <w:tab w:val="left" w:pos="180"/>
        </w:tabs>
        <w:jc w:val="both"/>
        <w:rPr>
          <w:rFonts w:ascii="Trebuchet MS" w:hAnsi="Trebuchet MS" w:cs="Arial"/>
          <w:i/>
          <w:lang w:val="ro-RO"/>
        </w:rPr>
      </w:pPr>
      <w:r>
        <w:rPr>
          <w:rFonts w:ascii="Arial" w:hAnsi="Arial" w:cs="Arial"/>
          <w:i/>
          <w:lang w:val="ro-RO"/>
        </w:rPr>
        <w:t xml:space="preserve"> </w:t>
      </w:r>
    </w:p>
    <w:p w:rsidR="00672663" w:rsidRPr="0083125D" w:rsidRDefault="00672663" w:rsidP="00672663">
      <w:pPr>
        <w:tabs>
          <w:tab w:val="left" w:pos="0"/>
          <w:tab w:val="left" w:pos="180"/>
        </w:tabs>
        <w:jc w:val="both"/>
        <w:rPr>
          <w:rFonts w:ascii="Trebuchet MS" w:hAnsi="Trebuchet MS" w:cs="Arial"/>
          <w:i/>
          <w:lang w:val="ro-RO"/>
        </w:rPr>
      </w:pPr>
    </w:p>
    <w:p w:rsidR="0083125D" w:rsidRDefault="00672663" w:rsidP="00672663">
      <w:pPr>
        <w:tabs>
          <w:tab w:val="left" w:pos="0"/>
          <w:tab w:val="left" w:pos="180"/>
        </w:tabs>
        <w:jc w:val="both"/>
        <w:rPr>
          <w:rFonts w:ascii="Trebuchet MS" w:hAnsi="Trebuchet MS" w:cs="Arial"/>
          <w:i/>
          <w:lang w:val="ro-RO"/>
        </w:rPr>
      </w:pPr>
      <w:r w:rsidRPr="0083125D">
        <w:rPr>
          <w:rFonts w:ascii="Trebuchet MS" w:hAnsi="Trebuchet MS" w:cs="Arial"/>
          <w:i/>
          <w:lang w:val="ro-RO"/>
        </w:rPr>
        <w:t xml:space="preserve">    </w:t>
      </w:r>
    </w:p>
    <w:p w:rsidR="0083125D" w:rsidRDefault="0083125D" w:rsidP="00672663">
      <w:pPr>
        <w:tabs>
          <w:tab w:val="left" w:pos="0"/>
          <w:tab w:val="left" w:pos="180"/>
        </w:tabs>
        <w:jc w:val="both"/>
        <w:rPr>
          <w:rFonts w:ascii="Trebuchet MS" w:hAnsi="Trebuchet MS" w:cs="Arial"/>
          <w:i/>
          <w:lang w:val="ro-RO"/>
        </w:rPr>
      </w:pPr>
    </w:p>
    <w:p w:rsidR="0083125D" w:rsidRDefault="0083125D" w:rsidP="00672663">
      <w:pPr>
        <w:tabs>
          <w:tab w:val="left" w:pos="0"/>
          <w:tab w:val="left" w:pos="180"/>
        </w:tabs>
        <w:jc w:val="both"/>
        <w:rPr>
          <w:rFonts w:ascii="Trebuchet MS" w:hAnsi="Trebuchet MS" w:cs="Arial"/>
          <w:i/>
          <w:lang w:val="ro-RO"/>
        </w:rPr>
      </w:pPr>
    </w:p>
    <w:p w:rsidR="0083125D" w:rsidRDefault="0083125D" w:rsidP="00672663">
      <w:pPr>
        <w:tabs>
          <w:tab w:val="left" w:pos="0"/>
          <w:tab w:val="left" w:pos="180"/>
        </w:tabs>
        <w:jc w:val="both"/>
        <w:rPr>
          <w:rFonts w:ascii="Trebuchet MS" w:hAnsi="Trebuchet MS" w:cs="Arial"/>
          <w:i/>
          <w:lang w:val="ro-RO"/>
        </w:rPr>
      </w:pPr>
    </w:p>
    <w:p w:rsidR="0083125D" w:rsidRDefault="0083125D" w:rsidP="00672663">
      <w:pPr>
        <w:tabs>
          <w:tab w:val="left" w:pos="0"/>
          <w:tab w:val="left" w:pos="180"/>
        </w:tabs>
        <w:jc w:val="both"/>
        <w:rPr>
          <w:rFonts w:ascii="Trebuchet MS" w:hAnsi="Trebuchet MS" w:cs="Arial"/>
          <w:i/>
          <w:lang w:val="ro-RO"/>
        </w:rPr>
      </w:pPr>
    </w:p>
    <w:p w:rsidR="0083125D" w:rsidRDefault="0083125D" w:rsidP="00672663">
      <w:pPr>
        <w:tabs>
          <w:tab w:val="left" w:pos="0"/>
          <w:tab w:val="left" w:pos="180"/>
        </w:tabs>
        <w:jc w:val="both"/>
        <w:rPr>
          <w:rFonts w:ascii="Trebuchet MS" w:hAnsi="Trebuchet MS" w:cs="Arial"/>
          <w:i/>
          <w:lang w:val="ro-RO"/>
        </w:rPr>
      </w:pPr>
    </w:p>
    <w:p w:rsidR="0083125D" w:rsidRDefault="0083125D" w:rsidP="00672663">
      <w:pPr>
        <w:tabs>
          <w:tab w:val="left" w:pos="0"/>
          <w:tab w:val="left" w:pos="180"/>
        </w:tabs>
        <w:jc w:val="both"/>
        <w:rPr>
          <w:rFonts w:ascii="Trebuchet MS" w:hAnsi="Trebuchet MS" w:cs="Arial"/>
          <w:i/>
          <w:lang w:val="ro-RO"/>
        </w:rPr>
      </w:pPr>
    </w:p>
    <w:p w:rsidR="00672663" w:rsidRPr="0083125D" w:rsidRDefault="00672663" w:rsidP="00672663">
      <w:pPr>
        <w:tabs>
          <w:tab w:val="left" w:pos="0"/>
          <w:tab w:val="left" w:pos="180"/>
        </w:tabs>
        <w:jc w:val="both"/>
        <w:rPr>
          <w:rFonts w:ascii="Trebuchet MS" w:hAnsi="Trebuchet MS" w:cs="Arial"/>
          <w:i/>
          <w:lang w:val="ro-RO"/>
        </w:rPr>
      </w:pPr>
      <w:r w:rsidRPr="0083125D">
        <w:rPr>
          <w:rFonts w:ascii="Trebuchet MS" w:hAnsi="Trebuchet MS" w:cs="Arial"/>
          <w:i/>
          <w:lang w:val="ro-RO"/>
        </w:rPr>
        <w:t xml:space="preserve">VI.2.2 Schimbarea utilizării terenurilor </w:t>
      </w:r>
    </w:p>
    <w:p w:rsidR="00672663" w:rsidRPr="0083125D" w:rsidRDefault="00672663" w:rsidP="00672663">
      <w:pPr>
        <w:tabs>
          <w:tab w:val="left" w:leader="dot" w:pos="9356"/>
        </w:tabs>
        <w:rPr>
          <w:rFonts w:ascii="Trebuchet MS" w:hAnsi="Trebuchet MS" w:cs="Arial"/>
          <w:bCs/>
        </w:rPr>
      </w:pPr>
      <w:r w:rsidRPr="0083125D">
        <w:rPr>
          <w:rFonts w:ascii="Trebuchet MS" w:hAnsi="Trebuchet MS" w:cs="Arial"/>
          <w:bCs/>
        </w:rPr>
        <w:t xml:space="preserve">     </w:t>
      </w:r>
    </w:p>
    <w:p w:rsidR="00672663" w:rsidRPr="0083125D" w:rsidRDefault="00672663" w:rsidP="00672663">
      <w:pPr>
        <w:tabs>
          <w:tab w:val="left" w:pos="90"/>
          <w:tab w:val="left" w:leader="dot" w:pos="9356"/>
        </w:tabs>
        <w:jc w:val="both"/>
        <w:rPr>
          <w:rFonts w:ascii="Trebuchet MS" w:hAnsi="Trebuchet MS" w:cs="Arial"/>
          <w:bCs/>
          <w:sz w:val="22"/>
          <w:szCs w:val="22"/>
        </w:rPr>
      </w:pPr>
      <w:r w:rsidRPr="0083125D">
        <w:rPr>
          <w:rFonts w:ascii="Trebuchet MS" w:hAnsi="Trebuchet MS" w:cs="Arial"/>
          <w:bCs/>
        </w:rPr>
        <w:t xml:space="preserve">   </w:t>
      </w:r>
      <w:r w:rsidRPr="0083125D">
        <w:rPr>
          <w:rFonts w:ascii="Trebuchet MS" w:hAnsi="Trebuchet MS" w:cs="Arial"/>
          <w:bCs/>
          <w:sz w:val="22"/>
          <w:szCs w:val="22"/>
        </w:rPr>
        <w:t xml:space="preserve">Tabel </w:t>
      </w:r>
      <w:r w:rsidRPr="0083125D">
        <w:rPr>
          <w:rFonts w:ascii="Trebuchet MS" w:hAnsi="Trebuchet MS" w:cs="Arial"/>
          <w:sz w:val="22"/>
          <w:szCs w:val="22"/>
          <w:lang w:val="ro-RO"/>
        </w:rPr>
        <w:t xml:space="preserve">VI.2.2.1 </w:t>
      </w:r>
      <w:r w:rsidRPr="0083125D">
        <w:rPr>
          <w:rFonts w:ascii="Trebuchet MS" w:hAnsi="Trebuchet MS" w:cs="Arial"/>
          <w:bCs/>
          <w:sz w:val="22"/>
          <w:szCs w:val="22"/>
        </w:rPr>
        <w:t>Fondul funciar în Municipiul Bucureşti, după modul de folosinţă, la 31       decembrie 2014, comparativ cu anul 2010</w:t>
      </w:r>
    </w:p>
    <w:p w:rsidR="00672663" w:rsidRPr="0083125D" w:rsidRDefault="00672663" w:rsidP="00672663">
      <w:pPr>
        <w:tabs>
          <w:tab w:val="left" w:leader="dot" w:pos="9356"/>
        </w:tabs>
        <w:rPr>
          <w:rFonts w:ascii="Trebuchet MS" w:hAnsi="Trebuchet MS" w:cs="Arial"/>
          <w:bCs/>
          <w:sz w:val="22"/>
          <w:szCs w:val="22"/>
        </w:rPr>
      </w:pP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1350"/>
        <w:gridCol w:w="1350"/>
        <w:gridCol w:w="1350"/>
        <w:gridCol w:w="1350"/>
        <w:gridCol w:w="1350"/>
      </w:tblGrid>
      <w:tr w:rsidR="00672663" w:rsidRPr="0083125D" w:rsidTr="00C55BA9">
        <w:trPr>
          <w:jc w:val="center"/>
        </w:trPr>
        <w:tc>
          <w:tcPr>
            <w:tcW w:w="2628" w:type="dxa"/>
          </w:tcPr>
          <w:p w:rsidR="00672663" w:rsidRPr="0083125D" w:rsidRDefault="00672663" w:rsidP="00C55BA9">
            <w:pPr>
              <w:pStyle w:val="NoSpacing"/>
              <w:tabs>
                <w:tab w:val="left" w:pos="2213"/>
              </w:tabs>
              <w:jc w:val="center"/>
              <w:rPr>
                <w:rFonts w:ascii="Trebuchet MS" w:hAnsi="Trebuchet MS" w:cs="Arial"/>
                <w:bCs/>
                <w:lang w:eastAsia="ro-RO"/>
              </w:rPr>
            </w:pP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2010</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2011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2012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2013</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2014</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Suprafaţa totală</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23787</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23787</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23787</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23787</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23787</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Suprafaţa agricolă</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3121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3052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3052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3052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3052</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Proprietate majoritar privată</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1952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1951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1951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1951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1944</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Suprafaţa agricolă pe categorii de folosinţă</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Arabil</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2634</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2566</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2566</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2566</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2566</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Păşuni</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355</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355</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355</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355</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355</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Vii şi pepiniere viticole</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12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12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12</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12</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Livezi şi pepiniere pomicole</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hAnsi="Trebuchet MS" w:cs="Arial"/>
                <w:bCs/>
                <w:lang w:eastAsia="ro-RO"/>
              </w:rPr>
              <w:t>120</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119</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119</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119</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lang w:eastAsia="ro-RO"/>
              </w:rPr>
              <w:t>119</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Păduri şi alte terenuri cu vegetaţie forestieră</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611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611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611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611</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611</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Ape şi bălţi</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908</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908</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908</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908</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908</w:t>
            </w:r>
          </w:p>
        </w:tc>
      </w:tr>
      <w:tr w:rsidR="00672663" w:rsidRPr="0083125D" w:rsidTr="00C55BA9">
        <w:trPr>
          <w:jc w:val="center"/>
        </w:trPr>
        <w:tc>
          <w:tcPr>
            <w:tcW w:w="2628" w:type="dxa"/>
          </w:tcPr>
          <w:p w:rsidR="00672663" w:rsidRPr="0083125D" w:rsidRDefault="00672663" w:rsidP="00C55BA9">
            <w:pPr>
              <w:pStyle w:val="NoSpacing"/>
              <w:jc w:val="center"/>
              <w:rPr>
                <w:rFonts w:ascii="Trebuchet MS" w:hAnsi="Trebuchet MS" w:cs="Arial"/>
                <w:lang w:eastAsia="ro-RO"/>
              </w:rPr>
            </w:pPr>
            <w:r w:rsidRPr="0083125D">
              <w:rPr>
                <w:rFonts w:ascii="Trebuchet MS" w:hAnsi="Trebuchet MS" w:cs="Arial"/>
                <w:lang w:eastAsia="ro-RO"/>
              </w:rPr>
              <w:t>Alte suprafeţe</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19147</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19216</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19216</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19216</w:t>
            </w:r>
          </w:p>
        </w:tc>
        <w:tc>
          <w:tcPr>
            <w:tcW w:w="1350" w:type="dxa"/>
          </w:tcPr>
          <w:p w:rsidR="00672663" w:rsidRPr="0083125D" w:rsidRDefault="00672663" w:rsidP="00C55BA9">
            <w:pPr>
              <w:pStyle w:val="NoSpacing"/>
              <w:tabs>
                <w:tab w:val="left" w:pos="2213"/>
              </w:tabs>
              <w:jc w:val="center"/>
              <w:rPr>
                <w:rFonts w:ascii="Trebuchet MS" w:hAnsi="Trebuchet MS" w:cs="Arial"/>
                <w:bCs/>
                <w:lang w:eastAsia="ro-RO"/>
              </w:rPr>
            </w:pPr>
            <w:r w:rsidRPr="0083125D">
              <w:rPr>
                <w:rFonts w:ascii="Trebuchet MS" w:eastAsia="Calibri" w:hAnsi="Trebuchet MS" w:cs="Arial"/>
                <w:bCs/>
                <w:lang w:eastAsia="ro-RO"/>
              </w:rPr>
              <w:t>19216</w:t>
            </w:r>
          </w:p>
        </w:tc>
      </w:tr>
    </w:tbl>
    <w:p w:rsidR="00672663" w:rsidRPr="0083125D" w:rsidRDefault="00672663" w:rsidP="00672663">
      <w:pPr>
        <w:pStyle w:val="NoSpacing"/>
        <w:jc w:val="both"/>
        <w:rPr>
          <w:rFonts w:ascii="Trebuchet MS" w:eastAsia="Calibri" w:hAnsi="Trebuchet MS" w:cs="Arial"/>
          <w:lang w:eastAsia="ro-RO"/>
        </w:rPr>
      </w:pPr>
      <w:r w:rsidRPr="0083125D">
        <w:rPr>
          <w:rFonts w:ascii="Trebuchet MS" w:hAnsi="Trebuchet MS" w:cs="Arial"/>
        </w:rPr>
        <w:t xml:space="preserve">          Sursa: </w:t>
      </w:r>
      <w:r w:rsidRPr="0083125D">
        <w:rPr>
          <w:rFonts w:ascii="Trebuchet MS" w:eastAsia="Calibri" w:hAnsi="Trebuchet MS" w:cs="Arial"/>
          <w:lang w:eastAsia="ro-RO"/>
        </w:rPr>
        <w:t>Direcţia Regională de Statistică Bucureşti, Anuar Statistic 2015</w:t>
      </w:r>
    </w:p>
    <w:p w:rsidR="00672663" w:rsidRPr="0083125D" w:rsidRDefault="00672663" w:rsidP="00672663">
      <w:pPr>
        <w:pStyle w:val="NoSpacing"/>
        <w:tabs>
          <w:tab w:val="left" w:pos="360"/>
        </w:tabs>
        <w:jc w:val="both"/>
        <w:rPr>
          <w:rFonts w:ascii="Trebuchet MS" w:hAnsi="Trebuchet MS" w:cs="Arial"/>
        </w:rPr>
      </w:pPr>
      <w:r w:rsidRPr="0083125D">
        <w:rPr>
          <w:rFonts w:ascii="Trebuchet MS" w:hAnsi="Trebuchet MS" w:cs="Arial"/>
        </w:rPr>
        <w:t>Notă: Până la finalizarea acţiunii de cadastrare a ţării de către Agenţia Naţională de Cadastru şi Publicitate Imobiliară, seriile de date prezentate vor rămâne blocate la nivelul anului 2014.</w:t>
      </w:r>
    </w:p>
    <w:p w:rsidR="00672663" w:rsidRPr="0083125D" w:rsidRDefault="00672663" w:rsidP="00672663">
      <w:pPr>
        <w:pStyle w:val="NoSpacing"/>
        <w:tabs>
          <w:tab w:val="left" w:pos="540"/>
          <w:tab w:val="left" w:pos="720"/>
        </w:tabs>
        <w:ind w:firstLine="708"/>
        <w:jc w:val="both"/>
        <w:rPr>
          <w:rFonts w:ascii="Trebuchet MS" w:hAnsi="Trebuchet MS" w:cs="Arial"/>
        </w:rPr>
      </w:pPr>
    </w:p>
    <w:p w:rsidR="00672663" w:rsidRPr="0083125D" w:rsidRDefault="00672663" w:rsidP="00672663">
      <w:pPr>
        <w:pStyle w:val="NoSpacing"/>
        <w:tabs>
          <w:tab w:val="left" w:pos="540"/>
          <w:tab w:val="left" w:pos="720"/>
        </w:tabs>
        <w:ind w:firstLine="708"/>
        <w:jc w:val="both"/>
        <w:rPr>
          <w:rFonts w:ascii="Trebuchet MS" w:hAnsi="Trebuchet MS" w:cs="Arial"/>
        </w:rPr>
      </w:pPr>
      <w:r w:rsidRPr="0083125D">
        <w:rPr>
          <w:rFonts w:ascii="Trebuchet MS" w:hAnsi="Trebuchet MS" w:cs="Arial"/>
        </w:rPr>
        <w:t>După cum se observă din tabelul de mai sus, utilizarea terenurilor din Regiunea 8 s-a modificat puţin de-a lungul anilor, terenurile ”pierdute”  din categoriile de folosinţă prezentate fiind folosite în principal pentru construcţia de locuinţe (zone rezidenţiale) şi  zone industriale.</w:t>
      </w:r>
    </w:p>
    <w:p w:rsidR="00672663" w:rsidRPr="0083125D" w:rsidRDefault="00672663" w:rsidP="00672663">
      <w:pPr>
        <w:pStyle w:val="NoSpacing"/>
        <w:tabs>
          <w:tab w:val="left" w:pos="720"/>
        </w:tabs>
        <w:jc w:val="both"/>
        <w:rPr>
          <w:rFonts w:ascii="Trebuchet MS" w:hAnsi="Trebuchet MS" w:cs="Arial"/>
        </w:rPr>
      </w:pPr>
      <w:r w:rsidRPr="0083125D">
        <w:rPr>
          <w:rFonts w:ascii="Trebuchet MS" w:hAnsi="Trebuchet MS" w:cs="Arial"/>
        </w:rPr>
        <w:tab/>
        <w:t>Datorită procesului de extindere a zonelor rezidenţiale, comerciale şi industriale (în special în zona de Nord a capitalei), există o presiune continuă asupra zonelor împădurite şi spaţiilor verzi. Ponderea redusă a suprafeţelor împădurite din apropierea capitalei şi lipsa programelor de educaţie ecologică exercită o presiune continuă asupra mediului şi afectează starea de sănătate a populaţiei.</w:t>
      </w:r>
    </w:p>
    <w:p w:rsidR="00672663" w:rsidRPr="0083125D" w:rsidRDefault="00672663" w:rsidP="00672663">
      <w:pPr>
        <w:pStyle w:val="NoSpacing"/>
        <w:tabs>
          <w:tab w:val="left" w:pos="720"/>
        </w:tabs>
        <w:jc w:val="both"/>
        <w:rPr>
          <w:rFonts w:ascii="Trebuchet MS" w:hAnsi="Trebuchet MS" w:cs="Arial"/>
        </w:rPr>
      </w:pPr>
      <w:r w:rsidRPr="0083125D">
        <w:rPr>
          <w:rFonts w:ascii="Trebuchet MS" w:hAnsi="Trebuchet MS" w:cs="Arial"/>
        </w:rPr>
        <w:tab/>
        <w:t>În anul 2022 în raza Direcţiei Silvice Ilfov nu s-au înregistrat scoateri din fondul forestier proprietate publică a statului, aflat în administrare. Nu au fost astfel înregistrate schimbări ale categoriei de folosinţă de la pădure şi nu s-a diminuat suprafaţa ocupată cu pădure administrată.</w:t>
      </w:r>
    </w:p>
    <w:p w:rsidR="00672663" w:rsidRPr="0083125D" w:rsidRDefault="00672663" w:rsidP="00672663">
      <w:pPr>
        <w:pStyle w:val="NoSpacing"/>
        <w:tabs>
          <w:tab w:val="left" w:pos="720"/>
        </w:tabs>
        <w:jc w:val="both"/>
        <w:rPr>
          <w:rFonts w:ascii="Trebuchet MS" w:hAnsi="Trebuchet MS" w:cs="Arial"/>
        </w:rPr>
      </w:pPr>
    </w:p>
    <w:p w:rsidR="00672663" w:rsidRPr="0083125D" w:rsidRDefault="00672663" w:rsidP="00672663">
      <w:pPr>
        <w:tabs>
          <w:tab w:val="left" w:pos="180"/>
          <w:tab w:val="left" w:leader="dot" w:pos="9356"/>
        </w:tabs>
        <w:rPr>
          <w:rFonts w:ascii="Trebuchet MS" w:hAnsi="Trebuchet MS" w:cs="Arial"/>
          <w:i/>
          <w:lang w:val="ro-RO"/>
        </w:rPr>
      </w:pPr>
      <w:r w:rsidRPr="0083125D">
        <w:rPr>
          <w:rFonts w:ascii="Trebuchet MS" w:hAnsi="Trebuchet MS" w:cs="Arial"/>
          <w:i/>
          <w:lang w:val="ro-RO"/>
        </w:rPr>
        <w:t xml:space="preserve">    VI.2.2.1 Fragmentarea ecosistemelor </w:t>
      </w:r>
    </w:p>
    <w:p w:rsidR="00672663" w:rsidRPr="00947524" w:rsidRDefault="00672663" w:rsidP="00672663">
      <w:pPr>
        <w:tabs>
          <w:tab w:val="left" w:pos="720"/>
          <w:tab w:val="left" w:leader="dot" w:pos="9356"/>
        </w:tabs>
        <w:rPr>
          <w:rFonts w:ascii="Arial" w:hAnsi="Arial" w:cs="Arial"/>
          <w:lang w:val="ro-RO"/>
        </w:rPr>
      </w:pPr>
    </w:p>
    <w:p w:rsidR="00672663" w:rsidRPr="0083125D" w:rsidRDefault="00672663" w:rsidP="00672663">
      <w:pPr>
        <w:tabs>
          <w:tab w:val="left" w:pos="720"/>
          <w:tab w:val="left" w:leader="dot" w:pos="9356"/>
        </w:tabs>
        <w:jc w:val="both"/>
        <w:rPr>
          <w:rFonts w:ascii="Trebuchet MS" w:hAnsi="Trebuchet MS" w:cs="Arial"/>
          <w:sz w:val="22"/>
          <w:szCs w:val="22"/>
          <w:lang w:val="ro-RO"/>
        </w:rPr>
      </w:pPr>
      <w:r w:rsidRPr="0083125D">
        <w:rPr>
          <w:rFonts w:ascii="Trebuchet MS" w:hAnsi="Trebuchet MS" w:cs="Arial"/>
          <w:sz w:val="22"/>
          <w:szCs w:val="22"/>
          <w:lang w:val="ro-RO"/>
        </w:rPr>
        <w:t xml:space="preserve">           În anul 2023, pe raza Direcției Silvice Ilfov nu s-au înregistrat fragmentări ale ecosistemelor componente ale fondului forestier administrat.</w:t>
      </w:r>
    </w:p>
    <w:p w:rsidR="00672663" w:rsidRPr="0083125D" w:rsidRDefault="00672663" w:rsidP="00672663">
      <w:pPr>
        <w:tabs>
          <w:tab w:val="left" w:leader="dot" w:pos="9356"/>
        </w:tabs>
        <w:rPr>
          <w:rFonts w:ascii="Trebuchet MS" w:hAnsi="Trebuchet MS" w:cs="Arial"/>
          <w:i/>
          <w:sz w:val="22"/>
          <w:szCs w:val="22"/>
          <w:lang w:val="ro-RO"/>
        </w:rPr>
      </w:pPr>
      <w:r w:rsidRPr="0083125D">
        <w:rPr>
          <w:rFonts w:ascii="Trebuchet MS" w:hAnsi="Trebuchet MS" w:cs="Arial"/>
          <w:sz w:val="22"/>
          <w:szCs w:val="22"/>
          <w:lang w:val="ro-RO"/>
        </w:rPr>
        <w:t xml:space="preserve">    </w:t>
      </w:r>
    </w:p>
    <w:p w:rsidR="00672663" w:rsidRPr="0083125D" w:rsidRDefault="00672663" w:rsidP="00672663">
      <w:pPr>
        <w:tabs>
          <w:tab w:val="left" w:pos="360"/>
          <w:tab w:val="left" w:pos="1276"/>
          <w:tab w:val="left" w:leader="dot" w:pos="9356"/>
        </w:tabs>
        <w:ind w:left="170"/>
        <w:rPr>
          <w:rFonts w:ascii="Trebuchet MS" w:hAnsi="Trebuchet MS" w:cs="Arial"/>
          <w:i/>
          <w:lang w:val="ro-RO"/>
        </w:rPr>
      </w:pPr>
      <w:r w:rsidRPr="0083125D">
        <w:rPr>
          <w:rFonts w:ascii="Trebuchet MS" w:hAnsi="Trebuchet MS" w:cs="Arial"/>
          <w:i/>
          <w:lang w:val="ro-RO"/>
        </w:rPr>
        <w:t>VI.2.3 Schimbările climatice</w:t>
      </w:r>
    </w:p>
    <w:p w:rsidR="00672663" w:rsidRPr="0083125D" w:rsidRDefault="00672663" w:rsidP="00672663">
      <w:pPr>
        <w:tabs>
          <w:tab w:val="left" w:pos="1276"/>
          <w:tab w:val="left" w:leader="dot" w:pos="9356"/>
        </w:tabs>
        <w:ind w:left="170"/>
        <w:rPr>
          <w:rFonts w:ascii="Trebuchet MS" w:hAnsi="Trebuchet MS" w:cs="Arial"/>
          <w:color w:val="FF0000"/>
          <w:lang w:val="ro-RO"/>
        </w:rPr>
      </w:pPr>
    </w:p>
    <w:p w:rsidR="00672663" w:rsidRPr="0083125D" w:rsidRDefault="00672663" w:rsidP="00672663">
      <w:pPr>
        <w:ind w:firstLine="708"/>
        <w:jc w:val="both"/>
        <w:rPr>
          <w:rFonts w:ascii="Trebuchet MS" w:hAnsi="Trebuchet MS" w:cs="Arial"/>
          <w:sz w:val="22"/>
          <w:szCs w:val="22"/>
        </w:rPr>
      </w:pPr>
      <w:r w:rsidRPr="0083125D">
        <w:rPr>
          <w:rFonts w:ascii="Trebuchet MS" w:hAnsi="Trebuchet MS" w:cs="Arial"/>
          <w:sz w:val="22"/>
          <w:szCs w:val="22"/>
        </w:rPr>
        <w:t>Men</w:t>
      </w:r>
      <w:r w:rsidRPr="0083125D">
        <w:rPr>
          <w:rFonts w:ascii="Trebuchet MS" w:hAnsi="Trebuchet MS" w:cs="Arial"/>
          <w:sz w:val="22"/>
          <w:szCs w:val="22"/>
          <w:lang w:val="ro-RO"/>
        </w:rPr>
        <w:t>ț</w:t>
      </w:r>
      <w:r w:rsidRPr="0083125D">
        <w:rPr>
          <w:rFonts w:ascii="Trebuchet MS" w:hAnsi="Trebuchet MS" w:cs="Arial"/>
          <w:sz w:val="22"/>
          <w:szCs w:val="22"/>
        </w:rPr>
        <w:t>inerea unui mediu sănătos şi stabil înseamnă menţinerea pădurilor în arealul lor natural, actual şi creşterea suprafeţelor acestora, aceasta însemnând şi principalul factor de stabilitate în natură. Schimbările climatice pot fi stopate şi atenuate prin menţinerea suprafeţelor actuale ale fondului forestier şi prin extinderea acestora pe terenurile neproductive ce sunt pe suprafeţe mari actualmente. După cum se ştie, pădurea reprezintă “castelul apelor” în natură, fapt pentru care rolul ei este şi mai important.</w:t>
      </w:r>
    </w:p>
    <w:p w:rsidR="00672663" w:rsidRPr="0083125D" w:rsidRDefault="00672663" w:rsidP="00672663">
      <w:pPr>
        <w:ind w:firstLine="708"/>
        <w:jc w:val="both"/>
        <w:rPr>
          <w:rFonts w:ascii="Trebuchet MS" w:hAnsi="Trebuchet MS" w:cs="Arial"/>
          <w:sz w:val="22"/>
          <w:szCs w:val="22"/>
        </w:rPr>
      </w:pPr>
      <w:r w:rsidRPr="0083125D">
        <w:rPr>
          <w:rFonts w:ascii="Trebuchet MS" w:hAnsi="Trebuchet MS" w:cs="Arial"/>
          <w:sz w:val="22"/>
          <w:szCs w:val="22"/>
        </w:rPr>
        <w:t>Schimbările climatice prezintă câteva ameninţări asupra dezvoltării şi productivităţii pădurilor precum creşterea frecvenţei şi severităţii secetelor din anotimpul de vară cu impact asupra speciilor de arbori sensibili la fenomenul de secetă. Efectele indirecte asupra productivităţii pădurilor sunt: modificări privind severitatea şi frecvenţa focarelor de dăunători şi boli, creşterea populaţiei de insecte şi mamifere dăunătoare şi impactul speciilor invazive existente şi noi.</w:t>
      </w:r>
    </w:p>
    <w:p w:rsidR="00672663" w:rsidRPr="0083125D" w:rsidRDefault="00672663" w:rsidP="00672663">
      <w:pPr>
        <w:ind w:left="360"/>
        <w:jc w:val="both"/>
        <w:rPr>
          <w:rFonts w:ascii="Trebuchet MS" w:hAnsi="Trebuchet MS" w:cs="Arial"/>
          <w:sz w:val="22"/>
          <w:szCs w:val="22"/>
        </w:rPr>
      </w:pPr>
    </w:p>
    <w:p w:rsidR="00672663" w:rsidRPr="0083125D" w:rsidRDefault="00672663" w:rsidP="00672663">
      <w:pPr>
        <w:tabs>
          <w:tab w:val="left" w:pos="360"/>
        </w:tabs>
        <w:jc w:val="both"/>
        <w:rPr>
          <w:rFonts w:ascii="Trebuchet MS" w:hAnsi="Trebuchet MS" w:cs="Arial"/>
          <w:sz w:val="22"/>
          <w:szCs w:val="22"/>
        </w:rPr>
      </w:pPr>
      <w:r w:rsidRPr="0083125D">
        <w:rPr>
          <w:rFonts w:ascii="Trebuchet MS" w:hAnsi="Trebuchet MS" w:cs="Arial"/>
          <w:sz w:val="22"/>
          <w:szCs w:val="22"/>
        </w:rPr>
        <w:t xml:space="preserve">    Tabel </w:t>
      </w:r>
      <w:r w:rsidRPr="0083125D">
        <w:rPr>
          <w:rFonts w:ascii="Trebuchet MS" w:hAnsi="Trebuchet MS" w:cs="Arial"/>
          <w:i/>
          <w:sz w:val="22"/>
          <w:szCs w:val="22"/>
          <w:lang w:val="ro-RO"/>
        </w:rPr>
        <w:t>VI.2.3</w:t>
      </w:r>
      <w:r w:rsidRPr="0083125D">
        <w:rPr>
          <w:rFonts w:ascii="Trebuchet MS" w:hAnsi="Trebuchet MS" w:cs="Arial"/>
          <w:sz w:val="22"/>
          <w:szCs w:val="22"/>
        </w:rPr>
        <w:t xml:space="preserve"> Evoluţia fondului forestier aflat în administrarea Direcțeiei Silvice Ilfov, pe raza Municipiului </w:t>
      </w:r>
      <w:r w:rsidRPr="0083125D">
        <w:rPr>
          <w:rFonts w:ascii="Trebuchet MS" w:hAnsi="Trebuchet MS" w:cs="Arial"/>
          <w:sz w:val="22"/>
          <w:szCs w:val="22"/>
          <w:lang w:val="ro-RO"/>
        </w:rPr>
        <w:t>Bucureşti</w:t>
      </w:r>
      <w:r w:rsidRPr="0083125D">
        <w:rPr>
          <w:rFonts w:ascii="Trebuchet MS" w:hAnsi="Trebuchet MS" w:cs="Arial"/>
          <w:sz w:val="22"/>
          <w:szCs w:val="22"/>
        </w:rPr>
        <w:t xml:space="preserve"> în perioada 2019 – 2023</w:t>
      </w:r>
    </w:p>
    <w:p w:rsidR="00672663" w:rsidRPr="0083125D" w:rsidRDefault="0083125D" w:rsidP="0083125D">
      <w:pPr>
        <w:tabs>
          <w:tab w:val="left" w:pos="2925"/>
        </w:tabs>
        <w:ind w:left="360"/>
        <w:jc w:val="both"/>
        <w:rPr>
          <w:rFonts w:ascii="Trebuchet MS" w:hAnsi="Trebuchet MS" w:cs="Arial"/>
          <w:sz w:val="22"/>
          <w:szCs w:val="22"/>
        </w:rPr>
      </w:pPr>
      <w:r w:rsidRPr="0083125D">
        <w:rPr>
          <w:rFonts w:ascii="Trebuchet MS" w:hAnsi="Trebuchet MS" w:cs="Arial"/>
          <w:sz w:val="22"/>
          <w:szCs w:val="22"/>
        </w:rPr>
        <w:tab/>
      </w: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1320"/>
        <w:gridCol w:w="3484"/>
        <w:gridCol w:w="1524"/>
        <w:gridCol w:w="2616"/>
      </w:tblGrid>
      <w:tr w:rsidR="00672663" w:rsidRPr="0083125D" w:rsidTr="00C55BA9">
        <w:trPr>
          <w:trHeight w:val="390"/>
        </w:trPr>
        <w:tc>
          <w:tcPr>
            <w:tcW w:w="603" w:type="dxa"/>
            <w:vMerge w:val="restart"/>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Nr.</w:t>
            </w: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Crt.</w:t>
            </w:r>
          </w:p>
        </w:tc>
        <w:tc>
          <w:tcPr>
            <w:tcW w:w="1320" w:type="dxa"/>
            <w:vMerge w:val="restart"/>
          </w:tcPr>
          <w:p w:rsidR="00672663" w:rsidRPr="0083125D" w:rsidRDefault="00672663" w:rsidP="00C55BA9">
            <w:pPr>
              <w:ind w:left="360" w:hanging="360"/>
              <w:jc w:val="center"/>
              <w:rPr>
                <w:rFonts w:ascii="Trebuchet MS" w:hAnsi="Trebuchet MS" w:cs="Arial"/>
                <w:sz w:val="22"/>
                <w:szCs w:val="22"/>
              </w:rPr>
            </w:pP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Anul</w:t>
            </w:r>
          </w:p>
        </w:tc>
        <w:tc>
          <w:tcPr>
            <w:tcW w:w="3484" w:type="dxa"/>
            <w:vMerge w:val="restart"/>
          </w:tcPr>
          <w:p w:rsidR="00672663" w:rsidRPr="0083125D" w:rsidRDefault="00672663" w:rsidP="00C55BA9">
            <w:pPr>
              <w:jc w:val="center"/>
              <w:rPr>
                <w:rFonts w:ascii="Trebuchet MS" w:hAnsi="Trebuchet MS" w:cs="Arial"/>
                <w:sz w:val="22"/>
                <w:szCs w:val="22"/>
              </w:rPr>
            </w:pPr>
            <w:r w:rsidRPr="0083125D">
              <w:rPr>
                <w:rFonts w:ascii="Trebuchet MS" w:hAnsi="Trebuchet MS" w:cs="Arial"/>
                <w:sz w:val="22"/>
                <w:szCs w:val="22"/>
              </w:rPr>
              <w:t>Suprafaţa fondului forestier din raza de competenţă a D. S. Ilfov în raza Mun. Bucureşti Total (ha)</w:t>
            </w:r>
          </w:p>
        </w:tc>
        <w:tc>
          <w:tcPr>
            <w:tcW w:w="4140" w:type="dxa"/>
            <w:gridSpan w:val="2"/>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din care</w:t>
            </w:r>
          </w:p>
        </w:tc>
      </w:tr>
      <w:tr w:rsidR="00672663" w:rsidRPr="0083125D" w:rsidTr="00C55BA9">
        <w:trPr>
          <w:trHeight w:val="420"/>
        </w:trPr>
        <w:tc>
          <w:tcPr>
            <w:tcW w:w="603" w:type="dxa"/>
            <w:vMerge/>
          </w:tcPr>
          <w:p w:rsidR="00672663" w:rsidRPr="0083125D" w:rsidRDefault="00672663" w:rsidP="00C55BA9">
            <w:pPr>
              <w:ind w:left="360" w:hanging="360"/>
              <w:jc w:val="center"/>
              <w:rPr>
                <w:rFonts w:ascii="Trebuchet MS" w:hAnsi="Trebuchet MS" w:cs="Arial"/>
                <w:sz w:val="22"/>
                <w:szCs w:val="22"/>
              </w:rPr>
            </w:pPr>
          </w:p>
        </w:tc>
        <w:tc>
          <w:tcPr>
            <w:tcW w:w="1320" w:type="dxa"/>
            <w:vMerge/>
          </w:tcPr>
          <w:p w:rsidR="00672663" w:rsidRPr="0083125D" w:rsidRDefault="00672663" w:rsidP="00C55BA9">
            <w:pPr>
              <w:ind w:left="360" w:hanging="360"/>
              <w:jc w:val="center"/>
              <w:rPr>
                <w:rFonts w:ascii="Trebuchet MS" w:hAnsi="Trebuchet MS" w:cs="Arial"/>
                <w:sz w:val="22"/>
                <w:szCs w:val="22"/>
              </w:rPr>
            </w:pPr>
          </w:p>
        </w:tc>
        <w:tc>
          <w:tcPr>
            <w:tcW w:w="3484" w:type="dxa"/>
            <w:vMerge/>
          </w:tcPr>
          <w:p w:rsidR="00672663" w:rsidRPr="0083125D" w:rsidRDefault="00672663" w:rsidP="00C55BA9">
            <w:pPr>
              <w:ind w:left="360" w:hanging="360"/>
              <w:jc w:val="center"/>
              <w:rPr>
                <w:rFonts w:ascii="Trebuchet MS" w:hAnsi="Trebuchet MS" w:cs="Arial"/>
                <w:sz w:val="22"/>
                <w:szCs w:val="22"/>
              </w:rPr>
            </w:pPr>
          </w:p>
        </w:tc>
        <w:tc>
          <w:tcPr>
            <w:tcW w:w="152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Proprietatea</w:t>
            </w: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statului (ha)</w:t>
            </w:r>
          </w:p>
        </w:tc>
        <w:tc>
          <w:tcPr>
            <w:tcW w:w="2616"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Proprietate</w:t>
            </w:r>
          </w:p>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particulară  și alți administratori (ha)</w:t>
            </w:r>
          </w:p>
        </w:tc>
      </w:tr>
      <w:tr w:rsidR="00672663" w:rsidRPr="0083125D" w:rsidTr="00C55BA9">
        <w:tc>
          <w:tcPr>
            <w:tcW w:w="603"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1</w:t>
            </w:r>
          </w:p>
        </w:tc>
        <w:tc>
          <w:tcPr>
            <w:tcW w:w="132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2019</w:t>
            </w:r>
          </w:p>
        </w:tc>
        <w:tc>
          <w:tcPr>
            <w:tcW w:w="348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633</w:t>
            </w:r>
          </w:p>
        </w:tc>
        <w:tc>
          <w:tcPr>
            <w:tcW w:w="152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374</w:t>
            </w:r>
          </w:p>
        </w:tc>
        <w:tc>
          <w:tcPr>
            <w:tcW w:w="2616"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259</w:t>
            </w:r>
          </w:p>
        </w:tc>
      </w:tr>
      <w:tr w:rsidR="00672663" w:rsidRPr="0083125D" w:rsidTr="00C55BA9">
        <w:tc>
          <w:tcPr>
            <w:tcW w:w="603"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2</w:t>
            </w:r>
          </w:p>
        </w:tc>
        <w:tc>
          <w:tcPr>
            <w:tcW w:w="132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2020</w:t>
            </w:r>
          </w:p>
        </w:tc>
        <w:tc>
          <w:tcPr>
            <w:tcW w:w="348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633</w:t>
            </w:r>
          </w:p>
        </w:tc>
        <w:tc>
          <w:tcPr>
            <w:tcW w:w="152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353</w:t>
            </w:r>
          </w:p>
        </w:tc>
        <w:tc>
          <w:tcPr>
            <w:tcW w:w="2616"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280</w:t>
            </w:r>
          </w:p>
        </w:tc>
      </w:tr>
      <w:tr w:rsidR="00672663" w:rsidRPr="0083125D" w:rsidTr="00C55BA9">
        <w:tc>
          <w:tcPr>
            <w:tcW w:w="603"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3</w:t>
            </w:r>
          </w:p>
        </w:tc>
        <w:tc>
          <w:tcPr>
            <w:tcW w:w="132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2021</w:t>
            </w:r>
          </w:p>
        </w:tc>
        <w:tc>
          <w:tcPr>
            <w:tcW w:w="348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633</w:t>
            </w:r>
          </w:p>
        </w:tc>
        <w:tc>
          <w:tcPr>
            <w:tcW w:w="152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353</w:t>
            </w:r>
          </w:p>
        </w:tc>
        <w:tc>
          <w:tcPr>
            <w:tcW w:w="2616"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280</w:t>
            </w:r>
          </w:p>
        </w:tc>
      </w:tr>
      <w:tr w:rsidR="00672663" w:rsidRPr="0083125D" w:rsidTr="00C55BA9">
        <w:tc>
          <w:tcPr>
            <w:tcW w:w="603"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4</w:t>
            </w:r>
          </w:p>
        </w:tc>
        <w:tc>
          <w:tcPr>
            <w:tcW w:w="132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2022</w:t>
            </w:r>
          </w:p>
        </w:tc>
        <w:tc>
          <w:tcPr>
            <w:tcW w:w="348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632</w:t>
            </w:r>
          </w:p>
        </w:tc>
        <w:tc>
          <w:tcPr>
            <w:tcW w:w="152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353</w:t>
            </w:r>
          </w:p>
        </w:tc>
        <w:tc>
          <w:tcPr>
            <w:tcW w:w="2616"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280</w:t>
            </w:r>
          </w:p>
        </w:tc>
      </w:tr>
      <w:tr w:rsidR="00672663" w:rsidRPr="0083125D" w:rsidTr="00C55BA9">
        <w:trPr>
          <w:trHeight w:val="70"/>
        </w:trPr>
        <w:tc>
          <w:tcPr>
            <w:tcW w:w="603"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5</w:t>
            </w:r>
          </w:p>
        </w:tc>
        <w:tc>
          <w:tcPr>
            <w:tcW w:w="1320" w:type="dxa"/>
          </w:tcPr>
          <w:p w:rsidR="00672663" w:rsidRPr="0083125D" w:rsidRDefault="00672663" w:rsidP="00C55BA9">
            <w:pPr>
              <w:rPr>
                <w:rFonts w:ascii="Trebuchet MS" w:hAnsi="Trebuchet MS" w:cs="Arial"/>
                <w:sz w:val="22"/>
                <w:szCs w:val="22"/>
              </w:rPr>
            </w:pPr>
            <w:r w:rsidRPr="0083125D">
              <w:rPr>
                <w:rFonts w:ascii="Trebuchet MS" w:hAnsi="Trebuchet MS" w:cs="Arial"/>
                <w:sz w:val="22"/>
                <w:szCs w:val="22"/>
              </w:rPr>
              <w:t>2023</w:t>
            </w:r>
          </w:p>
        </w:tc>
        <w:tc>
          <w:tcPr>
            <w:tcW w:w="348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519</w:t>
            </w:r>
          </w:p>
        </w:tc>
        <w:tc>
          <w:tcPr>
            <w:tcW w:w="1524"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352</w:t>
            </w:r>
          </w:p>
        </w:tc>
        <w:tc>
          <w:tcPr>
            <w:tcW w:w="2616" w:type="dxa"/>
          </w:tcPr>
          <w:p w:rsidR="00672663" w:rsidRPr="0083125D" w:rsidRDefault="00672663" w:rsidP="00C55BA9">
            <w:pPr>
              <w:ind w:left="360" w:hanging="360"/>
              <w:jc w:val="center"/>
              <w:rPr>
                <w:rFonts w:ascii="Trebuchet MS" w:hAnsi="Trebuchet MS" w:cs="Arial"/>
                <w:sz w:val="22"/>
                <w:szCs w:val="22"/>
              </w:rPr>
            </w:pPr>
            <w:r w:rsidRPr="0083125D">
              <w:rPr>
                <w:rFonts w:ascii="Trebuchet MS" w:hAnsi="Trebuchet MS" w:cs="Arial"/>
                <w:sz w:val="22"/>
                <w:szCs w:val="22"/>
              </w:rPr>
              <w:t>167</w:t>
            </w:r>
          </w:p>
        </w:tc>
      </w:tr>
    </w:tbl>
    <w:p w:rsidR="00672663" w:rsidRPr="0083125D" w:rsidRDefault="00672663" w:rsidP="00672663">
      <w:pPr>
        <w:tabs>
          <w:tab w:val="left" w:pos="1276"/>
          <w:tab w:val="left" w:leader="dot" w:pos="9356"/>
        </w:tabs>
        <w:ind w:left="170"/>
        <w:jc w:val="both"/>
        <w:rPr>
          <w:rFonts w:ascii="Trebuchet MS" w:hAnsi="Trebuchet MS" w:cs="Arial"/>
          <w:sz w:val="22"/>
          <w:szCs w:val="22"/>
          <w:lang w:val="ro-RO"/>
        </w:rPr>
      </w:pPr>
      <w:r w:rsidRPr="0083125D">
        <w:rPr>
          <w:rFonts w:ascii="Trebuchet MS" w:hAnsi="Trebuchet MS" w:cs="Arial"/>
          <w:sz w:val="22"/>
          <w:szCs w:val="22"/>
        </w:rPr>
        <w:t xml:space="preserve">   Sursa: Direcţia Silvică Ilfov</w:t>
      </w:r>
    </w:p>
    <w:p w:rsidR="00672663" w:rsidRPr="0083125D" w:rsidRDefault="00672663" w:rsidP="00672663">
      <w:pPr>
        <w:ind w:left="360"/>
        <w:jc w:val="both"/>
        <w:rPr>
          <w:rFonts w:ascii="Trebuchet MS" w:hAnsi="Trebuchet MS" w:cs="Arial"/>
          <w:sz w:val="22"/>
          <w:szCs w:val="22"/>
        </w:rPr>
      </w:pPr>
    </w:p>
    <w:p w:rsidR="00672663" w:rsidRPr="0083125D" w:rsidRDefault="00672663" w:rsidP="00672663">
      <w:pPr>
        <w:tabs>
          <w:tab w:val="left" w:pos="180"/>
          <w:tab w:val="left" w:pos="360"/>
        </w:tabs>
        <w:jc w:val="both"/>
        <w:rPr>
          <w:rFonts w:ascii="Trebuchet MS" w:hAnsi="Trebuchet MS" w:cs="Arial"/>
          <w:sz w:val="22"/>
          <w:szCs w:val="22"/>
        </w:rPr>
      </w:pPr>
      <w:r w:rsidRPr="0083125D">
        <w:rPr>
          <w:rFonts w:ascii="Trebuchet MS" w:hAnsi="Trebuchet MS" w:cs="Arial"/>
          <w:sz w:val="22"/>
          <w:szCs w:val="22"/>
        </w:rPr>
        <w:t xml:space="preserve">     Grafic </w:t>
      </w:r>
      <w:r w:rsidRPr="0083125D">
        <w:rPr>
          <w:rFonts w:ascii="Trebuchet MS" w:hAnsi="Trebuchet MS" w:cs="Arial"/>
          <w:i/>
          <w:sz w:val="22"/>
          <w:szCs w:val="22"/>
          <w:lang w:val="ro-RO"/>
        </w:rPr>
        <w:t>VI.2.3</w:t>
      </w:r>
      <w:r w:rsidRPr="0083125D">
        <w:rPr>
          <w:rFonts w:ascii="Trebuchet MS" w:hAnsi="Trebuchet MS" w:cs="Arial"/>
          <w:sz w:val="22"/>
          <w:szCs w:val="22"/>
        </w:rPr>
        <w:t xml:space="preserve"> Evoluţia fondului forestier aflat în administrarea Direcțeiei Silvice Ilfov, pe raza Municipiului </w:t>
      </w:r>
      <w:r w:rsidRPr="0083125D">
        <w:rPr>
          <w:rFonts w:ascii="Trebuchet MS" w:hAnsi="Trebuchet MS" w:cs="Arial"/>
          <w:sz w:val="22"/>
          <w:szCs w:val="22"/>
          <w:lang w:val="ro-RO"/>
        </w:rPr>
        <w:t>Bucureşti</w:t>
      </w:r>
      <w:r w:rsidRPr="0083125D">
        <w:rPr>
          <w:rFonts w:ascii="Trebuchet MS" w:hAnsi="Trebuchet MS" w:cs="Arial"/>
          <w:sz w:val="22"/>
          <w:szCs w:val="22"/>
        </w:rPr>
        <w:t xml:space="preserve"> în perioada 2019 – 2023.</w:t>
      </w:r>
    </w:p>
    <w:p w:rsidR="00672663" w:rsidRPr="00947524" w:rsidRDefault="00672663" w:rsidP="00672663">
      <w:pPr>
        <w:tabs>
          <w:tab w:val="left" w:pos="1276"/>
          <w:tab w:val="left" w:leader="dot" w:pos="9356"/>
        </w:tabs>
        <w:ind w:left="170"/>
        <w:jc w:val="both"/>
        <w:rPr>
          <w:rFonts w:ascii="Arial" w:hAnsi="Arial" w:cs="Arial"/>
          <w:b/>
        </w:rPr>
      </w:pPr>
      <w:r w:rsidRPr="00947524">
        <w:rPr>
          <w:rFonts w:ascii="Arial" w:hAnsi="Arial" w:cs="Arial"/>
          <w:b/>
        </w:rPr>
        <w:t xml:space="preserve">  </w:t>
      </w:r>
      <w:r w:rsidRPr="00947524">
        <w:rPr>
          <w:rFonts w:ascii="Arial" w:hAnsi="Arial" w:cs="Arial"/>
          <w:noProof/>
          <w:lang w:val="en-US"/>
        </w:rPr>
        <w:drawing>
          <wp:anchor distT="0" distB="762" distL="114300" distR="114300" simplePos="0" relativeHeight="251706880" behindDoc="1" locked="0" layoutInCell="1" allowOverlap="1" wp14:anchorId="354E2B1A" wp14:editId="12D85167">
            <wp:simplePos x="0" y="0"/>
            <wp:positionH relativeFrom="column">
              <wp:posOffset>504825</wp:posOffset>
            </wp:positionH>
            <wp:positionV relativeFrom="paragraph">
              <wp:posOffset>62865</wp:posOffset>
            </wp:positionV>
            <wp:extent cx="5156200" cy="3667760"/>
            <wp:effectExtent l="0" t="0" r="6350" b="8890"/>
            <wp:wrapTight wrapText="bothSides">
              <wp:wrapPolygon edited="0">
                <wp:start x="0" y="0"/>
                <wp:lineTo x="0" y="21540"/>
                <wp:lineTo x="21547" y="21540"/>
                <wp:lineTo x="21547" y="0"/>
                <wp:lineTo x="0" y="0"/>
              </wp:wrapPolygon>
            </wp:wrapTight>
            <wp:docPr id="124" name="Object 4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page">
              <wp14:pctWidth>0</wp14:pctWidth>
            </wp14:sizeRelH>
            <wp14:sizeRelV relativeFrom="page">
              <wp14:pctHeight>0</wp14:pctHeight>
            </wp14:sizeRelV>
          </wp:anchor>
        </w:drawing>
      </w: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672663" w:rsidRPr="00947524" w:rsidRDefault="00672663" w:rsidP="00672663">
      <w:pPr>
        <w:tabs>
          <w:tab w:val="left" w:pos="1276"/>
          <w:tab w:val="left" w:leader="dot" w:pos="9356"/>
        </w:tabs>
        <w:ind w:left="170"/>
        <w:jc w:val="both"/>
        <w:rPr>
          <w:rFonts w:ascii="Arial" w:hAnsi="Arial" w:cs="Arial"/>
          <w:b/>
        </w:rPr>
      </w:pPr>
    </w:p>
    <w:p w:rsidR="00F549B4" w:rsidRDefault="00672663" w:rsidP="00672663">
      <w:pPr>
        <w:tabs>
          <w:tab w:val="left" w:pos="360"/>
          <w:tab w:val="left" w:pos="450"/>
          <w:tab w:val="left" w:pos="1276"/>
          <w:tab w:val="left" w:leader="dot" w:pos="9356"/>
        </w:tabs>
        <w:ind w:left="170"/>
        <w:jc w:val="both"/>
        <w:rPr>
          <w:rFonts w:ascii="Arial" w:hAnsi="Arial" w:cs="Arial"/>
          <w:b/>
        </w:rPr>
      </w:pPr>
      <w:r>
        <w:rPr>
          <w:rFonts w:ascii="Arial" w:hAnsi="Arial" w:cs="Arial"/>
          <w:b/>
        </w:rPr>
        <w:t xml:space="preserve">  </w:t>
      </w:r>
    </w:p>
    <w:p w:rsidR="00672663" w:rsidRPr="0083125D" w:rsidRDefault="00672663" w:rsidP="00672663">
      <w:pPr>
        <w:tabs>
          <w:tab w:val="left" w:pos="360"/>
          <w:tab w:val="left" w:pos="450"/>
          <w:tab w:val="left" w:pos="1276"/>
          <w:tab w:val="left" w:leader="dot" w:pos="9356"/>
        </w:tabs>
        <w:ind w:left="170"/>
        <w:jc w:val="both"/>
        <w:rPr>
          <w:rFonts w:ascii="Trebuchet MS" w:hAnsi="Trebuchet MS" w:cs="Arial"/>
          <w:b/>
          <w:sz w:val="22"/>
          <w:szCs w:val="22"/>
        </w:rPr>
      </w:pPr>
      <w:r w:rsidRPr="00947524">
        <w:rPr>
          <w:rFonts w:ascii="Arial" w:hAnsi="Arial" w:cs="Arial"/>
          <w:b/>
        </w:rPr>
        <w:t xml:space="preserve">VI.3 </w:t>
      </w:r>
      <w:r w:rsidRPr="0083125D">
        <w:rPr>
          <w:rFonts w:ascii="Trebuchet MS" w:hAnsi="Trebuchet MS" w:cs="Arial"/>
          <w:b/>
          <w:sz w:val="22"/>
          <w:szCs w:val="22"/>
        </w:rPr>
        <w:t xml:space="preserve">Tendinţe, prognoze şi acţiuni privind gestionarea durabilă a pădurilor </w:t>
      </w:r>
    </w:p>
    <w:p w:rsidR="00672663" w:rsidRPr="0083125D" w:rsidRDefault="00672663" w:rsidP="00672663">
      <w:pPr>
        <w:ind w:firstLine="708"/>
        <w:jc w:val="both"/>
        <w:rPr>
          <w:rFonts w:ascii="Trebuchet MS" w:hAnsi="Trebuchet MS" w:cs="Arial"/>
          <w:sz w:val="22"/>
          <w:szCs w:val="22"/>
        </w:rPr>
      </w:pPr>
    </w:p>
    <w:p w:rsidR="00672663" w:rsidRPr="0083125D" w:rsidRDefault="00672663" w:rsidP="00672663">
      <w:pPr>
        <w:ind w:firstLine="708"/>
        <w:jc w:val="both"/>
        <w:rPr>
          <w:rFonts w:ascii="Trebuchet MS" w:hAnsi="Trebuchet MS" w:cs="Arial"/>
          <w:sz w:val="22"/>
          <w:szCs w:val="22"/>
        </w:rPr>
      </w:pPr>
      <w:r w:rsidRPr="0083125D">
        <w:rPr>
          <w:rFonts w:ascii="Trebuchet MS" w:hAnsi="Trebuchet MS" w:cs="Arial"/>
          <w:sz w:val="22"/>
          <w:szCs w:val="22"/>
        </w:rPr>
        <w:t xml:space="preserve">În prezent, pădurile sunt supuse unei presiuni crescânde din partea populaţiei.  Emisiile foarte mari de gaze, deversarea de deșeuri, indiferent de proveniență, cadrul legislativ nesigur şi în schimbare continuă, au adus pagube anuale pădurilor. Pentru crearea unei conştiinte forestiere în special în rândul generaţiei tinere, Romsilva – DirecțiaSilvică Ilfov desfăşoară acţiuni de plantare de arbori cu elevii, în special primăvara, în cadrul acțiunii Lunii Plantării Arborilor’’, acțiuni de informare în școli și deplasare în teren pentru a conştientiza rolul pădurii şi al mediului în perioada ce o traversăm, publicarea de articole în mass-media. </w:t>
      </w:r>
    </w:p>
    <w:p w:rsidR="00672663" w:rsidRPr="0083125D" w:rsidRDefault="00672663" w:rsidP="00672663">
      <w:pPr>
        <w:ind w:firstLine="708"/>
        <w:jc w:val="both"/>
        <w:rPr>
          <w:rFonts w:ascii="Trebuchet MS" w:hAnsi="Trebuchet MS" w:cs="Arial"/>
          <w:sz w:val="22"/>
          <w:szCs w:val="22"/>
        </w:rPr>
      </w:pPr>
      <w:r w:rsidRPr="0083125D">
        <w:rPr>
          <w:rFonts w:ascii="Trebuchet MS" w:hAnsi="Trebuchet MS" w:cs="Arial"/>
          <w:sz w:val="22"/>
          <w:szCs w:val="22"/>
        </w:rPr>
        <w:t xml:space="preserve">Pentru a menţine o stare corespunzatoare în ceea ce priveşte igenizarea fondului forestier proprietate publică a statului aflat în administrarea Direcţiei Silvice Ilfov, sunt organizate permanent acţiuni de igenizare în zonele frecventate de cetăţeni (pădurea Băneasa), acţiuni la care participă personalul silvic însotit de diverse ONG- uri, elevi şi studenţi din zonă (Avenor, Academia de Poliţie, Olga Gudynn International School, etc), firma Romprest şi alte persoane atrase. </w:t>
      </w:r>
    </w:p>
    <w:p w:rsidR="00672663" w:rsidRPr="0083125D" w:rsidRDefault="00672663" w:rsidP="00672663">
      <w:pPr>
        <w:jc w:val="both"/>
        <w:rPr>
          <w:rFonts w:ascii="Trebuchet MS" w:hAnsi="Trebuchet MS" w:cs="Arial"/>
          <w:sz w:val="22"/>
          <w:szCs w:val="22"/>
        </w:rPr>
      </w:pPr>
      <w:r w:rsidRPr="0083125D">
        <w:rPr>
          <w:rFonts w:ascii="Trebuchet MS" w:hAnsi="Trebuchet MS" w:cs="Arial"/>
          <w:b/>
          <w:sz w:val="22"/>
          <w:szCs w:val="22"/>
        </w:rPr>
        <w:t xml:space="preserve">         </w:t>
      </w:r>
      <w:r w:rsidRPr="0083125D">
        <w:rPr>
          <w:rFonts w:ascii="Trebuchet MS" w:hAnsi="Trebuchet MS" w:cs="Arial"/>
          <w:sz w:val="22"/>
          <w:szCs w:val="22"/>
        </w:rPr>
        <w:t>Obiectivele ce se impun a fi luate în strategia privind administrarea corespunzătoare a fondului forestier sunt urmatoarele:</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creşterea suprafeţei fondului forestier naţional şi implicit a suprafeţei de pădure pe cap de locuitor, indicator care actualmente este sub media europeana;</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scăderea gradului de poluare a mediului înconjurator şi prevenirea fenomenului de deşertificare prognozat în contextul schimbărilor climaterice actuale;</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prevenirea fenomenelor naturale distructive: vânturi dominante, furtuni, tornade,  înzăpeziri, eroziunea solului etc;</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interzicerea executării de construcții în fondul forestier national.</w:t>
      </w:r>
    </w:p>
    <w:p w:rsidR="00672663" w:rsidRPr="0083125D" w:rsidRDefault="00672663" w:rsidP="00672663">
      <w:pPr>
        <w:ind w:firstLine="720"/>
        <w:jc w:val="both"/>
        <w:rPr>
          <w:rFonts w:ascii="Trebuchet MS" w:hAnsi="Trebuchet MS" w:cs="Arial"/>
          <w:sz w:val="22"/>
          <w:szCs w:val="22"/>
        </w:rPr>
      </w:pPr>
      <w:r w:rsidRPr="0083125D">
        <w:rPr>
          <w:rFonts w:ascii="Trebuchet MS" w:hAnsi="Trebuchet MS" w:cs="Arial"/>
          <w:sz w:val="22"/>
          <w:szCs w:val="22"/>
        </w:rPr>
        <w:t>Măsuri ce trebuie luate pentru a realiza obiectivele sunt:</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identificarea de terenuri degradate improprii altor folosinţe, în vederea preluării pentru a fi împădurite si redate fondului forestier national;</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administrarea unitară a fondului forestiar national de o singura institutie care să asigure respectarea aplicării regimului silvic, indiferent de natura proprietatii;</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creşterea suprafeţelor parcurse cu lucrări de regenerare şi aplicarea tratamentelor intensive cu regenerare sub adăpost;</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creşterea numărului de puieti produşi în pepinierele silvice;</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dotarea administraţiei silvice cu sisteme de maşini performante în vederea executării integral mecanizate a lucrărilor silvice specifice împăduririlor şi pregătirii solului;</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promovarea de acţiuni de constientizare şi educare a populaţiei şi în special a tinerei generaţii privind protecţia vegetatiei forestiere şi implicit protecţia mediului;</w:t>
      </w:r>
    </w:p>
    <w:p w:rsidR="00672663" w:rsidRPr="0083125D" w:rsidRDefault="00672663" w:rsidP="00672663">
      <w:pPr>
        <w:jc w:val="both"/>
        <w:rPr>
          <w:rFonts w:ascii="Trebuchet MS" w:hAnsi="Trebuchet MS" w:cs="Arial"/>
          <w:sz w:val="22"/>
          <w:szCs w:val="22"/>
        </w:rPr>
      </w:pPr>
      <w:r w:rsidRPr="0083125D">
        <w:rPr>
          <w:rFonts w:ascii="Trebuchet MS" w:hAnsi="Trebuchet MS" w:cs="Arial"/>
          <w:sz w:val="22"/>
          <w:szCs w:val="22"/>
        </w:rPr>
        <w:t xml:space="preserve">- adoptarea unui cadru legislativ unitar, clar şi suplu privind legislaţia silvică inclusiv prin reactualizarea sancţiunilor privind încălcăriile de fond forestier, poluarea şi distrugerea fondului forestier. </w:t>
      </w:r>
    </w:p>
    <w:p w:rsidR="00672663" w:rsidRPr="0083125D" w:rsidRDefault="00672663" w:rsidP="00234233">
      <w:pPr>
        <w:jc w:val="center"/>
        <w:rPr>
          <w:rFonts w:ascii="Trebuchet MS" w:hAnsi="Trebuchet MS" w:cs="Arial"/>
          <w:b/>
          <w:sz w:val="22"/>
          <w:szCs w:val="22"/>
          <w:lang w:val="it-IT"/>
        </w:rPr>
      </w:pPr>
    </w:p>
    <w:p w:rsidR="00672663" w:rsidRPr="0083125D" w:rsidRDefault="00672663" w:rsidP="00234233">
      <w:pPr>
        <w:jc w:val="center"/>
        <w:rPr>
          <w:rFonts w:ascii="Trebuchet MS" w:hAnsi="Trebuchet MS" w:cs="Arial"/>
          <w:b/>
          <w:sz w:val="22"/>
          <w:szCs w:val="22"/>
          <w:lang w:val="it-IT"/>
        </w:rPr>
      </w:pPr>
    </w:p>
    <w:p w:rsidR="0083125D" w:rsidRDefault="0083125D">
      <w:pPr>
        <w:rPr>
          <w:rFonts w:ascii="Trebuchet MS" w:hAnsi="Trebuchet MS" w:cs="Arial"/>
          <w:b/>
          <w:sz w:val="22"/>
          <w:szCs w:val="22"/>
          <w:lang w:val="it-IT"/>
        </w:rPr>
      </w:pPr>
      <w:r>
        <w:rPr>
          <w:rFonts w:ascii="Trebuchet MS" w:hAnsi="Trebuchet MS" w:cs="Arial"/>
          <w:b/>
          <w:sz w:val="22"/>
          <w:szCs w:val="22"/>
          <w:lang w:val="it-IT"/>
        </w:rPr>
        <w:br w:type="page"/>
      </w:r>
    </w:p>
    <w:p w:rsidR="00234233" w:rsidRPr="0059186B" w:rsidRDefault="00234233" w:rsidP="00234233">
      <w:pPr>
        <w:jc w:val="center"/>
        <w:rPr>
          <w:rFonts w:ascii="Arial" w:hAnsi="Arial" w:cs="Arial"/>
          <w:b/>
          <w:sz w:val="32"/>
          <w:szCs w:val="32"/>
          <w:lang w:val="it-IT"/>
        </w:rPr>
      </w:pPr>
      <w:r w:rsidRPr="0059186B">
        <w:rPr>
          <w:rFonts w:ascii="Arial" w:hAnsi="Arial" w:cs="Arial"/>
          <w:b/>
          <w:sz w:val="32"/>
          <w:szCs w:val="32"/>
          <w:lang w:val="it-IT"/>
        </w:rPr>
        <w:t>CAPITOLUL VII</w:t>
      </w:r>
    </w:p>
    <w:p w:rsidR="00234233" w:rsidRPr="0059186B" w:rsidRDefault="00234233" w:rsidP="00234233">
      <w:pPr>
        <w:jc w:val="center"/>
        <w:rPr>
          <w:rFonts w:ascii="Arial" w:hAnsi="Arial" w:cs="Arial"/>
          <w:b/>
          <w:sz w:val="32"/>
          <w:szCs w:val="32"/>
          <w:lang w:val="it-IT"/>
        </w:rPr>
      </w:pPr>
      <w:r w:rsidRPr="0059186B">
        <w:rPr>
          <w:rFonts w:ascii="Arial" w:hAnsi="Arial" w:cs="Arial"/>
          <w:b/>
          <w:sz w:val="32"/>
          <w:szCs w:val="32"/>
          <w:lang w:val="it-IT"/>
        </w:rPr>
        <w:t>SURSELE MATERIALE ŞI DEŞEURILE</w:t>
      </w:r>
    </w:p>
    <w:p w:rsidR="00234233" w:rsidRPr="004F7DD3" w:rsidRDefault="00234233" w:rsidP="00234233">
      <w:pPr>
        <w:jc w:val="both"/>
        <w:rPr>
          <w:rFonts w:ascii="Arial" w:hAnsi="Arial" w:cs="Arial"/>
          <w:lang w:val="it-IT"/>
        </w:rPr>
      </w:pPr>
    </w:p>
    <w:p w:rsidR="002C4F93" w:rsidRPr="00FB6E9A" w:rsidRDefault="002C4F93" w:rsidP="002C4F93">
      <w:pPr>
        <w:jc w:val="both"/>
        <w:rPr>
          <w:rFonts w:ascii="Trebuchet MS" w:hAnsi="Trebuchet MS" w:cs="Arial"/>
          <w:b/>
          <w:lang w:val="ro-RO"/>
        </w:rPr>
      </w:pPr>
      <w:r w:rsidRPr="00FB6E9A">
        <w:rPr>
          <w:rFonts w:ascii="Trebuchet MS" w:hAnsi="Trebuchet MS" w:cs="Arial"/>
          <w:b/>
          <w:lang w:val="it-IT"/>
        </w:rPr>
        <w:t xml:space="preserve">VII.1. Generarea </w:t>
      </w:r>
      <w:r w:rsidRPr="00FB6E9A">
        <w:rPr>
          <w:rFonts w:ascii="Trebuchet MS" w:hAnsi="Trebuchet MS" w:cs="Arial"/>
          <w:b/>
          <w:lang w:val="ro-RO"/>
        </w:rPr>
        <w:t>şi  gestionarea deşeurilor: tendinţe, impacturi şi prognoze</w:t>
      </w:r>
    </w:p>
    <w:p w:rsidR="002C4F93" w:rsidRPr="00FB6E9A" w:rsidRDefault="002C4F93" w:rsidP="002C4F93">
      <w:pPr>
        <w:jc w:val="both"/>
        <w:rPr>
          <w:rFonts w:ascii="Trebuchet MS" w:hAnsi="Trebuchet MS" w:cs="Arial"/>
          <w:sz w:val="22"/>
          <w:szCs w:val="22"/>
          <w:lang w:val="ro-RO"/>
        </w:rPr>
      </w:pPr>
    </w:p>
    <w:p w:rsidR="002C4F93" w:rsidRPr="00FB6E9A" w:rsidRDefault="002C4F93" w:rsidP="002C4F93">
      <w:pPr>
        <w:jc w:val="both"/>
        <w:rPr>
          <w:rFonts w:ascii="Trebuchet MS" w:hAnsi="Trebuchet MS" w:cs="Arial"/>
          <w:sz w:val="22"/>
          <w:szCs w:val="22"/>
          <w:lang w:val="ro-RO"/>
        </w:rPr>
      </w:pPr>
    </w:p>
    <w:p w:rsidR="002C4F93" w:rsidRPr="00FB6E9A" w:rsidRDefault="002C4F93" w:rsidP="004F134E">
      <w:pPr>
        <w:pStyle w:val="ListParagraph"/>
        <w:numPr>
          <w:ilvl w:val="0"/>
          <w:numId w:val="31"/>
        </w:numPr>
        <w:jc w:val="both"/>
        <w:rPr>
          <w:rFonts w:ascii="Trebuchet MS" w:hAnsi="Trebuchet MS" w:cs="Arial"/>
          <w:b/>
          <w:sz w:val="22"/>
          <w:szCs w:val="22"/>
          <w:lang w:val="ro-RO"/>
        </w:rPr>
      </w:pPr>
      <w:r w:rsidRPr="00FB6E9A">
        <w:rPr>
          <w:rFonts w:ascii="Trebuchet MS" w:hAnsi="Trebuchet MS" w:cs="Arial"/>
          <w:b/>
          <w:sz w:val="22"/>
          <w:szCs w:val="22"/>
          <w:lang w:val="ro-RO"/>
        </w:rPr>
        <w:t>Indicatori specifici</w:t>
      </w:r>
    </w:p>
    <w:p w:rsidR="002C4F93" w:rsidRPr="00FB6E9A" w:rsidRDefault="002C4F93" w:rsidP="002C4F93">
      <w:pPr>
        <w:pStyle w:val="ListParagraph"/>
        <w:jc w:val="both"/>
        <w:rPr>
          <w:rFonts w:ascii="Trebuchet MS" w:hAnsi="Trebuchet MS" w:cs="Arial"/>
          <w:b/>
          <w:sz w:val="22"/>
          <w:szCs w:val="22"/>
          <w:lang w:val="ro-RO"/>
        </w:rPr>
      </w:pPr>
      <w:r w:rsidRPr="00FB6E9A">
        <w:rPr>
          <w:rFonts w:ascii="Trebuchet MS" w:hAnsi="Trebuchet MS" w:cs="Arial"/>
          <w:b/>
          <w:sz w:val="22"/>
          <w:szCs w:val="22"/>
          <w:lang w:val="ro-RO"/>
        </w:rPr>
        <w:t>Nu este cazul</w:t>
      </w:r>
    </w:p>
    <w:p w:rsidR="002C4F93" w:rsidRPr="00FB6E9A" w:rsidRDefault="002C4F93" w:rsidP="004F134E">
      <w:pPr>
        <w:pStyle w:val="ListParagraph"/>
        <w:numPr>
          <w:ilvl w:val="0"/>
          <w:numId w:val="31"/>
        </w:numPr>
        <w:jc w:val="both"/>
        <w:rPr>
          <w:rFonts w:ascii="Trebuchet MS" w:hAnsi="Trebuchet MS" w:cs="Arial"/>
          <w:b/>
          <w:sz w:val="22"/>
          <w:szCs w:val="22"/>
          <w:lang w:val="ro-RO"/>
        </w:rPr>
      </w:pPr>
      <w:r w:rsidRPr="00FB6E9A">
        <w:rPr>
          <w:rFonts w:ascii="Trebuchet MS" w:hAnsi="Trebuchet MS" w:cs="Arial"/>
          <w:b/>
          <w:sz w:val="22"/>
          <w:szCs w:val="22"/>
          <w:lang w:val="ro-RO"/>
        </w:rPr>
        <w:t>Alte date şi informaţii specifice</w:t>
      </w:r>
    </w:p>
    <w:p w:rsidR="002C4F93" w:rsidRPr="00FB6E9A" w:rsidRDefault="002C4F93" w:rsidP="002C4F93">
      <w:pPr>
        <w:jc w:val="both"/>
        <w:rPr>
          <w:rFonts w:ascii="Trebuchet MS" w:hAnsi="Trebuchet MS" w:cs="Arial"/>
          <w:sz w:val="22"/>
          <w:szCs w:val="22"/>
          <w:lang w:val="ro-RO"/>
        </w:rPr>
      </w:pPr>
    </w:p>
    <w:p w:rsidR="00FC3081" w:rsidRPr="00FB6E9A" w:rsidRDefault="00FC3081" w:rsidP="00FC3081">
      <w:pPr>
        <w:pStyle w:val="Default"/>
        <w:ind w:firstLine="360"/>
        <w:jc w:val="both"/>
        <w:rPr>
          <w:rFonts w:ascii="Trebuchet MS" w:hAnsi="Trebuchet MS"/>
          <w:color w:val="auto"/>
          <w:sz w:val="22"/>
          <w:szCs w:val="22"/>
          <w:lang w:val="ro-RO"/>
        </w:rPr>
      </w:pPr>
      <w:r w:rsidRPr="00FB6E9A">
        <w:rPr>
          <w:rFonts w:ascii="Trebuchet MS" w:hAnsi="Trebuchet MS"/>
          <w:color w:val="auto"/>
          <w:sz w:val="22"/>
          <w:szCs w:val="22"/>
          <w:lang w:val="ro-RO"/>
        </w:rPr>
        <w:t>Pentru a estima eficienţa utilizării resurselor naturale în România, precum şi presiunea asupra mediului cauzată de utilizarea resurselor naturale, este importantă urmărirea fluxurilor materiale, în special a consumului intern de materiale, eficienţei materiale şi productivităţii materiale.</w:t>
      </w:r>
    </w:p>
    <w:p w:rsidR="00FC3081" w:rsidRPr="00FB6E9A" w:rsidRDefault="00FC3081" w:rsidP="00FC3081">
      <w:pPr>
        <w:pStyle w:val="Default"/>
        <w:ind w:firstLine="360"/>
        <w:jc w:val="both"/>
        <w:rPr>
          <w:rFonts w:ascii="Trebuchet MS" w:hAnsi="Trebuchet MS"/>
          <w:color w:val="auto"/>
          <w:sz w:val="22"/>
          <w:szCs w:val="22"/>
          <w:lang w:val="ro-RO"/>
        </w:rPr>
      </w:pPr>
      <w:r w:rsidRPr="00FB6E9A">
        <w:rPr>
          <w:rFonts w:ascii="Trebuchet MS" w:hAnsi="Trebuchet MS"/>
          <w:color w:val="auto"/>
          <w:sz w:val="22"/>
          <w:szCs w:val="22"/>
          <w:lang w:val="ro-RO"/>
        </w:rPr>
        <w:t>Consumul intern de materiale are implicaţii asupra mediului datorită emisiilor de noxe şi subproduselor derivate din activitatea economică (emisii de CO2, SO2 şi alte noxe, deversări de substanţe poluante, deşeuri etc.). Evoluţia consumului intern de materiale corespunde ciclurilor de creştere economică, prin urmare este necesară şi evaluarea evoluţiei Produsului Intern Brut (PIB).</w:t>
      </w:r>
    </w:p>
    <w:p w:rsidR="00FC3081" w:rsidRPr="00FB6E9A" w:rsidRDefault="00FC3081" w:rsidP="00FC3081">
      <w:pPr>
        <w:pStyle w:val="Default"/>
        <w:ind w:firstLine="360"/>
        <w:jc w:val="both"/>
        <w:rPr>
          <w:rFonts w:ascii="Trebuchet MS" w:hAnsi="Trebuchet MS"/>
          <w:color w:val="auto"/>
          <w:sz w:val="22"/>
          <w:szCs w:val="22"/>
          <w:lang w:val="ro-RO"/>
        </w:rPr>
      </w:pPr>
      <w:r w:rsidRPr="00FB6E9A">
        <w:rPr>
          <w:rFonts w:ascii="Trebuchet MS" w:hAnsi="Trebuchet MS"/>
          <w:color w:val="auto"/>
          <w:sz w:val="22"/>
          <w:szCs w:val="22"/>
          <w:lang w:val="ro-RO"/>
        </w:rPr>
        <w:t>Consumul intern de materiale (CIM sau DMC - Domestic Material Consumption) cuprinde cantitatea totală de materiale utilizate direct în economie (extracţia internă utilizată plus importurile). DMC este egal cu intrările directe de materiale (DMI - Direct Material Input) minus exporturile. Eficienţa materială măsoară intrările de materiale în economie în relaţie cu PIB-ul, iar productivitatea materială este inversul intensităţii materiale şi se calculează ca raport între PIB şi consumul de materiale.</w:t>
      </w:r>
    </w:p>
    <w:p w:rsidR="00FC3081" w:rsidRPr="00FB6E9A" w:rsidRDefault="00FC3081" w:rsidP="00FC3081">
      <w:pPr>
        <w:pStyle w:val="Default"/>
        <w:jc w:val="both"/>
        <w:rPr>
          <w:rFonts w:ascii="Trebuchet MS" w:hAnsi="Trebuchet MS"/>
          <w:color w:val="auto"/>
          <w:sz w:val="22"/>
          <w:szCs w:val="22"/>
          <w:lang w:val="ro-RO"/>
        </w:rPr>
      </w:pPr>
    </w:p>
    <w:p w:rsidR="00FC3081" w:rsidRPr="00FB6E9A" w:rsidRDefault="00FC3081" w:rsidP="00FC3081">
      <w:pPr>
        <w:pStyle w:val="Default"/>
        <w:rPr>
          <w:rFonts w:ascii="Trebuchet MS" w:hAnsi="Trebuchet MS"/>
          <w:b/>
          <w:color w:val="auto"/>
          <w:sz w:val="22"/>
          <w:szCs w:val="22"/>
          <w:lang w:val="it-IT"/>
        </w:rPr>
      </w:pPr>
      <w:r w:rsidRPr="00FB6E9A">
        <w:rPr>
          <w:rFonts w:ascii="Trebuchet MS" w:hAnsi="Trebuchet MS"/>
          <w:b/>
          <w:color w:val="auto"/>
          <w:sz w:val="22"/>
          <w:szCs w:val="22"/>
          <w:lang w:val="it-IT"/>
        </w:rPr>
        <w:t>Tabel VII.1.1. Evoluţia PIB (milioane lei)</w:t>
      </w:r>
    </w:p>
    <w:p w:rsidR="00FC3081" w:rsidRPr="00FB6E9A" w:rsidRDefault="00FC3081" w:rsidP="00FC3081">
      <w:pPr>
        <w:pStyle w:val="Default"/>
        <w:rPr>
          <w:rFonts w:ascii="Trebuchet MS" w:hAnsi="Trebuchet MS"/>
          <w:color w:val="auto"/>
          <w:sz w:val="22"/>
          <w:szCs w:val="22"/>
          <w:lang w:val="ro-RO"/>
        </w:rPr>
      </w:pPr>
    </w:p>
    <w:tbl>
      <w:tblPr>
        <w:tblW w:w="5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00"/>
        <w:gridCol w:w="1200"/>
        <w:gridCol w:w="1329"/>
        <w:gridCol w:w="1329"/>
        <w:gridCol w:w="1329"/>
      </w:tblGrid>
      <w:tr w:rsidR="00FB6E9A" w:rsidRPr="00FB6E9A" w:rsidTr="00913BC5">
        <w:trPr>
          <w:trHeight w:val="300"/>
        </w:trPr>
        <w:tc>
          <w:tcPr>
            <w:tcW w:w="1054" w:type="dxa"/>
          </w:tcPr>
          <w:p w:rsidR="00FC3081" w:rsidRPr="00FB6E9A" w:rsidRDefault="00FC3081" w:rsidP="00913BC5">
            <w:pPr>
              <w:jc w:val="center"/>
              <w:rPr>
                <w:rFonts w:ascii="Trebuchet MS" w:hAnsi="Trebuchet MS" w:cs="Arial"/>
                <w:b/>
                <w:bCs/>
                <w:sz w:val="22"/>
                <w:szCs w:val="22"/>
                <w:lang w:val="en-US"/>
              </w:rPr>
            </w:pPr>
            <w:r w:rsidRPr="00FB6E9A">
              <w:rPr>
                <w:rFonts w:ascii="Trebuchet MS" w:hAnsi="Trebuchet MS" w:cs="Arial"/>
                <w:b/>
                <w:bCs/>
                <w:sz w:val="22"/>
                <w:szCs w:val="22"/>
                <w:lang w:val="en-US"/>
              </w:rPr>
              <w:t>Anul 2019</w:t>
            </w:r>
          </w:p>
        </w:tc>
        <w:tc>
          <w:tcPr>
            <w:tcW w:w="1054" w:type="dxa"/>
          </w:tcPr>
          <w:p w:rsidR="00FC3081" w:rsidRPr="00FB6E9A" w:rsidRDefault="00FC3081" w:rsidP="00913BC5">
            <w:pPr>
              <w:jc w:val="center"/>
              <w:rPr>
                <w:rFonts w:ascii="Trebuchet MS" w:hAnsi="Trebuchet MS" w:cs="Arial"/>
                <w:b/>
                <w:bCs/>
                <w:sz w:val="22"/>
                <w:szCs w:val="22"/>
                <w:lang w:val="en-US"/>
              </w:rPr>
            </w:pPr>
            <w:r w:rsidRPr="00FB6E9A">
              <w:rPr>
                <w:rFonts w:ascii="Trebuchet MS" w:hAnsi="Trebuchet MS" w:cs="Arial"/>
                <w:b/>
                <w:bCs/>
                <w:sz w:val="22"/>
                <w:szCs w:val="22"/>
                <w:lang w:val="en-US"/>
              </w:rPr>
              <w:t>Anul 2020</w:t>
            </w:r>
          </w:p>
        </w:tc>
        <w:tc>
          <w:tcPr>
            <w:tcW w:w="1165" w:type="dxa"/>
          </w:tcPr>
          <w:p w:rsidR="00FC3081" w:rsidRPr="00FB6E9A" w:rsidRDefault="00FC3081" w:rsidP="00913BC5">
            <w:pPr>
              <w:jc w:val="center"/>
              <w:rPr>
                <w:rFonts w:ascii="Trebuchet MS" w:hAnsi="Trebuchet MS" w:cs="Arial"/>
                <w:b/>
                <w:bCs/>
                <w:sz w:val="22"/>
                <w:szCs w:val="22"/>
                <w:lang w:val="en-US"/>
              </w:rPr>
            </w:pPr>
            <w:r w:rsidRPr="00FB6E9A">
              <w:rPr>
                <w:rFonts w:ascii="Trebuchet MS" w:hAnsi="Trebuchet MS" w:cs="Arial"/>
                <w:b/>
                <w:bCs/>
                <w:sz w:val="22"/>
                <w:szCs w:val="22"/>
                <w:lang w:val="en-US"/>
              </w:rPr>
              <w:t>Anul 2021</w:t>
            </w:r>
          </w:p>
        </w:tc>
        <w:tc>
          <w:tcPr>
            <w:tcW w:w="1165" w:type="dxa"/>
          </w:tcPr>
          <w:p w:rsidR="00FC3081" w:rsidRPr="00FB6E9A" w:rsidRDefault="00FC3081" w:rsidP="00913BC5">
            <w:pPr>
              <w:jc w:val="center"/>
              <w:rPr>
                <w:rFonts w:ascii="Trebuchet MS" w:hAnsi="Trebuchet MS" w:cs="Arial"/>
                <w:b/>
                <w:bCs/>
                <w:sz w:val="22"/>
                <w:szCs w:val="22"/>
                <w:lang w:val="en-US"/>
              </w:rPr>
            </w:pPr>
            <w:r w:rsidRPr="00FB6E9A">
              <w:rPr>
                <w:rFonts w:ascii="Trebuchet MS" w:hAnsi="Trebuchet MS" w:cs="Arial"/>
                <w:b/>
                <w:bCs/>
                <w:sz w:val="22"/>
                <w:szCs w:val="22"/>
                <w:lang w:val="en-US"/>
              </w:rPr>
              <w:t>Anul 2022</w:t>
            </w:r>
          </w:p>
        </w:tc>
        <w:tc>
          <w:tcPr>
            <w:tcW w:w="1165" w:type="dxa"/>
          </w:tcPr>
          <w:p w:rsidR="00FC3081" w:rsidRPr="00FB6E9A" w:rsidRDefault="00FC3081" w:rsidP="00913BC5">
            <w:pPr>
              <w:jc w:val="center"/>
              <w:rPr>
                <w:rFonts w:ascii="Trebuchet MS" w:hAnsi="Trebuchet MS" w:cs="Arial"/>
                <w:b/>
                <w:bCs/>
                <w:sz w:val="22"/>
                <w:szCs w:val="22"/>
                <w:lang w:val="en-US"/>
              </w:rPr>
            </w:pPr>
            <w:r w:rsidRPr="00FB6E9A">
              <w:rPr>
                <w:rFonts w:ascii="Trebuchet MS" w:hAnsi="Trebuchet MS" w:cs="Arial"/>
                <w:b/>
                <w:bCs/>
                <w:sz w:val="22"/>
                <w:szCs w:val="22"/>
                <w:lang w:val="en-US"/>
              </w:rPr>
              <w:t>Anul 2023</w:t>
            </w:r>
          </w:p>
        </w:tc>
      </w:tr>
      <w:tr w:rsidR="00FB6E9A" w:rsidRPr="00FB6E9A" w:rsidTr="00913BC5">
        <w:trPr>
          <w:trHeight w:val="300"/>
        </w:trPr>
        <w:tc>
          <w:tcPr>
            <w:tcW w:w="1054" w:type="dxa"/>
            <w:vAlign w:val="center"/>
          </w:tcPr>
          <w:p w:rsidR="00FC3081" w:rsidRPr="00FB6E9A" w:rsidRDefault="00FC3081" w:rsidP="00913BC5">
            <w:pPr>
              <w:jc w:val="center"/>
              <w:rPr>
                <w:rFonts w:ascii="Trebuchet MS" w:hAnsi="Trebuchet MS" w:cs="Calibri"/>
                <w:b/>
                <w:sz w:val="22"/>
                <w:szCs w:val="22"/>
              </w:rPr>
            </w:pPr>
            <w:r w:rsidRPr="00FB6E9A">
              <w:rPr>
                <w:rFonts w:ascii="Trebuchet MS" w:hAnsi="Trebuchet MS" w:cs="Calibri"/>
                <w:b/>
                <w:sz w:val="22"/>
                <w:szCs w:val="22"/>
              </w:rPr>
              <w:t>955556,4</w:t>
            </w:r>
          </w:p>
        </w:tc>
        <w:tc>
          <w:tcPr>
            <w:tcW w:w="1054" w:type="dxa"/>
            <w:vAlign w:val="center"/>
          </w:tcPr>
          <w:p w:rsidR="00FC3081" w:rsidRPr="00FB6E9A" w:rsidRDefault="00FC3081" w:rsidP="00913BC5">
            <w:pPr>
              <w:jc w:val="center"/>
              <w:rPr>
                <w:rFonts w:ascii="Trebuchet MS" w:hAnsi="Trebuchet MS" w:cs="Calibri"/>
                <w:b/>
                <w:sz w:val="22"/>
                <w:szCs w:val="22"/>
              </w:rPr>
            </w:pPr>
            <w:r w:rsidRPr="00FB6E9A">
              <w:rPr>
                <w:rFonts w:ascii="Trebuchet MS" w:hAnsi="Trebuchet MS" w:cs="Calibri"/>
                <w:b/>
                <w:sz w:val="22"/>
                <w:szCs w:val="22"/>
              </w:rPr>
              <w:t>957119,8</w:t>
            </w:r>
          </w:p>
        </w:tc>
        <w:tc>
          <w:tcPr>
            <w:tcW w:w="1165" w:type="dxa"/>
            <w:vAlign w:val="center"/>
          </w:tcPr>
          <w:p w:rsidR="00FC3081" w:rsidRPr="00FB6E9A" w:rsidRDefault="00FC3081" w:rsidP="00913BC5">
            <w:pPr>
              <w:jc w:val="center"/>
              <w:rPr>
                <w:rFonts w:ascii="Trebuchet MS" w:hAnsi="Trebuchet MS" w:cs="Calibri"/>
                <w:b/>
                <w:sz w:val="22"/>
                <w:szCs w:val="22"/>
              </w:rPr>
            </w:pPr>
            <w:r w:rsidRPr="00FB6E9A">
              <w:rPr>
                <w:rFonts w:ascii="Trebuchet MS" w:hAnsi="Trebuchet MS" w:cs="Calibri"/>
                <w:b/>
                <w:sz w:val="22"/>
                <w:szCs w:val="22"/>
              </w:rPr>
              <w:t>1057774,2</w:t>
            </w:r>
          </w:p>
        </w:tc>
        <w:tc>
          <w:tcPr>
            <w:tcW w:w="1165" w:type="dxa"/>
          </w:tcPr>
          <w:p w:rsidR="00FC3081" w:rsidRPr="00FB6E9A" w:rsidRDefault="00FC3081" w:rsidP="00913BC5">
            <w:pPr>
              <w:jc w:val="center"/>
              <w:rPr>
                <w:rFonts w:ascii="Trebuchet MS" w:hAnsi="Trebuchet MS" w:cs="Calibri"/>
                <w:b/>
                <w:sz w:val="22"/>
                <w:szCs w:val="22"/>
              </w:rPr>
            </w:pPr>
            <w:r w:rsidRPr="00FB6E9A">
              <w:rPr>
                <w:rFonts w:ascii="Trebuchet MS" w:hAnsi="Trebuchet MS" w:cs="Calibri"/>
                <w:b/>
                <w:sz w:val="22"/>
                <w:szCs w:val="22"/>
              </w:rPr>
              <w:t>1405419,7</w:t>
            </w:r>
          </w:p>
        </w:tc>
        <w:tc>
          <w:tcPr>
            <w:tcW w:w="1165" w:type="dxa"/>
          </w:tcPr>
          <w:p w:rsidR="00FC3081" w:rsidRPr="00FB6E9A" w:rsidRDefault="00FC3081" w:rsidP="00913BC5">
            <w:pPr>
              <w:jc w:val="center"/>
              <w:rPr>
                <w:rFonts w:ascii="Trebuchet MS" w:hAnsi="Trebuchet MS" w:cs="Calibri"/>
                <w:b/>
                <w:sz w:val="22"/>
                <w:szCs w:val="22"/>
              </w:rPr>
            </w:pPr>
            <w:r w:rsidRPr="00FB6E9A">
              <w:rPr>
                <w:rFonts w:ascii="Trebuchet MS" w:hAnsi="Trebuchet MS" w:cs="Calibri"/>
                <w:b/>
                <w:sz w:val="22"/>
                <w:szCs w:val="22"/>
              </w:rPr>
              <w:t>1599824.2</w:t>
            </w:r>
          </w:p>
        </w:tc>
      </w:tr>
    </w:tbl>
    <w:p w:rsidR="00FC3081" w:rsidRPr="00FB6E9A" w:rsidRDefault="00FC3081" w:rsidP="00FC3081">
      <w:pPr>
        <w:pStyle w:val="Default"/>
        <w:rPr>
          <w:rFonts w:ascii="Trebuchet MS" w:hAnsi="Trebuchet MS"/>
          <w:color w:val="auto"/>
          <w:sz w:val="22"/>
          <w:szCs w:val="22"/>
          <w:lang w:val="ro-RO"/>
        </w:rPr>
      </w:pPr>
      <w:r w:rsidRPr="00FB6E9A">
        <w:rPr>
          <w:rFonts w:ascii="Trebuchet MS" w:hAnsi="Trebuchet MS"/>
          <w:color w:val="auto"/>
          <w:sz w:val="22"/>
          <w:szCs w:val="22"/>
        </w:rPr>
        <w:t>Sursa: Institutul Naţional de Statistică – Tempo online</w:t>
      </w:r>
    </w:p>
    <w:p w:rsidR="002C4F93" w:rsidRPr="00FB6E9A" w:rsidRDefault="002C4F93" w:rsidP="002C4F93">
      <w:pPr>
        <w:pStyle w:val="Default"/>
        <w:rPr>
          <w:rFonts w:ascii="Trebuchet MS" w:hAnsi="Trebuchet MS"/>
          <w:color w:val="auto"/>
          <w:sz w:val="22"/>
          <w:szCs w:val="22"/>
          <w:lang w:val="ro-RO"/>
        </w:rPr>
      </w:pPr>
    </w:p>
    <w:p w:rsidR="002C4F93" w:rsidRPr="00DB17CC" w:rsidRDefault="002C4F93" w:rsidP="002C4F93">
      <w:pPr>
        <w:jc w:val="both"/>
        <w:rPr>
          <w:rFonts w:ascii="Arial" w:hAnsi="Arial" w:cs="Arial"/>
          <w:lang w:val="it-IT"/>
        </w:rPr>
      </w:pPr>
    </w:p>
    <w:p w:rsidR="002C4F93" w:rsidRPr="00FB6E9A" w:rsidRDefault="002C4F93" w:rsidP="002C4F93">
      <w:pPr>
        <w:jc w:val="both"/>
        <w:rPr>
          <w:rFonts w:ascii="Trebuchet MS" w:hAnsi="Trebuchet MS" w:cs="Arial"/>
          <w:b/>
          <w:lang w:val="ro-RO"/>
        </w:rPr>
      </w:pPr>
      <w:r w:rsidRPr="00FB6E9A">
        <w:rPr>
          <w:rFonts w:ascii="Trebuchet MS" w:hAnsi="Trebuchet MS" w:cs="Arial"/>
          <w:b/>
          <w:lang w:val="ro-RO"/>
        </w:rPr>
        <w:t>VII.1.1 Generarea şi gestionarea deşeurilor municipale</w:t>
      </w:r>
    </w:p>
    <w:p w:rsidR="002C4F93" w:rsidRPr="00FB6E9A" w:rsidRDefault="002C4F93" w:rsidP="002C4F93">
      <w:pPr>
        <w:jc w:val="both"/>
        <w:rPr>
          <w:rFonts w:ascii="Trebuchet MS" w:hAnsi="Trebuchet MS" w:cs="Arial"/>
          <w:sz w:val="22"/>
          <w:szCs w:val="22"/>
          <w:lang w:val="it-IT"/>
        </w:rPr>
      </w:pPr>
    </w:p>
    <w:p w:rsidR="002C4F93" w:rsidRPr="00FB6E9A" w:rsidRDefault="002C4F93" w:rsidP="004F134E">
      <w:pPr>
        <w:pStyle w:val="ListParagraph"/>
        <w:numPr>
          <w:ilvl w:val="0"/>
          <w:numId w:val="32"/>
        </w:numPr>
        <w:jc w:val="both"/>
        <w:rPr>
          <w:rFonts w:ascii="Trebuchet MS" w:hAnsi="Trebuchet MS" w:cs="Arial"/>
          <w:b/>
          <w:sz w:val="22"/>
          <w:szCs w:val="22"/>
          <w:lang w:val="ro-RO"/>
        </w:rPr>
      </w:pPr>
      <w:r w:rsidRPr="00FB6E9A">
        <w:rPr>
          <w:rFonts w:ascii="Trebuchet MS" w:hAnsi="Trebuchet MS" w:cs="Arial"/>
          <w:b/>
          <w:sz w:val="22"/>
          <w:szCs w:val="22"/>
          <w:lang w:val="ro-RO"/>
        </w:rPr>
        <w:t>Indicatori specifici</w:t>
      </w:r>
    </w:p>
    <w:p w:rsidR="002C4F93" w:rsidRPr="00FB6E9A" w:rsidRDefault="002C4F93" w:rsidP="002C4F93">
      <w:pPr>
        <w:autoSpaceDE w:val="0"/>
        <w:autoSpaceDN w:val="0"/>
        <w:adjustRightInd w:val="0"/>
        <w:rPr>
          <w:rFonts w:ascii="Trebuchet MS" w:hAnsi="Trebuchet MS" w:cs="Arial"/>
          <w:sz w:val="22"/>
          <w:szCs w:val="22"/>
          <w:lang w:val="ro-RO"/>
        </w:rPr>
      </w:pPr>
      <w:r w:rsidRPr="00FB6E9A">
        <w:rPr>
          <w:rFonts w:ascii="Trebuchet MS" w:hAnsi="Trebuchet MS" w:cs="Arial"/>
          <w:b/>
          <w:sz w:val="22"/>
          <w:szCs w:val="22"/>
          <w:lang w:val="ro-RO"/>
        </w:rPr>
        <w:t>Pentru indicatorul RO 16-CSI16-</w:t>
      </w:r>
      <w:r w:rsidRPr="00FB6E9A">
        <w:rPr>
          <w:rFonts w:ascii="Trebuchet MS" w:hAnsi="Trebuchet MS" w:cs="Arial"/>
          <w:b/>
          <w:bCs/>
          <w:sz w:val="22"/>
          <w:szCs w:val="22"/>
          <w:lang w:val="ro-RO"/>
        </w:rPr>
        <w:t xml:space="preserve"> GENERAREA DEŞEURILOR MUNICIPALE cantităţile de deşeuri municipale generate pe cap de locuitor vor fi calculate la nivel naţional</w:t>
      </w:r>
    </w:p>
    <w:p w:rsidR="002C4F93" w:rsidRPr="00FB6E9A" w:rsidRDefault="002C4F93" w:rsidP="002C4F93">
      <w:pPr>
        <w:jc w:val="both"/>
        <w:rPr>
          <w:rFonts w:ascii="Trebuchet MS" w:hAnsi="Trebuchet MS" w:cs="Arial"/>
          <w:sz w:val="22"/>
          <w:szCs w:val="22"/>
          <w:lang w:val="ro-RO"/>
        </w:rPr>
      </w:pPr>
    </w:p>
    <w:p w:rsidR="002C4F93" w:rsidRPr="00FB6E9A" w:rsidRDefault="002C4F93" w:rsidP="004F134E">
      <w:pPr>
        <w:pStyle w:val="ListParagraph"/>
        <w:numPr>
          <w:ilvl w:val="0"/>
          <w:numId w:val="32"/>
        </w:numPr>
        <w:jc w:val="both"/>
        <w:rPr>
          <w:rFonts w:ascii="Trebuchet MS" w:hAnsi="Trebuchet MS" w:cs="Arial"/>
          <w:b/>
          <w:sz w:val="22"/>
          <w:szCs w:val="22"/>
          <w:lang w:val="ro-RO"/>
        </w:rPr>
      </w:pPr>
      <w:r w:rsidRPr="00FB6E9A">
        <w:rPr>
          <w:rFonts w:ascii="Trebuchet MS" w:hAnsi="Trebuchet MS" w:cs="Arial"/>
          <w:b/>
          <w:sz w:val="22"/>
          <w:szCs w:val="22"/>
          <w:lang w:val="ro-RO"/>
        </w:rPr>
        <w:t>Alte date şi informaţii specifice</w:t>
      </w:r>
    </w:p>
    <w:p w:rsidR="002C4F93" w:rsidRPr="00FB6E9A" w:rsidRDefault="002C4F93" w:rsidP="002C4F93">
      <w:pPr>
        <w:jc w:val="both"/>
        <w:rPr>
          <w:rFonts w:ascii="Trebuchet MS" w:hAnsi="Trebuchet MS" w:cs="Arial"/>
          <w:sz w:val="22"/>
          <w:szCs w:val="22"/>
        </w:rPr>
      </w:pPr>
    </w:p>
    <w:p w:rsidR="00FC3081" w:rsidRPr="00FB6E9A" w:rsidRDefault="00FC3081" w:rsidP="00FC3081">
      <w:pPr>
        <w:jc w:val="both"/>
        <w:rPr>
          <w:rFonts w:ascii="Trebuchet MS" w:hAnsi="Trebuchet MS" w:cs="Arial"/>
          <w:sz w:val="22"/>
          <w:szCs w:val="22"/>
        </w:rPr>
      </w:pPr>
      <w:r w:rsidRPr="00FB6E9A">
        <w:rPr>
          <w:rFonts w:ascii="Trebuchet MS" w:hAnsi="Trebuchet MS" w:cs="Arial"/>
          <w:b/>
          <w:i/>
          <w:sz w:val="22"/>
          <w:szCs w:val="22"/>
          <w:u w:val="single"/>
        </w:rPr>
        <w:t>Generarea deşeurilor municipale</w:t>
      </w:r>
    </w:p>
    <w:p w:rsidR="00FC3081" w:rsidRPr="00FB6E9A" w:rsidRDefault="00FC3081" w:rsidP="00FC3081">
      <w:pPr>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În conformitate cu prevederile Strategiei Naţionale de Gestionare a Deşeurilor 2014 - 2020, “deşeurile municipale sunt reprezentate de totalitatea deşeurilor menajere şi similare acestora generate în mediul urban şi rural din gospodării, instituţii, unităţi comerciale şi de la operatori economici, deşeuri stradale colectate din spaţii publice, străzi, parcuri, spaţii verzi, la care se adaugă şi deşeuri din construcţii şi demolări rezultate din amenajări interioare ale locuinţelor colectate de operatorii de salubritate”.</w:t>
      </w:r>
    </w:p>
    <w:p w:rsidR="00FC3081" w:rsidRPr="00FB6E9A" w:rsidRDefault="00FC3081" w:rsidP="00FC3081">
      <w:pPr>
        <w:pStyle w:val="Default"/>
        <w:rPr>
          <w:rFonts w:ascii="Trebuchet MS" w:hAnsi="Trebuchet MS"/>
          <w:color w:val="auto"/>
          <w:sz w:val="22"/>
          <w:szCs w:val="22"/>
        </w:rPr>
      </w:pPr>
    </w:p>
    <w:p w:rsidR="00FC3081" w:rsidRPr="00FB6E9A" w:rsidRDefault="00FC3081" w:rsidP="00FC3081">
      <w:pPr>
        <w:tabs>
          <w:tab w:val="left" w:pos="360"/>
        </w:tabs>
        <w:ind w:firstLine="360"/>
        <w:jc w:val="both"/>
        <w:rPr>
          <w:rFonts w:ascii="Trebuchet MS" w:hAnsi="Trebuchet MS" w:cs="Arial"/>
          <w:sz w:val="22"/>
          <w:szCs w:val="22"/>
        </w:rPr>
      </w:pPr>
      <w:r w:rsidRPr="00FB6E9A">
        <w:rPr>
          <w:rFonts w:ascii="Trebuchet MS" w:hAnsi="Trebuchet MS" w:cs="Arial"/>
          <w:sz w:val="22"/>
          <w:szCs w:val="22"/>
        </w:rPr>
        <w:t>Colectarea deşeurilor municipale este responsabilitatea municipalităţilor, care îşi pot realiza aceste atribuţii fie direct (prin serviciile de specialitate din cadrul Consiliilor Locale), fie indirect (prin delegarea acestei responsabilităţi pe bază de contract, către firme specializate şi autorizate pentru desfăşurarea serviciilor de salubritate).</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 xml:space="preserve">În anul 2022, in Bucuresti, cantitatea de deşeuri municipale colectată prin intermediul serviciilor proprii specializate ale primăriilor sau ale firmelor de salubritate a fost de </w:t>
      </w:r>
      <w:r w:rsidRPr="00FB6E9A">
        <w:rPr>
          <w:rFonts w:ascii="Trebuchet MS" w:hAnsi="Trebuchet MS" w:cs="Arial"/>
          <w:b/>
          <w:sz w:val="22"/>
          <w:szCs w:val="22"/>
        </w:rPr>
        <w:t>1003444</w:t>
      </w:r>
      <w:r w:rsidRPr="00FB6E9A">
        <w:rPr>
          <w:rFonts w:ascii="Trebuchet MS" w:hAnsi="Trebuchet MS" w:cs="Arial"/>
          <w:b/>
          <w:sz w:val="22"/>
          <w:szCs w:val="22"/>
          <w:lang w:val="ro-RO"/>
        </w:rPr>
        <w:t xml:space="preserve"> </w:t>
      </w:r>
      <w:r w:rsidRPr="00FB6E9A">
        <w:rPr>
          <w:rFonts w:ascii="Trebuchet MS" w:hAnsi="Trebuchet MS" w:cs="Arial"/>
          <w:b/>
          <w:sz w:val="22"/>
          <w:szCs w:val="22"/>
        </w:rPr>
        <w:t>tone</w:t>
      </w:r>
      <w:r w:rsidRPr="00FB6E9A">
        <w:rPr>
          <w:rFonts w:ascii="Trebuchet MS" w:hAnsi="Trebuchet MS" w:cs="Arial"/>
          <w:sz w:val="22"/>
          <w:szCs w:val="22"/>
        </w:rPr>
        <w:t>.</w:t>
      </w:r>
    </w:p>
    <w:p w:rsidR="00FC3081" w:rsidRPr="00FB6E9A" w:rsidRDefault="00FC3081" w:rsidP="00FC3081">
      <w:pPr>
        <w:tabs>
          <w:tab w:val="left" w:pos="360"/>
        </w:tabs>
        <w:ind w:firstLine="360"/>
        <w:jc w:val="both"/>
        <w:rPr>
          <w:rFonts w:ascii="Trebuchet MS" w:hAnsi="Trebuchet MS" w:cs="Arial"/>
          <w:sz w:val="22"/>
          <w:szCs w:val="22"/>
        </w:rPr>
      </w:pPr>
      <w:r w:rsidRPr="00FB6E9A">
        <w:rPr>
          <w:rFonts w:ascii="Trebuchet MS" w:hAnsi="Trebuchet MS" w:cs="Arial"/>
          <w:sz w:val="22"/>
          <w:szCs w:val="22"/>
        </w:rPr>
        <w:t xml:space="preserve">Din cantitatea totală de deşeuri municipale colectată de operatorii de salubritate, </w:t>
      </w:r>
      <w:r w:rsidRPr="00FB6E9A">
        <w:rPr>
          <w:rFonts w:ascii="Trebuchet MS" w:hAnsi="Trebuchet MS" w:cs="Arial"/>
          <w:b/>
          <w:sz w:val="22"/>
          <w:szCs w:val="22"/>
        </w:rPr>
        <w:t>66.53%</w:t>
      </w:r>
      <w:r w:rsidRPr="00FB6E9A">
        <w:rPr>
          <w:rFonts w:ascii="Trebuchet MS" w:hAnsi="Trebuchet MS" w:cs="Arial"/>
          <w:sz w:val="22"/>
          <w:szCs w:val="22"/>
        </w:rPr>
        <w:t xml:space="preserve"> este reprezentată de deşeurile menajere şi asimilabile.</w:t>
      </w: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Tabel VII.1.1.1 Deşeuri colectate de municipalităţi în anul 2021</w:t>
      </w:r>
    </w:p>
    <w:p w:rsidR="00FC3081" w:rsidRPr="00FB6E9A" w:rsidRDefault="00FC3081" w:rsidP="00FC3081">
      <w:pPr>
        <w:jc w:val="both"/>
        <w:rPr>
          <w:rFonts w:ascii="Trebuchet MS" w:hAnsi="Trebuchet MS" w:cs="Arial"/>
          <w:sz w:val="22"/>
          <w:szCs w:val="22"/>
        </w:rPr>
      </w:pPr>
    </w:p>
    <w:tbl>
      <w:tblPr>
        <w:tblW w:w="46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4"/>
        <w:gridCol w:w="3142"/>
        <w:gridCol w:w="2796"/>
      </w:tblGrid>
      <w:tr w:rsidR="00FB6E9A" w:rsidRPr="00FB6E9A" w:rsidTr="00913BC5">
        <w:trPr>
          <w:trHeight w:val="423"/>
          <w:jc w:val="center"/>
        </w:trPr>
        <w:tc>
          <w:tcPr>
            <w:tcW w:w="1882" w:type="pct"/>
            <w:shd w:val="clear" w:color="auto" w:fill="D9D9D9"/>
            <w:vAlign w:val="center"/>
          </w:tcPr>
          <w:p w:rsidR="00FC3081" w:rsidRPr="00FB6E9A" w:rsidRDefault="00FC3081" w:rsidP="00913BC5">
            <w:pPr>
              <w:jc w:val="center"/>
              <w:rPr>
                <w:rFonts w:ascii="Trebuchet MS" w:hAnsi="Trebuchet MS" w:cs="Arial"/>
                <w:b/>
                <w:sz w:val="22"/>
                <w:szCs w:val="22"/>
                <w:lang w:val="ro-RO"/>
              </w:rPr>
            </w:pPr>
            <w:r w:rsidRPr="00FB6E9A">
              <w:rPr>
                <w:rFonts w:ascii="Trebuchet MS" w:hAnsi="Trebuchet MS" w:cs="Arial"/>
                <w:b/>
                <w:sz w:val="22"/>
                <w:szCs w:val="22"/>
                <w:lang w:val="ro-RO"/>
              </w:rPr>
              <w:t>Deşeuri colectate</w:t>
            </w:r>
          </w:p>
        </w:tc>
        <w:tc>
          <w:tcPr>
            <w:tcW w:w="1650" w:type="pct"/>
            <w:shd w:val="clear" w:color="auto" w:fill="D9D9D9"/>
            <w:vAlign w:val="center"/>
          </w:tcPr>
          <w:p w:rsidR="00FC3081" w:rsidRPr="00FB6E9A" w:rsidRDefault="00FC3081" w:rsidP="00913BC5">
            <w:pPr>
              <w:jc w:val="center"/>
              <w:rPr>
                <w:rFonts w:ascii="Trebuchet MS" w:hAnsi="Trebuchet MS" w:cs="Arial"/>
                <w:b/>
                <w:sz w:val="22"/>
                <w:szCs w:val="22"/>
                <w:lang w:val="ro-RO"/>
              </w:rPr>
            </w:pPr>
            <w:r w:rsidRPr="00FB6E9A">
              <w:rPr>
                <w:rFonts w:ascii="Trebuchet MS" w:hAnsi="Trebuchet MS" w:cs="Arial"/>
                <w:b/>
                <w:sz w:val="22"/>
                <w:szCs w:val="22"/>
                <w:lang w:val="ro-RO"/>
              </w:rPr>
              <w:t>Cantitate colectată (mii tone)</w:t>
            </w:r>
          </w:p>
        </w:tc>
        <w:tc>
          <w:tcPr>
            <w:tcW w:w="1468" w:type="pct"/>
            <w:shd w:val="clear" w:color="auto" w:fill="D9D9D9"/>
            <w:vAlign w:val="center"/>
          </w:tcPr>
          <w:p w:rsidR="00FC3081" w:rsidRPr="00FB6E9A" w:rsidRDefault="00FC3081" w:rsidP="00913BC5">
            <w:pPr>
              <w:jc w:val="center"/>
              <w:rPr>
                <w:rFonts w:ascii="Trebuchet MS" w:hAnsi="Trebuchet MS" w:cs="Arial"/>
                <w:b/>
                <w:sz w:val="22"/>
                <w:szCs w:val="22"/>
                <w:lang w:val="ro-RO"/>
              </w:rPr>
            </w:pPr>
            <w:r w:rsidRPr="00FB6E9A">
              <w:rPr>
                <w:rFonts w:ascii="Trebuchet MS" w:hAnsi="Trebuchet MS" w:cs="Arial"/>
                <w:b/>
                <w:sz w:val="22"/>
                <w:szCs w:val="22"/>
                <w:lang w:val="ro-RO"/>
              </w:rPr>
              <w:t>Procent %</w:t>
            </w:r>
          </w:p>
        </w:tc>
      </w:tr>
      <w:tr w:rsidR="00FB6E9A" w:rsidRPr="00FB6E9A" w:rsidTr="00913BC5">
        <w:trPr>
          <w:trHeight w:val="517"/>
          <w:jc w:val="center"/>
        </w:trPr>
        <w:tc>
          <w:tcPr>
            <w:tcW w:w="1882" w:type="pct"/>
            <w:vAlign w:val="center"/>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deşeuri menajere</w:t>
            </w:r>
          </w:p>
        </w:tc>
        <w:tc>
          <w:tcPr>
            <w:tcW w:w="1650" w:type="pct"/>
            <w:vAlign w:val="bottom"/>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667606</w:t>
            </w:r>
          </w:p>
        </w:tc>
        <w:tc>
          <w:tcPr>
            <w:tcW w:w="1468" w:type="pct"/>
            <w:vAlign w:val="bottom"/>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66.53</w:t>
            </w:r>
          </w:p>
        </w:tc>
      </w:tr>
      <w:tr w:rsidR="00FB6E9A" w:rsidRPr="00FB6E9A" w:rsidTr="00913BC5">
        <w:trPr>
          <w:trHeight w:val="230"/>
          <w:jc w:val="center"/>
        </w:trPr>
        <w:tc>
          <w:tcPr>
            <w:tcW w:w="1882" w:type="pct"/>
            <w:vAlign w:val="center"/>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deşeuri din servicii municipale</w:t>
            </w:r>
          </w:p>
        </w:tc>
        <w:tc>
          <w:tcPr>
            <w:tcW w:w="1650" w:type="pct"/>
            <w:vAlign w:val="bottom"/>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205958</w:t>
            </w:r>
          </w:p>
        </w:tc>
        <w:tc>
          <w:tcPr>
            <w:tcW w:w="1468" w:type="pct"/>
            <w:vAlign w:val="bottom"/>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20.53</w:t>
            </w:r>
          </w:p>
        </w:tc>
      </w:tr>
      <w:tr w:rsidR="00FB6E9A" w:rsidRPr="00FB6E9A" w:rsidTr="00913BC5">
        <w:trPr>
          <w:trHeight w:val="217"/>
          <w:jc w:val="center"/>
        </w:trPr>
        <w:tc>
          <w:tcPr>
            <w:tcW w:w="1882" w:type="pct"/>
            <w:vAlign w:val="center"/>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deşeuri din construcţii/demolări</w:t>
            </w:r>
          </w:p>
        </w:tc>
        <w:tc>
          <w:tcPr>
            <w:tcW w:w="1650" w:type="pct"/>
            <w:vAlign w:val="bottom"/>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129880</w:t>
            </w:r>
          </w:p>
        </w:tc>
        <w:tc>
          <w:tcPr>
            <w:tcW w:w="1468" w:type="pct"/>
            <w:vAlign w:val="bottom"/>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12.94</w:t>
            </w:r>
          </w:p>
        </w:tc>
      </w:tr>
      <w:tr w:rsidR="00FC3081" w:rsidRPr="00FB6E9A" w:rsidTr="00913BC5">
        <w:trPr>
          <w:trHeight w:val="544"/>
          <w:jc w:val="center"/>
        </w:trPr>
        <w:tc>
          <w:tcPr>
            <w:tcW w:w="1882" w:type="pct"/>
            <w:vAlign w:val="center"/>
          </w:tcPr>
          <w:p w:rsidR="00FC3081" w:rsidRPr="00FB6E9A" w:rsidRDefault="00FC3081" w:rsidP="00913BC5">
            <w:pPr>
              <w:jc w:val="center"/>
              <w:rPr>
                <w:rFonts w:ascii="Trebuchet MS" w:hAnsi="Trebuchet MS" w:cs="Arial"/>
                <w:b/>
                <w:sz w:val="22"/>
                <w:szCs w:val="22"/>
                <w:lang w:val="ro-RO"/>
              </w:rPr>
            </w:pPr>
            <w:r w:rsidRPr="00FB6E9A">
              <w:rPr>
                <w:rFonts w:ascii="Trebuchet MS" w:hAnsi="Trebuchet MS" w:cs="Arial"/>
                <w:b/>
                <w:sz w:val="22"/>
                <w:szCs w:val="22"/>
                <w:lang w:val="ro-RO"/>
              </w:rPr>
              <w:t>TOTAL</w:t>
            </w:r>
          </w:p>
        </w:tc>
        <w:tc>
          <w:tcPr>
            <w:tcW w:w="1650" w:type="pct"/>
            <w:vAlign w:val="bottom"/>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1003444</w:t>
            </w:r>
          </w:p>
        </w:tc>
        <w:tc>
          <w:tcPr>
            <w:tcW w:w="1468" w:type="pct"/>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100.00</w:t>
            </w:r>
          </w:p>
        </w:tc>
      </w:tr>
    </w:tbl>
    <w:p w:rsidR="00FC3081" w:rsidRPr="00FB6E9A" w:rsidRDefault="00FC3081" w:rsidP="00FC3081">
      <w:pPr>
        <w:jc w:val="both"/>
        <w:rPr>
          <w:rFonts w:ascii="Trebuchet MS" w:hAnsi="Trebuchet MS" w:cs="Arial"/>
          <w:i/>
          <w:sz w:val="22"/>
          <w:szCs w:val="22"/>
        </w:rPr>
      </w:pPr>
      <w:r w:rsidRPr="00FB6E9A">
        <w:rPr>
          <w:rFonts w:ascii="Trebuchet MS" w:hAnsi="Trebuchet MS" w:cs="Arial"/>
          <w:i/>
          <w:sz w:val="22"/>
          <w:szCs w:val="22"/>
        </w:rPr>
        <w:t xml:space="preserve">     Sursa: Agenţia pentru Protecţia Mediului Bucureşt i- Sistemul Informatic Integrat de Mediu – prin aplicația Statistica Deșeurilor, chestionare statistice GD MUN</w:t>
      </w: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 xml:space="preserve">Tabel VII.1.1.2. Compoziţia procentuală, pe tip de material, a deşeurilor menajere şi asimilabile </w:t>
      </w:r>
    </w:p>
    <w:p w:rsidR="00FC3081" w:rsidRPr="00FB6E9A" w:rsidRDefault="00FC3081" w:rsidP="00FC3081">
      <w:pPr>
        <w:jc w:val="both"/>
        <w:rPr>
          <w:rFonts w:ascii="Trebuchet MS" w:hAnsi="Trebuchet MS"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7"/>
        <w:gridCol w:w="2376"/>
      </w:tblGrid>
      <w:tr w:rsidR="00FB6E9A" w:rsidRPr="00FB6E9A" w:rsidTr="00913BC5">
        <w:trPr>
          <w:jc w:val="center"/>
        </w:trPr>
        <w:tc>
          <w:tcPr>
            <w:tcW w:w="3797" w:type="dxa"/>
            <w:shd w:val="clear" w:color="auto" w:fill="D9D9D9"/>
            <w:vAlign w:val="center"/>
          </w:tcPr>
          <w:p w:rsidR="00FC3081" w:rsidRPr="00FB6E9A" w:rsidRDefault="00FC3081" w:rsidP="00913BC5">
            <w:pPr>
              <w:jc w:val="center"/>
              <w:rPr>
                <w:rFonts w:ascii="Trebuchet MS" w:hAnsi="Trebuchet MS" w:cs="Arial"/>
                <w:b/>
                <w:bCs/>
                <w:caps/>
                <w:sz w:val="22"/>
                <w:szCs w:val="22"/>
                <w:lang w:val="ro-RO"/>
              </w:rPr>
            </w:pPr>
            <w:r w:rsidRPr="00FB6E9A">
              <w:rPr>
                <w:rFonts w:ascii="Trebuchet MS" w:hAnsi="Trebuchet MS" w:cs="Arial"/>
                <w:b/>
                <w:bCs/>
                <w:caps/>
                <w:sz w:val="22"/>
                <w:szCs w:val="22"/>
                <w:lang w:val="ro-RO"/>
              </w:rPr>
              <w:t>Material</w:t>
            </w:r>
          </w:p>
        </w:tc>
        <w:tc>
          <w:tcPr>
            <w:tcW w:w="2376" w:type="dxa"/>
            <w:shd w:val="clear" w:color="auto" w:fill="D9D9D9"/>
          </w:tcPr>
          <w:p w:rsidR="00FC3081" w:rsidRPr="00FB6E9A" w:rsidRDefault="00FC3081" w:rsidP="00913BC5">
            <w:pPr>
              <w:jc w:val="center"/>
              <w:rPr>
                <w:rFonts w:ascii="Trebuchet MS" w:hAnsi="Trebuchet MS" w:cs="Arial"/>
                <w:b/>
                <w:bCs/>
                <w:caps/>
                <w:sz w:val="22"/>
                <w:szCs w:val="22"/>
                <w:lang w:val="ro-RO"/>
              </w:rPr>
            </w:pPr>
            <w:r w:rsidRPr="00FB6E9A">
              <w:rPr>
                <w:rFonts w:ascii="Trebuchet MS" w:hAnsi="Trebuchet MS" w:cs="Arial"/>
                <w:b/>
                <w:bCs/>
                <w:caps/>
                <w:sz w:val="22"/>
                <w:szCs w:val="22"/>
                <w:lang w:val="ro-RO"/>
              </w:rPr>
              <w:t>Procentaj</w:t>
            </w:r>
          </w:p>
        </w:tc>
      </w:tr>
      <w:tr w:rsidR="00FB6E9A" w:rsidRPr="00FB6E9A" w:rsidTr="00913BC5">
        <w:trPr>
          <w:jc w:val="center"/>
        </w:trPr>
        <w:tc>
          <w:tcPr>
            <w:tcW w:w="3797" w:type="dxa"/>
            <w:vAlign w:val="center"/>
          </w:tcPr>
          <w:p w:rsidR="00FC3081" w:rsidRPr="00FB6E9A" w:rsidRDefault="00FC3081" w:rsidP="00913BC5">
            <w:pPr>
              <w:jc w:val="center"/>
              <w:rPr>
                <w:rFonts w:ascii="Trebuchet MS" w:hAnsi="Trebuchet MS" w:cs="Arial"/>
                <w:bCs/>
                <w:sz w:val="22"/>
                <w:szCs w:val="22"/>
                <w:lang w:val="ro-RO"/>
              </w:rPr>
            </w:pPr>
            <w:r w:rsidRPr="00FB6E9A">
              <w:rPr>
                <w:rFonts w:ascii="Trebuchet MS" w:hAnsi="Trebuchet MS" w:cs="Arial"/>
                <w:bCs/>
                <w:sz w:val="22"/>
                <w:szCs w:val="22"/>
                <w:lang w:val="ro-RO"/>
              </w:rPr>
              <w:t>Hârtie şi carton</w:t>
            </w:r>
          </w:p>
        </w:tc>
        <w:tc>
          <w:tcPr>
            <w:tcW w:w="2376"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14.17</w:t>
            </w:r>
          </w:p>
        </w:tc>
      </w:tr>
      <w:tr w:rsidR="00FB6E9A" w:rsidRPr="00FB6E9A" w:rsidTr="00913BC5">
        <w:trPr>
          <w:jc w:val="center"/>
        </w:trPr>
        <w:tc>
          <w:tcPr>
            <w:tcW w:w="3797" w:type="dxa"/>
            <w:vAlign w:val="center"/>
          </w:tcPr>
          <w:p w:rsidR="00FC3081" w:rsidRPr="00FB6E9A" w:rsidRDefault="00FC3081" w:rsidP="00913BC5">
            <w:pPr>
              <w:jc w:val="center"/>
              <w:rPr>
                <w:rFonts w:ascii="Trebuchet MS" w:hAnsi="Trebuchet MS" w:cs="Arial"/>
                <w:bCs/>
                <w:sz w:val="22"/>
                <w:szCs w:val="22"/>
                <w:lang w:val="ro-RO"/>
              </w:rPr>
            </w:pPr>
            <w:r w:rsidRPr="00FB6E9A">
              <w:rPr>
                <w:rFonts w:ascii="Trebuchet MS" w:hAnsi="Trebuchet MS" w:cs="Arial"/>
                <w:bCs/>
                <w:sz w:val="22"/>
                <w:szCs w:val="22"/>
                <w:lang w:val="ro-RO"/>
              </w:rPr>
              <w:t>Sticlă</w:t>
            </w:r>
          </w:p>
        </w:tc>
        <w:tc>
          <w:tcPr>
            <w:tcW w:w="2376"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 xml:space="preserve">   6.45</w:t>
            </w:r>
          </w:p>
        </w:tc>
      </w:tr>
      <w:tr w:rsidR="00FB6E9A" w:rsidRPr="00FB6E9A" w:rsidTr="00913BC5">
        <w:trPr>
          <w:jc w:val="center"/>
        </w:trPr>
        <w:tc>
          <w:tcPr>
            <w:tcW w:w="3797" w:type="dxa"/>
            <w:vAlign w:val="center"/>
          </w:tcPr>
          <w:p w:rsidR="00FC3081" w:rsidRPr="00FB6E9A" w:rsidRDefault="00FC3081" w:rsidP="00913BC5">
            <w:pPr>
              <w:jc w:val="center"/>
              <w:rPr>
                <w:rFonts w:ascii="Trebuchet MS" w:hAnsi="Trebuchet MS" w:cs="Arial"/>
                <w:bCs/>
                <w:sz w:val="22"/>
                <w:szCs w:val="22"/>
                <w:lang w:val="ro-RO"/>
              </w:rPr>
            </w:pPr>
            <w:r w:rsidRPr="00FB6E9A">
              <w:rPr>
                <w:rFonts w:ascii="Trebuchet MS" w:hAnsi="Trebuchet MS" w:cs="Arial"/>
                <w:bCs/>
                <w:sz w:val="22"/>
                <w:szCs w:val="22"/>
                <w:lang w:val="ro-RO"/>
              </w:rPr>
              <w:t>Metale</w:t>
            </w:r>
          </w:p>
        </w:tc>
        <w:tc>
          <w:tcPr>
            <w:tcW w:w="2376"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 xml:space="preserve">   3.05</w:t>
            </w:r>
          </w:p>
        </w:tc>
      </w:tr>
      <w:tr w:rsidR="00FB6E9A" w:rsidRPr="00FB6E9A" w:rsidTr="00913BC5">
        <w:trPr>
          <w:jc w:val="center"/>
        </w:trPr>
        <w:tc>
          <w:tcPr>
            <w:tcW w:w="3797" w:type="dxa"/>
            <w:vAlign w:val="center"/>
          </w:tcPr>
          <w:p w:rsidR="00FC3081" w:rsidRPr="00FB6E9A" w:rsidRDefault="00FC3081" w:rsidP="00913BC5">
            <w:pPr>
              <w:jc w:val="center"/>
              <w:rPr>
                <w:rFonts w:ascii="Trebuchet MS" w:hAnsi="Trebuchet MS" w:cs="Arial"/>
                <w:bCs/>
                <w:sz w:val="22"/>
                <w:szCs w:val="22"/>
                <w:lang w:val="ro-RO"/>
              </w:rPr>
            </w:pPr>
            <w:r w:rsidRPr="00FB6E9A">
              <w:rPr>
                <w:rFonts w:ascii="Trebuchet MS" w:hAnsi="Trebuchet MS" w:cs="Arial"/>
                <w:bCs/>
                <w:sz w:val="22"/>
                <w:szCs w:val="22"/>
                <w:lang w:val="ro-RO"/>
              </w:rPr>
              <w:t>Materiale plastice</w:t>
            </w:r>
          </w:p>
        </w:tc>
        <w:tc>
          <w:tcPr>
            <w:tcW w:w="2376"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 xml:space="preserve">  11.75</w:t>
            </w:r>
          </w:p>
        </w:tc>
      </w:tr>
      <w:tr w:rsidR="00FB6E9A" w:rsidRPr="00FB6E9A" w:rsidTr="00913BC5">
        <w:trPr>
          <w:jc w:val="center"/>
        </w:trPr>
        <w:tc>
          <w:tcPr>
            <w:tcW w:w="3797" w:type="dxa"/>
            <w:vAlign w:val="center"/>
          </w:tcPr>
          <w:p w:rsidR="00FC3081" w:rsidRPr="00FB6E9A" w:rsidRDefault="00FC3081" w:rsidP="00913BC5">
            <w:pPr>
              <w:jc w:val="center"/>
              <w:rPr>
                <w:rFonts w:ascii="Trebuchet MS" w:hAnsi="Trebuchet MS" w:cs="Arial"/>
                <w:bCs/>
                <w:sz w:val="22"/>
                <w:szCs w:val="22"/>
                <w:lang w:val="ro-RO"/>
              </w:rPr>
            </w:pPr>
            <w:r w:rsidRPr="00FB6E9A">
              <w:rPr>
                <w:rFonts w:ascii="Trebuchet MS" w:hAnsi="Trebuchet MS" w:cs="Arial"/>
                <w:bCs/>
                <w:sz w:val="22"/>
                <w:szCs w:val="22"/>
                <w:lang w:val="ro-RO"/>
              </w:rPr>
              <w:t>Biodegradabile</w:t>
            </w:r>
          </w:p>
        </w:tc>
        <w:tc>
          <w:tcPr>
            <w:tcW w:w="2376"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 xml:space="preserve"> 50.9</w:t>
            </w:r>
          </w:p>
        </w:tc>
      </w:tr>
      <w:tr w:rsidR="00FB6E9A" w:rsidRPr="00FB6E9A" w:rsidTr="00913BC5">
        <w:trPr>
          <w:jc w:val="center"/>
        </w:trPr>
        <w:tc>
          <w:tcPr>
            <w:tcW w:w="3797" w:type="dxa"/>
            <w:vAlign w:val="center"/>
          </w:tcPr>
          <w:p w:rsidR="00FC3081" w:rsidRPr="00FB6E9A" w:rsidRDefault="00FC3081" w:rsidP="00913BC5">
            <w:pPr>
              <w:jc w:val="center"/>
              <w:rPr>
                <w:rFonts w:ascii="Trebuchet MS" w:hAnsi="Trebuchet MS" w:cs="Arial"/>
                <w:bCs/>
                <w:sz w:val="22"/>
                <w:szCs w:val="22"/>
                <w:lang w:val="ro-RO"/>
              </w:rPr>
            </w:pPr>
            <w:r w:rsidRPr="00FB6E9A">
              <w:rPr>
                <w:rFonts w:ascii="Trebuchet MS" w:hAnsi="Trebuchet MS" w:cs="Arial"/>
                <w:bCs/>
                <w:sz w:val="22"/>
                <w:szCs w:val="22"/>
                <w:lang w:val="ro-RO"/>
              </w:rPr>
              <w:t>Lemn</w:t>
            </w:r>
          </w:p>
        </w:tc>
        <w:tc>
          <w:tcPr>
            <w:tcW w:w="2376"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 xml:space="preserve">   1.43</w:t>
            </w:r>
          </w:p>
        </w:tc>
      </w:tr>
      <w:tr w:rsidR="00FB6E9A" w:rsidRPr="00FB6E9A" w:rsidTr="00913BC5">
        <w:trPr>
          <w:jc w:val="center"/>
        </w:trPr>
        <w:tc>
          <w:tcPr>
            <w:tcW w:w="3797" w:type="dxa"/>
            <w:vAlign w:val="center"/>
          </w:tcPr>
          <w:p w:rsidR="00FC3081" w:rsidRPr="00FB6E9A" w:rsidRDefault="00FC3081" w:rsidP="00913BC5">
            <w:pPr>
              <w:jc w:val="center"/>
              <w:rPr>
                <w:rFonts w:ascii="Trebuchet MS" w:hAnsi="Trebuchet MS" w:cs="Arial"/>
                <w:bCs/>
                <w:sz w:val="22"/>
                <w:szCs w:val="22"/>
                <w:lang w:val="ro-RO"/>
              </w:rPr>
            </w:pPr>
            <w:r w:rsidRPr="00FB6E9A">
              <w:rPr>
                <w:rFonts w:ascii="Trebuchet MS" w:hAnsi="Trebuchet MS" w:cs="Arial"/>
                <w:bCs/>
                <w:sz w:val="22"/>
                <w:szCs w:val="22"/>
                <w:lang w:val="ro-RO"/>
              </w:rPr>
              <w:t>Altele</w:t>
            </w:r>
          </w:p>
        </w:tc>
        <w:tc>
          <w:tcPr>
            <w:tcW w:w="2376"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11.62</w:t>
            </w:r>
          </w:p>
        </w:tc>
      </w:tr>
      <w:tr w:rsidR="00FC3081" w:rsidRPr="00FB6E9A" w:rsidTr="00913BC5">
        <w:trPr>
          <w:jc w:val="center"/>
        </w:trPr>
        <w:tc>
          <w:tcPr>
            <w:tcW w:w="3797" w:type="dxa"/>
            <w:vAlign w:val="center"/>
          </w:tcPr>
          <w:p w:rsidR="00FC3081" w:rsidRPr="00FB6E9A" w:rsidRDefault="00FC3081" w:rsidP="00913BC5">
            <w:pPr>
              <w:jc w:val="center"/>
              <w:rPr>
                <w:rFonts w:ascii="Trebuchet MS" w:hAnsi="Trebuchet MS" w:cs="Arial"/>
                <w:b/>
                <w:bCs/>
                <w:sz w:val="22"/>
                <w:szCs w:val="22"/>
                <w:lang w:val="ro-RO"/>
              </w:rPr>
            </w:pPr>
            <w:r w:rsidRPr="00FB6E9A">
              <w:rPr>
                <w:rFonts w:ascii="Trebuchet MS" w:hAnsi="Trebuchet MS" w:cs="Arial"/>
                <w:b/>
                <w:bCs/>
                <w:sz w:val="22"/>
                <w:szCs w:val="22"/>
                <w:lang w:val="ro-RO"/>
              </w:rPr>
              <w:t>Total</w:t>
            </w:r>
          </w:p>
        </w:tc>
        <w:tc>
          <w:tcPr>
            <w:tcW w:w="2376" w:type="dxa"/>
          </w:tcPr>
          <w:p w:rsidR="00FC3081" w:rsidRPr="00FB6E9A" w:rsidRDefault="00FC3081" w:rsidP="00913BC5">
            <w:pPr>
              <w:jc w:val="center"/>
              <w:rPr>
                <w:rFonts w:ascii="Trebuchet MS" w:hAnsi="Trebuchet MS" w:cs="Arial"/>
                <w:b/>
                <w:sz w:val="22"/>
                <w:szCs w:val="22"/>
                <w:lang w:val="ro-RO"/>
              </w:rPr>
            </w:pPr>
            <w:r w:rsidRPr="00FB6E9A">
              <w:rPr>
                <w:rFonts w:ascii="Trebuchet MS" w:hAnsi="Trebuchet MS" w:cs="Arial"/>
                <w:b/>
                <w:sz w:val="22"/>
                <w:szCs w:val="22"/>
                <w:lang w:val="ro-RO"/>
              </w:rPr>
              <w:t>100%</w:t>
            </w:r>
          </w:p>
        </w:tc>
      </w:tr>
    </w:tbl>
    <w:p w:rsidR="00FC3081" w:rsidRPr="00FB6E9A" w:rsidRDefault="00FC3081" w:rsidP="00FC3081">
      <w:pPr>
        <w:ind w:left="720" w:firstLine="720"/>
        <w:jc w:val="both"/>
        <w:rPr>
          <w:rFonts w:ascii="Trebuchet MS" w:hAnsi="Trebuchet MS" w:cs="Arial"/>
          <w:i/>
          <w:sz w:val="22"/>
          <w:szCs w:val="22"/>
        </w:rPr>
      </w:pPr>
      <w:r w:rsidRPr="00FB6E9A">
        <w:rPr>
          <w:rFonts w:ascii="Trebuchet MS" w:hAnsi="Trebuchet MS" w:cs="Arial"/>
          <w:i/>
          <w:sz w:val="22"/>
          <w:szCs w:val="22"/>
        </w:rPr>
        <w:t xml:space="preserve">  Sursa de date:</w:t>
      </w:r>
    </w:p>
    <w:p w:rsidR="00FC3081" w:rsidRPr="00FB6E9A" w:rsidRDefault="00FC3081" w:rsidP="00FC3081">
      <w:pPr>
        <w:ind w:left="720" w:firstLine="720"/>
        <w:jc w:val="both"/>
        <w:rPr>
          <w:rFonts w:ascii="Trebuchet MS" w:hAnsi="Trebuchet MS" w:cs="Arial"/>
          <w:i/>
          <w:sz w:val="22"/>
          <w:szCs w:val="22"/>
        </w:rPr>
      </w:pPr>
      <w:r w:rsidRPr="00FB6E9A">
        <w:rPr>
          <w:rFonts w:ascii="Trebuchet MS" w:hAnsi="Trebuchet MS" w:cs="Arial"/>
          <w:i/>
          <w:sz w:val="22"/>
          <w:szCs w:val="22"/>
        </w:rPr>
        <w:t xml:space="preserve"> -</w:t>
      </w:r>
      <w:r w:rsidRPr="00FB6E9A">
        <w:rPr>
          <w:rFonts w:ascii="Trebuchet MS" w:hAnsi="Trebuchet MS" w:cs="Arial"/>
          <w:i/>
          <w:sz w:val="22"/>
          <w:szCs w:val="22"/>
        </w:rPr>
        <w:tab/>
        <w:t>Agenția Națională pentru Protecția Mediului (ANPM): PNGD</w:t>
      </w: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 xml:space="preserve">Figura VII.1.1.3. Compoziţia procentuală a deşeurilor menajere şi asimilabile </w:t>
      </w:r>
    </w:p>
    <w:p w:rsidR="00FC3081" w:rsidRPr="00FC554D" w:rsidRDefault="00FC3081" w:rsidP="00FC3081">
      <w:pPr>
        <w:jc w:val="center"/>
        <w:rPr>
          <w:rFonts w:ascii="Arial" w:hAnsi="Arial" w:cs="Arial"/>
        </w:rPr>
      </w:pPr>
      <w:r w:rsidRPr="00FC554D">
        <w:rPr>
          <w:rFonts w:ascii="Arial" w:hAnsi="Arial" w:cs="Arial"/>
          <w:noProof/>
          <w:lang w:val="en-US"/>
        </w:rPr>
        <w:drawing>
          <wp:inline distT="0" distB="0" distL="0" distR="0" wp14:anchorId="1A63ED74" wp14:editId="06994B65">
            <wp:extent cx="4876800" cy="2105025"/>
            <wp:effectExtent l="0" t="0" r="0" b="0"/>
            <wp:docPr id="50" name="Objec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Trebuie menţionat faptul că, în Bucureşti, colectarea deşeurilor municipale este generalizată. În tabelul de mai jos se prezintă evoluţia gradului de conectare la serviciul de salubritate în perioada 2018 - 2022.</w:t>
      </w: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Tabel VII.1.1.4. Evoluţia gradului de conectare la serviciul de salubritate în perioada 2018– 2020</w:t>
      </w:r>
    </w:p>
    <w:p w:rsidR="00FC3081" w:rsidRPr="00FB6E9A" w:rsidRDefault="00FC3081" w:rsidP="00FC3081">
      <w:pPr>
        <w:jc w:val="both"/>
        <w:rPr>
          <w:rFonts w:ascii="Trebuchet MS" w:hAnsi="Trebuchet MS" w:cs="Arial"/>
          <w:b/>
          <w:sz w:val="22"/>
          <w:szCs w:val="22"/>
        </w:rPr>
      </w:pPr>
    </w:p>
    <w:tbl>
      <w:tblPr>
        <w:tblW w:w="7100" w:type="dxa"/>
        <w:jc w:val="center"/>
        <w:tblLook w:val="00A0" w:firstRow="1" w:lastRow="0" w:firstColumn="1" w:lastColumn="0" w:noHBand="0" w:noVBand="0"/>
      </w:tblPr>
      <w:tblGrid>
        <w:gridCol w:w="2242"/>
        <w:gridCol w:w="887"/>
        <w:gridCol w:w="887"/>
        <w:gridCol w:w="887"/>
        <w:gridCol w:w="887"/>
        <w:gridCol w:w="887"/>
        <w:gridCol w:w="423"/>
      </w:tblGrid>
      <w:tr w:rsidR="00FC3081" w:rsidRPr="00FB6E9A" w:rsidTr="00913BC5">
        <w:trPr>
          <w:trHeight w:val="315"/>
          <w:jc w:val="center"/>
        </w:trPr>
        <w:tc>
          <w:tcPr>
            <w:tcW w:w="2242" w:type="dxa"/>
            <w:tcBorders>
              <w:top w:val="single" w:sz="8" w:space="0" w:color="auto"/>
              <w:left w:val="single" w:sz="8" w:space="0" w:color="auto"/>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p>
        </w:tc>
        <w:tc>
          <w:tcPr>
            <w:tcW w:w="887" w:type="dxa"/>
            <w:tcBorders>
              <w:top w:val="single" w:sz="8" w:space="0" w:color="auto"/>
              <w:left w:val="nil"/>
              <w:bottom w:val="single" w:sz="8" w:space="0" w:color="auto"/>
              <w:right w:val="single" w:sz="8" w:space="0" w:color="auto"/>
            </w:tcBorders>
            <w:shd w:val="clear" w:color="000000" w:fill="D9D9D9"/>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2018</w:t>
            </w:r>
          </w:p>
        </w:tc>
        <w:tc>
          <w:tcPr>
            <w:tcW w:w="887" w:type="dxa"/>
            <w:tcBorders>
              <w:top w:val="single" w:sz="8" w:space="0" w:color="auto"/>
              <w:left w:val="nil"/>
              <w:bottom w:val="single" w:sz="8" w:space="0" w:color="auto"/>
              <w:right w:val="single" w:sz="8" w:space="0" w:color="auto"/>
            </w:tcBorders>
            <w:shd w:val="clear" w:color="000000" w:fill="D9D9D9"/>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2019</w:t>
            </w:r>
          </w:p>
        </w:tc>
        <w:tc>
          <w:tcPr>
            <w:tcW w:w="887" w:type="dxa"/>
            <w:tcBorders>
              <w:top w:val="single" w:sz="8" w:space="0" w:color="auto"/>
              <w:left w:val="nil"/>
              <w:bottom w:val="single" w:sz="8" w:space="0" w:color="auto"/>
              <w:right w:val="single" w:sz="8" w:space="0" w:color="auto"/>
            </w:tcBorders>
            <w:shd w:val="clear" w:color="000000" w:fill="D9D9D9"/>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2020</w:t>
            </w:r>
          </w:p>
        </w:tc>
        <w:tc>
          <w:tcPr>
            <w:tcW w:w="887" w:type="dxa"/>
            <w:tcBorders>
              <w:top w:val="single" w:sz="8" w:space="0" w:color="auto"/>
              <w:left w:val="nil"/>
              <w:bottom w:val="single" w:sz="8" w:space="0" w:color="auto"/>
              <w:right w:val="single" w:sz="8" w:space="0" w:color="auto"/>
            </w:tcBorders>
            <w:shd w:val="clear" w:color="000000" w:fill="D9D9D9"/>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2021</w:t>
            </w:r>
          </w:p>
        </w:tc>
        <w:tc>
          <w:tcPr>
            <w:tcW w:w="887" w:type="dxa"/>
            <w:tcBorders>
              <w:top w:val="single" w:sz="8" w:space="0" w:color="auto"/>
              <w:left w:val="nil"/>
              <w:bottom w:val="single" w:sz="8" w:space="0" w:color="auto"/>
              <w:right w:val="nil"/>
            </w:tcBorders>
            <w:shd w:val="clear" w:color="000000" w:fill="D9D9D9"/>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2022</w:t>
            </w:r>
          </w:p>
        </w:tc>
        <w:tc>
          <w:tcPr>
            <w:tcW w:w="423" w:type="dxa"/>
            <w:tcBorders>
              <w:top w:val="single" w:sz="8" w:space="0" w:color="auto"/>
              <w:left w:val="nil"/>
              <w:bottom w:val="single" w:sz="8" w:space="0" w:color="auto"/>
              <w:right w:val="single" w:sz="8" w:space="0" w:color="auto"/>
            </w:tcBorders>
            <w:shd w:val="clear" w:color="000000" w:fill="D9D9D9"/>
          </w:tcPr>
          <w:p w:rsidR="00FC3081" w:rsidRPr="00FB6E9A" w:rsidRDefault="00FC3081" w:rsidP="00913BC5">
            <w:pPr>
              <w:jc w:val="center"/>
              <w:rPr>
                <w:rFonts w:ascii="Trebuchet MS" w:hAnsi="Trebuchet MS" w:cs="Arial"/>
                <w:b/>
                <w:sz w:val="22"/>
                <w:szCs w:val="22"/>
              </w:rPr>
            </w:pPr>
          </w:p>
        </w:tc>
      </w:tr>
      <w:tr w:rsidR="00FC3081" w:rsidRPr="00FB6E9A" w:rsidTr="00913BC5">
        <w:trPr>
          <w:trHeight w:val="1455"/>
          <w:jc w:val="center"/>
        </w:trPr>
        <w:tc>
          <w:tcPr>
            <w:tcW w:w="2242" w:type="dxa"/>
            <w:tcBorders>
              <w:top w:val="nil"/>
              <w:left w:val="single" w:sz="8" w:space="0" w:color="auto"/>
              <w:bottom w:val="single" w:sz="8" w:space="0" w:color="auto"/>
              <w:right w:val="single" w:sz="8" w:space="0" w:color="auto"/>
            </w:tcBorders>
            <w:vAlign w:val="center"/>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Gradul de conectare la serv. de salubritate (%), din care:</w:t>
            </w:r>
          </w:p>
        </w:tc>
        <w:tc>
          <w:tcPr>
            <w:tcW w:w="887" w:type="dxa"/>
            <w:tcBorders>
              <w:top w:val="nil"/>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8" w:space="0" w:color="auto"/>
              <w:right w:val="nil"/>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423" w:type="dxa"/>
            <w:tcBorders>
              <w:top w:val="nil"/>
              <w:left w:val="nil"/>
              <w:bottom w:val="single" w:sz="8" w:space="0" w:color="auto"/>
              <w:right w:val="single" w:sz="8" w:space="0" w:color="auto"/>
            </w:tcBorders>
          </w:tcPr>
          <w:p w:rsidR="00FC3081" w:rsidRPr="00FB6E9A" w:rsidRDefault="00FC3081" w:rsidP="00913BC5">
            <w:pPr>
              <w:jc w:val="center"/>
              <w:rPr>
                <w:rFonts w:ascii="Trebuchet MS" w:hAnsi="Trebuchet MS" w:cs="Arial"/>
                <w:sz w:val="22"/>
                <w:szCs w:val="22"/>
              </w:rPr>
            </w:pPr>
          </w:p>
        </w:tc>
      </w:tr>
      <w:tr w:rsidR="00FC3081" w:rsidRPr="00FB6E9A" w:rsidTr="00913BC5">
        <w:trPr>
          <w:trHeight w:val="495"/>
          <w:jc w:val="center"/>
        </w:trPr>
        <w:tc>
          <w:tcPr>
            <w:tcW w:w="2242" w:type="dxa"/>
            <w:tcBorders>
              <w:top w:val="nil"/>
              <w:left w:val="single" w:sz="8" w:space="0" w:color="auto"/>
              <w:bottom w:val="single" w:sz="4"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 Mediul urban</w:t>
            </w:r>
          </w:p>
        </w:tc>
        <w:tc>
          <w:tcPr>
            <w:tcW w:w="887" w:type="dxa"/>
            <w:tcBorders>
              <w:top w:val="nil"/>
              <w:left w:val="nil"/>
              <w:bottom w:val="single" w:sz="4"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4"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4"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4"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887" w:type="dxa"/>
            <w:tcBorders>
              <w:top w:val="nil"/>
              <w:left w:val="nil"/>
              <w:bottom w:val="single" w:sz="4" w:space="0" w:color="auto"/>
              <w:right w:val="nil"/>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423" w:type="dxa"/>
            <w:tcBorders>
              <w:top w:val="nil"/>
              <w:left w:val="nil"/>
              <w:bottom w:val="single" w:sz="4" w:space="0" w:color="auto"/>
              <w:right w:val="single" w:sz="8" w:space="0" w:color="auto"/>
            </w:tcBorders>
          </w:tcPr>
          <w:p w:rsidR="00FC3081" w:rsidRPr="00FB6E9A" w:rsidRDefault="00FC3081" w:rsidP="00913BC5">
            <w:pPr>
              <w:jc w:val="center"/>
              <w:rPr>
                <w:rFonts w:ascii="Trebuchet MS" w:hAnsi="Trebuchet MS" w:cs="Arial"/>
                <w:sz w:val="22"/>
                <w:szCs w:val="22"/>
              </w:rPr>
            </w:pPr>
          </w:p>
        </w:tc>
      </w:tr>
      <w:tr w:rsidR="00FC3081" w:rsidRPr="00FB6E9A" w:rsidTr="00913BC5">
        <w:trPr>
          <w:trHeight w:val="495"/>
          <w:jc w:val="center"/>
        </w:trPr>
        <w:tc>
          <w:tcPr>
            <w:tcW w:w="2242" w:type="dxa"/>
            <w:tcBorders>
              <w:top w:val="single" w:sz="4" w:space="0" w:color="auto"/>
              <w:left w:val="single" w:sz="8" w:space="0" w:color="auto"/>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 Mediul rural</w:t>
            </w:r>
          </w:p>
        </w:tc>
        <w:tc>
          <w:tcPr>
            <w:tcW w:w="887" w:type="dxa"/>
            <w:tcBorders>
              <w:top w:val="single" w:sz="4" w:space="0" w:color="auto"/>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887" w:type="dxa"/>
            <w:tcBorders>
              <w:top w:val="single" w:sz="4" w:space="0" w:color="auto"/>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887" w:type="dxa"/>
            <w:tcBorders>
              <w:top w:val="single" w:sz="4" w:space="0" w:color="auto"/>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887" w:type="dxa"/>
            <w:tcBorders>
              <w:top w:val="single" w:sz="4" w:space="0" w:color="auto"/>
              <w:left w:val="nil"/>
              <w:bottom w:val="single" w:sz="8" w:space="0" w:color="auto"/>
              <w:right w:val="single" w:sz="8" w:space="0" w:color="auto"/>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887" w:type="dxa"/>
            <w:tcBorders>
              <w:top w:val="single" w:sz="4" w:space="0" w:color="auto"/>
              <w:left w:val="nil"/>
              <w:bottom w:val="single" w:sz="8" w:space="0" w:color="auto"/>
              <w:right w:val="nil"/>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423" w:type="dxa"/>
            <w:tcBorders>
              <w:top w:val="single" w:sz="4" w:space="0" w:color="auto"/>
              <w:left w:val="nil"/>
              <w:bottom w:val="single" w:sz="8" w:space="0" w:color="auto"/>
              <w:right w:val="single" w:sz="8" w:space="0" w:color="auto"/>
            </w:tcBorders>
          </w:tcPr>
          <w:p w:rsidR="00FC3081" w:rsidRPr="00FB6E9A" w:rsidRDefault="00FC3081" w:rsidP="00913BC5">
            <w:pPr>
              <w:jc w:val="center"/>
              <w:rPr>
                <w:rFonts w:ascii="Trebuchet MS" w:hAnsi="Trebuchet MS" w:cs="Arial"/>
                <w:sz w:val="22"/>
                <w:szCs w:val="22"/>
              </w:rPr>
            </w:pPr>
          </w:p>
        </w:tc>
      </w:tr>
    </w:tbl>
    <w:p w:rsidR="00FC3081" w:rsidRPr="00FB6E9A" w:rsidRDefault="00FC3081" w:rsidP="00FC3081">
      <w:pPr>
        <w:ind w:left="1440" w:firstLine="720"/>
        <w:jc w:val="both"/>
        <w:rPr>
          <w:rFonts w:ascii="Trebuchet MS" w:hAnsi="Trebuchet MS" w:cs="Arial"/>
          <w:sz w:val="22"/>
          <w:szCs w:val="22"/>
        </w:rPr>
      </w:pPr>
      <w:r w:rsidRPr="00FB6E9A">
        <w:rPr>
          <w:rFonts w:ascii="Trebuchet MS" w:hAnsi="Trebuchet MS" w:cs="Arial"/>
          <w:i/>
          <w:sz w:val="22"/>
          <w:szCs w:val="22"/>
        </w:rPr>
        <w:t>Sursa: Agenţia pentru Protecţia Mediului Bucureşti</w:t>
      </w: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Figura VII.1.1.1. Evoluţia gradului de conectare la serviciul de salubritate în perioada 2018– 2022</w:t>
      </w:r>
    </w:p>
    <w:p w:rsidR="00FC3081" w:rsidRPr="00FC554D" w:rsidRDefault="00FC3081" w:rsidP="00FC3081">
      <w:pPr>
        <w:jc w:val="both"/>
        <w:rPr>
          <w:rFonts w:ascii="Arial" w:hAnsi="Arial" w:cs="Arial"/>
        </w:rPr>
      </w:pPr>
      <w:r w:rsidRPr="00FC554D">
        <w:rPr>
          <w:rFonts w:ascii="Arial" w:hAnsi="Arial" w:cs="Arial"/>
          <w:noProof/>
          <w:lang w:val="en-US"/>
        </w:rPr>
        <w:drawing>
          <wp:anchor distT="0" distB="0" distL="114300" distR="114300" simplePos="0" relativeHeight="251708928" behindDoc="1" locked="0" layoutInCell="1" allowOverlap="1" wp14:anchorId="718AFDE2" wp14:editId="7C3AB64B">
            <wp:simplePos x="0" y="0"/>
            <wp:positionH relativeFrom="column">
              <wp:posOffset>-1270</wp:posOffset>
            </wp:positionH>
            <wp:positionV relativeFrom="paragraph">
              <wp:posOffset>0</wp:posOffset>
            </wp:positionV>
            <wp:extent cx="5772150" cy="3257550"/>
            <wp:effectExtent l="0" t="0" r="0" b="0"/>
            <wp:wrapTight wrapText="bothSides">
              <wp:wrapPolygon edited="0">
                <wp:start x="0" y="0"/>
                <wp:lineTo x="0" y="21474"/>
                <wp:lineTo x="21529" y="21474"/>
                <wp:lineTo x="21529" y="0"/>
                <wp:lineTo x="0" y="0"/>
              </wp:wrapPolygon>
            </wp:wrapTight>
            <wp:docPr id="51" name="Objec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anchor>
        </w:drawing>
      </w:r>
    </w:p>
    <w:p w:rsidR="00FC3081" w:rsidRPr="00FB6E9A" w:rsidRDefault="00FC3081" w:rsidP="00FC3081">
      <w:pPr>
        <w:ind w:firstLine="720"/>
        <w:jc w:val="both"/>
        <w:rPr>
          <w:rFonts w:ascii="Trebuchet MS" w:hAnsi="Trebuchet MS" w:cs="Arial"/>
          <w:sz w:val="22"/>
          <w:szCs w:val="22"/>
        </w:rPr>
      </w:pPr>
      <w:r w:rsidRPr="00FB6E9A">
        <w:rPr>
          <w:rFonts w:ascii="Trebuchet MS" w:hAnsi="Trebuchet MS" w:cs="Arial"/>
          <w:i/>
          <w:sz w:val="22"/>
          <w:szCs w:val="22"/>
        </w:rPr>
        <w:t>Sursa: Agenţia pentru Protecţia Mediului Bucureşti</w:t>
      </w:r>
    </w:p>
    <w:p w:rsidR="00FC3081" w:rsidRPr="00FB6E9A" w:rsidRDefault="00FC3081" w:rsidP="00FC3081">
      <w:pPr>
        <w:jc w:val="both"/>
        <w:rPr>
          <w:rFonts w:ascii="Trebuchet MS" w:hAnsi="Trebuchet MS" w:cs="Arial"/>
          <w:sz w:val="22"/>
          <w:szCs w:val="22"/>
          <w:lang w:val="en-US"/>
        </w:rPr>
      </w:pPr>
    </w:p>
    <w:p w:rsidR="00FC3081" w:rsidRPr="00FB6E9A" w:rsidRDefault="00FC3081" w:rsidP="00FC3081">
      <w:pPr>
        <w:tabs>
          <w:tab w:val="left" w:pos="360"/>
        </w:tabs>
        <w:ind w:firstLine="360"/>
        <w:jc w:val="both"/>
        <w:rPr>
          <w:rFonts w:ascii="Trebuchet MS" w:hAnsi="Trebuchet MS" w:cs="Arial"/>
          <w:sz w:val="22"/>
          <w:szCs w:val="22"/>
        </w:rPr>
      </w:pPr>
      <w:r w:rsidRPr="00FB6E9A">
        <w:rPr>
          <w:rFonts w:ascii="Trebuchet MS" w:hAnsi="Trebuchet MS" w:cs="Arial"/>
          <w:sz w:val="22"/>
          <w:szCs w:val="22"/>
        </w:rPr>
        <w:t xml:space="preserve">Din informaţiile de mai sus se observă ca în ultimii cinci ani  gradul de conectare la serviciul de salubritate are </w:t>
      </w:r>
      <w:r w:rsidRPr="00FB6E9A">
        <w:rPr>
          <w:rFonts w:ascii="Trebuchet MS" w:hAnsi="Trebuchet MS" w:cs="Arial"/>
          <w:b/>
          <w:sz w:val="22"/>
          <w:szCs w:val="22"/>
        </w:rPr>
        <w:t>procentul maxim de 100%</w:t>
      </w:r>
      <w:r w:rsidRPr="00FB6E9A">
        <w:rPr>
          <w:rFonts w:ascii="Trebuchet MS" w:hAnsi="Trebuchet MS" w:cs="Arial"/>
          <w:sz w:val="22"/>
          <w:szCs w:val="22"/>
        </w:rPr>
        <w:t>.</w:t>
      </w:r>
    </w:p>
    <w:p w:rsidR="00FC3081" w:rsidRPr="00FB6E9A" w:rsidRDefault="00FC3081" w:rsidP="00FC3081">
      <w:pPr>
        <w:jc w:val="both"/>
        <w:rPr>
          <w:rFonts w:ascii="Trebuchet MS" w:hAnsi="Trebuchet MS" w:cs="Arial"/>
          <w:sz w:val="22"/>
          <w:szCs w:val="22"/>
        </w:rPr>
      </w:pPr>
    </w:p>
    <w:p w:rsidR="00FC3081" w:rsidRPr="00FB6E9A" w:rsidRDefault="00FC3081" w:rsidP="00FC3081">
      <w:pPr>
        <w:ind w:firstLine="720"/>
        <w:jc w:val="both"/>
        <w:rPr>
          <w:rFonts w:ascii="Trebuchet MS" w:hAnsi="Trebuchet MS" w:cs="Arial"/>
          <w:b/>
          <w:i/>
          <w:sz w:val="22"/>
          <w:szCs w:val="22"/>
          <w:u w:val="single"/>
        </w:rPr>
      </w:pPr>
      <w:r w:rsidRPr="00FB6E9A">
        <w:rPr>
          <w:rFonts w:ascii="Trebuchet MS" w:hAnsi="Trebuchet MS" w:cs="Arial"/>
          <w:b/>
          <w:i/>
          <w:sz w:val="22"/>
          <w:szCs w:val="22"/>
          <w:u w:val="single"/>
        </w:rPr>
        <w:t>Gestionarea deşeurilor municipale</w:t>
      </w:r>
    </w:p>
    <w:p w:rsidR="00FC3081" w:rsidRPr="00FB6E9A" w:rsidRDefault="00FC3081" w:rsidP="00FC3081">
      <w:pPr>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Gestionarea deşeurilor municipale presupune colectarea, transportul, valorificarea şi eliminarea acestora, inclusiv monitorizarea depozitelor de deşeuri după închidere.</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În România, deci şi în Bucureşti, responsabilitatea pentru gestionarea deşeurilor municipale aparţine administraţiilor publice locale, care, prin mijloace proprii sau prin concesionarea serviciului de salubrizare către un operator autorizat, trebuie să asigure colectarea (inclusiv colectarea separată), transportul, tratarea, valorificarea şi eliminarea finală a acestor deşeuri.</w:t>
      </w:r>
    </w:p>
    <w:p w:rsidR="00FC3081" w:rsidRPr="00FB6E9A" w:rsidRDefault="00FC3081" w:rsidP="00FC3081">
      <w:pPr>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b/>
          <w:sz w:val="22"/>
          <w:szCs w:val="22"/>
        </w:rPr>
      </w:pPr>
      <w:r w:rsidRPr="00FB6E9A">
        <w:rPr>
          <w:rFonts w:ascii="Trebuchet MS" w:hAnsi="Trebuchet MS" w:cs="Arial"/>
          <w:b/>
          <w:sz w:val="22"/>
          <w:szCs w:val="22"/>
        </w:rPr>
        <w:t xml:space="preserve">La nivelul anului 2022, 49.37% din cantitatea de deşeuri municipale colectată de operatorii de salubritate a fost eliminată prin depozitare, iar 50.63 % fiind valorificată. </w:t>
      </w:r>
    </w:p>
    <w:p w:rsidR="00FC3081" w:rsidRPr="00FB6E9A" w:rsidRDefault="00FC3081" w:rsidP="00FC3081">
      <w:pPr>
        <w:jc w:val="both"/>
        <w:rPr>
          <w:rFonts w:ascii="Trebuchet MS" w:hAnsi="Trebuchet MS" w:cs="Arial"/>
          <w:sz w:val="22"/>
          <w:szCs w:val="22"/>
        </w:rPr>
      </w:pPr>
      <w:r w:rsidRPr="00FB6E9A">
        <w:rPr>
          <w:rFonts w:ascii="Trebuchet MS" w:hAnsi="Trebuchet MS" w:cs="Arial"/>
          <w:b/>
          <w:sz w:val="22"/>
          <w:szCs w:val="22"/>
        </w:rPr>
        <w:tab/>
      </w:r>
      <w:r w:rsidRPr="00FB6E9A">
        <w:rPr>
          <w:rFonts w:ascii="Trebuchet MS" w:hAnsi="Trebuchet MS" w:cs="Arial"/>
          <w:sz w:val="22"/>
          <w:szCs w:val="22"/>
        </w:rPr>
        <w:t>Eliminarea deşeurilor municipale se realizează exclusiv prin depozitare. Până în prezent, în România nu au fost puse în funcţiune instalaţii pentru incinerarea deşeurilor municipale.</w:t>
      </w:r>
    </w:p>
    <w:p w:rsidR="00FC3081" w:rsidRPr="00FB6E9A" w:rsidRDefault="00FC3081" w:rsidP="00FC3081">
      <w:pPr>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Depozitarea deseurilor municipale din Municipiul Bucureşti in anul 2022 s-a realizat în depozitul conform VIDRA amplasat în Judeţul Ilfov – apartinand SC ECO SUD S.R.L.</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Depozitul conform CHIAJNA (de deseuri nepericuloase si industriale asimilabile acestora) aparţinând SC IRIDEX GROUP S.R.L., amplasat pe teritoriul Municipiului Bucureşti, sectorul 1, a fost inchis definitiv in 2022 si se afla in perioada de monitorizare post-inchidere.</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In judetul Ilfov mai exista Depozitul Glina al SC ECOREC S.A. a carui activitate a fost supendată în februarie 2019.</w:t>
      </w:r>
    </w:p>
    <w:p w:rsidR="00FC3081" w:rsidRPr="00FB6E9A" w:rsidRDefault="00FC3081" w:rsidP="00FC3081">
      <w:pPr>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lang w:val="ro-RO"/>
        </w:rPr>
        <w:t>Sortarea deşeurilor municipale se realizează în st</w:t>
      </w:r>
      <w:r w:rsidRPr="00FB6E9A">
        <w:rPr>
          <w:rFonts w:ascii="Trebuchet MS" w:hAnsi="Trebuchet MS" w:cs="Arial"/>
          <w:sz w:val="22"/>
          <w:szCs w:val="22"/>
        </w:rPr>
        <w:t>aţii de transfer şi sortare existente în Regiunea Bucureşti-Ilfov conform tabelului :</w:t>
      </w:r>
    </w:p>
    <w:p w:rsidR="00FC3081" w:rsidRPr="00FB6E9A" w:rsidRDefault="00FC3081" w:rsidP="00FC3081">
      <w:pPr>
        <w:ind w:firstLine="360"/>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b/>
          <w:sz w:val="22"/>
          <w:szCs w:val="22"/>
        </w:rPr>
      </w:pPr>
      <w:r w:rsidRPr="00FB6E9A">
        <w:rPr>
          <w:rFonts w:ascii="Trebuchet MS" w:hAnsi="Trebuchet MS" w:cs="Arial"/>
          <w:b/>
          <w:sz w:val="22"/>
          <w:szCs w:val="22"/>
        </w:rPr>
        <w:t>Staţii de sortare pentru deşeurile municipale, decembrie 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2880"/>
        <w:gridCol w:w="4770"/>
      </w:tblGrid>
      <w:tr w:rsidR="00FC3081" w:rsidRPr="00FB6E9A" w:rsidTr="00913BC5">
        <w:trPr>
          <w:trHeight w:val="900"/>
        </w:trPr>
        <w:tc>
          <w:tcPr>
            <w:tcW w:w="1638" w:type="dxa"/>
            <w:shd w:val="clear" w:color="auto" w:fill="auto"/>
            <w:noWrap/>
            <w:hideMark/>
          </w:tcPr>
          <w:p w:rsidR="00FC3081" w:rsidRPr="00FB6E9A" w:rsidRDefault="00FC3081" w:rsidP="00913BC5">
            <w:pPr>
              <w:ind w:firstLine="360"/>
              <w:jc w:val="both"/>
              <w:rPr>
                <w:rFonts w:ascii="Trebuchet MS" w:hAnsi="Trebuchet MS" w:cs="Arial"/>
                <w:b/>
                <w:bCs/>
                <w:sz w:val="22"/>
                <w:szCs w:val="22"/>
              </w:rPr>
            </w:pPr>
            <w:r w:rsidRPr="00FB6E9A">
              <w:rPr>
                <w:rFonts w:ascii="Trebuchet MS" w:hAnsi="Trebuchet MS" w:cs="Arial"/>
                <w:b/>
                <w:bCs/>
                <w:sz w:val="22"/>
                <w:szCs w:val="22"/>
              </w:rPr>
              <w:t>Judet</w:t>
            </w:r>
          </w:p>
        </w:tc>
        <w:tc>
          <w:tcPr>
            <w:tcW w:w="2880" w:type="dxa"/>
            <w:shd w:val="clear" w:color="auto" w:fill="auto"/>
            <w:hideMark/>
          </w:tcPr>
          <w:p w:rsidR="00FC3081" w:rsidRPr="00FB6E9A" w:rsidRDefault="00FC3081" w:rsidP="00913BC5">
            <w:pPr>
              <w:ind w:firstLine="360"/>
              <w:jc w:val="both"/>
              <w:rPr>
                <w:rFonts w:ascii="Trebuchet MS" w:hAnsi="Trebuchet MS" w:cs="Arial"/>
                <w:b/>
                <w:bCs/>
                <w:sz w:val="22"/>
                <w:szCs w:val="22"/>
              </w:rPr>
            </w:pPr>
            <w:r w:rsidRPr="00FB6E9A">
              <w:rPr>
                <w:rFonts w:ascii="Trebuchet MS" w:hAnsi="Trebuchet MS" w:cs="Arial"/>
                <w:b/>
                <w:bCs/>
                <w:sz w:val="22"/>
                <w:szCs w:val="22"/>
              </w:rPr>
              <w:t>Localitate</w:t>
            </w:r>
          </w:p>
        </w:tc>
        <w:tc>
          <w:tcPr>
            <w:tcW w:w="4770" w:type="dxa"/>
            <w:shd w:val="clear" w:color="auto" w:fill="auto"/>
            <w:hideMark/>
          </w:tcPr>
          <w:p w:rsidR="00FC3081" w:rsidRPr="00FB6E9A" w:rsidRDefault="00FC3081" w:rsidP="00913BC5">
            <w:pPr>
              <w:ind w:firstLine="360"/>
              <w:jc w:val="both"/>
              <w:rPr>
                <w:rFonts w:ascii="Trebuchet MS" w:hAnsi="Trebuchet MS" w:cs="Arial"/>
                <w:b/>
                <w:bCs/>
                <w:sz w:val="22"/>
                <w:szCs w:val="22"/>
              </w:rPr>
            </w:pPr>
            <w:r w:rsidRPr="00FB6E9A">
              <w:rPr>
                <w:rFonts w:ascii="Trebuchet MS" w:hAnsi="Trebuchet MS" w:cs="Arial"/>
                <w:b/>
                <w:bCs/>
                <w:sz w:val="22"/>
                <w:szCs w:val="22"/>
              </w:rPr>
              <w:t>Operator</w:t>
            </w:r>
          </w:p>
        </w:tc>
      </w:tr>
      <w:tr w:rsidR="00FC3081" w:rsidRPr="00FB6E9A" w:rsidTr="00913BC5">
        <w:trPr>
          <w:trHeight w:val="485"/>
        </w:trPr>
        <w:tc>
          <w:tcPr>
            <w:tcW w:w="1638"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Bucureşti</w:t>
            </w:r>
          </w:p>
        </w:tc>
        <w:tc>
          <w:tcPr>
            <w:tcW w:w="2880" w:type="dxa"/>
            <w:shd w:val="clear" w:color="auto" w:fill="auto"/>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Bucureşti</w:t>
            </w:r>
          </w:p>
        </w:tc>
        <w:tc>
          <w:tcPr>
            <w:tcW w:w="4770" w:type="dxa"/>
            <w:shd w:val="clear" w:color="auto" w:fill="auto"/>
            <w:hideMark/>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URBAN SA</w:t>
            </w:r>
          </w:p>
        </w:tc>
      </w:tr>
      <w:tr w:rsidR="00FC3081" w:rsidRPr="00FB6E9A" w:rsidTr="00913BC5">
        <w:trPr>
          <w:trHeight w:val="440"/>
        </w:trPr>
        <w:tc>
          <w:tcPr>
            <w:tcW w:w="1638" w:type="dxa"/>
            <w:shd w:val="clear" w:color="auto" w:fill="auto"/>
            <w:noWrap/>
            <w:hideMark/>
          </w:tcPr>
          <w:p w:rsidR="00FC3081" w:rsidRPr="00FB6E9A" w:rsidRDefault="00FC3081" w:rsidP="00913BC5">
            <w:pPr>
              <w:rPr>
                <w:rFonts w:ascii="Trebuchet MS" w:hAnsi="Trebuchet MS"/>
                <w:sz w:val="22"/>
                <w:szCs w:val="22"/>
              </w:rPr>
            </w:pPr>
            <w:r w:rsidRPr="00FB6E9A">
              <w:rPr>
                <w:rFonts w:ascii="Trebuchet MS" w:hAnsi="Trebuchet MS" w:cs="Arial"/>
                <w:sz w:val="22"/>
                <w:szCs w:val="22"/>
              </w:rPr>
              <w:t>Bucureşti</w:t>
            </w:r>
          </w:p>
        </w:tc>
        <w:tc>
          <w:tcPr>
            <w:tcW w:w="2880" w:type="dxa"/>
            <w:shd w:val="clear" w:color="auto" w:fill="auto"/>
            <w:hideMark/>
          </w:tcPr>
          <w:p w:rsidR="00FC3081" w:rsidRPr="00FB6E9A" w:rsidRDefault="00FC3081" w:rsidP="00913BC5">
            <w:pPr>
              <w:rPr>
                <w:rFonts w:ascii="Trebuchet MS" w:hAnsi="Trebuchet MS"/>
                <w:sz w:val="22"/>
                <w:szCs w:val="22"/>
              </w:rPr>
            </w:pPr>
            <w:r w:rsidRPr="00FB6E9A">
              <w:rPr>
                <w:rFonts w:ascii="Trebuchet MS" w:hAnsi="Trebuchet MS" w:cs="Arial"/>
                <w:sz w:val="22"/>
                <w:szCs w:val="22"/>
              </w:rPr>
              <w:t>Bucureşti</w:t>
            </w:r>
          </w:p>
        </w:tc>
        <w:tc>
          <w:tcPr>
            <w:tcW w:w="4770" w:type="dxa"/>
            <w:shd w:val="clear" w:color="auto" w:fill="auto"/>
            <w:hideMark/>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SUPERCOM SA</w:t>
            </w:r>
          </w:p>
        </w:tc>
      </w:tr>
      <w:tr w:rsidR="00FC3081" w:rsidRPr="00FB6E9A" w:rsidTr="00913BC5">
        <w:trPr>
          <w:trHeight w:val="440"/>
        </w:trPr>
        <w:tc>
          <w:tcPr>
            <w:tcW w:w="1638" w:type="dxa"/>
            <w:shd w:val="clear" w:color="auto" w:fill="auto"/>
            <w:noWrap/>
          </w:tcPr>
          <w:p w:rsidR="00FC3081" w:rsidRPr="00FB6E9A" w:rsidRDefault="00FC3081" w:rsidP="00913BC5">
            <w:pPr>
              <w:rPr>
                <w:rFonts w:ascii="Trebuchet MS" w:hAnsi="Trebuchet MS"/>
                <w:sz w:val="22"/>
                <w:szCs w:val="22"/>
              </w:rPr>
            </w:pPr>
            <w:r w:rsidRPr="00FB6E9A">
              <w:rPr>
                <w:rFonts w:ascii="Trebuchet MS" w:hAnsi="Trebuchet MS" w:cs="Arial"/>
                <w:sz w:val="22"/>
                <w:szCs w:val="22"/>
              </w:rPr>
              <w:t>Bucureşti</w:t>
            </w:r>
          </w:p>
        </w:tc>
        <w:tc>
          <w:tcPr>
            <w:tcW w:w="2880" w:type="dxa"/>
            <w:shd w:val="clear" w:color="auto" w:fill="auto"/>
          </w:tcPr>
          <w:p w:rsidR="00FC3081" w:rsidRPr="00FB6E9A" w:rsidRDefault="00FC3081" w:rsidP="00913BC5">
            <w:pPr>
              <w:rPr>
                <w:rFonts w:ascii="Trebuchet MS" w:hAnsi="Trebuchet MS"/>
                <w:sz w:val="22"/>
                <w:szCs w:val="22"/>
              </w:rPr>
            </w:pPr>
            <w:r w:rsidRPr="00FB6E9A">
              <w:rPr>
                <w:rFonts w:ascii="Trebuchet MS" w:hAnsi="Trebuchet MS" w:cs="Arial"/>
                <w:sz w:val="22"/>
                <w:szCs w:val="22"/>
              </w:rPr>
              <w:t>Bucureşti</w:t>
            </w:r>
          </w:p>
        </w:tc>
        <w:tc>
          <w:tcPr>
            <w:tcW w:w="4770" w:type="dxa"/>
            <w:shd w:val="clear" w:color="auto" w:fill="auto"/>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SALUBRITATE ŞI DESZĂPEZIRE S3    S.R.L activitate sistata din 2022</w:t>
            </w:r>
          </w:p>
        </w:tc>
      </w:tr>
      <w:tr w:rsidR="00FC3081" w:rsidRPr="00FB6E9A" w:rsidTr="00913BC5">
        <w:trPr>
          <w:trHeight w:val="300"/>
        </w:trPr>
        <w:tc>
          <w:tcPr>
            <w:tcW w:w="1638"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Ilfov</w:t>
            </w:r>
          </w:p>
        </w:tc>
        <w:tc>
          <w:tcPr>
            <w:tcW w:w="2880"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Vidra</w:t>
            </w:r>
          </w:p>
        </w:tc>
        <w:tc>
          <w:tcPr>
            <w:tcW w:w="4770" w:type="dxa"/>
            <w:shd w:val="clear" w:color="auto" w:fill="auto"/>
            <w:hideMark/>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ECO SUD SA</w:t>
            </w:r>
          </w:p>
        </w:tc>
      </w:tr>
      <w:tr w:rsidR="00FC3081" w:rsidRPr="00FB6E9A" w:rsidTr="00913BC5">
        <w:trPr>
          <w:trHeight w:val="300"/>
        </w:trPr>
        <w:tc>
          <w:tcPr>
            <w:tcW w:w="1638"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Ilfov</w:t>
            </w:r>
          </w:p>
        </w:tc>
        <w:tc>
          <w:tcPr>
            <w:tcW w:w="2880"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Pantelimon</w:t>
            </w:r>
          </w:p>
        </w:tc>
        <w:tc>
          <w:tcPr>
            <w:tcW w:w="4770" w:type="dxa"/>
            <w:shd w:val="clear" w:color="auto" w:fill="auto"/>
            <w:hideMark/>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UNITED WASTE SOLUTIONS SRL (fosta ROSAL GRUP SRL )</w:t>
            </w:r>
          </w:p>
        </w:tc>
      </w:tr>
      <w:tr w:rsidR="00FC3081" w:rsidRPr="00FB6E9A" w:rsidTr="00913BC5">
        <w:trPr>
          <w:trHeight w:val="300"/>
        </w:trPr>
        <w:tc>
          <w:tcPr>
            <w:tcW w:w="1638"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Ilfov</w:t>
            </w:r>
          </w:p>
        </w:tc>
        <w:tc>
          <w:tcPr>
            <w:tcW w:w="2880"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Chitila</w:t>
            </w:r>
          </w:p>
        </w:tc>
        <w:tc>
          <w:tcPr>
            <w:tcW w:w="4770" w:type="dxa"/>
            <w:shd w:val="clear" w:color="auto" w:fill="auto"/>
            <w:hideMark/>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3 R GREEN  SRL</w:t>
            </w:r>
          </w:p>
        </w:tc>
      </w:tr>
      <w:tr w:rsidR="00FC3081" w:rsidRPr="00FB6E9A" w:rsidTr="00913BC5">
        <w:trPr>
          <w:trHeight w:val="467"/>
        </w:trPr>
        <w:tc>
          <w:tcPr>
            <w:tcW w:w="1638"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Ilfov</w:t>
            </w:r>
          </w:p>
        </w:tc>
        <w:tc>
          <w:tcPr>
            <w:tcW w:w="2880" w:type="dxa"/>
            <w:shd w:val="clear" w:color="auto" w:fill="auto"/>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Dragomireşti Vale</w:t>
            </w:r>
          </w:p>
        </w:tc>
        <w:tc>
          <w:tcPr>
            <w:tcW w:w="4770" w:type="dxa"/>
            <w:shd w:val="clear" w:color="auto" w:fill="auto"/>
            <w:hideMark/>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 xml:space="preserve">ROM  WASTE SOLUTIONS SRL </w:t>
            </w:r>
          </w:p>
        </w:tc>
      </w:tr>
      <w:tr w:rsidR="00FC3081" w:rsidRPr="00FB6E9A" w:rsidTr="00913BC5">
        <w:trPr>
          <w:trHeight w:val="600"/>
        </w:trPr>
        <w:tc>
          <w:tcPr>
            <w:tcW w:w="1638" w:type="dxa"/>
            <w:shd w:val="clear" w:color="auto" w:fill="auto"/>
            <w:noWrap/>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Ilfov</w:t>
            </w:r>
          </w:p>
        </w:tc>
        <w:tc>
          <w:tcPr>
            <w:tcW w:w="2880" w:type="dxa"/>
            <w:shd w:val="clear" w:color="auto" w:fill="auto"/>
            <w:hideMark/>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Chitila</w:t>
            </w:r>
          </w:p>
        </w:tc>
        <w:tc>
          <w:tcPr>
            <w:tcW w:w="4770" w:type="dxa"/>
            <w:shd w:val="clear" w:color="auto" w:fill="auto"/>
            <w:hideMark/>
          </w:tcPr>
          <w:p w:rsidR="00FC3081" w:rsidRPr="00FB6E9A" w:rsidRDefault="00FC3081" w:rsidP="00913BC5">
            <w:pPr>
              <w:jc w:val="both"/>
              <w:rPr>
                <w:rFonts w:ascii="Trebuchet MS" w:hAnsi="Trebuchet MS" w:cs="Arial"/>
                <w:sz w:val="22"/>
                <w:szCs w:val="22"/>
              </w:rPr>
            </w:pPr>
            <w:r w:rsidRPr="00FB6E9A">
              <w:rPr>
                <w:rFonts w:ascii="Trebuchet MS" w:hAnsi="Trebuchet MS" w:cs="Arial"/>
                <w:sz w:val="22"/>
                <w:szCs w:val="22"/>
              </w:rPr>
              <w:t>IRIDEX GROUP  SRL</w:t>
            </w:r>
          </w:p>
        </w:tc>
      </w:tr>
    </w:tbl>
    <w:p w:rsidR="00FC3081" w:rsidRPr="00FB6E9A" w:rsidRDefault="00FC3081" w:rsidP="00FC3081">
      <w:pPr>
        <w:ind w:firstLine="360"/>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În Bucureşti sunt funcţionale la acest moment doua staţii de sortare cu următoarele capacităţi:</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 URBAN S.A  - capacitate 150 000 t/an;</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 SUPERCOM S.A. - capacitate 120 000 t/an;</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Staţia de sortare aparţinând Primăriei Sector 3 Bucureşti – Salubritate şi Deszăpezire S3 S.R.L.  (cu capacitatea de 262800 tone/an) are sistată activitatea din anul 2022.</w:t>
      </w:r>
    </w:p>
    <w:p w:rsidR="00FC3081" w:rsidRPr="00FB6E9A" w:rsidRDefault="00FC3081" w:rsidP="00FC3081">
      <w:pPr>
        <w:jc w:val="both"/>
        <w:rPr>
          <w:rFonts w:ascii="Trebuchet MS" w:hAnsi="Trebuchet MS" w:cs="Arial"/>
          <w:b/>
          <w:i/>
          <w:sz w:val="22"/>
          <w:szCs w:val="22"/>
          <w:u w:val="single"/>
          <w:lang w:val="it-IT"/>
        </w:rPr>
      </w:pPr>
    </w:p>
    <w:p w:rsidR="00FC3081" w:rsidRPr="00FB6E9A" w:rsidRDefault="00FC3081" w:rsidP="00FC3081">
      <w:pPr>
        <w:jc w:val="both"/>
        <w:rPr>
          <w:rFonts w:ascii="Trebuchet MS" w:hAnsi="Trebuchet MS" w:cs="Arial"/>
          <w:b/>
          <w:i/>
          <w:sz w:val="22"/>
          <w:szCs w:val="22"/>
          <w:u w:val="single"/>
          <w:lang w:val="it-IT"/>
        </w:rPr>
      </w:pPr>
    </w:p>
    <w:p w:rsidR="00FC3081" w:rsidRPr="00FB6E9A" w:rsidRDefault="00FC3081" w:rsidP="00FC3081">
      <w:pPr>
        <w:jc w:val="both"/>
        <w:rPr>
          <w:rFonts w:ascii="Trebuchet MS" w:hAnsi="Trebuchet MS" w:cs="Arial"/>
          <w:b/>
          <w:i/>
          <w:sz w:val="22"/>
          <w:szCs w:val="22"/>
          <w:u w:val="single"/>
          <w:lang w:val="it-IT"/>
        </w:rPr>
      </w:pPr>
      <w:r w:rsidRPr="00FB6E9A">
        <w:rPr>
          <w:rFonts w:ascii="Trebuchet MS" w:hAnsi="Trebuchet MS" w:cs="Arial"/>
          <w:b/>
          <w:i/>
          <w:sz w:val="22"/>
          <w:szCs w:val="22"/>
          <w:u w:val="single"/>
          <w:lang w:val="it-IT"/>
        </w:rPr>
        <w:t>Indicatori de dezvoltare durabilă privind deşeurile municipale</w:t>
      </w:r>
    </w:p>
    <w:p w:rsidR="00FC3081" w:rsidRPr="00FB6E9A" w:rsidRDefault="00FC3081" w:rsidP="00FC3081">
      <w:pPr>
        <w:jc w:val="both"/>
        <w:rPr>
          <w:rFonts w:ascii="Trebuchet MS" w:hAnsi="Trebuchet MS" w:cs="Arial"/>
          <w:sz w:val="22"/>
          <w:szCs w:val="22"/>
          <w:lang w:val="it-IT"/>
        </w:rPr>
      </w:pPr>
    </w:p>
    <w:p w:rsidR="00FC3081" w:rsidRPr="00FB6E9A" w:rsidRDefault="00FC3081" w:rsidP="00FC3081">
      <w:pPr>
        <w:tabs>
          <w:tab w:val="left" w:pos="360"/>
        </w:tabs>
        <w:ind w:firstLine="360"/>
        <w:jc w:val="both"/>
        <w:rPr>
          <w:rFonts w:ascii="Trebuchet MS" w:hAnsi="Trebuchet MS" w:cs="Arial"/>
          <w:sz w:val="22"/>
          <w:szCs w:val="22"/>
          <w:lang w:val="it-IT"/>
        </w:rPr>
      </w:pPr>
      <w:r w:rsidRPr="00FB6E9A">
        <w:rPr>
          <w:rFonts w:ascii="Trebuchet MS" w:hAnsi="Trebuchet MS" w:cs="Arial"/>
          <w:sz w:val="22"/>
          <w:szCs w:val="22"/>
          <w:lang w:val="it-IT"/>
        </w:rPr>
        <w:tab/>
        <w:t>În conformitate cu recomandările EUROSTAT (</w:t>
      </w:r>
      <w:r w:rsidRPr="00FB6E9A">
        <w:rPr>
          <w:rFonts w:ascii="Trebuchet MS" w:hAnsi="Trebuchet MS" w:cs="Arial"/>
          <w:i/>
          <w:sz w:val="22"/>
          <w:szCs w:val="22"/>
          <w:lang w:val="it-IT"/>
        </w:rPr>
        <w:t>Ghidul privind colectarea datelor referitoare la deşeurile municipale</w:t>
      </w:r>
      <w:r w:rsidRPr="00FB6E9A">
        <w:rPr>
          <w:rFonts w:ascii="Trebuchet MS" w:hAnsi="Trebuchet MS" w:cs="Arial"/>
          <w:sz w:val="22"/>
          <w:szCs w:val="22"/>
          <w:lang w:val="it-IT"/>
        </w:rPr>
        <w:t>), deşeurile municipale reprezintă deşeuri menajere şi asimilabile, generate din gospodării, instituţii, unităţi comerciale şi de la operatori economici.</w:t>
      </w:r>
    </w:p>
    <w:p w:rsidR="00FC3081" w:rsidRPr="00FB6E9A" w:rsidRDefault="00FC3081" w:rsidP="00FC3081">
      <w:pPr>
        <w:jc w:val="both"/>
        <w:rPr>
          <w:rFonts w:ascii="Trebuchet MS" w:hAnsi="Trebuchet MS" w:cs="Arial"/>
          <w:sz w:val="22"/>
          <w:szCs w:val="22"/>
        </w:rPr>
      </w:pPr>
      <w:r w:rsidRPr="00FB6E9A">
        <w:rPr>
          <w:rFonts w:ascii="Trebuchet MS" w:hAnsi="Trebuchet MS" w:cs="Arial"/>
          <w:b/>
          <w:sz w:val="22"/>
          <w:szCs w:val="22"/>
        </w:rPr>
        <w:t>Sunt incluse</w:t>
      </w:r>
      <w:r w:rsidRPr="00FB6E9A">
        <w:rPr>
          <w:rFonts w:ascii="Trebuchet MS" w:hAnsi="Trebuchet MS" w:cs="Arial"/>
          <w:sz w:val="22"/>
          <w:szCs w:val="22"/>
        </w:rPr>
        <w:t>:</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Deşeurile voluminoase (inclusiv DEEE provenite de la populaţie).</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Deşeurile din parcuri, grădini şi de la curăţenia străzilor, inclusiv conţinutul coşurilor de gunoi stradale.</w:t>
      </w:r>
    </w:p>
    <w:p w:rsidR="00FC3081" w:rsidRPr="00FB6E9A" w:rsidRDefault="00FC3081" w:rsidP="00FC3081">
      <w:pPr>
        <w:jc w:val="both"/>
        <w:rPr>
          <w:rFonts w:ascii="Trebuchet MS" w:hAnsi="Trebuchet MS" w:cs="Arial"/>
          <w:sz w:val="22"/>
          <w:szCs w:val="22"/>
        </w:rPr>
      </w:pPr>
      <w:r w:rsidRPr="00FB6E9A">
        <w:rPr>
          <w:rFonts w:ascii="Trebuchet MS" w:hAnsi="Trebuchet MS" w:cs="Arial"/>
          <w:sz w:val="22"/>
          <w:szCs w:val="22"/>
        </w:rPr>
        <w:t xml:space="preserve">După modul de colectare, </w:t>
      </w:r>
      <w:r w:rsidRPr="00FB6E9A">
        <w:rPr>
          <w:rFonts w:ascii="Trebuchet MS" w:hAnsi="Trebuchet MS" w:cs="Arial"/>
          <w:b/>
          <w:sz w:val="22"/>
          <w:szCs w:val="22"/>
        </w:rPr>
        <w:t>deşeurile municipale sunt</w:t>
      </w:r>
      <w:r w:rsidRPr="00FB6E9A">
        <w:rPr>
          <w:rFonts w:ascii="Trebuchet MS" w:hAnsi="Trebuchet MS" w:cs="Arial"/>
          <w:sz w:val="22"/>
          <w:szCs w:val="22"/>
        </w:rPr>
        <w:t>:</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Colectate de sau în numele municipalităţilor.</w:t>
      </w:r>
    </w:p>
    <w:p w:rsidR="00FC3081" w:rsidRPr="00FB6E9A" w:rsidRDefault="00FC3081" w:rsidP="00FC3081">
      <w:pPr>
        <w:pStyle w:val="ListParagraph"/>
        <w:numPr>
          <w:ilvl w:val="0"/>
          <w:numId w:val="33"/>
        </w:numPr>
        <w:spacing w:after="200"/>
        <w:jc w:val="both"/>
        <w:rPr>
          <w:rFonts w:ascii="Trebuchet MS" w:hAnsi="Trebuchet MS" w:cs="Arial"/>
          <w:sz w:val="22"/>
          <w:szCs w:val="22"/>
          <w:lang w:val="it-IT"/>
        </w:rPr>
      </w:pPr>
      <w:r w:rsidRPr="00FB6E9A">
        <w:rPr>
          <w:rFonts w:ascii="Trebuchet MS" w:hAnsi="Trebuchet MS" w:cs="Arial"/>
          <w:sz w:val="22"/>
          <w:szCs w:val="22"/>
          <w:lang w:val="it-IT"/>
        </w:rPr>
        <w:t>Colectate direct de operatori economici privaţi – valabil pentru DEEE şi alte tipuri de deşeuri reciclabile.</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Generate şi necolectate printr-un operator de salubritate, ci gestionate direct de generator.</w:t>
      </w:r>
    </w:p>
    <w:p w:rsidR="00FC3081" w:rsidRPr="00FB6E9A" w:rsidRDefault="00FC3081" w:rsidP="00FC3081">
      <w:pPr>
        <w:jc w:val="both"/>
        <w:rPr>
          <w:rFonts w:ascii="Trebuchet MS" w:hAnsi="Trebuchet MS" w:cs="Arial"/>
          <w:sz w:val="22"/>
          <w:szCs w:val="22"/>
        </w:rPr>
      </w:pPr>
      <w:r w:rsidRPr="00FB6E9A">
        <w:rPr>
          <w:rFonts w:ascii="Trebuchet MS" w:hAnsi="Trebuchet MS" w:cs="Arial"/>
          <w:b/>
          <w:sz w:val="22"/>
          <w:szCs w:val="22"/>
        </w:rPr>
        <w:t>Sunt excluse</w:t>
      </w:r>
      <w:r w:rsidRPr="00FB6E9A">
        <w:rPr>
          <w:rFonts w:ascii="Trebuchet MS" w:hAnsi="Trebuchet MS" w:cs="Arial"/>
          <w:sz w:val="22"/>
          <w:szCs w:val="22"/>
        </w:rPr>
        <w:t>:</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Nămolurile de la epurarea apelor uzate orăşeneşti.</w:t>
      </w:r>
    </w:p>
    <w:p w:rsidR="00FC3081" w:rsidRPr="00FB6E9A" w:rsidRDefault="00FC3081" w:rsidP="00FC3081">
      <w:pPr>
        <w:pStyle w:val="ListParagraph"/>
        <w:numPr>
          <w:ilvl w:val="0"/>
          <w:numId w:val="33"/>
        </w:numPr>
        <w:spacing w:after="200"/>
        <w:jc w:val="both"/>
        <w:rPr>
          <w:rFonts w:ascii="Trebuchet MS" w:hAnsi="Trebuchet MS" w:cs="Arial"/>
          <w:sz w:val="22"/>
          <w:szCs w:val="22"/>
          <w:lang w:val="it-IT"/>
        </w:rPr>
      </w:pPr>
      <w:r w:rsidRPr="00FB6E9A">
        <w:rPr>
          <w:rFonts w:ascii="Trebuchet MS" w:hAnsi="Trebuchet MS" w:cs="Arial"/>
          <w:sz w:val="22"/>
          <w:szCs w:val="22"/>
          <w:lang w:val="it-IT"/>
        </w:rPr>
        <w:t>Deşeurile din construcţii şi demolări.</w:t>
      </w:r>
    </w:p>
    <w:p w:rsidR="00FC3081" w:rsidRPr="00FB6E9A" w:rsidRDefault="00FC3081" w:rsidP="00FC3081">
      <w:pPr>
        <w:ind w:firstLine="720"/>
        <w:jc w:val="both"/>
        <w:rPr>
          <w:rFonts w:ascii="Trebuchet MS" w:hAnsi="Trebuchet MS" w:cs="Arial"/>
          <w:sz w:val="22"/>
          <w:szCs w:val="22"/>
          <w:lang w:val="it-IT"/>
        </w:rPr>
      </w:pPr>
      <w:r w:rsidRPr="00FB6E9A">
        <w:rPr>
          <w:rFonts w:ascii="Trebuchet MS" w:hAnsi="Trebuchet MS" w:cs="Arial"/>
          <w:sz w:val="22"/>
          <w:szCs w:val="22"/>
          <w:lang w:val="it-IT"/>
        </w:rPr>
        <w:t xml:space="preserve">La nivelul anului 2022, </w:t>
      </w:r>
      <w:r w:rsidRPr="00FB6E9A">
        <w:rPr>
          <w:rFonts w:ascii="Trebuchet MS" w:hAnsi="Trebuchet MS" w:cs="Arial"/>
          <w:b/>
          <w:sz w:val="22"/>
          <w:szCs w:val="22"/>
          <w:lang w:val="it-IT"/>
        </w:rPr>
        <w:t>indicatorii de dezvoltare durabilă privind deşeurile municipale</w:t>
      </w:r>
      <w:r w:rsidRPr="00FB6E9A">
        <w:rPr>
          <w:rFonts w:ascii="Trebuchet MS" w:hAnsi="Trebuchet MS" w:cs="Arial"/>
          <w:sz w:val="22"/>
          <w:szCs w:val="22"/>
          <w:lang w:val="it-IT"/>
        </w:rPr>
        <w:t xml:space="preserve"> care s-au folosit la prelucrarea datelor statistice sunt prezentaţi mai jos:</w:t>
      </w:r>
    </w:p>
    <w:p w:rsidR="00FC3081" w:rsidRPr="00FB6E9A" w:rsidRDefault="00FC3081" w:rsidP="00FC3081">
      <w:pPr>
        <w:jc w:val="both"/>
        <w:rPr>
          <w:rFonts w:ascii="Trebuchet MS" w:hAnsi="Trebuchet MS" w:cs="Arial"/>
          <w:sz w:val="22"/>
          <w:szCs w:val="22"/>
          <w:lang w:val="it-IT"/>
        </w:rPr>
      </w:pPr>
    </w:p>
    <w:tbl>
      <w:tblPr>
        <w:tblW w:w="7135" w:type="dxa"/>
        <w:jc w:val="center"/>
        <w:tblLook w:val="00A0" w:firstRow="1" w:lastRow="0" w:firstColumn="1" w:lastColumn="0" w:noHBand="0" w:noVBand="0"/>
      </w:tblPr>
      <w:tblGrid>
        <w:gridCol w:w="5580"/>
        <w:gridCol w:w="1555"/>
      </w:tblGrid>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b/>
                <w:sz w:val="22"/>
                <w:szCs w:val="22"/>
                <w:lang w:val="it-IT"/>
              </w:rPr>
            </w:pPr>
            <w:r w:rsidRPr="00FB6E9A">
              <w:rPr>
                <w:rFonts w:ascii="Trebuchet MS" w:hAnsi="Trebuchet MS" w:cs="Arial"/>
                <w:b/>
                <w:sz w:val="22"/>
                <w:szCs w:val="22"/>
                <w:lang w:val="it-IT"/>
              </w:rPr>
              <w:t>Deşeuri municipale generate, din care:</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b/>
                <w:sz w:val="22"/>
                <w:szCs w:val="22"/>
              </w:rPr>
            </w:pPr>
            <w:r w:rsidRPr="00FB6E9A">
              <w:rPr>
                <w:rFonts w:ascii="Trebuchet MS" w:hAnsi="Trebuchet MS" w:cs="Arial"/>
                <w:b/>
                <w:sz w:val="22"/>
                <w:szCs w:val="22"/>
              </w:rPr>
              <w:t>954119</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Deşeuri generate de populaţie</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eastAsia="Times New Roman" w:hAnsi="Trebuchet MS" w:cs="Arial"/>
                <w:sz w:val="22"/>
                <w:szCs w:val="22"/>
                <w:lang w:val="en-US"/>
              </w:rPr>
            </w:pPr>
            <w:r w:rsidRPr="00FB6E9A">
              <w:rPr>
                <w:rFonts w:ascii="Trebuchet MS" w:eastAsia="Times New Roman" w:hAnsi="Trebuchet MS" w:cs="Arial"/>
                <w:sz w:val="22"/>
                <w:szCs w:val="22"/>
                <w:lang w:val="en-US"/>
              </w:rPr>
              <w:t>489758</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Deşeuri similare</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258403</w:t>
            </w:r>
          </w:p>
        </w:tc>
      </w:tr>
      <w:tr w:rsidR="00FC3081"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Deşeuri din servicii publice</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lang w:val="ro-RO"/>
              </w:rPr>
            </w:pPr>
            <w:r w:rsidRPr="00FB6E9A">
              <w:rPr>
                <w:rFonts w:ascii="Trebuchet MS" w:hAnsi="Trebuchet MS" w:cs="Arial"/>
                <w:sz w:val="22"/>
                <w:szCs w:val="22"/>
              </w:rPr>
              <w:t>205958</w:t>
            </w:r>
          </w:p>
        </w:tc>
      </w:tr>
      <w:tr w:rsidR="00FC3081"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b/>
                <w:sz w:val="22"/>
                <w:szCs w:val="22"/>
                <w:lang w:val="ro-RO"/>
              </w:rPr>
            </w:pP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b/>
                <w:sz w:val="22"/>
                <w:szCs w:val="22"/>
              </w:rPr>
            </w:pP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Total deşeuri tratate</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b/>
                <w:sz w:val="22"/>
                <w:szCs w:val="22"/>
              </w:rPr>
            </w:pPr>
            <w:r w:rsidRPr="00FB6E9A">
              <w:rPr>
                <w:rFonts w:ascii="Trebuchet MS" w:hAnsi="Trebuchet MS" w:cs="Arial"/>
                <w:b/>
                <w:sz w:val="22"/>
                <w:szCs w:val="22"/>
              </w:rPr>
              <w:t>951724</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Total valorificare</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b/>
                <w:sz w:val="22"/>
                <w:szCs w:val="22"/>
              </w:rPr>
            </w:pPr>
            <w:r w:rsidRPr="00FB6E9A">
              <w:rPr>
                <w:rFonts w:ascii="Trebuchet MS" w:hAnsi="Trebuchet MS" w:cs="Arial"/>
                <w:b/>
                <w:sz w:val="22"/>
                <w:szCs w:val="22"/>
              </w:rPr>
              <w:t>470635</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lang w:val="pt-BR"/>
              </w:rPr>
            </w:pPr>
            <w:r w:rsidRPr="00FB6E9A">
              <w:rPr>
                <w:rFonts w:ascii="Trebuchet MS" w:hAnsi="Trebuchet MS" w:cs="Arial"/>
                <w:sz w:val="22"/>
                <w:szCs w:val="22"/>
                <w:lang w:val="pt-BR"/>
              </w:rPr>
              <w:t>Materiale reciclabile (R2-R11, excluzand R3)</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109841</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Compostare (R3)</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28831</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Co-incinerare (R1)</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 xml:space="preserve">    2511</w:t>
            </w:r>
          </w:p>
        </w:tc>
      </w:tr>
      <w:tr w:rsidR="00FB6E9A" w:rsidRPr="00FB6E9A" w:rsidTr="00913BC5">
        <w:trPr>
          <w:trHeight w:val="315"/>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Alte valorificări</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 xml:space="preserve"> 270580</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Total eliminare</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b/>
                <w:sz w:val="22"/>
                <w:szCs w:val="22"/>
              </w:rPr>
            </w:pPr>
            <w:r w:rsidRPr="00FB6E9A">
              <w:rPr>
                <w:rFonts w:ascii="Trebuchet MS" w:hAnsi="Trebuchet MS" w:cs="Arial"/>
                <w:b/>
                <w:sz w:val="22"/>
                <w:szCs w:val="22"/>
              </w:rPr>
              <w:t xml:space="preserve"> 481089</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Incinerare (D10)</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 xml:space="preserve">          0</w:t>
            </w:r>
          </w:p>
        </w:tc>
      </w:tr>
      <w:tr w:rsidR="00FB6E9A"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Depozitare (D1-D7, D12)</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481089</w:t>
            </w:r>
          </w:p>
        </w:tc>
      </w:tr>
      <w:tr w:rsidR="00FC3081" w:rsidRPr="00FB6E9A" w:rsidTr="00913BC5">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Alte eliminări</w:t>
            </w:r>
          </w:p>
        </w:tc>
        <w:tc>
          <w:tcPr>
            <w:tcW w:w="1555" w:type="dxa"/>
            <w:tcBorders>
              <w:top w:val="single" w:sz="4" w:space="0" w:color="auto"/>
              <w:left w:val="single" w:sz="4" w:space="0" w:color="auto"/>
              <w:bottom w:val="single" w:sz="4" w:space="0" w:color="auto"/>
              <w:right w:val="single" w:sz="4" w:space="0" w:color="auto"/>
            </w:tcBorders>
          </w:tcPr>
          <w:p w:rsidR="00FC3081" w:rsidRPr="00FB6E9A" w:rsidRDefault="00FC3081" w:rsidP="00913BC5">
            <w:pPr>
              <w:rPr>
                <w:rFonts w:ascii="Trebuchet MS" w:hAnsi="Trebuchet MS" w:cs="Arial"/>
                <w:sz w:val="22"/>
                <w:szCs w:val="22"/>
              </w:rPr>
            </w:pPr>
            <w:r w:rsidRPr="00FB6E9A">
              <w:rPr>
                <w:rFonts w:ascii="Trebuchet MS" w:hAnsi="Trebuchet MS" w:cs="Arial"/>
                <w:sz w:val="22"/>
                <w:szCs w:val="22"/>
              </w:rPr>
              <w:t xml:space="preserve">          0</w:t>
            </w:r>
          </w:p>
        </w:tc>
      </w:tr>
    </w:tbl>
    <w:p w:rsidR="00FC3081" w:rsidRPr="00FB6E9A" w:rsidRDefault="00FC3081" w:rsidP="00FC3081">
      <w:pPr>
        <w:spacing w:after="200" w:line="276" w:lineRule="auto"/>
        <w:jc w:val="both"/>
        <w:rPr>
          <w:rFonts w:ascii="Trebuchet MS" w:hAnsi="Trebuchet MS" w:cs="Arial"/>
          <w:sz w:val="22"/>
          <w:szCs w:val="22"/>
        </w:rPr>
      </w:pP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ab/>
        <w:t>De asemenea, ghidul EUROSTAT recomandă ca fluxurile de deşeuri reciclabile (hârtie, plastic, metal etc.) care rezultă din instalaţiile de sortare şi care sunt ulterior trimise către instalaţii de reciclare să fie luate în calcul ca fiind reciclate.</w:t>
      </w:r>
    </w:p>
    <w:p w:rsidR="00FC3081" w:rsidRPr="00FB6E9A" w:rsidRDefault="00FC3081" w:rsidP="00FC3081">
      <w:pPr>
        <w:ind w:firstLine="360"/>
        <w:jc w:val="both"/>
        <w:rPr>
          <w:rFonts w:ascii="Trebuchet MS" w:hAnsi="Trebuchet MS" w:cs="Arial"/>
          <w:sz w:val="22"/>
          <w:szCs w:val="22"/>
        </w:rPr>
      </w:pPr>
      <w:r w:rsidRPr="00FB6E9A">
        <w:rPr>
          <w:rFonts w:ascii="Trebuchet MS" w:hAnsi="Trebuchet MS" w:cs="Arial"/>
          <w:sz w:val="22"/>
          <w:szCs w:val="22"/>
        </w:rPr>
        <w:t>Având în vedere cele de mai sus, au fost calculaţi următorii indicatori privind deşeurile municipale, la nivelul Municipiului Bucureşti:</w:t>
      </w:r>
    </w:p>
    <w:p w:rsidR="00FC3081" w:rsidRPr="00FB6E9A" w:rsidRDefault="00FC3081" w:rsidP="00FC3081">
      <w:pPr>
        <w:ind w:firstLine="360"/>
        <w:jc w:val="both"/>
        <w:rPr>
          <w:rFonts w:ascii="Trebuchet MS" w:hAnsi="Trebuchet MS" w:cs="Arial"/>
          <w:sz w:val="22"/>
          <w:szCs w:val="22"/>
        </w:rPr>
      </w:pPr>
    </w:p>
    <w:p w:rsidR="00FC3081" w:rsidRPr="00FB6E9A" w:rsidRDefault="00FC3081" w:rsidP="00FC3081">
      <w:pPr>
        <w:pStyle w:val="ListParagraph"/>
        <w:numPr>
          <w:ilvl w:val="0"/>
          <w:numId w:val="34"/>
        </w:numPr>
        <w:spacing w:after="200" w:line="276" w:lineRule="auto"/>
        <w:jc w:val="both"/>
        <w:rPr>
          <w:rFonts w:ascii="Trebuchet MS" w:hAnsi="Trebuchet MS" w:cs="Arial"/>
          <w:b/>
          <w:sz w:val="22"/>
          <w:szCs w:val="22"/>
        </w:rPr>
      </w:pPr>
      <w:r w:rsidRPr="00FB6E9A">
        <w:rPr>
          <w:rFonts w:ascii="Trebuchet MS" w:hAnsi="Trebuchet MS" w:cs="Arial"/>
          <w:b/>
          <w:i/>
          <w:sz w:val="22"/>
          <w:szCs w:val="22"/>
        </w:rPr>
        <w:t>Deşeuri municipale generate</w:t>
      </w:r>
      <w:r w:rsidRPr="00FB6E9A">
        <w:rPr>
          <w:rFonts w:ascii="Trebuchet MS" w:hAnsi="Trebuchet MS" w:cs="Arial"/>
          <w:b/>
          <w:sz w:val="22"/>
          <w:szCs w:val="22"/>
        </w:rPr>
        <w:t xml:space="preserve"> </w:t>
      </w:r>
      <w:r w:rsidRPr="00FB6E9A">
        <w:rPr>
          <w:rFonts w:ascii="Trebuchet MS" w:hAnsi="Trebuchet MS" w:cs="Arial"/>
          <w:b/>
          <w:i/>
          <w:sz w:val="22"/>
          <w:szCs w:val="22"/>
        </w:rPr>
        <w:t>în Municipiul Bucureşti</w:t>
      </w:r>
      <w:r w:rsidRPr="00FB6E9A">
        <w:rPr>
          <w:rFonts w:ascii="Trebuchet MS" w:hAnsi="Trebuchet MS" w:cs="Arial"/>
          <w:b/>
          <w:sz w:val="22"/>
          <w:szCs w:val="22"/>
        </w:rPr>
        <w:t xml:space="preserve">– 954119 tone/an în 2022. </w:t>
      </w:r>
    </w:p>
    <w:p w:rsidR="00FC3081" w:rsidRPr="00FB6E9A" w:rsidRDefault="00FC3081" w:rsidP="00FC3081">
      <w:pPr>
        <w:pStyle w:val="ListParagraph"/>
        <w:numPr>
          <w:ilvl w:val="0"/>
          <w:numId w:val="34"/>
        </w:numPr>
        <w:spacing w:after="200" w:line="276" w:lineRule="auto"/>
        <w:jc w:val="both"/>
        <w:rPr>
          <w:rFonts w:ascii="Trebuchet MS" w:hAnsi="Trebuchet MS" w:cs="Arial"/>
          <w:b/>
          <w:sz w:val="22"/>
          <w:szCs w:val="22"/>
        </w:rPr>
      </w:pPr>
      <w:r w:rsidRPr="00FB6E9A">
        <w:rPr>
          <w:rFonts w:ascii="Trebuchet MS" w:hAnsi="Trebuchet MS" w:cs="Arial"/>
          <w:b/>
          <w:sz w:val="22"/>
          <w:szCs w:val="22"/>
        </w:rPr>
        <w:t xml:space="preserve">Asa cum prevede indicatorul RO 16-CSI16- GENERAREA DEŞEURILOR MUNICIPALE, cantitatea de deşeuri municipale generată pe cap de locuitor a fost calculată la nivel naţional pentru anul 2022 de catre Agenţia Naţională pentru Protecţia Mediului, valoarea acesteia fiind de 303 kg/locuitor/an. </w:t>
      </w:r>
    </w:p>
    <w:p w:rsidR="00FC3081" w:rsidRPr="00FB6E9A" w:rsidRDefault="00FC3081" w:rsidP="00FC3081">
      <w:pPr>
        <w:pStyle w:val="ListParagraph"/>
        <w:numPr>
          <w:ilvl w:val="0"/>
          <w:numId w:val="34"/>
        </w:numPr>
        <w:spacing w:after="200" w:line="276" w:lineRule="auto"/>
        <w:jc w:val="both"/>
        <w:rPr>
          <w:rFonts w:ascii="Trebuchet MS" w:hAnsi="Trebuchet MS" w:cs="Arial"/>
          <w:b/>
          <w:sz w:val="22"/>
          <w:szCs w:val="22"/>
        </w:rPr>
      </w:pPr>
      <w:r w:rsidRPr="00FB6E9A">
        <w:rPr>
          <w:rFonts w:ascii="Trebuchet MS" w:hAnsi="Trebuchet MS" w:cs="Arial"/>
          <w:b/>
          <w:sz w:val="22"/>
          <w:szCs w:val="22"/>
        </w:rPr>
        <w:t>Pentru Municipiul Bucuresti, cantitatea de deşeuri municipale generată pe cap de locuitor a fost de 284.27 kg/locuitor/an</w:t>
      </w:r>
    </w:p>
    <w:p w:rsidR="00FC3081" w:rsidRPr="00FB6E9A" w:rsidRDefault="00FC3081" w:rsidP="00FC3081">
      <w:pPr>
        <w:pStyle w:val="ListParagraph"/>
        <w:numPr>
          <w:ilvl w:val="0"/>
          <w:numId w:val="34"/>
        </w:numPr>
        <w:spacing w:after="200"/>
        <w:ind w:firstLine="720"/>
        <w:jc w:val="both"/>
        <w:rPr>
          <w:rFonts w:ascii="Trebuchet MS" w:hAnsi="Trebuchet MS" w:cs="Arial"/>
          <w:sz w:val="22"/>
          <w:szCs w:val="22"/>
        </w:rPr>
      </w:pPr>
      <w:r w:rsidRPr="00FB6E9A">
        <w:rPr>
          <w:rFonts w:ascii="Trebuchet MS" w:hAnsi="Trebuchet MS" w:cs="Arial"/>
          <w:b/>
          <w:i/>
          <w:sz w:val="22"/>
          <w:szCs w:val="22"/>
        </w:rPr>
        <w:t>Deşeuri municipale reciclate</w:t>
      </w:r>
      <w:r w:rsidRPr="00FB6E9A">
        <w:rPr>
          <w:rFonts w:ascii="Trebuchet MS" w:hAnsi="Trebuchet MS" w:cs="Arial"/>
          <w:b/>
          <w:sz w:val="22"/>
          <w:szCs w:val="22"/>
        </w:rPr>
        <w:t xml:space="preserve"> (inclusiv compostare) – 138672 tone/an în 2022 </w:t>
      </w:r>
    </w:p>
    <w:p w:rsidR="00FC3081" w:rsidRPr="00FB6E9A" w:rsidRDefault="00FC3081" w:rsidP="00FC3081">
      <w:pPr>
        <w:pStyle w:val="ListParagraph"/>
        <w:numPr>
          <w:ilvl w:val="0"/>
          <w:numId w:val="34"/>
        </w:numPr>
        <w:spacing w:after="200"/>
        <w:ind w:firstLine="720"/>
        <w:jc w:val="both"/>
        <w:rPr>
          <w:rFonts w:ascii="Trebuchet MS" w:hAnsi="Trebuchet MS" w:cs="Arial"/>
          <w:sz w:val="22"/>
          <w:szCs w:val="22"/>
        </w:rPr>
      </w:pPr>
      <w:r w:rsidRPr="00FB6E9A">
        <w:rPr>
          <w:rFonts w:ascii="Trebuchet MS" w:hAnsi="Trebuchet MS" w:cs="Arial"/>
          <w:sz w:val="22"/>
          <w:szCs w:val="22"/>
        </w:rPr>
        <w:t>Valoarea a fost calculată prin însumarea cantităţilor reciclate pentru următoarele tipuri de deşeuri:</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deşeuri menajere şi asimilabile şi din servicii municipale colectate de operatorii de salubritate</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deşeuri menajere generate şi necolectate de operatorii de salubritate</w:t>
      </w:r>
    </w:p>
    <w:p w:rsidR="00FC3081" w:rsidRPr="00FB6E9A" w:rsidRDefault="00FC3081" w:rsidP="00FC3081">
      <w:pPr>
        <w:pStyle w:val="ListParagraph"/>
        <w:numPr>
          <w:ilvl w:val="0"/>
          <w:numId w:val="33"/>
        </w:numPr>
        <w:spacing w:after="200"/>
        <w:jc w:val="both"/>
        <w:rPr>
          <w:rFonts w:ascii="Trebuchet MS" w:hAnsi="Trebuchet MS" w:cs="Arial"/>
          <w:sz w:val="22"/>
          <w:szCs w:val="22"/>
        </w:rPr>
      </w:pPr>
      <w:r w:rsidRPr="00FB6E9A">
        <w:rPr>
          <w:rFonts w:ascii="Trebuchet MS" w:hAnsi="Trebuchet MS" w:cs="Arial"/>
          <w:sz w:val="22"/>
          <w:szCs w:val="22"/>
        </w:rPr>
        <w:t>Deşeuri reciclabile provenite de la populaţie, colectate prin intermediul operatorilor economici autorizaţi, alţii decât operatorii de salubritate (hârtie şi carton, metale, plastic, sticla, lemn, biodegradabil, textile, DEEE, deşeuri de baterii şi acumulatori)</w:t>
      </w:r>
    </w:p>
    <w:p w:rsidR="00FC3081" w:rsidRPr="00FB6E9A" w:rsidRDefault="00FC3081" w:rsidP="00FC3081">
      <w:pPr>
        <w:pStyle w:val="ListParagraph"/>
        <w:spacing w:after="200"/>
        <w:ind w:left="0"/>
        <w:jc w:val="both"/>
        <w:rPr>
          <w:rFonts w:ascii="Trebuchet MS" w:hAnsi="Trebuchet MS" w:cs="Arial"/>
          <w:sz w:val="22"/>
          <w:szCs w:val="22"/>
        </w:rPr>
      </w:pPr>
    </w:p>
    <w:p w:rsidR="00FC3081" w:rsidRPr="00FB6E9A" w:rsidRDefault="00FC3081" w:rsidP="00FC3081">
      <w:pPr>
        <w:pStyle w:val="ListParagraph"/>
        <w:numPr>
          <w:ilvl w:val="0"/>
          <w:numId w:val="34"/>
        </w:numPr>
        <w:spacing w:after="200" w:line="360" w:lineRule="auto"/>
        <w:jc w:val="both"/>
        <w:rPr>
          <w:rFonts w:ascii="Trebuchet MS" w:hAnsi="Trebuchet MS" w:cs="Arial"/>
          <w:b/>
          <w:i/>
          <w:sz w:val="22"/>
          <w:szCs w:val="22"/>
        </w:rPr>
      </w:pPr>
      <w:r w:rsidRPr="00FB6E9A">
        <w:rPr>
          <w:rFonts w:ascii="Trebuchet MS" w:hAnsi="Trebuchet MS" w:cs="Arial"/>
          <w:b/>
          <w:i/>
          <w:sz w:val="22"/>
          <w:szCs w:val="22"/>
        </w:rPr>
        <w:t>La nivel naţional, gradul de Reciclare al deşeurilor valorificate din deşeurile municipale în anul 2022</w:t>
      </w:r>
      <w:r w:rsidRPr="00FB6E9A">
        <w:rPr>
          <w:rFonts w:ascii="Trebuchet MS" w:hAnsi="Trebuchet MS" w:cs="Arial"/>
          <w:b/>
          <w:sz w:val="22"/>
          <w:szCs w:val="22"/>
        </w:rPr>
        <w:t xml:space="preserve"> a fost de 12.34.%. Pentru Municipiul Bucuresti gradul de reciclare este de 14.53%.</w:t>
      </w:r>
    </w:p>
    <w:p w:rsidR="00FC3081" w:rsidRPr="00FB6E9A" w:rsidRDefault="00FC3081" w:rsidP="00FC3081">
      <w:pPr>
        <w:jc w:val="both"/>
        <w:rPr>
          <w:rFonts w:ascii="Trebuchet MS" w:hAnsi="Trebuchet MS" w:cs="Arial"/>
          <w:sz w:val="22"/>
          <w:szCs w:val="22"/>
          <w:lang w:val="ro-RO"/>
        </w:rPr>
      </w:pPr>
      <w:r w:rsidRPr="00FB6E9A">
        <w:rPr>
          <w:rFonts w:ascii="Trebuchet MS" w:hAnsi="Trebuchet MS" w:cs="Arial"/>
          <w:sz w:val="22"/>
          <w:szCs w:val="22"/>
          <w:lang w:val="ro-RO"/>
        </w:rPr>
        <w:t>Surse de date:</w:t>
      </w:r>
    </w:p>
    <w:p w:rsidR="00FC3081" w:rsidRPr="00FB6E9A" w:rsidRDefault="00FC3081" w:rsidP="00FC3081">
      <w:pPr>
        <w:numPr>
          <w:ilvl w:val="0"/>
          <w:numId w:val="33"/>
        </w:numPr>
        <w:contextualSpacing/>
        <w:jc w:val="both"/>
        <w:rPr>
          <w:rFonts w:ascii="Trebuchet MS" w:eastAsia="Times New Roman" w:hAnsi="Trebuchet MS" w:cs="Arial"/>
          <w:sz w:val="22"/>
          <w:szCs w:val="22"/>
          <w:lang w:val="ro-RO"/>
        </w:rPr>
      </w:pPr>
      <w:r w:rsidRPr="00FB6E9A">
        <w:rPr>
          <w:rFonts w:ascii="Trebuchet MS" w:eastAsia="Times New Roman" w:hAnsi="Trebuchet MS" w:cs="Arial"/>
          <w:sz w:val="22"/>
          <w:szCs w:val="22"/>
          <w:lang w:val="ro-RO"/>
        </w:rPr>
        <w:t>Agenția Națională pentru Protecția Mediului (ANPM): Sistemul Informatic Integrat de Mediu – prin aplicația Statistica Deșeurilor, chestionare statistice - GD MUN, GD COLECTARE/TRATARE și GD TRAT</w:t>
      </w:r>
    </w:p>
    <w:p w:rsidR="00FC3081" w:rsidRPr="00FB6E9A" w:rsidRDefault="00FC3081" w:rsidP="00FC3081">
      <w:pPr>
        <w:numPr>
          <w:ilvl w:val="0"/>
          <w:numId w:val="33"/>
        </w:numPr>
        <w:contextualSpacing/>
        <w:jc w:val="both"/>
        <w:rPr>
          <w:rFonts w:ascii="Trebuchet MS" w:eastAsia="Times New Roman" w:hAnsi="Trebuchet MS" w:cs="Arial"/>
          <w:sz w:val="22"/>
          <w:szCs w:val="22"/>
          <w:lang w:val="ro-RO"/>
        </w:rPr>
      </w:pPr>
      <w:r w:rsidRPr="00FB6E9A">
        <w:rPr>
          <w:rFonts w:ascii="Trebuchet MS" w:eastAsia="Times New Roman" w:hAnsi="Trebuchet MS" w:cs="Arial"/>
          <w:sz w:val="22"/>
          <w:szCs w:val="22"/>
          <w:lang w:val="ro-RO"/>
        </w:rPr>
        <w:t>Agenţia pentru Protecţia Mediului Bucureşti</w:t>
      </w:r>
    </w:p>
    <w:p w:rsidR="00FC3081" w:rsidRPr="00FB6E9A" w:rsidRDefault="00FC3081" w:rsidP="00FC3081">
      <w:pPr>
        <w:jc w:val="both"/>
        <w:rPr>
          <w:rFonts w:ascii="Trebuchet MS" w:hAnsi="Trebuchet MS" w:cs="Arial"/>
          <w:b/>
          <w:sz w:val="22"/>
          <w:szCs w:val="22"/>
        </w:rPr>
      </w:pPr>
    </w:p>
    <w:p w:rsidR="00FC3081" w:rsidRPr="00FB6E9A" w:rsidRDefault="00FC3081" w:rsidP="00FC3081">
      <w:pPr>
        <w:jc w:val="both"/>
        <w:rPr>
          <w:rFonts w:ascii="Trebuchet MS" w:hAnsi="Trebuchet MS" w:cs="Arial"/>
          <w:sz w:val="22"/>
          <w:szCs w:val="22"/>
        </w:rPr>
      </w:pPr>
      <w:r w:rsidRPr="00FB6E9A">
        <w:rPr>
          <w:rFonts w:ascii="Trebuchet MS" w:hAnsi="Trebuchet MS" w:cs="Arial"/>
          <w:b/>
          <w:sz w:val="22"/>
          <w:szCs w:val="22"/>
        </w:rPr>
        <w:t xml:space="preserve">Caseta VII.3. </w:t>
      </w:r>
      <w:r w:rsidRPr="00FB6E9A">
        <w:rPr>
          <w:rFonts w:ascii="Trebuchet MS" w:hAnsi="Trebuchet MS" w:cs="Arial"/>
          <w:b/>
          <w:sz w:val="22"/>
          <w:szCs w:val="22"/>
          <w:lang w:val="it-IT"/>
        </w:rPr>
        <w:t>Informaţii specifice privind de</w:t>
      </w:r>
      <w:r w:rsidRPr="00FB6E9A">
        <w:rPr>
          <w:rFonts w:ascii="Trebuchet MS" w:hAnsi="Trebuchet MS" w:cs="Arial"/>
          <w:b/>
          <w:sz w:val="22"/>
          <w:szCs w:val="22"/>
          <w:lang w:val="ro-RO"/>
        </w:rPr>
        <w:t>ş</w:t>
      </w:r>
      <w:r w:rsidRPr="00FB6E9A">
        <w:rPr>
          <w:rFonts w:ascii="Trebuchet MS" w:hAnsi="Trebuchet MS" w:cs="Arial"/>
          <w:b/>
          <w:sz w:val="22"/>
          <w:szCs w:val="22"/>
          <w:lang w:val="it-IT"/>
        </w:rPr>
        <w:t>eurile municipale, în perioada 2018 - 2022</w:t>
      </w:r>
    </w:p>
    <w:p w:rsidR="00FC3081" w:rsidRPr="00FB6E9A" w:rsidRDefault="00FC3081" w:rsidP="00FC3081">
      <w:pPr>
        <w:jc w:val="both"/>
        <w:rPr>
          <w:rFonts w:ascii="Trebuchet MS" w:hAnsi="Trebuchet MS" w:cs="Arial"/>
          <w:sz w:val="22"/>
          <w:szCs w:val="22"/>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3"/>
        <w:gridCol w:w="1186"/>
        <w:gridCol w:w="1351"/>
        <w:gridCol w:w="1351"/>
        <w:gridCol w:w="1351"/>
        <w:gridCol w:w="1351"/>
      </w:tblGrid>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lang w:val="it-IT"/>
              </w:rPr>
            </w:pPr>
          </w:p>
        </w:tc>
        <w:tc>
          <w:tcPr>
            <w:tcW w:w="1186" w:type="dxa"/>
            <w:vAlign w:val="center"/>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2018</w:t>
            </w:r>
          </w:p>
        </w:tc>
        <w:tc>
          <w:tcPr>
            <w:tcW w:w="1351" w:type="dxa"/>
            <w:vAlign w:val="center"/>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2019</w:t>
            </w:r>
          </w:p>
        </w:tc>
        <w:tc>
          <w:tcPr>
            <w:tcW w:w="1351" w:type="dxa"/>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2020</w:t>
            </w:r>
          </w:p>
        </w:tc>
        <w:tc>
          <w:tcPr>
            <w:tcW w:w="1351" w:type="dxa"/>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2021</w:t>
            </w:r>
          </w:p>
        </w:tc>
        <w:tc>
          <w:tcPr>
            <w:tcW w:w="1351" w:type="dxa"/>
          </w:tcPr>
          <w:p w:rsidR="00FC3081" w:rsidRPr="00FB6E9A" w:rsidRDefault="00FC3081" w:rsidP="00913BC5">
            <w:pPr>
              <w:jc w:val="center"/>
              <w:rPr>
                <w:rFonts w:ascii="Trebuchet MS" w:hAnsi="Trebuchet MS" w:cs="Arial"/>
                <w:b/>
                <w:sz w:val="22"/>
                <w:szCs w:val="22"/>
              </w:rPr>
            </w:pPr>
            <w:r w:rsidRPr="00FB6E9A">
              <w:rPr>
                <w:rFonts w:ascii="Trebuchet MS" w:hAnsi="Trebuchet MS" w:cs="Arial"/>
                <w:b/>
                <w:sz w:val="22"/>
                <w:szCs w:val="22"/>
              </w:rPr>
              <w:t>2022</w:t>
            </w:r>
          </w:p>
        </w:tc>
      </w:tr>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Gradul de conectare la serviciul de salubritate (%), din care:</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r>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Mediul urban</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c>
          <w:tcPr>
            <w:tcW w:w="1351" w:type="dxa"/>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100</w:t>
            </w:r>
          </w:p>
        </w:tc>
      </w:tr>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Mediul rural</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1351" w:type="dxa"/>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1351" w:type="dxa"/>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1351" w:type="dxa"/>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r>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Cantitatea de deşeuri municipale colectate selectiv (tone)</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77238</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85894.559</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111582</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72198</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71420</w:t>
            </w:r>
          </w:p>
        </w:tc>
      </w:tr>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Cantitatea de deşeuri municipale reciclate (tone)</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120210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53960</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117605</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127202</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138672</w:t>
            </w:r>
          </w:p>
        </w:tc>
      </w:tr>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Cantitatea de deşeuri biodegradabile din deşeurile municipale depozitate (mii tone)</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359</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328</w:t>
            </w:r>
          </w:p>
        </w:tc>
        <w:tc>
          <w:tcPr>
            <w:tcW w:w="1351" w:type="dxa"/>
            <w:vAlign w:val="center"/>
          </w:tcPr>
          <w:p w:rsidR="00FC3081" w:rsidRPr="00FB6E9A" w:rsidRDefault="00FC3081" w:rsidP="00913BC5">
            <w:pPr>
              <w:jc w:val="center"/>
              <w:rPr>
                <w:rFonts w:ascii="Trebuchet MS" w:hAnsi="Trebuchet MS" w:cs="Arial"/>
                <w:sz w:val="22"/>
                <w:szCs w:val="22"/>
                <w:lang w:val="en-US"/>
              </w:rPr>
            </w:pPr>
            <w:r w:rsidRPr="00FB6E9A">
              <w:rPr>
                <w:rFonts w:ascii="Trebuchet MS" w:hAnsi="Trebuchet MS" w:cs="Arial"/>
                <w:sz w:val="22"/>
                <w:szCs w:val="22"/>
              </w:rPr>
              <w:t>282</w:t>
            </w:r>
          </w:p>
        </w:tc>
        <w:tc>
          <w:tcPr>
            <w:tcW w:w="1351" w:type="dxa"/>
            <w:vAlign w:val="center"/>
          </w:tcPr>
          <w:p w:rsidR="00FC3081" w:rsidRPr="00FB6E9A" w:rsidRDefault="00FC3081" w:rsidP="00913BC5">
            <w:pPr>
              <w:jc w:val="center"/>
              <w:rPr>
                <w:rFonts w:ascii="Trebuchet MS" w:hAnsi="Trebuchet MS" w:cs="Arial"/>
                <w:sz w:val="22"/>
                <w:szCs w:val="22"/>
                <w:lang w:val="en-US"/>
              </w:rPr>
            </w:pPr>
            <w:r w:rsidRPr="00FB6E9A">
              <w:rPr>
                <w:rFonts w:ascii="Trebuchet MS" w:hAnsi="Trebuchet MS" w:cs="Arial"/>
                <w:sz w:val="22"/>
                <w:szCs w:val="22"/>
                <w:lang w:val="en-US"/>
              </w:rPr>
              <w:t>217</w:t>
            </w:r>
          </w:p>
        </w:tc>
        <w:tc>
          <w:tcPr>
            <w:tcW w:w="1351" w:type="dxa"/>
            <w:vAlign w:val="center"/>
          </w:tcPr>
          <w:p w:rsidR="00FC3081" w:rsidRPr="00FB6E9A" w:rsidRDefault="00FC3081" w:rsidP="00913BC5">
            <w:pPr>
              <w:jc w:val="center"/>
              <w:rPr>
                <w:rFonts w:ascii="Trebuchet MS" w:hAnsi="Trebuchet MS" w:cs="Arial"/>
                <w:sz w:val="22"/>
                <w:szCs w:val="22"/>
                <w:lang w:val="en-US"/>
              </w:rPr>
            </w:pPr>
            <w:r w:rsidRPr="00FB6E9A">
              <w:rPr>
                <w:rFonts w:ascii="Trebuchet MS" w:hAnsi="Trebuchet MS" w:cs="Arial"/>
                <w:sz w:val="22"/>
                <w:szCs w:val="22"/>
                <w:lang w:val="en-US"/>
              </w:rPr>
              <w:t>299</w:t>
            </w:r>
          </w:p>
        </w:tc>
      </w:tr>
      <w:tr w:rsidR="00FB6E9A"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Numărul de depozite municipale conforme în operare</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r>
      <w:tr w:rsidR="00FC3081" w:rsidRPr="00FB6E9A" w:rsidTr="00913BC5">
        <w:trPr>
          <w:jc w:val="center"/>
        </w:trPr>
        <w:tc>
          <w:tcPr>
            <w:tcW w:w="1913"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Numărul staţiilor de transfer şi/sau sortare existente</w:t>
            </w:r>
          </w:p>
        </w:tc>
        <w:tc>
          <w:tcPr>
            <w:tcW w:w="1186"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w:t>
            </w:r>
          </w:p>
        </w:tc>
        <w:tc>
          <w:tcPr>
            <w:tcW w:w="13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w:t>
            </w:r>
          </w:p>
        </w:tc>
      </w:tr>
    </w:tbl>
    <w:p w:rsidR="00FC3081" w:rsidRPr="00FB6E9A" w:rsidRDefault="00FC3081" w:rsidP="00FC3081">
      <w:pPr>
        <w:jc w:val="both"/>
        <w:rPr>
          <w:rFonts w:ascii="Trebuchet MS" w:hAnsi="Trebuchet MS" w:cs="Arial"/>
          <w:sz w:val="22"/>
          <w:szCs w:val="22"/>
          <w:lang w:val="ro-RO"/>
        </w:rPr>
      </w:pPr>
      <w:r w:rsidRPr="00FB6E9A">
        <w:rPr>
          <w:rFonts w:ascii="Trebuchet MS" w:hAnsi="Trebuchet MS" w:cs="Arial"/>
          <w:sz w:val="22"/>
          <w:szCs w:val="22"/>
          <w:lang w:val="ro-RO"/>
        </w:rPr>
        <w:t>Surse de date:</w:t>
      </w:r>
    </w:p>
    <w:p w:rsidR="00FC3081" w:rsidRPr="00FB6E9A" w:rsidRDefault="00FC3081" w:rsidP="00FC3081">
      <w:pPr>
        <w:pStyle w:val="ListParagraph"/>
        <w:numPr>
          <w:ilvl w:val="0"/>
          <w:numId w:val="33"/>
        </w:numPr>
        <w:jc w:val="both"/>
        <w:rPr>
          <w:rFonts w:ascii="Trebuchet MS" w:hAnsi="Trebuchet MS" w:cs="Arial"/>
          <w:sz w:val="22"/>
          <w:szCs w:val="22"/>
          <w:lang w:val="ro-RO"/>
        </w:rPr>
      </w:pPr>
      <w:r w:rsidRPr="00FB6E9A">
        <w:rPr>
          <w:rFonts w:ascii="Trebuchet MS" w:hAnsi="Trebuchet MS" w:cs="Arial"/>
          <w:sz w:val="22"/>
          <w:szCs w:val="22"/>
          <w:lang w:val="ro-RO"/>
        </w:rPr>
        <w:t>Agenția Națională pentru Protecția Mediului (ANPM): Sistemul Informatic Integrat de Mediu – prin aplicația Statistica Deșeurilor, chestionare statistice - GD MUN, GD COLECTARE/TRATARE și GD TRAT</w:t>
      </w:r>
    </w:p>
    <w:p w:rsidR="00FC3081" w:rsidRPr="00FB6E9A" w:rsidRDefault="00FC3081" w:rsidP="00FC3081">
      <w:pPr>
        <w:pStyle w:val="ListParagraph"/>
        <w:numPr>
          <w:ilvl w:val="0"/>
          <w:numId w:val="33"/>
        </w:numPr>
        <w:jc w:val="both"/>
        <w:rPr>
          <w:rFonts w:ascii="Trebuchet MS" w:hAnsi="Trebuchet MS" w:cs="Arial"/>
          <w:sz w:val="22"/>
          <w:szCs w:val="22"/>
          <w:lang w:val="ro-RO"/>
        </w:rPr>
      </w:pPr>
      <w:r w:rsidRPr="00FB6E9A">
        <w:rPr>
          <w:rFonts w:ascii="Trebuchet MS" w:hAnsi="Trebuchet MS" w:cs="Arial"/>
          <w:sz w:val="22"/>
          <w:szCs w:val="22"/>
          <w:lang w:val="ro-RO"/>
        </w:rPr>
        <w:t>Agenţia pentru Protecţia Mediului Bucureşti</w:t>
      </w:r>
    </w:p>
    <w:p w:rsidR="005D2073" w:rsidRPr="00FB6E9A" w:rsidRDefault="005D2073" w:rsidP="00F06B26">
      <w:pPr>
        <w:autoSpaceDE w:val="0"/>
        <w:autoSpaceDN w:val="0"/>
        <w:adjustRightInd w:val="0"/>
        <w:rPr>
          <w:rFonts w:ascii="Trebuchet MS" w:hAnsi="Trebuchet MS" w:cs="Arial"/>
          <w:b/>
          <w:sz w:val="22"/>
          <w:szCs w:val="22"/>
          <w:lang w:val="it-IT"/>
        </w:rPr>
      </w:pPr>
    </w:p>
    <w:p w:rsidR="0082575A" w:rsidRPr="00DB17CC" w:rsidRDefault="0082575A" w:rsidP="0082575A">
      <w:pPr>
        <w:autoSpaceDE w:val="0"/>
        <w:autoSpaceDN w:val="0"/>
        <w:adjustRightInd w:val="0"/>
        <w:rPr>
          <w:rFonts w:ascii="Arial" w:hAnsi="Arial" w:cs="Arial"/>
          <w:b/>
          <w:lang w:val="it-IT"/>
        </w:rPr>
      </w:pPr>
      <w:r w:rsidRPr="00DB17CC">
        <w:rPr>
          <w:rFonts w:ascii="Arial" w:hAnsi="Arial" w:cs="Arial"/>
          <w:b/>
          <w:lang w:val="it-IT"/>
        </w:rPr>
        <w:t>VII.1.2. Generarea şi gestionarea deşeurilor industriale</w:t>
      </w:r>
    </w:p>
    <w:p w:rsidR="0082575A" w:rsidRPr="00DB17CC" w:rsidRDefault="0082575A" w:rsidP="0082575A">
      <w:pPr>
        <w:autoSpaceDE w:val="0"/>
        <w:autoSpaceDN w:val="0"/>
        <w:adjustRightInd w:val="0"/>
        <w:rPr>
          <w:rFonts w:ascii="Arial" w:hAnsi="Arial" w:cs="Arial"/>
          <w:lang w:val="it-IT"/>
        </w:rPr>
      </w:pPr>
    </w:p>
    <w:p w:rsidR="0082575A" w:rsidRPr="00FB6E9A" w:rsidRDefault="0082575A" w:rsidP="0082575A">
      <w:pPr>
        <w:spacing w:line="360" w:lineRule="auto"/>
        <w:rPr>
          <w:rFonts w:ascii="Trebuchet MS" w:hAnsi="Trebuchet MS" w:cs="Arial"/>
          <w:b/>
          <w:bCs/>
          <w:i/>
          <w:iCs/>
          <w:sz w:val="22"/>
          <w:szCs w:val="22"/>
          <w:lang w:val="it-IT"/>
        </w:rPr>
      </w:pPr>
      <w:r w:rsidRPr="00FB6E9A">
        <w:rPr>
          <w:rFonts w:ascii="Trebuchet MS" w:hAnsi="Trebuchet MS" w:cs="Arial"/>
          <w:b/>
          <w:bCs/>
          <w:sz w:val="22"/>
          <w:szCs w:val="22"/>
          <w:lang w:val="it-IT"/>
        </w:rPr>
        <w:t xml:space="preserve">A. Indicatori specifici </w:t>
      </w:r>
      <w:r w:rsidRPr="00FB6E9A">
        <w:rPr>
          <w:rFonts w:ascii="Trebuchet MS" w:hAnsi="Trebuchet MS" w:cs="Arial"/>
          <w:b/>
          <w:bCs/>
          <w:i/>
          <w:iCs/>
          <w:sz w:val="22"/>
          <w:szCs w:val="22"/>
          <w:lang w:val="it-IT"/>
        </w:rPr>
        <w:t>– nu este cazul</w:t>
      </w:r>
    </w:p>
    <w:p w:rsidR="0082575A" w:rsidRPr="00FB6E9A" w:rsidRDefault="0082575A" w:rsidP="0082575A">
      <w:pPr>
        <w:pStyle w:val="Default"/>
        <w:rPr>
          <w:rFonts w:ascii="Trebuchet MS" w:hAnsi="Trebuchet MS"/>
          <w:b/>
          <w:bCs/>
          <w:color w:val="auto"/>
          <w:sz w:val="22"/>
          <w:szCs w:val="22"/>
          <w:lang w:val="it-IT"/>
        </w:rPr>
      </w:pPr>
      <w:r w:rsidRPr="00FB6E9A">
        <w:rPr>
          <w:rFonts w:ascii="Trebuchet MS" w:hAnsi="Trebuchet MS"/>
          <w:b/>
          <w:bCs/>
          <w:color w:val="auto"/>
          <w:sz w:val="22"/>
          <w:szCs w:val="22"/>
          <w:lang w:val="it-IT"/>
        </w:rPr>
        <w:t xml:space="preserve">B. Alte date şi informaţii specifice </w:t>
      </w:r>
    </w:p>
    <w:p w:rsidR="0082575A" w:rsidRPr="00FB6E9A" w:rsidRDefault="0082575A" w:rsidP="0082575A">
      <w:pPr>
        <w:pStyle w:val="Default"/>
        <w:rPr>
          <w:rFonts w:ascii="Trebuchet MS" w:hAnsi="Trebuchet MS"/>
          <w:color w:val="auto"/>
          <w:sz w:val="22"/>
          <w:szCs w:val="22"/>
          <w:lang w:val="it-IT"/>
        </w:rPr>
      </w:pPr>
    </w:p>
    <w:p w:rsidR="00FC3081" w:rsidRPr="00FB6E9A" w:rsidRDefault="00FC3081" w:rsidP="00FC3081">
      <w:pPr>
        <w:pStyle w:val="Default"/>
        <w:ind w:firstLine="360"/>
        <w:jc w:val="both"/>
        <w:rPr>
          <w:rFonts w:ascii="Trebuchet MS" w:hAnsi="Trebuchet MS"/>
          <w:color w:val="auto"/>
          <w:sz w:val="22"/>
          <w:szCs w:val="22"/>
          <w:lang w:val="it-IT"/>
        </w:rPr>
      </w:pPr>
      <w:r w:rsidRPr="00FB6E9A">
        <w:rPr>
          <w:rFonts w:ascii="Trebuchet MS" w:hAnsi="Trebuchet MS"/>
          <w:color w:val="auto"/>
          <w:sz w:val="22"/>
          <w:szCs w:val="22"/>
          <w:lang w:val="it-IT"/>
        </w:rPr>
        <w:t>În cadrul acestei secţiuni se prezintă următoarele informaţii şi date pentru Municipiul Bucureşti.</w:t>
      </w:r>
    </w:p>
    <w:p w:rsidR="00FC3081" w:rsidRPr="00FB6E9A" w:rsidRDefault="00FC3081" w:rsidP="00FC3081">
      <w:pPr>
        <w:pStyle w:val="Default"/>
        <w:jc w:val="both"/>
        <w:rPr>
          <w:rFonts w:ascii="Trebuchet MS" w:hAnsi="Trebuchet MS"/>
          <w:color w:val="auto"/>
          <w:sz w:val="22"/>
          <w:szCs w:val="22"/>
          <w:lang w:val="it-IT"/>
        </w:rPr>
      </w:pPr>
    </w:p>
    <w:p w:rsidR="00FC3081" w:rsidRPr="00FB6E9A" w:rsidRDefault="00FC3081" w:rsidP="00FC3081">
      <w:pPr>
        <w:pStyle w:val="Default"/>
        <w:spacing w:line="276" w:lineRule="auto"/>
        <w:jc w:val="both"/>
        <w:rPr>
          <w:rFonts w:ascii="Trebuchet MS" w:hAnsi="Trebuchet MS"/>
          <w:color w:val="auto"/>
          <w:sz w:val="22"/>
          <w:szCs w:val="22"/>
          <w:lang w:val="it-IT"/>
        </w:rPr>
      </w:pPr>
      <w:r w:rsidRPr="00FB6E9A">
        <w:rPr>
          <w:rFonts w:ascii="Trebuchet MS" w:hAnsi="Trebuchet MS"/>
          <w:color w:val="auto"/>
          <w:sz w:val="22"/>
          <w:szCs w:val="22"/>
          <w:lang w:val="it-IT"/>
        </w:rPr>
        <w:t>- cantităţi de deşeuri industriale nepericuloase generate pe principalele activităţi economice - cu excepţia industriei extractive (mii tone);</w:t>
      </w:r>
    </w:p>
    <w:p w:rsidR="00FC3081" w:rsidRPr="00FB6E9A" w:rsidRDefault="00FC3081" w:rsidP="00FC3081">
      <w:pPr>
        <w:pStyle w:val="Default"/>
        <w:spacing w:line="276" w:lineRule="auto"/>
        <w:jc w:val="both"/>
        <w:rPr>
          <w:rFonts w:ascii="Trebuchet MS" w:hAnsi="Trebuchet MS"/>
          <w:color w:val="auto"/>
          <w:sz w:val="22"/>
          <w:szCs w:val="22"/>
          <w:lang w:val="it-IT"/>
        </w:rPr>
      </w:pPr>
      <w:r w:rsidRPr="00FB6E9A">
        <w:rPr>
          <w:rFonts w:ascii="Trebuchet MS" w:hAnsi="Trebuchet MS"/>
          <w:color w:val="auto"/>
          <w:sz w:val="22"/>
          <w:szCs w:val="22"/>
          <w:lang w:val="it-IT"/>
        </w:rPr>
        <w:t>- cantităţi de deşeuri industriale periculoase generate pe principalele activităţi economice - cu excepţia industriei extractive (mii tone);</w:t>
      </w:r>
    </w:p>
    <w:p w:rsidR="00FC3081" w:rsidRPr="00FB6E9A" w:rsidRDefault="00FC3081" w:rsidP="00FC3081">
      <w:pPr>
        <w:pStyle w:val="Default"/>
        <w:spacing w:line="276" w:lineRule="auto"/>
        <w:jc w:val="both"/>
        <w:rPr>
          <w:rFonts w:ascii="Trebuchet MS" w:hAnsi="Trebuchet MS"/>
          <w:color w:val="auto"/>
          <w:sz w:val="22"/>
          <w:szCs w:val="22"/>
          <w:lang w:val="it-IT"/>
        </w:rPr>
      </w:pPr>
      <w:r w:rsidRPr="00FB6E9A">
        <w:rPr>
          <w:rFonts w:ascii="Trebuchet MS" w:hAnsi="Trebuchet MS"/>
          <w:color w:val="auto"/>
          <w:sz w:val="22"/>
          <w:szCs w:val="22"/>
          <w:lang w:val="it-IT"/>
        </w:rPr>
        <w:t>- numărul total de depozite de deşeuri industriale nepericuloase conforme;</w:t>
      </w:r>
    </w:p>
    <w:p w:rsidR="00FC3081" w:rsidRPr="00FB6E9A" w:rsidRDefault="00FC3081" w:rsidP="00FC3081">
      <w:pPr>
        <w:pStyle w:val="Default"/>
        <w:spacing w:line="276" w:lineRule="auto"/>
        <w:jc w:val="both"/>
        <w:rPr>
          <w:rFonts w:ascii="Trebuchet MS" w:hAnsi="Trebuchet MS"/>
          <w:color w:val="auto"/>
          <w:sz w:val="22"/>
          <w:szCs w:val="22"/>
          <w:lang w:val="it-IT"/>
        </w:rPr>
      </w:pPr>
      <w:r w:rsidRPr="00FB6E9A">
        <w:rPr>
          <w:rFonts w:ascii="Trebuchet MS" w:hAnsi="Trebuchet MS"/>
          <w:color w:val="auto"/>
          <w:sz w:val="22"/>
          <w:szCs w:val="22"/>
          <w:lang w:val="it-IT"/>
        </w:rPr>
        <w:t>- numărul total de depozite de deşeuri industriale periculoase conforme;</w:t>
      </w:r>
    </w:p>
    <w:p w:rsidR="00FC3081" w:rsidRPr="00FB6E9A" w:rsidRDefault="00FC3081" w:rsidP="00FC3081">
      <w:pPr>
        <w:pStyle w:val="Default"/>
        <w:spacing w:line="276" w:lineRule="auto"/>
        <w:jc w:val="both"/>
        <w:rPr>
          <w:rFonts w:ascii="Trebuchet MS" w:hAnsi="Trebuchet MS"/>
          <w:color w:val="auto"/>
          <w:sz w:val="22"/>
          <w:szCs w:val="22"/>
          <w:lang w:val="it-IT"/>
        </w:rPr>
      </w:pPr>
      <w:r w:rsidRPr="00FB6E9A">
        <w:rPr>
          <w:rFonts w:ascii="Trebuchet MS" w:hAnsi="Trebuchet MS"/>
          <w:color w:val="auto"/>
          <w:sz w:val="22"/>
          <w:szCs w:val="22"/>
          <w:lang w:val="it-IT"/>
        </w:rPr>
        <w:t>- numărul instalaţiilor de incinerare şi coincinerare şi capacitatea totală a acestora, pe regiuni.</w:t>
      </w:r>
    </w:p>
    <w:p w:rsidR="00FC3081" w:rsidRPr="00FB6E9A" w:rsidRDefault="00FC3081" w:rsidP="00FC3081">
      <w:pPr>
        <w:pStyle w:val="Default"/>
        <w:rPr>
          <w:rFonts w:ascii="Trebuchet MS" w:hAnsi="Trebuchet MS"/>
          <w:color w:val="auto"/>
          <w:sz w:val="22"/>
          <w:szCs w:val="22"/>
          <w:lang w:val="it-IT"/>
        </w:rPr>
      </w:pPr>
    </w:p>
    <w:p w:rsidR="00FC3081" w:rsidRPr="00FB6E9A" w:rsidRDefault="00FC3081" w:rsidP="00FC3081">
      <w:pPr>
        <w:jc w:val="both"/>
        <w:rPr>
          <w:rFonts w:ascii="Trebuchet MS" w:hAnsi="Trebuchet MS" w:cs="Arial"/>
          <w:b/>
          <w:sz w:val="22"/>
          <w:szCs w:val="22"/>
          <w:lang w:val="it-IT"/>
        </w:rPr>
      </w:pPr>
      <w:r w:rsidRPr="00FB6E9A">
        <w:rPr>
          <w:rFonts w:ascii="Trebuchet MS" w:hAnsi="Trebuchet MS" w:cs="Arial"/>
          <w:b/>
          <w:sz w:val="22"/>
          <w:szCs w:val="22"/>
          <w:lang w:val="it-IT"/>
        </w:rPr>
        <w:t>Tabel 1. Deşeurile nepericuloase generate pe principalele activităţi economice (cu excepţia industriei extractive), în perioada 2018 – 2022, în Municipiul Bucureşti</w:t>
      </w:r>
    </w:p>
    <w:p w:rsidR="00FC3081" w:rsidRPr="00FB6E9A" w:rsidRDefault="00FC3081" w:rsidP="00FC3081">
      <w:pPr>
        <w:jc w:val="both"/>
        <w:rPr>
          <w:rFonts w:ascii="Trebuchet MS" w:hAnsi="Trebuchet MS" w:cs="Arial"/>
          <w:sz w:val="22"/>
          <w:szCs w:val="22"/>
          <w:lang w:val="it-IT"/>
        </w:rPr>
      </w:pPr>
    </w:p>
    <w:p w:rsidR="00FC3081" w:rsidRPr="00FB6E9A" w:rsidRDefault="00FC3081" w:rsidP="00FC3081">
      <w:pPr>
        <w:ind w:left="720" w:firstLine="540"/>
        <w:rPr>
          <w:rFonts w:ascii="Trebuchet MS" w:hAnsi="Trebuchet MS" w:cs="Arial"/>
          <w:b/>
          <w:sz w:val="22"/>
          <w:szCs w:val="22"/>
          <w:lang w:val="it-IT"/>
        </w:rPr>
      </w:pPr>
      <w:r w:rsidRPr="00FB6E9A">
        <w:rPr>
          <w:rFonts w:ascii="Trebuchet MS" w:hAnsi="Trebuchet MS" w:cs="Arial"/>
          <w:b/>
          <w:sz w:val="22"/>
          <w:szCs w:val="22"/>
          <w:lang w:val="it-IT"/>
        </w:rPr>
        <w:t>Mii tone</w:t>
      </w:r>
    </w:p>
    <w:tbl>
      <w:tblPr>
        <w:tblW w:w="70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31"/>
        <w:gridCol w:w="1084"/>
        <w:gridCol w:w="1084"/>
        <w:gridCol w:w="1084"/>
        <w:gridCol w:w="1084"/>
        <w:gridCol w:w="1084"/>
      </w:tblGrid>
      <w:tr w:rsidR="00FB6E9A" w:rsidRPr="00FB6E9A" w:rsidTr="00913BC5">
        <w:trPr>
          <w:trHeight w:val="990"/>
          <w:jc w:val="center"/>
        </w:trPr>
        <w:tc>
          <w:tcPr>
            <w:tcW w:w="1631"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Activitatea economică</w:t>
            </w:r>
          </w:p>
        </w:tc>
        <w:tc>
          <w:tcPr>
            <w:tcW w:w="1084"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2018</w:t>
            </w:r>
          </w:p>
        </w:tc>
        <w:tc>
          <w:tcPr>
            <w:tcW w:w="1084"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2019</w:t>
            </w:r>
          </w:p>
        </w:tc>
        <w:tc>
          <w:tcPr>
            <w:tcW w:w="1084"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2020</w:t>
            </w:r>
          </w:p>
        </w:tc>
        <w:tc>
          <w:tcPr>
            <w:tcW w:w="1084"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2021</w:t>
            </w:r>
          </w:p>
        </w:tc>
        <w:tc>
          <w:tcPr>
            <w:tcW w:w="1084"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2022</w:t>
            </w:r>
          </w:p>
        </w:tc>
      </w:tr>
      <w:tr w:rsidR="00FB6E9A" w:rsidRPr="00FB6E9A" w:rsidTr="00913BC5">
        <w:trPr>
          <w:trHeight w:val="735"/>
          <w:jc w:val="center"/>
        </w:trPr>
        <w:tc>
          <w:tcPr>
            <w:tcW w:w="163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Industria prelucrătoare</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224.566</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76.635</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127.472</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179.909</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149.451</w:t>
            </w:r>
          </w:p>
        </w:tc>
      </w:tr>
      <w:tr w:rsidR="00FB6E9A" w:rsidRPr="00FB6E9A" w:rsidTr="00913BC5">
        <w:trPr>
          <w:trHeight w:val="1935"/>
          <w:jc w:val="center"/>
        </w:trPr>
        <w:tc>
          <w:tcPr>
            <w:tcW w:w="163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Producţia, transportul şi distribuţia de energie electrică şi termică, gaze şi apă</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7.575</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3.717</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16.440</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29.648</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51.657</w:t>
            </w:r>
          </w:p>
        </w:tc>
      </w:tr>
      <w:tr w:rsidR="00FB6E9A" w:rsidRPr="00FB6E9A" w:rsidTr="00913BC5">
        <w:trPr>
          <w:trHeight w:val="975"/>
          <w:jc w:val="center"/>
        </w:trPr>
        <w:tc>
          <w:tcPr>
            <w:tcW w:w="1631" w:type="dxa"/>
            <w:vAlign w:val="center"/>
          </w:tcPr>
          <w:p w:rsidR="00FC3081" w:rsidRPr="00FB6E9A" w:rsidRDefault="00FC3081" w:rsidP="00913BC5">
            <w:pPr>
              <w:jc w:val="center"/>
              <w:rPr>
                <w:rFonts w:ascii="Trebuchet MS" w:hAnsi="Trebuchet MS" w:cs="Arial"/>
                <w:sz w:val="22"/>
                <w:szCs w:val="22"/>
                <w:lang w:val="it-IT"/>
              </w:rPr>
            </w:pPr>
            <w:r w:rsidRPr="00FB6E9A">
              <w:rPr>
                <w:rFonts w:ascii="Trebuchet MS" w:hAnsi="Trebuchet MS" w:cs="Arial"/>
                <w:sz w:val="22"/>
                <w:szCs w:val="22"/>
                <w:lang w:val="it-IT"/>
              </w:rPr>
              <w:t>Captarea, tratarea şi distribuţia apei</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6.016</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7.756</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11.544</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5.606</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5.855</w:t>
            </w:r>
          </w:p>
        </w:tc>
      </w:tr>
      <w:tr w:rsidR="00FB6E9A" w:rsidRPr="00FB6E9A" w:rsidTr="00913BC5">
        <w:trPr>
          <w:trHeight w:val="495"/>
          <w:jc w:val="center"/>
        </w:trPr>
        <w:tc>
          <w:tcPr>
            <w:tcW w:w="163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Alte activităţi</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287.956</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268.259</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262.890</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351.098</w:t>
            </w:r>
          </w:p>
        </w:tc>
        <w:tc>
          <w:tcPr>
            <w:tcW w:w="108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470.749</w:t>
            </w:r>
          </w:p>
        </w:tc>
      </w:tr>
      <w:tr w:rsidR="00FB6E9A" w:rsidRPr="00FB6E9A" w:rsidTr="00913BC5">
        <w:trPr>
          <w:trHeight w:val="270"/>
          <w:jc w:val="center"/>
        </w:trPr>
        <w:tc>
          <w:tcPr>
            <w:tcW w:w="1631"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Total</w:t>
            </w:r>
          </w:p>
        </w:tc>
        <w:tc>
          <w:tcPr>
            <w:tcW w:w="1084"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526.113</w:t>
            </w:r>
          </w:p>
        </w:tc>
        <w:tc>
          <w:tcPr>
            <w:tcW w:w="1084"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356.367</w:t>
            </w:r>
          </w:p>
        </w:tc>
        <w:tc>
          <w:tcPr>
            <w:tcW w:w="1084" w:type="dxa"/>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418.348</w:t>
            </w:r>
          </w:p>
        </w:tc>
        <w:tc>
          <w:tcPr>
            <w:tcW w:w="1084" w:type="dxa"/>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576.356</w:t>
            </w:r>
          </w:p>
        </w:tc>
        <w:tc>
          <w:tcPr>
            <w:tcW w:w="1084" w:type="dxa"/>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677.712</w:t>
            </w:r>
          </w:p>
        </w:tc>
      </w:tr>
    </w:tbl>
    <w:p w:rsidR="00FC3081" w:rsidRPr="00FB6E9A" w:rsidRDefault="00FC3081" w:rsidP="00FC3081">
      <w:pPr>
        <w:spacing w:line="360" w:lineRule="auto"/>
        <w:rPr>
          <w:rFonts w:ascii="Trebuchet MS" w:hAnsi="Trebuchet MS" w:cs="Arial"/>
          <w:i/>
          <w:sz w:val="22"/>
          <w:szCs w:val="22"/>
        </w:rPr>
      </w:pPr>
    </w:p>
    <w:p w:rsidR="00FC3081" w:rsidRPr="00FB6E9A" w:rsidRDefault="00FC3081" w:rsidP="00FC3081">
      <w:pPr>
        <w:jc w:val="both"/>
        <w:rPr>
          <w:rFonts w:ascii="Trebuchet MS" w:hAnsi="Trebuchet MS" w:cs="Arial"/>
          <w:i/>
          <w:sz w:val="22"/>
          <w:szCs w:val="22"/>
          <w:lang w:val="it-IT"/>
        </w:rPr>
      </w:pPr>
      <w:r w:rsidRPr="00FB6E9A">
        <w:rPr>
          <w:rFonts w:ascii="Trebuchet MS" w:hAnsi="Trebuchet MS" w:cs="Arial"/>
          <w:b/>
          <w:sz w:val="22"/>
          <w:szCs w:val="22"/>
          <w:lang w:val="it-IT"/>
        </w:rPr>
        <w:t>Tabel 2. Deşeurile periculoase generate pe principalele activităţi economice, în perioada 2018 – 2022, în Municipiul Bucureşti</w:t>
      </w:r>
    </w:p>
    <w:p w:rsidR="00FC3081" w:rsidRPr="00FB6E9A" w:rsidRDefault="00FC3081" w:rsidP="00FC3081">
      <w:pPr>
        <w:ind w:left="720" w:firstLine="720"/>
        <w:jc w:val="both"/>
        <w:rPr>
          <w:rFonts w:ascii="Trebuchet MS" w:hAnsi="Trebuchet MS" w:cs="Arial"/>
          <w:b/>
          <w:sz w:val="22"/>
          <w:szCs w:val="22"/>
        </w:rPr>
      </w:pPr>
      <w:r w:rsidRPr="00FB6E9A">
        <w:rPr>
          <w:rFonts w:ascii="Trebuchet MS" w:hAnsi="Trebuchet MS" w:cs="Arial"/>
          <w:b/>
          <w:sz w:val="22"/>
          <w:szCs w:val="22"/>
        </w:rPr>
        <w:t>Mii tone</w:t>
      </w:r>
    </w:p>
    <w:tbl>
      <w:tblPr>
        <w:tblW w:w="7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62"/>
        <w:gridCol w:w="951"/>
        <w:gridCol w:w="951"/>
        <w:gridCol w:w="951"/>
        <w:gridCol w:w="951"/>
        <w:gridCol w:w="951"/>
        <w:gridCol w:w="951"/>
      </w:tblGrid>
      <w:tr w:rsidR="00FB6E9A" w:rsidRPr="00FB6E9A" w:rsidTr="00913BC5">
        <w:trPr>
          <w:trHeight w:val="510"/>
          <w:jc w:val="center"/>
        </w:trPr>
        <w:tc>
          <w:tcPr>
            <w:tcW w:w="1762"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Activitate economică</w:t>
            </w:r>
          </w:p>
        </w:tc>
        <w:tc>
          <w:tcPr>
            <w:tcW w:w="951"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2017</w:t>
            </w:r>
          </w:p>
        </w:tc>
        <w:tc>
          <w:tcPr>
            <w:tcW w:w="951"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2018</w:t>
            </w:r>
          </w:p>
        </w:tc>
        <w:tc>
          <w:tcPr>
            <w:tcW w:w="951"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2019</w:t>
            </w:r>
          </w:p>
        </w:tc>
        <w:tc>
          <w:tcPr>
            <w:tcW w:w="951"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2020</w:t>
            </w:r>
          </w:p>
        </w:tc>
        <w:tc>
          <w:tcPr>
            <w:tcW w:w="951"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2021</w:t>
            </w:r>
          </w:p>
        </w:tc>
        <w:tc>
          <w:tcPr>
            <w:tcW w:w="951" w:type="dxa"/>
            <w:shd w:val="clear" w:color="000000" w:fill="D9D9D9"/>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2022</w:t>
            </w:r>
          </w:p>
        </w:tc>
      </w:tr>
      <w:tr w:rsidR="00FB6E9A" w:rsidRPr="00FB6E9A" w:rsidTr="00913BC5">
        <w:trPr>
          <w:trHeight w:val="975"/>
          <w:jc w:val="center"/>
        </w:trPr>
        <w:tc>
          <w:tcPr>
            <w:tcW w:w="1762"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Industria de prelucrare a ţiţeiului, cocsificarea cărbunelui (nu este cazul în Bucureşti)</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w:t>
            </w:r>
          </w:p>
        </w:tc>
      </w:tr>
      <w:tr w:rsidR="00FB6E9A" w:rsidRPr="00FB6E9A" w:rsidTr="00913BC5">
        <w:trPr>
          <w:trHeight w:val="735"/>
          <w:jc w:val="center"/>
        </w:trPr>
        <w:tc>
          <w:tcPr>
            <w:tcW w:w="1762"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Fabricarea substanţelor şi produselor chimice</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0.075</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0.387</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0.152</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0.184</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0.755</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0.451</w:t>
            </w:r>
          </w:p>
        </w:tc>
      </w:tr>
      <w:tr w:rsidR="00FB6E9A" w:rsidRPr="00FB6E9A" w:rsidTr="00913BC5">
        <w:trPr>
          <w:trHeight w:val="495"/>
          <w:jc w:val="center"/>
        </w:trPr>
        <w:tc>
          <w:tcPr>
            <w:tcW w:w="1762"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Industria metalurgică</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0.100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0.467</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0.560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2.230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0.738</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0.924</w:t>
            </w:r>
          </w:p>
        </w:tc>
      </w:tr>
      <w:tr w:rsidR="00FB6E9A" w:rsidRPr="00FB6E9A" w:rsidTr="00913BC5">
        <w:trPr>
          <w:trHeight w:val="495"/>
          <w:jc w:val="center"/>
        </w:trPr>
        <w:tc>
          <w:tcPr>
            <w:tcW w:w="1762" w:type="dxa"/>
            <w:vAlign w:val="center"/>
          </w:tcPr>
          <w:p w:rsidR="00FC3081" w:rsidRPr="00FB6E9A" w:rsidRDefault="00FC3081" w:rsidP="00913BC5">
            <w:pPr>
              <w:jc w:val="center"/>
              <w:rPr>
                <w:rFonts w:ascii="Trebuchet MS" w:hAnsi="Trebuchet MS" w:cs="Arial"/>
                <w:sz w:val="22"/>
                <w:szCs w:val="22"/>
                <w:lang w:val="pt-BR"/>
              </w:rPr>
            </w:pPr>
            <w:r w:rsidRPr="00FB6E9A">
              <w:rPr>
                <w:rFonts w:ascii="Trebuchet MS" w:hAnsi="Trebuchet MS" w:cs="Arial"/>
                <w:sz w:val="22"/>
                <w:szCs w:val="22"/>
                <w:lang w:val="pt-BR"/>
              </w:rPr>
              <w:t>Industria de maşini şi echipamente</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0.031</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0.596</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1.340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1.201</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1.509</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1.465</w:t>
            </w:r>
          </w:p>
        </w:tc>
      </w:tr>
      <w:tr w:rsidR="00FB6E9A" w:rsidRPr="00FB6E9A" w:rsidTr="00913BC5">
        <w:trPr>
          <w:trHeight w:val="495"/>
          <w:jc w:val="center"/>
        </w:trPr>
        <w:tc>
          <w:tcPr>
            <w:tcW w:w="1762"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Industria  mijloacelor de transport</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0.184</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0.195</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0.120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0.034</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0.346</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0.083</w:t>
            </w:r>
          </w:p>
        </w:tc>
      </w:tr>
      <w:tr w:rsidR="00FB6E9A" w:rsidRPr="00FB6E9A" w:rsidTr="00913BC5">
        <w:trPr>
          <w:trHeight w:val="315"/>
          <w:jc w:val="center"/>
        </w:trPr>
        <w:tc>
          <w:tcPr>
            <w:tcW w:w="1762"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Alte activităţi</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2.534</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8.490</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3.552</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3.287</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7.939</w:t>
            </w:r>
          </w:p>
        </w:tc>
        <w:tc>
          <w:tcPr>
            <w:tcW w:w="951"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8.287</w:t>
            </w:r>
          </w:p>
        </w:tc>
      </w:tr>
      <w:tr w:rsidR="00FB6E9A" w:rsidRPr="00FB6E9A" w:rsidTr="00913BC5">
        <w:trPr>
          <w:trHeight w:val="315"/>
          <w:jc w:val="center"/>
        </w:trPr>
        <w:tc>
          <w:tcPr>
            <w:tcW w:w="1762"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Total</w:t>
            </w:r>
          </w:p>
        </w:tc>
        <w:tc>
          <w:tcPr>
            <w:tcW w:w="951"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2.924</w:t>
            </w:r>
          </w:p>
        </w:tc>
        <w:tc>
          <w:tcPr>
            <w:tcW w:w="951"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10.135</w:t>
            </w:r>
          </w:p>
        </w:tc>
        <w:tc>
          <w:tcPr>
            <w:tcW w:w="951"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5.724</w:t>
            </w:r>
          </w:p>
        </w:tc>
        <w:tc>
          <w:tcPr>
            <w:tcW w:w="951"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6.936</w:t>
            </w:r>
          </w:p>
        </w:tc>
        <w:tc>
          <w:tcPr>
            <w:tcW w:w="951"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11.287</w:t>
            </w:r>
          </w:p>
        </w:tc>
        <w:tc>
          <w:tcPr>
            <w:tcW w:w="951" w:type="dxa"/>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11.210</w:t>
            </w:r>
          </w:p>
        </w:tc>
      </w:tr>
    </w:tbl>
    <w:p w:rsidR="00FC3081" w:rsidRPr="00FB6E9A" w:rsidRDefault="00FC3081" w:rsidP="00FC3081">
      <w:pPr>
        <w:rPr>
          <w:rFonts w:ascii="Trebuchet MS" w:hAnsi="Trebuchet MS" w:cs="Arial"/>
          <w:sz w:val="22"/>
          <w:szCs w:val="22"/>
        </w:rPr>
      </w:pPr>
    </w:p>
    <w:p w:rsidR="00FC3081" w:rsidRPr="00FB6E9A" w:rsidRDefault="00FC3081" w:rsidP="00FC3081">
      <w:pPr>
        <w:rPr>
          <w:rFonts w:ascii="Trebuchet MS" w:hAnsi="Trebuchet MS" w:cs="Arial"/>
          <w:sz w:val="22"/>
          <w:szCs w:val="22"/>
        </w:rPr>
      </w:pPr>
      <w:r w:rsidRPr="00FB6E9A">
        <w:rPr>
          <w:rFonts w:ascii="Trebuchet MS" w:hAnsi="Trebuchet MS" w:cs="Arial"/>
          <w:sz w:val="22"/>
          <w:szCs w:val="22"/>
        </w:rPr>
        <w:t>Surse de date:</w:t>
      </w:r>
    </w:p>
    <w:p w:rsidR="00FC3081" w:rsidRPr="00FB6E9A" w:rsidRDefault="00FC3081" w:rsidP="00FC3081">
      <w:pPr>
        <w:rPr>
          <w:rFonts w:ascii="Trebuchet MS" w:hAnsi="Trebuchet MS" w:cs="Arial"/>
          <w:sz w:val="22"/>
          <w:szCs w:val="22"/>
        </w:rPr>
      </w:pPr>
      <w:r w:rsidRPr="00FB6E9A">
        <w:rPr>
          <w:rFonts w:ascii="Trebuchet MS" w:hAnsi="Trebuchet MS" w:cs="Arial"/>
          <w:sz w:val="22"/>
          <w:szCs w:val="22"/>
        </w:rPr>
        <w:t>-</w:t>
      </w:r>
      <w:r w:rsidRPr="00FB6E9A">
        <w:rPr>
          <w:rFonts w:ascii="Trebuchet MS" w:hAnsi="Trebuchet MS" w:cs="Arial"/>
          <w:sz w:val="22"/>
          <w:szCs w:val="22"/>
        </w:rPr>
        <w:tab/>
        <w:t>Agenția Națională pentru Protecția Mediului (ANPM): Sistemul Informatic Integrat de Mediu – prin aplicația Statistica Deșeurilor, chestionare statistice - GD PRODDES</w:t>
      </w:r>
    </w:p>
    <w:p w:rsidR="00FC3081" w:rsidRPr="00FB6E9A" w:rsidRDefault="00FC3081" w:rsidP="00FC3081">
      <w:pPr>
        <w:rPr>
          <w:rFonts w:ascii="Trebuchet MS" w:hAnsi="Trebuchet MS" w:cs="Arial"/>
          <w:sz w:val="22"/>
          <w:szCs w:val="22"/>
        </w:rPr>
      </w:pPr>
      <w:r w:rsidRPr="00FB6E9A">
        <w:rPr>
          <w:rFonts w:ascii="Trebuchet MS" w:hAnsi="Trebuchet MS" w:cs="Arial"/>
          <w:sz w:val="22"/>
          <w:szCs w:val="22"/>
        </w:rPr>
        <w:t>-         Agenţia pentru Protecţia Mediului Bucureşti</w:t>
      </w:r>
    </w:p>
    <w:p w:rsidR="00FC3081" w:rsidRPr="00FB6E9A" w:rsidRDefault="00FC3081" w:rsidP="00FC3081">
      <w:pPr>
        <w:rPr>
          <w:rFonts w:ascii="Trebuchet MS" w:hAnsi="Trebuchet MS" w:cs="Arial"/>
          <w:sz w:val="22"/>
          <w:szCs w:val="22"/>
        </w:rPr>
      </w:pP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Tabel 3. Depozite industriale nepericuloase şi periculoase, 2018 - 2022, în Municipiul Bucureşti</w:t>
      </w: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sz w:val="22"/>
          <w:szCs w:val="22"/>
        </w:rPr>
      </w:pPr>
    </w:p>
    <w:tbl>
      <w:tblPr>
        <w:tblW w:w="8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74"/>
        <w:gridCol w:w="1017"/>
        <w:gridCol w:w="1017"/>
        <w:gridCol w:w="1017"/>
        <w:gridCol w:w="1017"/>
        <w:gridCol w:w="1017"/>
      </w:tblGrid>
      <w:tr w:rsidR="00FB6E9A" w:rsidRPr="00FB6E9A" w:rsidTr="00913BC5">
        <w:trPr>
          <w:jc w:val="center"/>
        </w:trPr>
        <w:tc>
          <w:tcPr>
            <w:tcW w:w="3474" w:type="dxa"/>
            <w:vAlign w:val="center"/>
          </w:tcPr>
          <w:p w:rsidR="00FC3081" w:rsidRPr="00FB6E9A" w:rsidRDefault="00FC3081" w:rsidP="00913BC5">
            <w:pPr>
              <w:spacing w:line="360" w:lineRule="auto"/>
              <w:jc w:val="center"/>
              <w:rPr>
                <w:rFonts w:ascii="Trebuchet MS" w:hAnsi="Trebuchet MS" w:cs="Arial"/>
                <w:sz w:val="22"/>
                <w:szCs w:val="22"/>
              </w:rPr>
            </w:pPr>
          </w:p>
        </w:tc>
        <w:tc>
          <w:tcPr>
            <w:tcW w:w="1017"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2018</w:t>
            </w:r>
          </w:p>
        </w:tc>
        <w:tc>
          <w:tcPr>
            <w:tcW w:w="1017"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2019</w:t>
            </w:r>
          </w:p>
        </w:tc>
        <w:tc>
          <w:tcPr>
            <w:tcW w:w="1017"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2020</w:t>
            </w:r>
          </w:p>
        </w:tc>
        <w:tc>
          <w:tcPr>
            <w:tcW w:w="1017"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2021</w:t>
            </w:r>
          </w:p>
        </w:tc>
        <w:tc>
          <w:tcPr>
            <w:tcW w:w="1017" w:type="dxa"/>
            <w:vAlign w:val="center"/>
          </w:tcPr>
          <w:p w:rsidR="00FC3081" w:rsidRPr="00FB6E9A" w:rsidRDefault="00FC3081" w:rsidP="00913BC5">
            <w:pPr>
              <w:jc w:val="center"/>
              <w:rPr>
                <w:rFonts w:ascii="Trebuchet MS" w:hAnsi="Trebuchet MS" w:cs="Arial"/>
                <w:b/>
                <w:bCs/>
                <w:sz w:val="22"/>
                <w:szCs w:val="22"/>
              </w:rPr>
            </w:pPr>
            <w:r w:rsidRPr="00FB6E9A">
              <w:rPr>
                <w:rFonts w:ascii="Trebuchet MS" w:hAnsi="Trebuchet MS" w:cs="Arial"/>
                <w:b/>
                <w:bCs/>
                <w:sz w:val="22"/>
                <w:szCs w:val="22"/>
              </w:rPr>
              <w:t>2022</w:t>
            </w:r>
          </w:p>
        </w:tc>
      </w:tr>
      <w:tr w:rsidR="00FB6E9A" w:rsidRPr="00FB6E9A" w:rsidTr="00913BC5">
        <w:trPr>
          <w:jc w:val="center"/>
        </w:trPr>
        <w:tc>
          <w:tcPr>
            <w:tcW w:w="3474" w:type="dxa"/>
            <w:vAlign w:val="center"/>
          </w:tcPr>
          <w:tbl>
            <w:tblPr>
              <w:tblW w:w="0" w:type="auto"/>
              <w:tblLook w:val="0000" w:firstRow="0" w:lastRow="0" w:firstColumn="0" w:lastColumn="0" w:noHBand="0" w:noVBand="0"/>
            </w:tblPr>
            <w:tblGrid>
              <w:gridCol w:w="3258"/>
            </w:tblGrid>
            <w:tr w:rsidR="00FB6E9A" w:rsidRPr="00FB6E9A" w:rsidTr="00913BC5">
              <w:trPr>
                <w:trHeight w:val="537"/>
              </w:trPr>
              <w:tc>
                <w:tcPr>
                  <w:tcW w:w="0" w:type="auto"/>
                </w:tcPr>
                <w:p w:rsidR="00FC3081" w:rsidRPr="00FB6E9A" w:rsidRDefault="00FC3081" w:rsidP="00913BC5">
                  <w:pPr>
                    <w:pStyle w:val="Default"/>
                    <w:jc w:val="center"/>
                    <w:rPr>
                      <w:rFonts w:ascii="Trebuchet MS" w:hAnsi="Trebuchet MS"/>
                      <w:b/>
                      <w:color w:val="auto"/>
                      <w:sz w:val="22"/>
                      <w:szCs w:val="22"/>
                    </w:rPr>
                  </w:pPr>
                  <w:r w:rsidRPr="00FB6E9A">
                    <w:rPr>
                      <w:rFonts w:ascii="Trebuchet MS" w:hAnsi="Trebuchet MS"/>
                      <w:b/>
                      <w:color w:val="auto"/>
                      <w:sz w:val="22"/>
                      <w:szCs w:val="22"/>
                    </w:rPr>
                    <w:t>Depozite de deşeuri industriale nepericuloase, din care:</w:t>
                  </w:r>
                </w:p>
              </w:tc>
            </w:tr>
          </w:tbl>
          <w:p w:rsidR="00FC3081" w:rsidRPr="00FB6E9A" w:rsidRDefault="00FC3081" w:rsidP="00913BC5">
            <w:pPr>
              <w:spacing w:line="360" w:lineRule="auto"/>
              <w:jc w:val="center"/>
              <w:rPr>
                <w:rFonts w:ascii="Trebuchet MS" w:hAnsi="Trebuchet MS" w:cs="Arial"/>
                <w:sz w:val="22"/>
                <w:szCs w:val="22"/>
              </w:rPr>
            </w:pP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r>
      <w:tr w:rsidR="00FB6E9A" w:rsidRPr="00FB6E9A" w:rsidTr="00913BC5">
        <w:trPr>
          <w:trHeight w:val="574"/>
          <w:jc w:val="center"/>
        </w:trPr>
        <w:tc>
          <w:tcPr>
            <w:tcW w:w="3474" w:type="dxa"/>
            <w:vAlign w:val="center"/>
          </w:tcPr>
          <w:p w:rsidR="00FC3081" w:rsidRPr="00FB6E9A" w:rsidRDefault="00FC3081" w:rsidP="00913BC5">
            <w:pPr>
              <w:autoSpaceDE w:val="0"/>
              <w:autoSpaceDN w:val="0"/>
              <w:adjustRightInd w:val="0"/>
              <w:jc w:val="center"/>
              <w:rPr>
                <w:rFonts w:ascii="Trebuchet MS" w:hAnsi="Trebuchet MS" w:cs="Arial"/>
                <w:sz w:val="22"/>
                <w:szCs w:val="22"/>
              </w:rPr>
            </w:pPr>
            <w:r w:rsidRPr="00FB6E9A">
              <w:rPr>
                <w:rFonts w:ascii="Trebuchet MS" w:hAnsi="Trebuchet MS" w:cs="Arial"/>
                <w:sz w:val="22"/>
                <w:szCs w:val="22"/>
              </w:rPr>
              <w:t>-conforme</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r>
      <w:tr w:rsidR="00FB6E9A" w:rsidRPr="00FB6E9A" w:rsidTr="00913BC5">
        <w:trPr>
          <w:jc w:val="center"/>
        </w:trPr>
        <w:tc>
          <w:tcPr>
            <w:tcW w:w="3474" w:type="dxa"/>
            <w:vAlign w:val="center"/>
          </w:tcPr>
          <w:tbl>
            <w:tblPr>
              <w:tblW w:w="0" w:type="auto"/>
              <w:tblLook w:val="0000" w:firstRow="0" w:lastRow="0" w:firstColumn="0" w:lastColumn="0" w:noHBand="0" w:noVBand="0"/>
            </w:tblPr>
            <w:tblGrid>
              <w:gridCol w:w="3258"/>
            </w:tblGrid>
            <w:tr w:rsidR="00FB6E9A" w:rsidRPr="00FB6E9A" w:rsidTr="00913BC5">
              <w:trPr>
                <w:trHeight w:val="335"/>
              </w:trPr>
              <w:tc>
                <w:tcPr>
                  <w:tcW w:w="0" w:type="auto"/>
                </w:tcPr>
                <w:p w:rsidR="00FC3081" w:rsidRPr="00FB6E9A" w:rsidRDefault="00FC3081" w:rsidP="00913BC5">
                  <w:pPr>
                    <w:pStyle w:val="Default"/>
                    <w:jc w:val="center"/>
                    <w:rPr>
                      <w:rFonts w:ascii="Trebuchet MS" w:hAnsi="Trebuchet MS"/>
                      <w:color w:val="auto"/>
                      <w:sz w:val="22"/>
                      <w:szCs w:val="22"/>
                    </w:rPr>
                  </w:pPr>
                  <w:r w:rsidRPr="00FB6E9A">
                    <w:rPr>
                      <w:rFonts w:ascii="Trebuchet MS" w:hAnsi="Trebuchet MS"/>
                      <w:color w:val="auto"/>
                      <w:sz w:val="22"/>
                      <w:szCs w:val="22"/>
                    </w:rPr>
                    <w:t>Depozite de deşeuri industriale periculoase, din care:</w:t>
                  </w:r>
                </w:p>
              </w:tc>
            </w:tr>
          </w:tbl>
          <w:p w:rsidR="00FC3081" w:rsidRPr="00FB6E9A" w:rsidRDefault="00FC3081" w:rsidP="00913BC5">
            <w:pPr>
              <w:spacing w:line="360" w:lineRule="auto"/>
              <w:jc w:val="center"/>
              <w:rPr>
                <w:rFonts w:ascii="Trebuchet MS" w:hAnsi="Trebuchet MS" w:cs="Arial"/>
                <w:sz w:val="22"/>
                <w:szCs w:val="22"/>
              </w:rPr>
            </w:pP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r>
      <w:tr w:rsidR="00FB6E9A" w:rsidRPr="00FB6E9A" w:rsidTr="00913BC5">
        <w:trPr>
          <w:jc w:val="center"/>
        </w:trPr>
        <w:tc>
          <w:tcPr>
            <w:tcW w:w="3474" w:type="dxa"/>
            <w:vAlign w:val="center"/>
          </w:tcPr>
          <w:p w:rsidR="00FC3081" w:rsidRPr="00FB6E9A" w:rsidRDefault="00FC3081" w:rsidP="00913BC5">
            <w:pPr>
              <w:autoSpaceDE w:val="0"/>
              <w:autoSpaceDN w:val="0"/>
              <w:adjustRightInd w:val="0"/>
              <w:jc w:val="center"/>
              <w:rPr>
                <w:rFonts w:ascii="Trebuchet MS" w:hAnsi="Trebuchet MS" w:cs="Arial"/>
                <w:sz w:val="22"/>
                <w:szCs w:val="22"/>
              </w:rPr>
            </w:pPr>
            <w:r w:rsidRPr="00FB6E9A">
              <w:rPr>
                <w:rFonts w:ascii="Trebuchet MS" w:hAnsi="Trebuchet MS" w:cs="Arial"/>
                <w:sz w:val="22"/>
                <w:szCs w:val="22"/>
              </w:rPr>
              <w:t>-conforme</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w:t>
            </w:r>
          </w:p>
        </w:tc>
      </w:tr>
      <w:tr w:rsidR="00FB6E9A" w:rsidRPr="00FB6E9A" w:rsidTr="00913BC5">
        <w:trPr>
          <w:jc w:val="center"/>
        </w:trPr>
        <w:tc>
          <w:tcPr>
            <w:tcW w:w="3474" w:type="dxa"/>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Numărul instalaţiilor de incinerare şi coincinerare şi capacitatea totală a acestora, pe Bucureşti  SC STERILECO (fosta STERICYCLE ROMANIA S.R.L.)</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1</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1</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1</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1</w:t>
            </w:r>
          </w:p>
        </w:tc>
        <w:tc>
          <w:tcPr>
            <w:tcW w:w="1017" w:type="dxa"/>
            <w:vAlign w:val="center"/>
          </w:tcPr>
          <w:p w:rsidR="00FC3081" w:rsidRPr="00FB6E9A" w:rsidRDefault="00FC3081" w:rsidP="00913BC5">
            <w:pPr>
              <w:spacing w:line="360" w:lineRule="auto"/>
              <w:jc w:val="center"/>
              <w:rPr>
                <w:rFonts w:ascii="Trebuchet MS" w:hAnsi="Trebuchet MS" w:cs="Arial"/>
                <w:sz w:val="22"/>
                <w:szCs w:val="22"/>
              </w:rPr>
            </w:pPr>
            <w:r w:rsidRPr="00FB6E9A">
              <w:rPr>
                <w:rFonts w:ascii="Trebuchet MS" w:hAnsi="Trebuchet MS" w:cs="Arial"/>
                <w:sz w:val="22"/>
                <w:szCs w:val="22"/>
              </w:rPr>
              <w:t>1</w:t>
            </w:r>
          </w:p>
        </w:tc>
      </w:tr>
      <w:tr w:rsidR="00FB6E9A" w:rsidRPr="00FB6E9A" w:rsidTr="00913BC5">
        <w:trPr>
          <w:jc w:val="center"/>
        </w:trPr>
        <w:tc>
          <w:tcPr>
            <w:tcW w:w="3474" w:type="dxa"/>
            <w:vAlign w:val="center"/>
          </w:tcPr>
          <w:p w:rsidR="00FC3081" w:rsidRPr="00FB6E9A" w:rsidRDefault="00FC3081" w:rsidP="00913BC5">
            <w:pPr>
              <w:pStyle w:val="Default"/>
              <w:jc w:val="center"/>
              <w:rPr>
                <w:rFonts w:ascii="Trebuchet MS" w:hAnsi="Trebuchet MS"/>
                <w:color w:val="auto"/>
                <w:sz w:val="22"/>
                <w:szCs w:val="22"/>
              </w:rPr>
            </w:pPr>
            <w:r w:rsidRPr="00FB6E9A">
              <w:rPr>
                <w:rFonts w:ascii="Trebuchet MS" w:hAnsi="Trebuchet MS"/>
                <w:color w:val="auto"/>
                <w:sz w:val="22"/>
                <w:szCs w:val="22"/>
              </w:rPr>
              <w:t>-capacitate</w:t>
            </w:r>
          </w:p>
          <w:p w:rsidR="00FC3081" w:rsidRPr="00FB6E9A" w:rsidRDefault="00FC3081" w:rsidP="00913BC5">
            <w:pPr>
              <w:pStyle w:val="Default"/>
              <w:jc w:val="center"/>
              <w:rPr>
                <w:rFonts w:ascii="Trebuchet MS" w:hAnsi="Trebuchet MS"/>
                <w:color w:val="auto"/>
                <w:sz w:val="22"/>
                <w:szCs w:val="22"/>
              </w:rPr>
            </w:pPr>
            <w:r w:rsidRPr="00FB6E9A">
              <w:rPr>
                <w:rFonts w:ascii="Trebuchet MS" w:hAnsi="Trebuchet MS"/>
                <w:color w:val="auto"/>
                <w:sz w:val="22"/>
                <w:szCs w:val="22"/>
                <w:lang w:val="fr-FR"/>
              </w:rPr>
              <w:t>pentru modulul 1=</w:t>
            </w:r>
            <w:r w:rsidRPr="00FB6E9A">
              <w:rPr>
                <w:rFonts w:ascii="Trebuchet MS" w:hAnsi="Trebuchet MS"/>
                <w:color w:val="auto"/>
                <w:sz w:val="22"/>
                <w:szCs w:val="22"/>
              </w:rPr>
              <w:t>680 kg/h (6000 t/an)</w:t>
            </w:r>
          </w:p>
          <w:p w:rsidR="00FC3081" w:rsidRPr="00FB6E9A" w:rsidRDefault="00FC3081" w:rsidP="00913BC5">
            <w:pPr>
              <w:pStyle w:val="Default"/>
              <w:jc w:val="center"/>
              <w:rPr>
                <w:rFonts w:ascii="Trebuchet MS" w:hAnsi="Trebuchet MS"/>
                <w:color w:val="auto"/>
                <w:sz w:val="22"/>
                <w:szCs w:val="22"/>
              </w:rPr>
            </w:pPr>
            <w:r w:rsidRPr="00FB6E9A">
              <w:rPr>
                <w:rFonts w:ascii="Trebuchet MS" w:hAnsi="Trebuchet MS"/>
                <w:color w:val="auto"/>
                <w:sz w:val="22"/>
                <w:szCs w:val="22"/>
                <w:lang w:val="fr-FR"/>
              </w:rPr>
              <w:t xml:space="preserve">pentru modulul 2=500 kg/h </w:t>
            </w:r>
            <w:r w:rsidRPr="00FB6E9A">
              <w:rPr>
                <w:rFonts w:ascii="Trebuchet MS" w:hAnsi="Trebuchet MS"/>
                <w:color w:val="auto"/>
                <w:sz w:val="22"/>
                <w:szCs w:val="22"/>
              </w:rPr>
              <w:t>(4380 t/an)</w:t>
            </w:r>
          </w:p>
        </w:tc>
        <w:tc>
          <w:tcPr>
            <w:tcW w:w="1017" w:type="dxa"/>
            <w:vAlign w:val="center"/>
          </w:tcPr>
          <w:p w:rsidR="00FC3081" w:rsidRPr="00FB6E9A" w:rsidRDefault="00FC3081" w:rsidP="00913BC5">
            <w:pPr>
              <w:jc w:val="center"/>
              <w:rPr>
                <w:rFonts w:ascii="Trebuchet MS" w:hAnsi="Trebuchet MS"/>
                <w:sz w:val="22"/>
                <w:szCs w:val="22"/>
              </w:rPr>
            </w:pPr>
            <w:r w:rsidRPr="00FB6E9A">
              <w:rPr>
                <w:rFonts w:ascii="Trebuchet MS" w:hAnsi="Trebuchet MS" w:cs="Arial"/>
                <w:sz w:val="22"/>
                <w:szCs w:val="22"/>
              </w:rPr>
              <w:t>10380 tone/an</w:t>
            </w:r>
          </w:p>
        </w:tc>
        <w:tc>
          <w:tcPr>
            <w:tcW w:w="1017" w:type="dxa"/>
            <w:vAlign w:val="center"/>
          </w:tcPr>
          <w:p w:rsidR="00FC3081" w:rsidRPr="00FB6E9A" w:rsidRDefault="00FC3081" w:rsidP="00913BC5">
            <w:pPr>
              <w:jc w:val="center"/>
              <w:rPr>
                <w:rFonts w:ascii="Trebuchet MS" w:hAnsi="Trebuchet MS"/>
                <w:sz w:val="22"/>
                <w:szCs w:val="22"/>
              </w:rPr>
            </w:pPr>
            <w:r w:rsidRPr="00FB6E9A">
              <w:rPr>
                <w:rFonts w:ascii="Trebuchet MS" w:hAnsi="Trebuchet MS" w:cs="Arial"/>
                <w:sz w:val="22"/>
                <w:szCs w:val="22"/>
              </w:rPr>
              <w:t>10380 tone/an</w:t>
            </w:r>
          </w:p>
        </w:tc>
        <w:tc>
          <w:tcPr>
            <w:tcW w:w="1017" w:type="dxa"/>
            <w:vAlign w:val="center"/>
          </w:tcPr>
          <w:p w:rsidR="00FC3081" w:rsidRPr="00FB6E9A" w:rsidRDefault="00FC3081" w:rsidP="00913BC5">
            <w:pPr>
              <w:jc w:val="center"/>
              <w:rPr>
                <w:rFonts w:ascii="Trebuchet MS" w:hAnsi="Trebuchet MS"/>
                <w:sz w:val="22"/>
                <w:szCs w:val="22"/>
              </w:rPr>
            </w:pPr>
            <w:r w:rsidRPr="00FB6E9A">
              <w:rPr>
                <w:rFonts w:ascii="Trebuchet MS" w:hAnsi="Trebuchet MS" w:cs="Arial"/>
                <w:sz w:val="22"/>
                <w:szCs w:val="22"/>
              </w:rPr>
              <w:t>10380 tone/an</w:t>
            </w:r>
          </w:p>
        </w:tc>
        <w:tc>
          <w:tcPr>
            <w:tcW w:w="1017" w:type="dxa"/>
            <w:vAlign w:val="center"/>
          </w:tcPr>
          <w:p w:rsidR="00FC3081" w:rsidRPr="00FB6E9A" w:rsidRDefault="00FC3081" w:rsidP="00913BC5">
            <w:pPr>
              <w:jc w:val="center"/>
              <w:rPr>
                <w:rFonts w:ascii="Trebuchet MS" w:hAnsi="Trebuchet MS"/>
                <w:sz w:val="22"/>
                <w:szCs w:val="22"/>
              </w:rPr>
            </w:pPr>
            <w:r w:rsidRPr="00FB6E9A">
              <w:rPr>
                <w:rFonts w:ascii="Trebuchet MS" w:hAnsi="Trebuchet MS" w:cs="Arial"/>
                <w:sz w:val="22"/>
                <w:szCs w:val="22"/>
              </w:rPr>
              <w:t>10380 tone/an</w:t>
            </w:r>
          </w:p>
        </w:tc>
        <w:tc>
          <w:tcPr>
            <w:tcW w:w="1017" w:type="dxa"/>
            <w:vAlign w:val="center"/>
          </w:tcPr>
          <w:p w:rsidR="00FC3081" w:rsidRPr="00FB6E9A" w:rsidRDefault="00FC3081" w:rsidP="00913BC5">
            <w:pPr>
              <w:jc w:val="center"/>
              <w:rPr>
                <w:rFonts w:ascii="Trebuchet MS" w:hAnsi="Trebuchet MS"/>
                <w:sz w:val="22"/>
                <w:szCs w:val="22"/>
              </w:rPr>
            </w:pPr>
            <w:r w:rsidRPr="00FB6E9A">
              <w:rPr>
                <w:rFonts w:ascii="Trebuchet MS" w:hAnsi="Trebuchet MS" w:cs="Arial"/>
                <w:sz w:val="22"/>
                <w:szCs w:val="22"/>
              </w:rPr>
              <w:t>10380 tone/an</w:t>
            </w:r>
          </w:p>
        </w:tc>
      </w:tr>
    </w:tbl>
    <w:p w:rsidR="00FC3081" w:rsidRPr="00FB6E9A" w:rsidRDefault="00FC3081" w:rsidP="00FC3081">
      <w:pPr>
        <w:pStyle w:val="Default"/>
        <w:rPr>
          <w:rFonts w:ascii="Trebuchet MS" w:hAnsi="Trebuchet MS"/>
          <w:i/>
          <w:color w:val="auto"/>
          <w:sz w:val="22"/>
          <w:szCs w:val="22"/>
        </w:rPr>
      </w:pPr>
    </w:p>
    <w:p w:rsidR="00FC3081" w:rsidRPr="00FB6E9A" w:rsidRDefault="00FC3081" w:rsidP="00FC3081">
      <w:pPr>
        <w:pStyle w:val="Default"/>
        <w:rPr>
          <w:rFonts w:ascii="Trebuchet MS" w:hAnsi="Trebuchet MS"/>
          <w:i/>
          <w:color w:val="auto"/>
          <w:sz w:val="22"/>
          <w:szCs w:val="22"/>
        </w:rPr>
      </w:pPr>
      <w:r w:rsidRPr="00FB6E9A">
        <w:rPr>
          <w:rFonts w:ascii="Trebuchet MS" w:hAnsi="Trebuchet MS"/>
          <w:i/>
          <w:color w:val="auto"/>
          <w:sz w:val="22"/>
          <w:szCs w:val="22"/>
        </w:rPr>
        <w:t>Sursa: Agenţia pentru Protecţia Mediului Bucureşti</w:t>
      </w:r>
    </w:p>
    <w:p w:rsidR="00F06B26" w:rsidRPr="00FB6E9A" w:rsidRDefault="00F06B26" w:rsidP="00F06B26">
      <w:pPr>
        <w:pStyle w:val="Default"/>
        <w:rPr>
          <w:rFonts w:ascii="Trebuchet MS" w:hAnsi="Trebuchet MS"/>
          <w:i/>
          <w:color w:val="auto"/>
          <w:sz w:val="22"/>
          <w:szCs w:val="22"/>
          <w:lang w:val="ro-RO"/>
        </w:rPr>
      </w:pPr>
    </w:p>
    <w:p w:rsidR="009520AC" w:rsidRPr="00FB6E9A" w:rsidRDefault="009520AC" w:rsidP="0082575A">
      <w:pPr>
        <w:jc w:val="both"/>
        <w:rPr>
          <w:rFonts w:ascii="Trebuchet MS" w:hAnsi="Trebuchet MS" w:cs="Arial"/>
          <w:b/>
          <w:sz w:val="22"/>
          <w:szCs w:val="22"/>
        </w:rPr>
      </w:pPr>
    </w:p>
    <w:p w:rsidR="009520AC" w:rsidRPr="00FB6E9A" w:rsidRDefault="009520AC" w:rsidP="0082575A">
      <w:pPr>
        <w:jc w:val="both"/>
        <w:rPr>
          <w:rFonts w:ascii="Trebuchet MS" w:hAnsi="Trebuchet MS" w:cs="Arial"/>
          <w:b/>
          <w:sz w:val="22"/>
          <w:szCs w:val="22"/>
        </w:rPr>
      </w:pPr>
    </w:p>
    <w:p w:rsidR="0082575A" w:rsidRPr="00FB6E9A" w:rsidRDefault="0082575A" w:rsidP="0082575A">
      <w:pPr>
        <w:jc w:val="both"/>
        <w:rPr>
          <w:rFonts w:ascii="Trebuchet MS" w:hAnsi="Trebuchet MS" w:cs="Arial"/>
          <w:b/>
        </w:rPr>
      </w:pPr>
      <w:r w:rsidRPr="00FB6E9A">
        <w:rPr>
          <w:rFonts w:ascii="Trebuchet MS" w:hAnsi="Trebuchet MS" w:cs="Arial"/>
          <w:b/>
        </w:rPr>
        <w:t>VII.1.3. Fluxuri speciale de deşeuri</w:t>
      </w:r>
    </w:p>
    <w:p w:rsidR="0082575A" w:rsidRPr="00FB6E9A" w:rsidRDefault="0082575A" w:rsidP="0082575A">
      <w:pPr>
        <w:rPr>
          <w:rFonts w:ascii="Trebuchet MS" w:hAnsi="Trebuchet MS"/>
          <w:highlight w:val="yellow"/>
          <w:lang w:val="ro-RO"/>
        </w:rPr>
      </w:pPr>
    </w:p>
    <w:p w:rsidR="0082575A" w:rsidRPr="00FB6E9A" w:rsidRDefault="0082575A" w:rsidP="0082575A">
      <w:pPr>
        <w:rPr>
          <w:rFonts w:ascii="Trebuchet MS" w:hAnsi="Trebuchet MS"/>
          <w:highlight w:val="yellow"/>
          <w:lang w:val="ro-RO"/>
        </w:rPr>
      </w:pPr>
    </w:p>
    <w:p w:rsidR="0082575A" w:rsidRPr="00DB17CC" w:rsidRDefault="0082575A" w:rsidP="0082575A">
      <w:pPr>
        <w:jc w:val="both"/>
        <w:rPr>
          <w:rFonts w:ascii="Arial" w:hAnsi="Arial" w:cs="Arial"/>
          <w:lang w:val="ro-RO"/>
        </w:rPr>
      </w:pPr>
      <w:r w:rsidRPr="00FB6E9A">
        <w:rPr>
          <w:rFonts w:ascii="Trebuchet MS" w:hAnsi="Trebuchet MS" w:cs="Arial"/>
          <w:b/>
          <w:lang w:val="pt-BR"/>
        </w:rPr>
        <w:t xml:space="preserve">VII.1.3.1. </w:t>
      </w:r>
      <w:r w:rsidRPr="00FB6E9A">
        <w:rPr>
          <w:rFonts w:ascii="Trebuchet MS" w:hAnsi="Trebuchet MS" w:cs="Arial"/>
          <w:lang w:val="ro-RO"/>
        </w:rPr>
        <w:t>Deşeuri de echipamente electrice şi electronice (DEEE</w:t>
      </w:r>
      <w:r w:rsidRPr="00DB17CC">
        <w:rPr>
          <w:rFonts w:ascii="Arial" w:hAnsi="Arial" w:cs="Arial"/>
          <w:lang w:val="ro-RO"/>
        </w:rPr>
        <w:t>)</w:t>
      </w:r>
    </w:p>
    <w:p w:rsidR="0082575A" w:rsidRPr="00FB6E9A" w:rsidRDefault="0082575A" w:rsidP="004F134E">
      <w:pPr>
        <w:numPr>
          <w:ilvl w:val="0"/>
          <w:numId w:val="21"/>
        </w:numPr>
        <w:rPr>
          <w:rFonts w:ascii="Trebuchet MS" w:hAnsi="Trebuchet MS" w:cs="Arial"/>
          <w:b/>
          <w:sz w:val="22"/>
          <w:szCs w:val="22"/>
          <w:lang w:val="ro-RO"/>
        </w:rPr>
      </w:pPr>
      <w:r w:rsidRPr="00FB6E9A">
        <w:rPr>
          <w:rFonts w:ascii="Trebuchet MS" w:hAnsi="Trebuchet MS" w:cs="Arial"/>
          <w:b/>
          <w:sz w:val="22"/>
          <w:szCs w:val="22"/>
          <w:lang w:val="ro-RO"/>
        </w:rPr>
        <w:t>Indicatori specifici</w:t>
      </w:r>
    </w:p>
    <w:p w:rsidR="0082575A" w:rsidRPr="00FB6E9A" w:rsidRDefault="0082575A" w:rsidP="0082575A">
      <w:pPr>
        <w:rPr>
          <w:rFonts w:ascii="Trebuchet MS" w:hAnsi="Trebuchet MS" w:cs="Arial"/>
          <w:sz w:val="22"/>
          <w:szCs w:val="22"/>
          <w:lang w:val="ro-RO"/>
        </w:rPr>
      </w:pPr>
    </w:p>
    <w:p w:rsidR="00FC3081" w:rsidRPr="00FB6E9A" w:rsidRDefault="00FC3081" w:rsidP="00FC3081">
      <w:pPr>
        <w:rPr>
          <w:rFonts w:ascii="Trebuchet MS" w:hAnsi="Trebuchet MS" w:cs="Arial"/>
          <w:b/>
          <w:sz w:val="22"/>
          <w:szCs w:val="22"/>
          <w:lang w:val="ro-RO"/>
        </w:rPr>
      </w:pPr>
      <w:r w:rsidRPr="00FB6E9A">
        <w:rPr>
          <w:rFonts w:ascii="Trebuchet MS" w:hAnsi="Trebuchet MS" w:cs="Arial"/>
          <w:b/>
          <w:sz w:val="22"/>
          <w:szCs w:val="22"/>
          <w:lang w:val="ro-RO"/>
        </w:rPr>
        <w:t>COD INDICATOR</w:t>
      </w:r>
      <w:r w:rsidRPr="00FB6E9A">
        <w:rPr>
          <w:rFonts w:ascii="Trebuchet MS" w:hAnsi="Trebuchet MS" w:cs="Arial"/>
          <w:sz w:val="22"/>
          <w:szCs w:val="22"/>
          <w:lang w:val="ro-RO"/>
        </w:rPr>
        <w:t xml:space="preserve"> </w:t>
      </w:r>
      <w:r w:rsidRPr="00FB6E9A">
        <w:rPr>
          <w:rFonts w:ascii="Trebuchet MS" w:hAnsi="Trebuchet MS" w:cs="Arial"/>
          <w:sz w:val="22"/>
          <w:szCs w:val="22"/>
          <w:lang w:val="ro-RO"/>
        </w:rPr>
        <w:tab/>
        <w:t xml:space="preserve"> Cod indicator: România </w:t>
      </w:r>
      <w:r w:rsidRPr="00FB6E9A">
        <w:rPr>
          <w:rFonts w:ascii="Trebuchet MS" w:hAnsi="Trebuchet MS" w:cs="Arial"/>
          <w:b/>
          <w:sz w:val="22"/>
          <w:szCs w:val="22"/>
          <w:lang w:val="ro-RO"/>
        </w:rPr>
        <w:t>RO 63</w:t>
      </w:r>
    </w:p>
    <w:p w:rsidR="00FC3081" w:rsidRPr="00FB6E9A" w:rsidRDefault="00FC3081" w:rsidP="00FC3081">
      <w:pPr>
        <w:rPr>
          <w:rFonts w:ascii="Trebuchet MS" w:hAnsi="Trebuchet MS" w:cs="Arial"/>
          <w:b/>
          <w:sz w:val="22"/>
          <w:szCs w:val="22"/>
          <w:lang w:val="ro-RO"/>
        </w:rPr>
      </w:pPr>
      <w:r w:rsidRPr="00FB6E9A">
        <w:rPr>
          <w:rFonts w:ascii="Trebuchet MS" w:hAnsi="Trebuchet MS" w:cs="Arial"/>
          <w:sz w:val="22"/>
          <w:szCs w:val="22"/>
          <w:lang w:val="ro-RO"/>
        </w:rPr>
        <w:t xml:space="preserve">                                     Cod indicator AEM: </w:t>
      </w:r>
      <w:r w:rsidRPr="00FB6E9A">
        <w:rPr>
          <w:rFonts w:ascii="Trebuchet MS" w:hAnsi="Trebuchet MS" w:cs="Arial"/>
          <w:b/>
          <w:sz w:val="22"/>
          <w:szCs w:val="22"/>
          <w:lang w:val="ro-RO"/>
        </w:rPr>
        <w:t>WASTE 003</w:t>
      </w:r>
    </w:p>
    <w:p w:rsidR="00FC3081" w:rsidRPr="00FB6E9A" w:rsidRDefault="00FC3081" w:rsidP="00FC3081">
      <w:pPr>
        <w:rPr>
          <w:rFonts w:ascii="Trebuchet MS" w:hAnsi="Trebuchet MS" w:cs="Arial"/>
          <w:b/>
          <w:sz w:val="22"/>
          <w:szCs w:val="22"/>
          <w:lang w:val="ro-RO"/>
        </w:rPr>
      </w:pPr>
      <w:r w:rsidRPr="00FB6E9A">
        <w:rPr>
          <w:rFonts w:ascii="Trebuchet MS" w:hAnsi="Trebuchet MS" w:cs="Arial"/>
          <w:b/>
          <w:sz w:val="22"/>
          <w:szCs w:val="22"/>
          <w:lang w:val="ro-RO"/>
        </w:rPr>
        <w:t>DENUMIRE      DEŞEURI DE ECHIPAMENTE ELECTRICE ŞI ELECTRONICE</w:t>
      </w:r>
    </w:p>
    <w:p w:rsidR="00FC3081" w:rsidRPr="00FB6E9A" w:rsidRDefault="00FC3081" w:rsidP="00FC3081">
      <w:pPr>
        <w:rPr>
          <w:rFonts w:ascii="Trebuchet MS" w:hAnsi="Trebuchet MS" w:cs="Arial"/>
          <w:b/>
          <w:sz w:val="22"/>
          <w:szCs w:val="22"/>
          <w:lang w:val="ro-RO"/>
        </w:rPr>
      </w:pPr>
      <w:r w:rsidRPr="00FB6E9A">
        <w:rPr>
          <w:rFonts w:ascii="Trebuchet MS" w:hAnsi="Trebuchet MS" w:cs="Arial"/>
          <w:b/>
          <w:sz w:val="22"/>
          <w:szCs w:val="22"/>
          <w:lang w:val="ro-RO"/>
        </w:rPr>
        <w:t>DEFINIŢIE  Idicatorul exprimă cantităţile de deşeuri de echipamente electrice şi electronice pe cap de locuitor şi (kg/loc/an)</w:t>
      </w:r>
    </w:p>
    <w:p w:rsidR="00FC3081" w:rsidRPr="00FB6E9A" w:rsidRDefault="00FC3081" w:rsidP="00FC3081">
      <w:pPr>
        <w:rPr>
          <w:rFonts w:ascii="Trebuchet MS" w:hAnsi="Trebuchet MS" w:cs="Arial"/>
          <w:b/>
          <w:sz w:val="22"/>
          <w:szCs w:val="22"/>
          <w:lang w:val="ro-RO"/>
        </w:rPr>
      </w:pPr>
    </w:p>
    <w:p w:rsidR="00FC3081" w:rsidRPr="00FB6E9A" w:rsidRDefault="00FC3081" w:rsidP="00FC3081">
      <w:pPr>
        <w:rPr>
          <w:rFonts w:ascii="Trebuchet MS" w:hAnsi="Trebuchet MS" w:cs="Arial"/>
          <w:sz w:val="22"/>
          <w:szCs w:val="22"/>
          <w:lang w:val="ro-RO"/>
        </w:rPr>
      </w:pPr>
      <w:r w:rsidRPr="00FB6E9A">
        <w:rPr>
          <w:rFonts w:ascii="Trebuchet MS" w:hAnsi="Trebuchet MS" w:cs="Arial"/>
          <w:sz w:val="22"/>
          <w:szCs w:val="22"/>
          <w:lang w:val="ro-RO"/>
        </w:rPr>
        <w:t xml:space="preserve">În cadrul acestei secţiuni se vor prezenta informaţii şi date despre cantităţile de deşeuri de echipamente electrice şi electronice colectate şi tratate în perioada 2011 – 2021, la nivelul Municipiului Bucureşti, exprimate în kg pe cap de locuitor şi an.  </w:t>
      </w: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sz w:val="22"/>
          <w:szCs w:val="22"/>
          <w:lang w:val="ro-RO"/>
        </w:rPr>
      </w:pPr>
      <w:r w:rsidRPr="00FB6E9A">
        <w:rPr>
          <w:rFonts w:ascii="Trebuchet MS" w:hAnsi="Trebuchet MS" w:cs="Arial"/>
          <w:sz w:val="22"/>
          <w:szCs w:val="22"/>
          <w:lang w:val="ro-RO"/>
        </w:rPr>
        <w:t>În Municipiul Bucureşti deşeurile de echipamente electrice şi electronice sunt colectate atât de la populaţie, cât şi de la agenţi economici.</w:t>
      </w: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sz w:val="22"/>
          <w:szCs w:val="22"/>
          <w:lang w:val="ro-RO"/>
        </w:rPr>
      </w:pPr>
      <w:r w:rsidRPr="00FB6E9A">
        <w:rPr>
          <w:rFonts w:ascii="Trebuchet MS" w:hAnsi="Trebuchet MS" w:cs="Arial"/>
          <w:sz w:val="22"/>
          <w:szCs w:val="22"/>
          <w:lang w:val="ro-RO"/>
        </w:rPr>
        <w:t>Cantităţile de DEEE colectate în perioada 2011 – 2021 şi raportate la populaţia stabilă din Bucuresti sunt:</w:t>
      </w: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sz w:val="22"/>
          <w:szCs w:val="22"/>
          <w:lang w:val="ro-RO"/>
        </w:rPr>
      </w:pPr>
    </w:p>
    <w:tbl>
      <w:tblPr>
        <w:tblW w:w="8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7"/>
        <w:gridCol w:w="1811"/>
        <w:gridCol w:w="1620"/>
        <w:gridCol w:w="1804"/>
        <w:gridCol w:w="1904"/>
      </w:tblGrid>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An</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DEEE colectat (tone)</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DEEE tratat (tone)</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Populaţie stabilă (nr. loc.)</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Indice colectare (kg/loc/an)</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2011</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4318,82</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4318,82</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1883425</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2,29</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2012</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4838,48</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4838,48</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1881180</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2,57</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2013</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7527,52</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7527,52</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1870523</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4,02</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2014</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3360,95</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3360,95</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1859322</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1,81</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2015</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2214,82</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2214,82</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1848912</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1,2</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2016</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3159,848</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3159,848</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1844312</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1,71</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2017</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2997,32</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2997,32</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1826830</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1,64</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2018</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3844,078</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3844,078</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1827810</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2,10</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2019</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3274,543</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3274,543</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1835258</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1,78</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2020</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3481,406</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3481,406</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1835258</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1,89</w:t>
            </w:r>
          </w:p>
        </w:tc>
      </w:tr>
      <w:tr w:rsidR="00FC3081" w:rsidRPr="00FB6E9A" w:rsidTr="00913BC5">
        <w:trPr>
          <w:jc w:val="center"/>
        </w:trPr>
        <w:tc>
          <w:tcPr>
            <w:tcW w:w="1717"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2021</w:t>
            </w:r>
          </w:p>
        </w:tc>
        <w:tc>
          <w:tcPr>
            <w:tcW w:w="1811"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2567,91</w:t>
            </w:r>
          </w:p>
        </w:tc>
        <w:tc>
          <w:tcPr>
            <w:tcW w:w="1620"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2567,91</w:t>
            </w:r>
          </w:p>
        </w:tc>
        <w:tc>
          <w:tcPr>
            <w:tcW w:w="18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1823526</w:t>
            </w:r>
          </w:p>
        </w:tc>
        <w:tc>
          <w:tcPr>
            <w:tcW w:w="1904" w:type="dxa"/>
          </w:tcPr>
          <w:p w:rsidR="00FC3081" w:rsidRPr="00FB6E9A" w:rsidRDefault="00FC3081" w:rsidP="00913BC5">
            <w:pPr>
              <w:jc w:val="center"/>
              <w:rPr>
                <w:rFonts w:ascii="Trebuchet MS" w:hAnsi="Trebuchet MS" w:cs="Arial"/>
                <w:sz w:val="22"/>
                <w:szCs w:val="22"/>
                <w:lang w:val="ro-RO"/>
              </w:rPr>
            </w:pPr>
            <w:r w:rsidRPr="00FB6E9A">
              <w:rPr>
                <w:rFonts w:ascii="Trebuchet MS" w:hAnsi="Trebuchet MS" w:cs="Arial"/>
                <w:sz w:val="22"/>
                <w:szCs w:val="22"/>
                <w:lang w:val="ro-RO"/>
              </w:rPr>
              <w:t>1,41</w:t>
            </w:r>
          </w:p>
        </w:tc>
      </w:tr>
    </w:tbl>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i/>
          <w:sz w:val="22"/>
          <w:szCs w:val="22"/>
          <w:lang w:val="ro-RO"/>
        </w:rPr>
      </w:pPr>
      <w:r w:rsidRPr="00FB6E9A">
        <w:rPr>
          <w:rFonts w:ascii="Trebuchet MS" w:hAnsi="Trebuchet MS" w:cs="Arial"/>
          <w:i/>
          <w:sz w:val="22"/>
          <w:szCs w:val="22"/>
          <w:lang w:val="ro-RO"/>
        </w:rPr>
        <w:t>Sursa: Raportări ale agenţilor economici înregistrate în APM Bucureşti.</w:t>
      </w: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sz w:val="22"/>
          <w:szCs w:val="22"/>
          <w:lang w:val="ro-RO"/>
        </w:rPr>
      </w:pPr>
      <w:r w:rsidRPr="00FB6E9A">
        <w:rPr>
          <w:rFonts w:ascii="Trebuchet MS" w:hAnsi="Trebuchet MS" w:cs="Arial"/>
          <w:sz w:val="22"/>
          <w:szCs w:val="22"/>
          <w:lang w:val="ro-RO"/>
        </w:rPr>
        <w:t>De mentionat că, la nivelul Municipiului Bucureşti, cantitatea colectată de DEEE este egală cu cea tratată.</w:t>
      </w: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sz w:val="22"/>
          <w:szCs w:val="22"/>
          <w:lang w:val="ro-RO"/>
        </w:rPr>
      </w:pPr>
      <w:r w:rsidRPr="00FB6E9A">
        <w:rPr>
          <w:rFonts w:ascii="Trebuchet MS" w:hAnsi="Trebuchet MS" w:cs="Arial"/>
          <w:sz w:val="22"/>
          <w:szCs w:val="22"/>
          <w:lang w:val="ro-RO"/>
        </w:rPr>
        <w:t>Ţinta de colectare prevăzută în legislaţie este de 4 kg/loc/an.</w:t>
      </w: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Trebuchet MS" w:hAnsi="Trebuchet MS" w:cs="Arial"/>
          <w:sz w:val="22"/>
          <w:szCs w:val="22"/>
          <w:lang w:val="ro-RO"/>
        </w:rPr>
      </w:pPr>
      <w:r w:rsidRPr="00FB6E9A">
        <w:rPr>
          <w:rFonts w:ascii="Trebuchet MS" w:hAnsi="Trebuchet MS" w:cs="Arial"/>
          <w:sz w:val="22"/>
          <w:szCs w:val="22"/>
          <w:lang w:val="ro-RO"/>
        </w:rPr>
        <w:t xml:space="preserve">Astfel, reprezentarea grafică a datelor prezentate anterior este urmatoarea:  </w:t>
      </w:r>
    </w:p>
    <w:p w:rsidR="00FC3081" w:rsidRPr="00FB6E9A" w:rsidRDefault="00FC3081" w:rsidP="00FC3081">
      <w:pPr>
        <w:rPr>
          <w:rFonts w:ascii="Trebuchet MS" w:hAnsi="Trebuchet MS" w:cs="Arial"/>
          <w:sz w:val="22"/>
          <w:szCs w:val="22"/>
          <w:lang w:val="ro-RO"/>
        </w:rPr>
      </w:pPr>
    </w:p>
    <w:p w:rsidR="00FC3081" w:rsidRPr="00FB6E9A" w:rsidRDefault="00FC3081" w:rsidP="00FC3081">
      <w:pPr>
        <w:rPr>
          <w:rFonts w:ascii="Arial" w:hAnsi="Arial" w:cs="Arial"/>
          <w:lang w:val="ro-RO"/>
        </w:rPr>
      </w:pPr>
      <w:r w:rsidRPr="00FB6E9A">
        <w:rPr>
          <w:rFonts w:ascii="Arial" w:hAnsi="Arial" w:cs="Arial"/>
          <w:lang w:val="ro-RO"/>
        </w:rPr>
        <w:t xml:space="preserve"> </w:t>
      </w:r>
    </w:p>
    <w:p w:rsidR="00FC3081" w:rsidRPr="00FB6E9A" w:rsidRDefault="00FC3081" w:rsidP="00FC3081">
      <w:pPr>
        <w:rPr>
          <w:rFonts w:ascii="Arial" w:hAnsi="Arial" w:cs="Arial"/>
          <w:lang w:val="ro-RO"/>
        </w:rPr>
      </w:pPr>
    </w:p>
    <w:p w:rsidR="00FC3081" w:rsidRPr="006C3342" w:rsidRDefault="00FC3081" w:rsidP="00FC3081">
      <w:pPr>
        <w:rPr>
          <w:rFonts w:ascii="Arial" w:hAnsi="Arial" w:cs="Arial"/>
          <w:color w:val="00B050"/>
          <w:lang w:val="ro-RO"/>
        </w:rPr>
      </w:pPr>
      <w:r w:rsidRPr="006C3342">
        <w:rPr>
          <w:rFonts w:ascii="Arial" w:hAnsi="Arial" w:cs="Arial"/>
          <w:noProof/>
          <w:color w:val="00B050"/>
          <w:lang w:val="en-US"/>
        </w:rPr>
        <w:drawing>
          <wp:inline distT="0" distB="0" distL="0" distR="0" wp14:anchorId="54A19E83" wp14:editId="574ADC8F">
            <wp:extent cx="5372100" cy="3581400"/>
            <wp:effectExtent l="0" t="0" r="0" b="0"/>
            <wp:docPr id="52"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FC3081" w:rsidRPr="006C3342" w:rsidRDefault="00FC3081" w:rsidP="00FC3081">
      <w:pPr>
        <w:rPr>
          <w:rFonts w:ascii="Arial" w:hAnsi="Arial" w:cs="Arial"/>
          <w:color w:val="00B050"/>
          <w:lang w:val="ro-RO"/>
        </w:rPr>
      </w:pPr>
    </w:p>
    <w:p w:rsidR="00FC3081" w:rsidRPr="00FB6E9A" w:rsidRDefault="00FC3081" w:rsidP="00FC3081">
      <w:pPr>
        <w:ind w:left="360"/>
        <w:rPr>
          <w:rFonts w:ascii="Trebuchet MS" w:hAnsi="Trebuchet MS" w:cs="Arial"/>
          <w:b/>
          <w:sz w:val="22"/>
          <w:szCs w:val="22"/>
          <w:lang w:val="ro-RO"/>
        </w:rPr>
      </w:pPr>
      <w:r w:rsidRPr="00FB6E9A">
        <w:rPr>
          <w:rFonts w:ascii="Trebuchet MS" w:hAnsi="Trebuchet MS" w:cs="Arial"/>
          <w:b/>
          <w:sz w:val="22"/>
          <w:szCs w:val="22"/>
          <w:lang w:val="ro-RO"/>
        </w:rPr>
        <w:t>B</w:t>
      </w:r>
      <w:r w:rsidRPr="00FB6E9A">
        <w:rPr>
          <w:rFonts w:ascii="Trebuchet MS" w:hAnsi="Trebuchet MS" w:cs="Arial"/>
          <w:b/>
          <w:sz w:val="22"/>
          <w:szCs w:val="22"/>
          <w:lang w:val="ro-RO"/>
        </w:rPr>
        <w:tab/>
        <w:t>Alte date şi informaţii specifice</w:t>
      </w:r>
    </w:p>
    <w:p w:rsidR="00FC3081" w:rsidRPr="00FB6E9A" w:rsidRDefault="00FC3081" w:rsidP="00FC3081">
      <w:pPr>
        <w:rPr>
          <w:rFonts w:ascii="Trebuchet MS" w:hAnsi="Trebuchet MS" w:cs="Arial"/>
          <w:sz w:val="22"/>
          <w:szCs w:val="22"/>
          <w:lang w:val="ro-RO"/>
        </w:rPr>
      </w:pPr>
    </w:p>
    <w:p w:rsidR="00FC3081" w:rsidRPr="00FB6E9A" w:rsidRDefault="00FC3081" w:rsidP="00FC3081">
      <w:pPr>
        <w:jc w:val="both"/>
        <w:rPr>
          <w:rFonts w:ascii="Trebuchet MS" w:hAnsi="Trebuchet MS" w:cs="Arial"/>
          <w:sz w:val="22"/>
          <w:szCs w:val="22"/>
          <w:lang w:val="ro-RO"/>
        </w:rPr>
      </w:pPr>
      <w:r w:rsidRPr="00FB6E9A">
        <w:rPr>
          <w:rFonts w:ascii="Trebuchet MS" w:hAnsi="Trebuchet MS" w:cs="Arial"/>
          <w:sz w:val="22"/>
          <w:szCs w:val="22"/>
          <w:lang w:val="ro-RO"/>
        </w:rPr>
        <w:t>Obiectivele de valorificare care trebuiesc îndeplinite pe fiecare categorie de DEEE în parte, precum şi obiectivele realizate in ultimii ani de raportare se calculează şi sunt prevăzute la nivel naţional.</w:t>
      </w:r>
    </w:p>
    <w:p w:rsidR="00FC3081" w:rsidRPr="00FB6E9A" w:rsidRDefault="00FC3081" w:rsidP="00FC3081">
      <w:pPr>
        <w:rPr>
          <w:rFonts w:ascii="Trebuchet MS" w:hAnsi="Trebuchet MS"/>
          <w:sz w:val="22"/>
          <w:szCs w:val="22"/>
        </w:rPr>
      </w:pPr>
    </w:p>
    <w:p w:rsidR="0082575A" w:rsidRPr="00FB6E9A" w:rsidRDefault="0082575A" w:rsidP="0082575A">
      <w:pPr>
        <w:rPr>
          <w:rFonts w:ascii="Trebuchet MS" w:hAnsi="Trebuchet MS" w:cs="Arial"/>
          <w:b/>
          <w:bCs/>
          <w:lang w:val="ro-RO"/>
        </w:rPr>
      </w:pPr>
      <w:r w:rsidRPr="00FB6E9A">
        <w:rPr>
          <w:rFonts w:ascii="Trebuchet MS" w:hAnsi="Trebuchet MS" w:cs="Arial"/>
          <w:b/>
          <w:bCs/>
          <w:iCs/>
          <w:lang w:val="ro-RO"/>
        </w:rPr>
        <w:t>VII.1.3.2. DEŞEURI DE AMBALAJE</w:t>
      </w:r>
    </w:p>
    <w:p w:rsidR="0082575A" w:rsidRPr="00DB17CC" w:rsidRDefault="0082575A" w:rsidP="0082575A">
      <w:pPr>
        <w:jc w:val="both"/>
        <w:rPr>
          <w:rFonts w:ascii="Arial" w:hAnsi="Arial" w:cs="Arial"/>
          <w:lang w:val="ro-RO"/>
        </w:rPr>
      </w:pPr>
    </w:p>
    <w:p w:rsidR="0082575A" w:rsidRPr="00FB6E9A" w:rsidRDefault="0082575A" w:rsidP="0082575A">
      <w:pPr>
        <w:jc w:val="both"/>
        <w:rPr>
          <w:rFonts w:ascii="Trebuchet MS" w:hAnsi="Trebuchet MS" w:cs="Arial"/>
          <w:b/>
          <w:sz w:val="22"/>
          <w:szCs w:val="22"/>
          <w:lang w:val="ro-RO"/>
        </w:rPr>
      </w:pPr>
      <w:r w:rsidRPr="00FB6E9A">
        <w:rPr>
          <w:rFonts w:ascii="Trebuchet MS" w:hAnsi="Trebuchet MS" w:cs="Arial"/>
          <w:b/>
          <w:sz w:val="22"/>
          <w:szCs w:val="22"/>
          <w:lang w:val="ro-RO"/>
        </w:rPr>
        <w:t>Cod Indicator România: RO 17</w:t>
      </w:r>
    </w:p>
    <w:p w:rsidR="0082575A" w:rsidRPr="00FB6E9A" w:rsidRDefault="0082575A" w:rsidP="0082575A">
      <w:pPr>
        <w:jc w:val="both"/>
        <w:rPr>
          <w:rFonts w:ascii="Trebuchet MS" w:hAnsi="Trebuchet MS" w:cs="Arial"/>
          <w:b/>
          <w:sz w:val="22"/>
          <w:szCs w:val="22"/>
          <w:lang w:val="ro-RO"/>
        </w:rPr>
      </w:pPr>
      <w:r w:rsidRPr="00FB6E9A">
        <w:rPr>
          <w:rFonts w:ascii="Trebuchet MS" w:hAnsi="Trebuchet MS" w:cs="Arial"/>
          <w:b/>
          <w:sz w:val="22"/>
          <w:szCs w:val="22"/>
          <w:lang w:val="ro-RO"/>
        </w:rPr>
        <w:t>Cod Indicator AEM: CSI 17</w:t>
      </w:r>
    </w:p>
    <w:p w:rsidR="0082575A" w:rsidRPr="00FB6E9A" w:rsidRDefault="0082575A" w:rsidP="0082575A">
      <w:pPr>
        <w:jc w:val="both"/>
        <w:rPr>
          <w:rFonts w:ascii="Trebuchet MS" w:hAnsi="Trebuchet MS" w:cs="Arial"/>
          <w:sz w:val="22"/>
          <w:szCs w:val="22"/>
          <w:lang w:val="ro-RO"/>
        </w:rPr>
      </w:pPr>
    </w:p>
    <w:p w:rsidR="00FC3081" w:rsidRPr="00FB6E9A" w:rsidRDefault="00FC3081" w:rsidP="00FC3081">
      <w:pPr>
        <w:autoSpaceDE w:val="0"/>
        <w:autoSpaceDN w:val="0"/>
        <w:adjustRightInd w:val="0"/>
        <w:jc w:val="both"/>
        <w:rPr>
          <w:rFonts w:ascii="Trebuchet MS" w:hAnsi="Trebuchet MS" w:cs="Arial"/>
          <w:b/>
          <w:sz w:val="22"/>
          <w:szCs w:val="22"/>
          <w:lang w:val="ro-RO"/>
        </w:rPr>
      </w:pPr>
      <w:r w:rsidRPr="00FB6E9A">
        <w:rPr>
          <w:rFonts w:ascii="Trebuchet MS" w:hAnsi="Trebuchet MS" w:cs="Arial"/>
          <w:b/>
          <w:sz w:val="22"/>
          <w:szCs w:val="22"/>
          <w:lang w:val="ro-RO"/>
        </w:rPr>
        <w:t xml:space="preserve">Indicatorul reprezintă cantitatea totală de ambalaje utilizate în România, exprimată în </w:t>
      </w:r>
      <w:r w:rsidRPr="00FB6E9A">
        <w:rPr>
          <w:rFonts w:ascii="Trebuchet MS" w:hAnsi="Trebuchet MS" w:cs="Arial"/>
          <w:b/>
          <w:bCs/>
          <w:sz w:val="22"/>
          <w:szCs w:val="22"/>
          <w:lang w:val="ro-RO"/>
        </w:rPr>
        <w:t>kg. pe cap de locuitor şi an.</w:t>
      </w:r>
    </w:p>
    <w:p w:rsidR="00FC3081" w:rsidRPr="00FB6E9A" w:rsidRDefault="00FC3081" w:rsidP="00FC3081">
      <w:pPr>
        <w:jc w:val="both"/>
        <w:rPr>
          <w:rFonts w:ascii="Trebuchet MS" w:hAnsi="Trebuchet MS" w:cs="Arial"/>
          <w:sz w:val="22"/>
          <w:szCs w:val="22"/>
          <w:lang w:val="ro-RO"/>
        </w:rPr>
      </w:pPr>
    </w:p>
    <w:p w:rsidR="00FC3081" w:rsidRPr="00FB6E9A" w:rsidRDefault="00FC3081" w:rsidP="00FC3081">
      <w:pPr>
        <w:jc w:val="both"/>
        <w:rPr>
          <w:rFonts w:ascii="Trebuchet MS" w:hAnsi="Trebuchet MS" w:cs="Arial"/>
          <w:b/>
          <w:i/>
          <w:sz w:val="22"/>
          <w:szCs w:val="22"/>
          <w:lang w:val="ro-RO"/>
        </w:rPr>
      </w:pPr>
      <w:r w:rsidRPr="00FB6E9A">
        <w:rPr>
          <w:rFonts w:ascii="Trebuchet MS" w:hAnsi="Trebuchet MS" w:cs="Arial"/>
          <w:b/>
          <w:i/>
          <w:sz w:val="22"/>
          <w:szCs w:val="22"/>
          <w:lang w:val="ro-RO"/>
        </w:rPr>
        <w:t>Cantităţile de ambalaje introduse pe piaţa naţională raportate de operatorii economici la nivelul Municipiului Bucureşti, nu sunt reprezentative, deoarece operatorii economici raportează datele agenţiei pentru protecţia mediului în a cărei rază teritorială este inregistrat sediul social al respectivului operator.</w:t>
      </w:r>
    </w:p>
    <w:p w:rsidR="00FC3081" w:rsidRPr="00FB6E9A" w:rsidRDefault="00FC3081" w:rsidP="00FC3081">
      <w:pPr>
        <w:jc w:val="both"/>
        <w:rPr>
          <w:rFonts w:ascii="Trebuchet MS" w:hAnsi="Trebuchet MS" w:cs="Arial"/>
          <w:sz w:val="22"/>
          <w:szCs w:val="22"/>
          <w:lang w:val="ro-RO"/>
        </w:rPr>
      </w:pPr>
    </w:p>
    <w:p w:rsidR="00FC3081" w:rsidRPr="00FB6E9A" w:rsidRDefault="00FC3081" w:rsidP="00FC3081">
      <w:pPr>
        <w:jc w:val="both"/>
        <w:rPr>
          <w:rFonts w:ascii="Trebuchet MS" w:hAnsi="Trebuchet MS" w:cs="Arial"/>
          <w:sz w:val="22"/>
          <w:szCs w:val="22"/>
          <w:lang w:val="ro-RO"/>
        </w:rPr>
      </w:pPr>
      <w:r w:rsidRPr="00FB6E9A">
        <w:rPr>
          <w:rFonts w:ascii="Trebuchet MS" w:hAnsi="Trebuchet MS" w:cs="Arial"/>
          <w:sz w:val="22"/>
          <w:szCs w:val="22"/>
          <w:lang w:val="it-IT"/>
        </w:rPr>
        <w:t xml:space="preserve">Obligaţiile legale, care reies din legislaţia privind protecţia mediului în vigoare, pot fi realizate de către operatorii economici </w:t>
      </w:r>
      <w:r w:rsidRPr="00FB6E9A">
        <w:rPr>
          <w:rFonts w:ascii="Trebuchet MS" w:hAnsi="Trebuchet MS" w:cs="Arial"/>
          <w:b/>
          <w:sz w:val="22"/>
          <w:szCs w:val="22"/>
          <w:lang w:val="it-IT"/>
        </w:rPr>
        <w:t xml:space="preserve">individual sau prin transferarea responsabilităţii către o </w:t>
      </w:r>
      <w:r w:rsidRPr="00FB6E9A">
        <w:rPr>
          <w:rFonts w:ascii="Trebuchet MS" w:hAnsi="Trebuchet MS" w:cs="Arial"/>
          <w:b/>
          <w:sz w:val="22"/>
          <w:szCs w:val="22"/>
        </w:rPr>
        <w:t>organizaţie care implementează obligaţiile privind răspunderea extinsă a producătorului (O.I.R.E.P.)</w:t>
      </w:r>
      <w:r w:rsidRPr="00FB6E9A">
        <w:rPr>
          <w:rFonts w:ascii="Trebuchet MS" w:hAnsi="Trebuchet MS" w:cs="Arial"/>
          <w:sz w:val="22"/>
          <w:szCs w:val="22"/>
          <w:lang w:val="ro-RO"/>
        </w:rPr>
        <w:t>,</w:t>
      </w:r>
      <w:r w:rsidRPr="00FB6E9A">
        <w:rPr>
          <w:rFonts w:ascii="Trebuchet MS" w:hAnsi="Trebuchet MS" w:cs="Arial"/>
          <w:sz w:val="22"/>
          <w:szCs w:val="22"/>
          <w:lang w:val="it-IT"/>
        </w:rPr>
        <w:t xml:space="preserve"> deţinătoare a unei Licenţe - aprobată de către o comisie special constituită la nivelul Ministerului Mediului (MM) din care fac parte </w:t>
      </w:r>
      <w:r w:rsidRPr="00FB6E9A">
        <w:rPr>
          <w:rFonts w:ascii="Trebuchet MS" w:hAnsi="Trebuchet MS" w:cs="Arial"/>
          <w:sz w:val="22"/>
          <w:szCs w:val="22"/>
        </w:rPr>
        <w:t>reprezentanţi ai MM, ME, ANRSC, ANPM şi AFM</w:t>
      </w:r>
      <w:r w:rsidRPr="00FB6E9A">
        <w:rPr>
          <w:rFonts w:ascii="Trebuchet MS" w:hAnsi="Trebuchet MS" w:cs="Arial"/>
          <w:sz w:val="22"/>
          <w:szCs w:val="22"/>
          <w:lang w:val="it-IT"/>
        </w:rPr>
        <w:t>.</w:t>
      </w:r>
      <w:r w:rsidRPr="00FB6E9A">
        <w:rPr>
          <w:rFonts w:ascii="Trebuchet MS" w:hAnsi="Trebuchet MS" w:cs="Arial"/>
          <w:sz w:val="22"/>
          <w:szCs w:val="22"/>
          <w:lang w:val="ro-RO"/>
        </w:rPr>
        <w:t xml:space="preserve"> Operatorii economici care au predat responsabilitatea către </w:t>
      </w:r>
      <w:r w:rsidRPr="00FB6E9A">
        <w:rPr>
          <w:rFonts w:ascii="Trebuchet MS" w:hAnsi="Trebuchet MS" w:cs="Arial"/>
          <w:sz w:val="22"/>
          <w:szCs w:val="22"/>
        </w:rPr>
        <w:t>O.I.R.E.P.</w:t>
      </w:r>
      <w:r w:rsidRPr="00FB6E9A">
        <w:rPr>
          <w:rFonts w:ascii="Trebuchet MS" w:hAnsi="Trebuchet MS" w:cs="Arial"/>
          <w:sz w:val="22"/>
          <w:szCs w:val="22"/>
          <w:lang w:val="ro-RO"/>
        </w:rPr>
        <w:t>, nu au obligaţie de raportare, raportările fiind realizate de către acestea.</w:t>
      </w:r>
    </w:p>
    <w:p w:rsidR="00FC3081" w:rsidRPr="00FB6E9A" w:rsidRDefault="00FC3081" w:rsidP="00FC3081">
      <w:pPr>
        <w:widowControl w:val="0"/>
        <w:tabs>
          <w:tab w:val="left" w:pos="360"/>
        </w:tabs>
        <w:jc w:val="both"/>
        <w:rPr>
          <w:rFonts w:ascii="Trebuchet MS" w:hAnsi="Trebuchet MS" w:cs="Arial"/>
          <w:sz w:val="22"/>
          <w:szCs w:val="22"/>
          <w:lang w:val="it-IT"/>
        </w:rPr>
      </w:pPr>
    </w:p>
    <w:p w:rsidR="00FC3081" w:rsidRPr="00FB6E9A" w:rsidRDefault="00FC3081" w:rsidP="00FC3081">
      <w:pPr>
        <w:jc w:val="both"/>
        <w:rPr>
          <w:rFonts w:ascii="Trebuchet MS" w:hAnsi="Trebuchet MS" w:cs="Arial"/>
          <w:sz w:val="22"/>
          <w:szCs w:val="22"/>
          <w:lang w:val="it-IT"/>
        </w:rPr>
      </w:pPr>
      <w:r w:rsidRPr="00FB6E9A">
        <w:rPr>
          <w:rFonts w:ascii="Trebuchet MS" w:hAnsi="Trebuchet MS" w:cs="Arial"/>
          <w:sz w:val="22"/>
          <w:szCs w:val="22"/>
          <w:lang w:val="it-IT"/>
        </w:rPr>
        <w:t xml:space="preserve">La nivel naţional, există în prezent </w:t>
      </w:r>
      <w:r w:rsidRPr="00FB6E9A">
        <w:rPr>
          <w:rFonts w:ascii="Trebuchet MS" w:hAnsi="Trebuchet MS" w:cs="Arial"/>
          <w:b/>
          <w:sz w:val="22"/>
          <w:szCs w:val="22"/>
          <w:lang w:val="it-IT"/>
        </w:rPr>
        <w:t xml:space="preserve">16 (saisprezece) </w:t>
      </w:r>
      <w:r w:rsidRPr="00FB6E9A">
        <w:rPr>
          <w:rFonts w:ascii="Trebuchet MS" w:hAnsi="Trebuchet MS" w:cs="Arial"/>
          <w:b/>
          <w:sz w:val="22"/>
          <w:szCs w:val="22"/>
        </w:rPr>
        <w:t>Organizaţii care implementează obligaţiile privind răspunderea extinsă a producătorului (O.I.R.E.P.)</w:t>
      </w:r>
      <w:r w:rsidRPr="00FB6E9A">
        <w:rPr>
          <w:rFonts w:ascii="Trebuchet MS" w:hAnsi="Trebuchet MS" w:cs="Arial"/>
          <w:sz w:val="22"/>
          <w:szCs w:val="22"/>
          <w:lang w:val="it-IT"/>
        </w:rPr>
        <w:t xml:space="preserve"> care deţin </w:t>
      </w:r>
      <w:r w:rsidRPr="00FB6E9A">
        <w:rPr>
          <w:rFonts w:ascii="Trebuchet MS" w:hAnsi="Trebuchet MS" w:cs="Arial"/>
          <w:b/>
          <w:sz w:val="22"/>
          <w:szCs w:val="22"/>
          <w:lang w:val="it-IT"/>
        </w:rPr>
        <w:t xml:space="preserve">Licenţă </w:t>
      </w:r>
      <w:r w:rsidRPr="00FB6E9A">
        <w:rPr>
          <w:rFonts w:ascii="Trebuchet MS" w:hAnsi="Trebuchet MS" w:cs="Arial"/>
          <w:sz w:val="22"/>
          <w:szCs w:val="22"/>
          <w:lang w:val="it-IT"/>
        </w:rPr>
        <w:t>pentru preluarea responsabilităţii realizării obiectivelor anuale de valorificare şi reciclare a deşeurilor de ambalaje:</w:t>
      </w:r>
    </w:p>
    <w:tbl>
      <w:tblPr>
        <w:tblW w:w="10792" w:type="dxa"/>
        <w:jc w:val="center"/>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575"/>
        <w:gridCol w:w="3467"/>
        <w:gridCol w:w="3600"/>
        <w:gridCol w:w="1350"/>
        <w:gridCol w:w="1800"/>
      </w:tblGrid>
      <w:tr w:rsidR="00FC3081" w:rsidRPr="00FB6E9A" w:rsidTr="00913BC5">
        <w:trPr>
          <w:trHeight w:val="1083"/>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b/>
                <w:bCs/>
                <w:iCs/>
                <w:sz w:val="22"/>
                <w:szCs w:val="22"/>
              </w:rPr>
            </w:pPr>
            <w:r w:rsidRPr="00FB6E9A">
              <w:rPr>
                <w:rFonts w:ascii="Trebuchet MS" w:eastAsia="Times New Roman" w:hAnsi="Trebuchet MS" w:cs="Arial"/>
                <w:b/>
                <w:bCs/>
                <w:iCs/>
                <w:sz w:val="22"/>
                <w:szCs w:val="22"/>
              </w:rPr>
              <w:t>NR.</w:t>
            </w:r>
          </w:p>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iCs/>
                <w:sz w:val="22"/>
                <w:szCs w:val="22"/>
              </w:rPr>
              <w:t>CRT.</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iCs/>
                <w:sz w:val="22"/>
                <w:szCs w:val="22"/>
              </w:rPr>
              <w:t>DENUMIRE OIREP</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iCs/>
                <w:sz w:val="22"/>
                <w:szCs w:val="22"/>
              </w:rPr>
              <w:t>DATE DE CONTACT</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iCs/>
                <w:sz w:val="22"/>
                <w:szCs w:val="22"/>
              </w:rPr>
              <w:t>LICENȚĂ</w:t>
            </w:r>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iCs/>
                <w:sz w:val="22"/>
                <w:szCs w:val="22"/>
              </w:rPr>
              <w:t>ARIE GEOGRAFICĂ DECLARATĂ</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1.</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CLEAN RECYCLE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pacing w:val="15"/>
                <w:sz w:val="22"/>
                <w:szCs w:val="22"/>
              </w:rPr>
            </w:pPr>
            <w:r w:rsidRPr="00FB6E9A">
              <w:rPr>
                <w:rFonts w:ascii="Trebuchet MS" w:eastAsia="Times New Roman" w:hAnsi="Trebuchet MS" w:cs="Arial"/>
                <w:spacing w:val="15"/>
                <w:sz w:val="22"/>
                <w:szCs w:val="22"/>
              </w:rPr>
              <w:t>www.cleanrecycle.ro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291812" w:rsidP="00913BC5">
            <w:pPr>
              <w:spacing w:after="150"/>
              <w:jc w:val="center"/>
              <w:rPr>
                <w:rFonts w:ascii="Trebuchet MS" w:hAnsi="Trebuchet MS"/>
                <w:sz w:val="22"/>
                <w:szCs w:val="22"/>
              </w:rPr>
            </w:pPr>
            <w:hyperlink r:id="rId149" w:tgtFrame="_blank" w:history="1">
              <w:r w:rsidR="00FC3081" w:rsidRPr="00FB6E9A">
                <w:rPr>
                  <w:rFonts w:ascii="Trebuchet MS" w:eastAsia="Times New Roman" w:hAnsi="Trebuchet MS" w:cs="Arial"/>
                  <w:sz w:val="22"/>
                  <w:szCs w:val="22"/>
                </w:rPr>
                <w:t>Nr. 11 din iunie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2.</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ECO SYNERGY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www.ecosynergy.ro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50" w:tgtFrame="_blank" w:history="1">
              <w:r w:rsidR="00FC3081" w:rsidRPr="00FB6E9A">
                <w:rPr>
                  <w:rFonts w:ascii="Trebuchet MS" w:eastAsia="Times New Roman" w:hAnsi="Trebuchet MS" w:cs="Arial"/>
                  <w:sz w:val="22"/>
                  <w:szCs w:val="22"/>
                </w:rPr>
                <w:t>Nr. 6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3.</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ECOLOGIC 3R AMBALAJE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291812" w:rsidP="00913BC5">
            <w:pPr>
              <w:spacing w:after="150"/>
              <w:jc w:val="center"/>
              <w:rPr>
                <w:rFonts w:ascii="Trebuchet MS" w:eastAsia="Times New Roman" w:hAnsi="Trebuchet MS" w:cs="Arial"/>
                <w:sz w:val="22"/>
                <w:szCs w:val="22"/>
              </w:rPr>
            </w:pPr>
            <w:hyperlink r:id="rId151" w:history="1">
              <w:r w:rsidR="00FC3081" w:rsidRPr="00FB6E9A">
                <w:rPr>
                  <w:rFonts w:ascii="Trebuchet MS" w:eastAsia="Times New Roman" w:hAnsi="Trebuchet MS" w:cs="Arial"/>
                  <w:spacing w:val="15"/>
                  <w:sz w:val="22"/>
                  <w:szCs w:val="22"/>
                  <w:u w:val="single"/>
                </w:rPr>
                <w:t>www.ecologic3rambalaje.ro</w:t>
              </w:r>
            </w:hyperlink>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52" w:tgtFrame="_blank" w:history="1">
              <w:r w:rsidR="00FC3081" w:rsidRPr="00FB6E9A">
                <w:rPr>
                  <w:rFonts w:ascii="Trebuchet MS" w:eastAsia="Times New Roman" w:hAnsi="Trebuchet MS" w:cs="Arial"/>
                  <w:sz w:val="22"/>
                  <w:szCs w:val="22"/>
                </w:rPr>
                <w:t>Nr. 3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4.</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ECOREP GROUP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hAnsi="Trebuchet MS"/>
                <w:sz w:val="22"/>
                <w:szCs w:val="22"/>
              </w:rPr>
            </w:pPr>
            <w:r w:rsidRPr="00FB6E9A">
              <w:rPr>
                <w:rFonts w:ascii="Trebuchet MS" w:eastAsia="Times New Roman" w:hAnsi="Trebuchet MS" w:cs="Arial"/>
                <w:spacing w:val="15"/>
                <w:sz w:val="22"/>
                <w:szCs w:val="22"/>
              </w:rPr>
              <w:t>www.ecorep.ro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291812" w:rsidP="00913BC5">
            <w:pPr>
              <w:spacing w:after="150"/>
              <w:jc w:val="center"/>
              <w:rPr>
                <w:rFonts w:ascii="Trebuchet MS" w:hAnsi="Trebuchet MS"/>
                <w:sz w:val="22"/>
                <w:szCs w:val="22"/>
              </w:rPr>
            </w:pPr>
            <w:hyperlink r:id="rId153" w:tgtFrame="_blank" w:history="1">
              <w:r w:rsidR="00FC3081" w:rsidRPr="00FB6E9A">
                <w:rPr>
                  <w:rFonts w:ascii="Trebuchet MS" w:eastAsia="Times New Roman" w:hAnsi="Trebuchet MS" w:cs="Arial"/>
                  <w:sz w:val="22"/>
                  <w:szCs w:val="22"/>
                </w:rPr>
                <w:t>Nr. 14 din mai 2021</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5.</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ECO – ROM AMBALAJE S.A.</w:t>
            </w:r>
          </w:p>
          <w:p w:rsidR="00FC3081" w:rsidRPr="00FB6E9A" w:rsidRDefault="00FC3081" w:rsidP="00913BC5">
            <w:pPr>
              <w:spacing w:after="150"/>
              <w:jc w:val="center"/>
              <w:rPr>
                <w:rFonts w:ascii="Trebuchet MS" w:eastAsia="Times New Roman" w:hAnsi="Trebuchet MS" w:cs="Arial"/>
                <w:b/>
                <w:i/>
                <w:sz w:val="22"/>
                <w:szCs w:val="22"/>
              </w:rPr>
            </w:pPr>
            <w:r w:rsidRPr="00FB6E9A">
              <w:rPr>
                <w:rFonts w:ascii="Trebuchet MS" w:eastAsia="Times New Roman" w:hAnsi="Trebuchet MS" w:cs="Arial"/>
                <w:b/>
                <w:i/>
                <w:sz w:val="22"/>
                <w:szCs w:val="22"/>
              </w:rPr>
              <w:t>(Societate în insolvență)</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291812" w:rsidP="00913BC5">
            <w:pPr>
              <w:spacing w:after="150"/>
              <w:jc w:val="center"/>
              <w:rPr>
                <w:rFonts w:ascii="Trebuchet MS" w:eastAsia="Times New Roman" w:hAnsi="Trebuchet MS" w:cs="Arial"/>
                <w:sz w:val="22"/>
                <w:szCs w:val="22"/>
              </w:rPr>
            </w:pPr>
            <w:hyperlink r:id="rId154" w:history="1">
              <w:r w:rsidR="00FC3081" w:rsidRPr="00FB6E9A">
                <w:rPr>
                  <w:rFonts w:ascii="Trebuchet MS" w:eastAsia="Times New Roman" w:hAnsi="Trebuchet MS" w:cs="Arial"/>
                  <w:spacing w:val="12"/>
                  <w:sz w:val="22"/>
                  <w:szCs w:val="22"/>
                </w:rPr>
                <w:t>www.ecoromambalaje.ro</w:t>
              </w:r>
            </w:hyperlink>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55" w:tgtFrame="_blank" w:history="1">
              <w:r w:rsidR="00FC3081" w:rsidRPr="00FB6E9A">
                <w:rPr>
                  <w:rFonts w:ascii="Trebuchet MS" w:eastAsia="Times New Roman" w:hAnsi="Trebuchet MS" w:cs="Arial"/>
                  <w:sz w:val="22"/>
                  <w:szCs w:val="22"/>
                </w:rPr>
                <w:t>Nr. 12 din august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6.</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ECOSMART UNION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www.ecosmart-union.eu</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56" w:tgtFrame="_blank" w:history="1">
              <w:r w:rsidR="00FC3081" w:rsidRPr="00FB6E9A">
                <w:rPr>
                  <w:rFonts w:ascii="Trebuchet MS" w:eastAsia="Times New Roman" w:hAnsi="Trebuchet MS" w:cs="Arial"/>
                  <w:sz w:val="22"/>
                  <w:szCs w:val="22"/>
                </w:rPr>
                <w:t>Nr. 5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7.</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ECO-X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291812" w:rsidP="00913BC5">
            <w:pPr>
              <w:spacing w:after="150"/>
              <w:jc w:val="center"/>
              <w:rPr>
                <w:rFonts w:ascii="Trebuchet MS" w:eastAsia="Times New Roman" w:hAnsi="Trebuchet MS" w:cs="Arial"/>
                <w:sz w:val="22"/>
                <w:szCs w:val="22"/>
              </w:rPr>
            </w:pPr>
            <w:hyperlink r:id="rId157" w:history="1">
              <w:r w:rsidR="00FC3081" w:rsidRPr="00FB6E9A">
                <w:rPr>
                  <w:rFonts w:ascii="Trebuchet MS" w:eastAsia="Times New Roman" w:hAnsi="Trebuchet MS" w:cs="Arial"/>
                  <w:spacing w:val="15"/>
                  <w:sz w:val="22"/>
                  <w:szCs w:val="22"/>
                </w:rPr>
                <w:t>www.ecox.ro</w:t>
              </w:r>
            </w:hyperlink>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58" w:tgtFrame="_blank" w:history="1">
              <w:r w:rsidR="00FC3081" w:rsidRPr="00FB6E9A">
                <w:rPr>
                  <w:rFonts w:ascii="Trebuchet MS" w:eastAsia="Times New Roman" w:hAnsi="Trebuchet MS" w:cs="Arial"/>
                  <w:sz w:val="22"/>
                  <w:szCs w:val="22"/>
                </w:rPr>
                <w:t>Nr. 1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trHeight w:val="795"/>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8.</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ENVIRO PACK CONSULT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www.enviropack.ro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291812" w:rsidP="00913BC5">
            <w:pPr>
              <w:spacing w:after="150"/>
              <w:jc w:val="center"/>
              <w:rPr>
                <w:rFonts w:ascii="Trebuchet MS" w:eastAsia="Times New Roman" w:hAnsi="Trebuchet MS" w:cs="Arial"/>
                <w:sz w:val="22"/>
                <w:szCs w:val="22"/>
              </w:rPr>
            </w:pPr>
            <w:hyperlink r:id="rId159" w:tgtFrame="_blank" w:history="1">
              <w:r w:rsidR="00FC3081" w:rsidRPr="00FB6E9A">
                <w:rPr>
                  <w:rFonts w:ascii="Trebuchet MS" w:eastAsia="Times New Roman" w:hAnsi="Trebuchet MS" w:cs="Arial"/>
                  <w:sz w:val="22"/>
                  <w:szCs w:val="22"/>
                </w:rPr>
                <w:t>Nr. 13 din februarie 2020</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9.</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FEPRA EPR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www.fepra.ro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60" w:tgtFrame="_blank" w:history="1">
              <w:r w:rsidR="00FC3081" w:rsidRPr="00FB6E9A">
                <w:rPr>
                  <w:rFonts w:ascii="Trebuchet MS" w:eastAsia="Times New Roman" w:hAnsi="Trebuchet MS" w:cs="Arial"/>
                  <w:sz w:val="22"/>
                  <w:szCs w:val="22"/>
                </w:rPr>
                <w:t>Nr. 10 din iunie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10.</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FINANCIAR RECYCLING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www.financiarrecycling.com</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61" w:tgtFrame="_blank" w:history="1">
              <w:r w:rsidR="00FC3081" w:rsidRPr="00FB6E9A">
                <w:rPr>
                  <w:rFonts w:ascii="Trebuchet MS" w:eastAsia="Times New Roman" w:hAnsi="Trebuchet MS" w:cs="Arial"/>
                  <w:sz w:val="22"/>
                  <w:szCs w:val="22"/>
                </w:rPr>
                <w:t>Nr. 4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11.</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GREEN RESOURCES MANAGEMENT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www.greenresources.ro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62" w:tgtFrame="_blank" w:history="1">
              <w:r w:rsidR="00FC3081" w:rsidRPr="00FB6E9A">
                <w:rPr>
                  <w:rFonts w:ascii="Trebuchet MS" w:eastAsia="Times New Roman" w:hAnsi="Trebuchet MS" w:cs="Arial"/>
                  <w:sz w:val="22"/>
                  <w:szCs w:val="22"/>
                </w:rPr>
                <w:t>Nr. 9 din iunie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12.</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GREENPOINT MANAGEMENT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www.greenpoints.ro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63" w:tgtFrame="_blank" w:history="1">
              <w:r w:rsidR="00FC3081" w:rsidRPr="00FB6E9A">
                <w:rPr>
                  <w:rFonts w:ascii="Trebuchet MS" w:eastAsia="Times New Roman" w:hAnsi="Trebuchet MS" w:cs="Arial"/>
                  <w:sz w:val="22"/>
                  <w:szCs w:val="22"/>
                </w:rPr>
                <w:t>Nr. 2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trHeight w:val="543"/>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13.</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MARATHON EPR GROUP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www.marathonepr.ro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64" w:tgtFrame="_blank" w:history="1">
              <w:r w:rsidR="00FC3081" w:rsidRPr="00FB6E9A">
                <w:rPr>
                  <w:rFonts w:ascii="Trebuchet MS" w:eastAsia="Times New Roman" w:hAnsi="Trebuchet MS" w:cs="Arial"/>
                  <w:sz w:val="22"/>
                  <w:szCs w:val="22"/>
                </w:rPr>
                <w:t>Nr. 8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14.</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PARTSLIFE PACKAGING DISPOSAL SERVICE ROMANIA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www.partslife.ro</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291812" w:rsidP="00913BC5">
            <w:pPr>
              <w:spacing w:after="150"/>
              <w:jc w:val="center"/>
              <w:rPr>
                <w:rFonts w:ascii="Trebuchet MS" w:hAnsi="Trebuchet MS"/>
                <w:sz w:val="22"/>
                <w:szCs w:val="22"/>
              </w:rPr>
            </w:pPr>
            <w:hyperlink r:id="rId165" w:tgtFrame="_blank" w:history="1">
              <w:r w:rsidR="00FC3081" w:rsidRPr="00FB6E9A">
                <w:rPr>
                  <w:rFonts w:ascii="Trebuchet MS" w:eastAsia="Times New Roman" w:hAnsi="Trebuchet MS" w:cs="Arial"/>
                  <w:sz w:val="22"/>
                  <w:szCs w:val="22"/>
                </w:rPr>
                <w:t>Nr. 16 din mai 2022</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r w:rsidR="00FC3081" w:rsidRPr="00FB6E9A" w:rsidTr="00913BC5">
        <w:trPr>
          <w:jc w:val="center"/>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15.</w:t>
            </w:r>
          </w:p>
        </w:tc>
        <w:tc>
          <w:tcPr>
            <w:tcW w:w="346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b/>
                <w:bCs/>
                <w:sz w:val="22"/>
                <w:szCs w:val="22"/>
              </w:rPr>
              <w:t>RECICLAD' OR S.A.</w:t>
            </w:r>
          </w:p>
        </w:tc>
        <w:tc>
          <w:tcPr>
            <w:tcW w:w="3600" w:type="dxa"/>
            <w:tcBorders>
              <w:top w:val="outset" w:sz="6" w:space="0" w:color="auto"/>
              <w:left w:val="outset" w:sz="6" w:space="0" w:color="auto"/>
              <w:bottom w:val="outset" w:sz="6" w:space="0" w:color="auto"/>
              <w:right w:val="outset" w:sz="6" w:space="0" w:color="auto"/>
            </w:tcBorders>
            <w:shd w:val="clear" w:color="auto" w:fill="FFFFFF"/>
            <w:vAlign w:val="center"/>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pacing w:val="15"/>
                <w:sz w:val="22"/>
                <w:szCs w:val="22"/>
              </w:rPr>
              <w:t>www.reciclador.green</w:t>
            </w:r>
          </w:p>
        </w:tc>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291812" w:rsidP="00913BC5">
            <w:pPr>
              <w:spacing w:after="150"/>
              <w:jc w:val="center"/>
              <w:rPr>
                <w:rFonts w:ascii="Trebuchet MS" w:eastAsia="Times New Roman" w:hAnsi="Trebuchet MS" w:cs="Arial"/>
                <w:sz w:val="22"/>
                <w:szCs w:val="22"/>
              </w:rPr>
            </w:pPr>
            <w:hyperlink r:id="rId166" w:tgtFrame="_blank" w:history="1">
              <w:r w:rsidR="00FC3081" w:rsidRPr="00FB6E9A">
                <w:rPr>
                  <w:rFonts w:ascii="Trebuchet MS" w:eastAsia="Times New Roman" w:hAnsi="Trebuchet MS" w:cs="Arial"/>
                  <w:sz w:val="22"/>
                  <w:szCs w:val="22"/>
                </w:rPr>
                <w:t>Nr. 7 din mai 2019</w:t>
              </w:r>
            </w:hyperlink>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C3081" w:rsidRPr="00FB6E9A" w:rsidRDefault="00FC3081" w:rsidP="00913BC5">
            <w:pPr>
              <w:spacing w:after="150"/>
              <w:jc w:val="center"/>
              <w:rPr>
                <w:rFonts w:ascii="Trebuchet MS" w:eastAsia="Times New Roman" w:hAnsi="Trebuchet MS" w:cs="Arial"/>
                <w:sz w:val="22"/>
                <w:szCs w:val="22"/>
              </w:rPr>
            </w:pPr>
            <w:r w:rsidRPr="00FB6E9A">
              <w:rPr>
                <w:rFonts w:ascii="Trebuchet MS" w:eastAsia="Times New Roman" w:hAnsi="Trebuchet MS" w:cs="Arial"/>
                <w:sz w:val="22"/>
                <w:szCs w:val="22"/>
              </w:rPr>
              <w:t>Nivel național</w:t>
            </w:r>
          </w:p>
        </w:tc>
      </w:tr>
    </w:tbl>
    <w:p w:rsidR="00FC3081" w:rsidRPr="00801AF9" w:rsidRDefault="00FC3081" w:rsidP="00FC3081">
      <w:pPr>
        <w:jc w:val="both"/>
        <w:rPr>
          <w:rFonts w:ascii="Arial" w:hAnsi="Arial" w:cs="Arial"/>
          <w:color w:val="00B050"/>
          <w:lang w:val="ro-RO"/>
        </w:rPr>
      </w:pPr>
    </w:p>
    <w:p w:rsidR="00FC3081" w:rsidRPr="00801AF9" w:rsidRDefault="00FC3081" w:rsidP="00FC3081">
      <w:pPr>
        <w:jc w:val="both"/>
        <w:rPr>
          <w:rFonts w:ascii="Arial" w:hAnsi="Arial" w:cs="Arial"/>
          <w:color w:val="00B050"/>
          <w:lang w:val="ro-RO"/>
        </w:rPr>
      </w:pPr>
      <w:r w:rsidRPr="00801AF9">
        <w:rPr>
          <w:noProof/>
          <w:color w:val="00B050"/>
          <w:lang w:val="en-US"/>
        </w:rPr>
        <w:drawing>
          <wp:inline distT="0" distB="0" distL="0" distR="0" wp14:anchorId="59A368C9" wp14:editId="6CF7C786">
            <wp:extent cx="6296025" cy="4619625"/>
            <wp:effectExtent l="0" t="0" r="9525" b="9525"/>
            <wp:docPr id="53"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FC3081" w:rsidRPr="00801AF9" w:rsidRDefault="00FC3081" w:rsidP="00FC3081">
      <w:pPr>
        <w:jc w:val="both"/>
        <w:rPr>
          <w:rFonts w:ascii="Arial" w:hAnsi="Arial" w:cs="Arial"/>
          <w:color w:val="00B050"/>
          <w:lang w:val="ro-RO"/>
        </w:rPr>
      </w:pPr>
    </w:p>
    <w:p w:rsidR="00FC3081" w:rsidRPr="00FB6E9A" w:rsidRDefault="00FC3081" w:rsidP="00FC3081">
      <w:pPr>
        <w:jc w:val="both"/>
        <w:rPr>
          <w:rFonts w:ascii="Trebuchet MS" w:hAnsi="Trebuchet MS" w:cs="Arial"/>
          <w:b/>
          <w:sz w:val="22"/>
          <w:szCs w:val="22"/>
          <w:lang w:val="ro-RO"/>
        </w:rPr>
      </w:pPr>
      <w:r w:rsidRPr="00FB6E9A">
        <w:rPr>
          <w:rFonts w:ascii="Trebuchet MS" w:hAnsi="Trebuchet MS" w:cs="Arial"/>
          <w:b/>
          <w:sz w:val="22"/>
          <w:szCs w:val="22"/>
          <w:u w:val="single"/>
          <w:lang w:val="ro-RO"/>
        </w:rPr>
        <w:t>Numărul de locuitori (care s-au luat in calcul), la nivel naţional</w:t>
      </w:r>
      <w:r w:rsidRPr="00FB6E9A">
        <w:rPr>
          <w:rFonts w:ascii="Trebuchet MS" w:hAnsi="Trebuchet MS" w:cs="Arial"/>
          <w:b/>
          <w:sz w:val="22"/>
          <w:szCs w:val="22"/>
          <w:lang w:val="ro-RO"/>
        </w:rPr>
        <w:t>, pentru anii 2016 - 2020:</w:t>
      </w:r>
    </w:p>
    <w:p w:rsidR="00FC3081" w:rsidRPr="00FB6E9A" w:rsidRDefault="00FC3081" w:rsidP="00FC3081">
      <w:pPr>
        <w:jc w:val="both"/>
        <w:rPr>
          <w:rFonts w:ascii="Trebuchet MS" w:hAnsi="Trebuchet MS" w:cs="Arial"/>
          <w:sz w:val="22"/>
          <w:szCs w:val="22"/>
          <w:lang w:val="ro-RO"/>
        </w:rPr>
      </w:pPr>
    </w:p>
    <w:p w:rsidR="00FC3081" w:rsidRPr="00FB6E9A" w:rsidRDefault="00FC3081" w:rsidP="00FC3081">
      <w:pPr>
        <w:numPr>
          <w:ilvl w:val="0"/>
          <w:numId w:val="63"/>
        </w:numPr>
        <w:ind w:left="360"/>
        <w:contextualSpacing/>
        <w:jc w:val="both"/>
        <w:rPr>
          <w:rFonts w:ascii="Trebuchet MS" w:eastAsia="Times New Roman" w:hAnsi="Trebuchet MS" w:cs="Arial"/>
          <w:sz w:val="22"/>
          <w:szCs w:val="22"/>
          <w:lang w:val="ro-RO"/>
        </w:rPr>
      </w:pPr>
      <w:r w:rsidRPr="00FB6E9A">
        <w:rPr>
          <w:rFonts w:ascii="Trebuchet MS" w:eastAsia="Times New Roman" w:hAnsi="Trebuchet MS" w:cs="Arial"/>
          <w:b/>
          <w:sz w:val="22"/>
          <w:szCs w:val="22"/>
          <w:lang w:val="ro-RO"/>
        </w:rPr>
        <w:t>2016</w:t>
      </w:r>
      <w:r w:rsidRPr="00FB6E9A">
        <w:rPr>
          <w:rFonts w:ascii="Trebuchet MS" w:eastAsia="Times New Roman" w:hAnsi="Trebuchet MS" w:cs="Arial"/>
          <w:sz w:val="22"/>
          <w:szCs w:val="22"/>
          <w:lang w:val="ro-RO"/>
        </w:rPr>
        <w:t>: 19.760.314</w:t>
      </w:r>
    </w:p>
    <w:p w:rsidR="00FC3081" w:rsidRPr="00FB6E9A" w:rsidRDefault="00FC3081" w:rsidP="00FC3081">
      <w:pPr>
        <w:numPr>
          <w:ilvl w:val="0"/>
          <w:numId w:val="63"/>
        </w:numPr>
        <w:ind w:left="360"/>
        <w:contextualSpacing/>
        <w:jc w:val="both"/>
        <w:rPr>
          <w:rFonts w:ascii="Trebuchet MS" w:eastAsia="Times New Roman" w:hAnsi="Trebuchet MS" w:cs="Arial"/>
          <w:sz w:val="22"/>
          <w:szCs w:val="22"/>
          <w:lang w:val="ro-RO"/>
        </w:rPr>
      </w:pPr>
      <w:r w:rsidRPr="00FB6E9A">
        <w:rPr>
          <w:rFonts w:ascii="Trebuchet MS" w:eastAsia="Times New Roman" w:hAnsi="Trebuchet MS" w:cs="Arial"/>
          <w:b/>
          <w:sz w:val="22"/>
          <w:szCs w:val="22"/>
          <w:lang w:val="ro-RO"/>
        </w:rPr>
        <w:t>2017</w:t>
      </w:r>
      <w:r w:rsidRPr="00FB6E9A">
        <w:rPr>
          <w:rFonts w:ascii="Trebuchet MS" w:eastAsia="Times New Roman" w:hAnsi="Trebuchet MS" w:cs="Arial"/>
          <w:sz w:val="22"/>
          <w:szCs w:val="22"/>
          <w:lang w:val="ro-RO"/>
        </w:rPr>
        <w:t>: 19.644.350</w:t>
      </w:r>
    </w:p>
    <w:p w:rsidR="00FC3081" w:rsidRPr="00FB6E9A" w:rsidRDefault="00FC3081" w:rsidP="00FC3081">
      <w:pPr>
        <w:numPr>
          <w:ilvl w:val="0"/>
          <w:numId w:val="63"/>
        </w:numPr>
        <w:ind w:left="360"/>
        <w:contextualSpacing/>
        <w:jc w:val="both"/>
        <w:rPr>
          <w:rFonts w:ascii="Trebuchet MS" w:eastAsia="Times New Roman" w:hAnsi="Trebuchet MS" w:cs="Arial"/>
          <w:sz w:val="22"/>
          <w:szCs w:val="22"/>
          <w:lang w:val="ro-RO"/>
        </w:rPr>
      </w:pPr>
      <w:r w:rsidRPr="00FB6E9A">
        <w:rPr>
          <w:rFonts w:ascii="Trebuchet MS" w:eastAsia="Times New Roman" w:hAnsi="Trebuchet MS" w:cs="Arial"/>
          <w:b/>
          <w:sz w:val="22"/>
          <w:szCs w:val="22"/>
          <w:lang w:val="ro-RO"/>
        </w:rPr>
        <w:t>2018</w:t>
      </w:r>
      <w:r w:rsidRPr="00FB6E9A">
        <w:rPr>
          <w:rFonts w:ascii="Trebuchet MS" w:eastAsia="Times New Roman" w:hAnsi="Trebuchet MS" w:cs="Arial"/>
          <w:sz w:val="22"/>
          <w:szCs w:val="22"/>
          <w:lang w:val="ro-RO"/>
        </w:rPr>
        <w:t>: 19.530.631</w:t>
      </w:r>
    </w:p>
    <w:p w:rsidR="00FC3081" w:rsidRPr="00FB6E9A" w:rsidRDefault="00FC3081" w:rsidP="00FC3081">
      <w:pPr>
        <w:numPr>
          <w:ilvl w:val="0"/>
          <w:numId w:val="63"/>
        </w:numPr>
        <w:ind w:left="360"/>
        <w:contextualSpacing/>
        <w:jc w:val="both"/>
        <w:rPr>
          <w:rFonts w:ascii="Trebuchet MS" w:eastAsia="Times New Roman" w:hAnsi="Trebuchet MS" w:cs="Arial"/>
          <w:sz w:val="22"/>
          <w:szCs w:val="22"/>
          <w:lang w:val="ro-RO"/>
        </w:rPr>
      </w:pPr>
      <w:r w:rsidRPr="00FB6E9A">
        <w:rPr>
          <w:rFonts w:ascii="Trebuchet MS" w:eastAsia="Times New Roman" w:hAnsi="Trebuchet MS" w:cs="Arial"/>
          <w:b/>
          <w:sz w:val="22"/>
          <w:szCs w:val="22"/>
          <w:lang w:val="ro-RO"/>
        </w:rPr>
        <w:t>2019</w:t>
      </w:r>
      <w:r w:rsidRPr="00FB6E9A">
        <w:rPr>
          <w:rFonts w:ascii="Trebuchet MS" w:eastAsia="Times New Roman" w:hAnsi="Trebuchet MS" w:cs="Arial"/>
          <w:sz w:val="22"/>
          <w:szCs w:val="22"/>
          <w:lang w:val="ro-RO"/>
        </w:rPr>
        <w:t>: 19.375.835</w:t>
      </w:r>
    </w:p>
    <w:p w:rsidR="00FC3081" w:rsidRPr="00FB6E9A" w:rsidRDefault="00FC3081" w:rsidP="00FC3081">
      <w:pPr>
        <w:numPr>
          <w:ilvl w:val="0"/>
          <w:numId w:val="63"/>
        </w:numPr>
        <w:ind w:left="360"/>
        <w:contextualSpacing/>
        <w:jc w:val="both"/>
        <w:rPr>
          <w:rFonts w:ascii="Trebuchet MS" w:eastAsia="Times New Roman" w:hAnsi="Trebuchet MS" w:cs="Arial"/>
          <w:sz w:val="22"/>
          <w:szCs w:val="22"/>
          <w:lang w:val="ro-RO"/>
        </w:rPr>
      </w:pPr>
      <w:r w:rsidRPr="00FB6E9A">
        <w:rPr>
          <w:rFonts w:ascii="Trebuchet MS" w:eastAsia="Times New Roman" w:hAnsi="Trebuchet MS" w:cs="Arial"/>
          <w:b/>
          <w:sz w:val="22"/>
          <w:szCs w:val="22"/>
          <w:lang w:val="ro-RO"/>
        </w:rPr>
        <w:t>2020</w:t>
      </w:r>
      <w:r w:rsidRPr="00FB6E9A">
        <w:rPr>
          <w:rFonts w:ascii="Trebuchet MS" w:eastAsia="Times New Roman" w:hAnsi="Trebuchet MS" w:cs="Arial"/>
          <w:sz w:val="22"/>
          <w:szCs w:val="22"/>
          <w:lang w:val="ro-RO"/>
        </w:rPr>
        <w:t>: 19.442.038</w:t>
      </w:r>
    </w:p>
    <w:p w:rsidR="00FC3081" w:rsidRPr="00FB6E9A" w:rsidRDefault="00FC3081" w:rsidP="00FC3081">
      <w:pPr>
        <w:jc w:val="both"/>
        <w:rPr>
          <w:rFonts w:ascii="Trebuchet MS" w:hAnsi="Trebuchet MS" w:cs="Arial"/>
          <w:sz w:val="22"/>
          <w:szCs w:val="22"/>
          <w:lang w:val="ro-RO"/>
        </w:rPr>
      </w:pPr>
    </w:p>
    <w:p w:rsidR="00FC3081" w:rsidRPr="00FB6E9A" w:rsidRDefault="00FC3081" w:rsidP="00FC3081">
      <w:pPr>
        <w:jc w:val="both"/>
        <w:rPr>
          <w:rFonts w:ascii="Trebuchet MS" w:hAnsi="Trebuchet MS" w:cs="Arial"/>
          <w:b/>
          <w:i/>
          <w:sz w:val="22"/>
          <w:szCs w:val="22"/>
          <w:lang w:val="ro-RO"/>
        </w:rPr>
      </w:pPr>
      <w:r w:rsidRPr="00FB6E9A">
        <w:rPr>
          <w:rFonts w:ascii="Trebuchet MS" w:hAnsi="Trebuchet MS" w:cs="Arial"/>
          <w:b/>
          <w:i/>
          <w:sz w:val="22"/>
          <w:szCs w:val="22"/>
          <w:lang w:val="ro-RO"/>
        </w:rPr>
        <w:t>Cantităţile de deşeuri de ambalaje raportate ca reciclate/valorificate în municipiul Bucureşti, nu sunt reprezentative deoarece aceste deşeuri de ambalaje sunt generate şi în alte judeţe în care nu există reciclatori de astfel de deşeuri.</w:t>
      </w:r>
    </w:p>
    <w:p w:rsidR="00FC3081" w:rsidRPr="00FB6E9A" w:rsidRDefault="00FC3081" w:rsidP="00FC3081">
      <w:pPr>
        <w:jc w:val="both"/>
        <w:rPr>
          <w:rFonts w:ascii="Trebuchet MS" w:hAnsi="Trebuchet MS" w:cs="Arial"/>
          <w:sz w:val="22"/>
          <w:szCs w:val="22"/>
          <w:lang w:val="ro-RO"/>
        </w:rPr>
      </w:pPr>
    </w:p>
    <w:p w:rsidR="00FC3081" w:rsidRPr="00FB6E9A" w:rsidRDefault="00FC3081" w:rsidP="00FC3081">
      <w:pPr>
        <w:jc w:val="both"/>
        <w:rPr>
          <w:rFonts w:ascii="Trebuchet MS" w:hAnsi="Trebuchet MS" w:cs="Arial"/>
          <w:sz w:val="22"/>
          <w:szCs w:val="22"/>
          <w:lang w:val="ro-RO"/>
        </w:rPr>
      </w:pPr>
      <w:r w:rsidRPr="00FB6E9A">
        <w:rPr>
          <w:rFonts w:ascii="Trebuchet MS" w:hAnsi="Trebuchet MS" w:cs="Arial"/>
          <w:sz w:val="22"/>
          <w:szCs w:val="22"/>
          <w:lang w:val="ro-RO"/>
        </w:rPr>
        <w:t xml:space="preserve">Mai jos sunt prezentate </w:t>
      </w:r>
      <w:r w:rsidRPr="00FB6E9A">
        <w:rPr>
          <w:rFonts w:ascii="Trebuchet MS" w:hAnsi="Trebuchet MS" w:cs="Arial"/>
          <w:b/>
          <w:sz w:val="22"/>
          <w:szCs w:val="22"/>
          <w:u w:val="single"/>
          <w:lang w:val="ro-RO"/>
        </w:rPr>
        <w:t>cantităţile de deşeuri de ambalaje colectate</w:t>
      </w:r>
      <w:r w:rsidRPr="00FB6E9A">
        <w:rPr>
          <w:rFonts w:ascii="Trebuchet MS" w:hAnsi="Trebuchet MS" w:cs="Arial"/>
          <w:sz w:val="22"/>
          <w:szCs w:val="22"/>
          <w:lang w:val="ro-RO"/>
        </w:rPr>
        <w:t xml:space="preserve">, la nivelul municipiului Bucureşti, în </w:t>
      </w:r>
      <w:r w:rsidRPr="00FB6E9A">
        <w:rPr>
          <w:rFonts w:ascii="Trebuchet MS" w:hAnsi="Trebuchet MS" w:cs="Arial"/>
          <w:b/>
          <w:sz w:val="22"/>
          <w:szCs w:val="22"/>
          <w:lang w:val="ro-RO"/>
        </w:rPr>
        <w:t>perioada 2018 - 2022</w:t>
      </w:r>
      <w:r w:rsidRPr="00FB6E9A">
        <w:rPr>
          <w:rFonts w:ascii="Trebuchet MS" w:hAnsi="Trebuchet MS" w:cs="Arial"/>
          <w:sz w:val="22"/>
          <w:szCs w:val="22"/>
          <w:lang w:val="ro-RO"/>
        </w:rPr>
        <w:t>:</w:t>
      </w:r>
    </w:p>
    <w:p w:rsidR="00FC3081" w:rsidRPr="00FB6E9A" w:rsidRDefault="00FC3081" w:rsidP="00FC3081">
      <w:pPr>
        <w:jc w:val="both"/>
        <w:rPr>
          <w:rFonts w:ascii="Trebuchet MS" w:hAnsi="Trebuchet MS" w:cs="Arial"/>
          <w:sz w:val="22"/>
          <w:szCs w:val="22"/>
          <w:lang w:val="ro-RO"/>
        </w:rPr>
      </w:pP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Anul 2018: 65310,78 tone</w:t>
      </w: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Anul 2019: 63777,78 tone</w:t>
      </w: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Anul 2020: 60281,19 tone</w:t>
      </w: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Anul 2021: 48563,57 tone</w:t>
      </w:r>
    </w:p>
    <w:p w:rsidR="00FC3081" w:rsidRPr="00FB6E9A" w:rsidRDefault="00FC3081" w:rsidP="00FC3081">
      <w:pPr>
        <w:jc w:val="both"/>
        <w:rPr>
          <w:rFonts w:ascii="Trebuchet MS" w:hAnsi="Trebuchet MS" w:cs="Arial"/>
          <w:b/>
          <w:sz w:val="22"/>
          <w:szCs w:val="22"/>
        </w:rPr>
      </w:pPr>
      <w:r w:rsidRPr="00FB6E9A">
        <w:rPr>
          <w:rFonts w:ascii="Trebuchet MS" w:hAnsi="Trebuchet MS" w:cs="Arial"/>
          <w:b/>
          <w:sz w:val="22"/>
          <w:szCs w:val="22"/>
        </w:rPr>
        <w:t>Anul 2022: 50420,45 tone</w:t>
      </w: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sz w:val="22"/>
          <w:szCs w:val="22"/>
        </w:rPr>
      </w:pPr>
    </w:p>
    <w:p w:rsidR="00FC3081" w:rsidRPr="00FB6E9A" w:rsidRDefault="00FC3081" w:rsidP="00FC3081">
      <w:pPr>
        <w:jc w:val="both"/>
        <w:rPr>
          <w:rFonts w:ascii="Trebuchet MS" w:hAnsi="Trebuchet MS" w:cs="Arial"/>
          <w:sz w:val="22"/>
          <w:szCs w:val="22"/>
        </w:rPr>
      </w:pPr>
    </w:p>
    <w:p w:rsidR="00FC3081" w:rsidRPr="00801AF9" w:rsidRDefault="00FC3081" w:rsidP="00FC3081">
      <w:pPr>
        <w:jc w:val="center"/>
        <w:rPr>
          <w:rFonts w:ascii="Arial" w:hAnsi="Arial" w:cs="Arial"/>
          <w:color w:val="00B050"/>
        </w:rPr>
      </w:pPr>
      <w:r w:rsidRPr="00801AF9">
        <w:rPr>
          <w:rFonts w:ascii="Arial" w:hAnsi="Arial" w:cs="Arial"/>
          <w:noProof/>
          <w:color w:val="00B050"/>
          <w:lang w:val="en-US"/>
        </w:rPr>
        <w:drawing>
          <wp:inline distT="0" distB="0" distL="0" distR="0" wp14:anchorId="78AE5E15" wp14:editId="545C35F4">
            <wp:extent cx="6096000" cy="3609975"/>
            <wp:effectExtent l="0" t="0" r="0" b="9525"/>
            <wp:docPr id="54"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FC3081" w:rsidRPr="00801AF9" w:rsidRDefault="00FC3081" w:rsidP="00FC3081">
      <w:pPr>
        <w:rPr>
          <w:rFonts w:ascii="Arial" w:hAnsi="Arial" w:cs="Arial"/>
          <w:color w:val="00B050"/>
        </w:rPr>
      </w:pPr>
    </w:p>
    <w:p w:rsidR="00FC3081" w:rsidRPr="00FB6E9A" w:rsidRDefault="00FC3081" w:rsidP="00FC3081">
      <w:pPr>
        <w:rPr>
          <w:rFonts w:ascii="Trebuchet MS" w:hAnsi="Trebuchet MS" w:cs="Arial"/>
          <w:sz w:val="22"/>
          <w:szCs w:val="22"/>
        </w:rPr>
      </w:pPr>
    </w:p>
    <w:p w:rsidR="00FC3081" w:rsidRPr="00FB6E9A" w:rsidRDefault="00FC3081" w:rsidP="00FC3081">
      <w:pPr>
        <w:spacing w:line="360" w:lineRule="auto"/>
        <w:jc w:val="center"/>
        <w:rPr>
          <w:rFonts w:ascii="Trebuchet MS" w:hAnsi="Trebuchet MS" w:cs="Arial"/>
          <w:b/>
          <w:sz w:val="22"/>
          <w:szCs w:val="22"/>
          <w:u w:val="single"/>
        </w:rPr>
      </w:pPr>
      <w:r w:rsidRPr="00FB6E9A">
        <w:rPr>
          <w:rFonts w:ascii="Trebuchet MS" w:hAnsi="Trebuchet MS" w:cs="Arial"/>
          <w:b/>
          <w:sz w:val="22"/>
          <w:szCs w:val="22"/>
          <w:u w:val="single"/>
        </w:rPr>
        <w:t>OBIECTIVELE ÎNDEPLINITE, LA NIVEL NAŢIONAL, PRIVIND RECICLAREA/VALORIFICAREA DEŞEURILOR DE AMBALAJE, PE MATERIALE, LA NIVELUL ANULUI 2020</w:t>
      </w:r>
    </w:p>
    <w:p w:rsidR="00FC3081" w:rsidRPr="00FB6E9A" w:rsidRDefault="00FC3081" w:rsidP="00FC3081">
      <w:pPr>
        <w:spacing w:line="360" w:lineRule="auto"/>
        <w:rPr>
          <w:rFonts w:ascii="Trebuchet MS" w:hAnsi="Trebuchet MS" w:cs="Arial"/>
          <w:sz w:val="22"/>
          <w:szCs w:val="22"/>
        </w:rPr>
      </w:pPr>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5"/>
        <w:gridCol w:w="2740"/>
        <w:gridCol w:w="2950"/>
      </w:tblGrid>
      <w:tr w:rsidR="00FC3081" w:rsidRPr="00FB6E9A" w:rsidTr="00913BC5">
        <w:trPr>
          <w:trHeight w:val="503"/>
          <w:jc w:val="center"/>
        </w:trPr>
        <w:tc>
          <w:tcPr>
            <w:tcW w:w="3215" w:type="dxa"/>
            <w:shd w:val="clear" w:color="auto" w:fill="8DB3E2"/>
            <w:vAlign w:val="center"/>
            <w:hideMark/>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MATERIAL</w:t>
            </w:r>
          </w:p>
        </w:tc>
        <w:tc>
          <w:tcPr>
            <w:tcW w:w="2740" w:type="dxa"/>
            <w:shd w:val="clear" w:color="auto" w:fill="8DB3E2"/>
            <w:vAlign w:val="center"/>
            <w:hideMark/>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CANTITATE DESEURI DE AMBALAJE VALORIFICATE</w:t>
            </w:r>
          </w:p>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(TONE)</w:t>
            </w:r>
          </w:p>
        </w:tc>
        <w:tc>
          <w:tcPr>
            <w:tcW w:w="2950" w:type="dxa"/>
            <w:shd w:val="clear" w:color="auto" w:fill="8DB3E2"/>
            <w:vAlign w:val="center"/>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CANTITATE DESEURI DE AMBALAJE RECICLATE</w:t>
            </w:r>
          </w:p>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(TONE)</w:t>
            </w:r>
          </w:p>
        </w:tc>
      </w:tr>
      <w:tr w:rsidR="00FC3081" w:rsidRPr="00FB6E9A" w:rsidTr="00913BC5">
        <w:trPr>
          <w:trHeight w:val="300"/>
          <w:jc w:val="center"/>
        </w:trPr>
        <w:tc>
          <w:tcPr>
            <w:tcW w:w="3215" w:type="dxa"/>
            <w:shd w:val="clear" w:color="000000" w:fill="FFFFFF"/>
            <w:noWrap/>
            <w:vAlign w:val="center"/>
            <w:hideMark/>
          </w:tcPr>
          <w:p w:rsidR="00FC3081" w:rsidRPr="00FB6E9A" w:rsidRDefault="00FC3081" w:rsidP="00913BC5">
            <w:pPr>
              <w:rPr>
                <w:rFonts w:ascii="Trebuchet MS" w:eastAsia="Times New Roman" w:hAnsi="Trebuchet MS" w:cs="Arial"/>
                <w:b/>
                <w:sz w:val="22"/>
                <w:szCs w:val="22"/>
              </w:rPr>
            </w:pPr>
            <w:r w:rsidRPr="00FB6E9A">
              <w:rPr>
                <w:rFonts w:ascii="Trebuchet MS" w:eastAsia="Times New Roman" w:hAnsi="Trebuchet MS" w:cs="Arial"/>
                <w:b/>
                <w:sz w:val="22"/>
                <w:szCs w:val="22"/>
              </w:rPr>
              <w:t>STICLA</w:t>
            </w:r>
          </w:p>
        </w:tc>
        <w:tc>
          <w:tcPr>
            <w:tcW w:w="2740" w:type="dxa"/>
            <w:shd w:val="clear" w:color="000000" w:fill="FFFFFF"/>
            <w:noWrap/>
            <w:vAlign w:val="center"/>
            <w:hideMark/>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174226</w:t>
            </w:r>
          </w:p>
        </w:tc>
        <w:tc>
          <w:tcPr>
            <w:tcW w:w="2950" w:type="dxa"/>
            <w:shd w:val="clear" w:color="000000" w:fill="FFFFFF"/>
            <w:vAlign w:val="center"/>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174226</w:t>
            </w:r>
          </w:p>
        </w:tc>
      </w:tr>
      <w:tr w:rsidR="00FC3081" w:rsidRPr="00FB6E9A" w:rsidTr="00913BC5">
        <w:trPr>
          <w:trHeight w:val="300"/>
          <w:jc w:val="center"/>
        </w:trPr>
        <w:tc>
          <w:tcPr>
            <w:tcW w:w="3215" w:type="dxa"/>
            <w:shd w:val="clear" w:color="000000" w:fill="FFFFFF"/>
            <w:noWrap/>
            <w:vAlign w:val="center"/>
            <w:hideMark/>
          </w:tcPr>
          <w:p w:rsidR="00FC3081" w:rsidRPr="00FB6E9A" w:rsidRDefault="00FC3081" w:rsidP="00913BC5">
            <w:pPr>
              <w:rPr>
                <w:rFonts w:ascii="Trebuchet MS" w:eastAsia="Times New Roman" w:hAnsi="Trebuchet MS" w:cs="Arial"/>
                <w:b/>
                <w:bCs/>
                <w:sz w:val="22"/>
                <w:szCs w:val="22"/>
              </w:rPr>
            </w:pPr>
            <w:r w:rsidRPr="00FB6E9A">
              <w:rPr>
                <w:rFonts w:ascii="Trebuchet MS" w:eastAsia="Times New Roman" w:hAnsi="Trebuchet MS" w:cs="Arial"/>
                <w:b/>
                <w:bCs/>
                <w:sz w:val="22"/>
                <w:szCs w:val="22"/>
              </w:rPr>
              <w:t>PLASTIC</w:t>
            </w:r>
          </w:p>
        </w:tc>
        <w:tc>
          <w:tcPr>
            <w:tcW w:w="2740" w:type="dxa"/>
            <w:shd w:val="clear" w:color="000000" w:fill="FFFFFF"/>
            <w:noWrap/>
            <w:vAlign w:val="center"/>
            <w:hideMark/>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177635</w:t>
            </w:r>
          </w:p>
        </w:tc>
        <w:tc>
          <w:tcPr>
            <w:tcW w:w="2950" w:type="dxa"/>
            <w:shd w:val="clear" w:color="000000" w:fill="FFFFFF"/>
            <w:vAlign w:val="center"/>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144437</w:t>
            </w:r>
          </w:p>
        </w:tc>
      </w:tr>
      <w:tr w:rsidR="00FC3081" w:rsidRPr="00FB6E9A" w:rsidTr="00913BC5">
        <w:trPr>
          <w:trHeight w:val="300"/>
          <w:jc w:val="center"/>
        </w:trPr>
        <w:tc>
          <w:tcPr>
            <w:tcW w:w="3215" w:type="dxa"/>
            <w:shd w:val="clear" w:color="000000" w:fill="FFFFFF"/>
            <w:noWrap/>
            <w:vAlign w:val="center"/>
            <w:hideMark/>
          </w:tcPr>
          <w:p w:rsidR="00FC3081" w:rsidRPr="00FB6E9A" w:rsidRDefault="00FC3081" w:rsidP="00913BC5">
            <w:pPr>
              <w:rPr>
                <w:rFonts w:ascii="Trebuchet MS" w:eastAsia="Times New Roman" w:hAnsi="Trebuchet MS" w:cs="Arial"/>
                <w:b/>
                <w:sz w:val="22"/>
                <w:szCs w:val="22"/>
              </w:rPr>
            </w:pPr>
            <w:r w:rsidRPr="00FB6E9A">
              <w:rPr>
                <w:rFonts w:ascii="Trebuchet MS" w:eastAsia="Times New Roman" w:hAnsi="Trebuchet MS" w:cs="Arial"/>
                <w:b/>
                <w:sz w:val="22"/>
                <w:szCs w:val="22"/>
              </w:rPr>
              <w:t>HARTIE SI CARTON</w:t>
            </w:r>
          </w:p>
        </w:tc>
        <w:tc>
          <w:tcPr>
            <w:tcW w:w="2740" w:type="dxa"/>
            <w:shd w:val="clear" w:color="000000" w:fill="FFFFFF"/>
            <w:noWrap/>
            <w:vAlign w:val="center"/>
            <w:hideMark/>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441789</w:t>
            </w:r>
          </w:p>
        </w:tc>
        <w:tc>
          <w:tcPr>
            <w:tcW w:w="2950" w:type="dxa"/>
            <w:shd w:val="clear" w:color="000000" w:fill="FFFFFF"/>
            <w:vAlign w:val="center"/>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431324</w:t>
            </w:r>
          </w:p>
        </w:tc>
      </w:tr>
      <w:tr w:rsidR="00FC3081" w:rsidRPr="00FB6E9A" w:rsidTr="00913BC5">
        <w:trPr>
          <w:trHeight w:val="300"/>
          <w:jc w:val="center"/>
        </w:trPr>
        <w:tc>
          <w:tcPr>
            <w:tcW w:w="3215" w:type="dxa"/>
            <w:shd w:val="clear" w:color="000000" w:fill="FFFFFF"/>
            <w:noWrap/>
            <w:vAlign w:val="center"/>
            <w:hideMark/>
          </w:tcPr>
          <w:p w:rsidR="00FC3081" w:rsidRPr="00FB6E9A" w:rsidRDefault="00FC3081" w:rsidP="00913BC5">
            <w:pPr>
              <w:rPr>
                <w:rFonts w:ascii="Trebuchet MS" w:eastAsia="Times New Roman" w:hAnsi="Trebuchet MS" w:cs="Arial"/>
                <w:b/>
                <w:bCs/>
                <w:sz w:val="22"/>
                <w:szCs w:val="22"/>
              </w:rPr>
            </w:pPr>
            <w:r w:rsidRPr="00FB6E9A">
              <w:rPr>
                <w:rFonts w:ascii="Trebuchet MS" w:eastAsia="Times New Roman" w:hAnsi="Trebuchet MS" w:cs="Arial"/>
                <w:b/>
                <w:bCs/>
                <w:sz w:val="22"/>
                <w:szCs w:val="22"/>
              </w:rPr>
              <w:t>METAL</w:t>
            </w:r>
          </w:p>
        </w:tc>
        <w:tc>
          <w:tcPr>
            <w:tcW w:w="2740" w:type="dxa"/>
            <w:shd w:val="clear" w:color="000000" w:fill="FFFFFF"/>
            <w:noWrap/>
            <w:vAlign w:val="center"/>
            <w:hideMark/>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48849</w:t>
            </w:r>
          </w:p>
        </w:tc>
        <w:tc>
          <w:tcPr>
            <w:tcW w:w="2950" w:type="dxa"/>
            <w:shd w:val="clear" w:color="000000" w:fill="FFFFFF"/>
            <w:vAlign w:val="center"/>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48849</w:t>
            </w:r>
          </w:p>
        </w:tc>
      </w:tr>
      <w:tr w:rsidR="00FC3081" w:rsidRPr="00FB6E9A" w:rsidTr="00913BC5">
        <w:trPr>
          <w:trHeight w:val="300"/>
          <w:jc w:val="center"/>
        </w:trPr>
        <w:tc>
          <w:tcPr>
            <w:tcW w:w="3215" w:type="dxa"/>
            <w:shd w:val="clear" w:color="000000" w:fill="FFFFFF"/>
            <w:noWrap/>
            <w:vAlign w:val="center"/>
            <w:hideMark/>
          </w:tcPr>
          <w:p w:rsidR="00FC3081" w:rsidRPr="00FB6E9A" w:rsidRDefault="00FC3081" w:rsidP="00913BC5">
            <w:pPr>
              <w:rPr>
                <w:rFonts w:ascii="Trebuchet MS" w:eastAsia="Times New Roman" w:hAnsi="Trebuchet MS" w:cs="Arial"/>
                <w:b/>
                <w:sz w:val="22"/>
                <w:szCs w:val="22"/>
              </w:rPr>
            </w:pPr>
            <w:r w:rsidRPr="00FB6E9A">
              <w:rPr>
                <w:rFonts w:ascii="Trebuchet MS" w:eastAsia="Times New Roman" w:hAnsi="Trebuchet MS" w:cs="Arial"/>
                <w:b/>
                <w:sz w:val="22"/>
                <w:szCs w:val="22"/>
              </w:rPr>
              <w:t>LEMN</w:t>
            </w:r>
          </w:p>
        </w:tc>
        <w:tc>
          <w:tcPr>
            <w:tcW w:w="2740" w:type="dxa"/>
            <w:shd w:val="clear" w:color="000000" w:fill="FFFFFF"/>
            <w:noWrap/>
            <w:vAlign w:val="center"/>
            <w:hideMark/>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110011</w:t>
            </w:r>
          </w:p>
        </w:tc>
        <w:tc>
          <w:tcPr>
            <w:tcW w:w="2950" w:type="dxa"/>
            <w:shd w:val="clear" w:color="000000" w:fill="FFFFFF"/>
            <w:vAlign w:val="center"/>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95119</w:t>
            </w:r>
          </w:p>
        </w:tc>
      </w:tr>
      <w:tr w:rsidR="00FC3081" w:rsidRPr="00FB6E9A" w:rsidTr="00913BC5">
        <w:trPr>
          <w:trHeight w:val="300"/>
          <w:jc w:val="center"/>
        </w:trPr>
        <w:tc>
          <w:tcPr>
            <w:tcW w:w="3215" w:type="dxa"/>
            <w:shd w:val="clear" w:color="000000" w:fill="FFFFFF"/>
            <w:noWrap/>
            <w:vAlign w:val="center"/>
          </w:tcPr>
          <w:p w:rsidR="00FC3081" w:rsidRPr="00FB6E9A" w:rsidRDefault="00FC3081" w:rsidP="00913BC5">
            <w:pPr>
              <w:rPr>
                <w:rFonts w:ascii="Trebuchet MS" w:eastAsia="Times New Roman" w:hAnsi="Trebuchet MS" w:cs="Arial"/>
                <w:b/>
                <w:sz w:val="22"/>
                <w:szCs w:val="22"/>
              </w:rPr>
            </w:pPr>
            <w:r w:rsidRPr="00FB6E9A">
              <w:rPr>
                <w:rFonts w:ascii="Trebuchet MS" w:eastAsia="Times New Roman" w:hAnsi="Trebuchet MS" w:cs="Arial"/>
                <w:b/>
                <w:sz w:val="22"/>
                <w:szCs w:val="22"/>
              </w:rPr>
              <w:t>ALTELE</w:t>
            </w:r>
          </w:p>
        </w:tc>
        <w:tc>
          <w:tcPr>
            <w:tcW w:w="2740" w:type="dxa"/>
            <w:shd w:val="clear" w:color="000000" w:fill="FFFFFF"/>
            <w:noWrap/>
            <w:vAlign w:val="center"/>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202</w:t>
            </w:r>
          </w:p>
        </w:tc>
        <w:tc>
          <w:tcPr>
            <w:tcW w:w="2950" w:type="dxa"/>
            <w:shd w:val="clear" w:color="000000" w:fill="FFFFFF"/>
            <w:vAlign w:val="center"/>
          </w:tcPr>
          <w:p w:rsidR="00FC3081" w:rsidRPr="00FB6E9A" w:rsidRDefault="00FC3081" w:rsidP="00913BC5">
            <w:pPr>
              <w:jc w:val="center"/>
              <w:rPr>
                <w:rFonts w:ascii="Trebuchet MS" w:eastAsia="Times New Roman" w:hAnsi="Trebuchet MS" w:cs="Arial"/>
                <w:b/>
                <w:sz w:val="22"/>
                <w:szCs w:val="22"/>
              </w:rPr>
            </w:pPr>
            <w:r w:rsidRPr="00FB6E9A">
              <w:rPr>
                <w:rFonts w:ascii="Trebuchet MS" w:eastAsia="Times New Roman" w:hAnsi="Trebuchet MS" w:cs="Arial"/>
                <w:b/>
                <w:sz w:val="22"/>
                <w:szCs w:val="22"/>
              </w:rPr>
              <w:t>0</w:t>
            </w:r>
          </w:p>
        </w:tc>
      </w:tr>
      <w:tr w:rsidR="00FC3081" w:rsidRPr="00FB6E9A" w:rsidTr="00913BC5">
        <w:trPr>
          <w:trHeight w:val="300"/>
          <w:jc w:val="center"/>
        </w:trPr>
        <w:tc>
          <w:tcPr>
            <w:tcW w:w="3215" w:type="dxa"/>
            <w:shd w:val="clear" w:color="000000" w:fill="FFFFFF"/>
            <w:noWrap/>
            <w:vAlign w:val="center"/>
          </w:tcPr>
          <w:p w:rsidR="00FC3081" w:rsidRPr="00FB6E9A" w:rsidRDefault="00FC3081" w:rsidP="00913BC5">
            <w:pPr>
              <w:rPr>
                <w:rFonts w:ascii="Trebuchet MS" w:eastAsia="Times New Roman" w:hAnsi="Trebuchet MS" w:cs="Arial"/>
                <w:b/>
                <w:bCs/>
                <w:sz w:val="22"/>
                <w:szCs w:val="22"/>
              </w:rPr>
            </w:pPr>
            <w:r w:rsidRPr="00FB6E9A">
              <w:rPr>
                <w:rFonts w:ascii="Trebuchet MS" w:eastAsia="Times New Roman" w:hAnsi="Trebuchet MS" w:cs="Arial"/>
                <w:b/>
                <w:bCs/>
                <w:sz w:val="22"/>
                <w:szCs w:val="22"/>
              </w:rPr>
              <w:t>TOTAL GENERAL</w:t>
            </w:r>
          </w:p>
        </w:tc>
        <w:tc>
          <w:tcPr>
            <w:tcW w:w="2740" w:type="dxa"/>
            <w:shd w:val="clear" w:color="000000" w:fill="FFFFFF"/>
            <w:noWrap/>
            <w:vAlign w:val="center"/>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952712</w:t>
            </w:r>
          </w:p>
        </w:tc>
        <w:tc>
          <w:tcPr>
            <w:tcW w:w="2950" w:type="dxa"/>
            <w:shd w:val="clear" w:color="000000" w:fill="FFFFFF"/>
            <w:vAlign w:val="center"/>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893955</w:t>
            </w:r>
          </w:p>
        </w:tc>
      </w:tr>
      <w:tr w:rsidR="00FC3081" w:rsidRPr="00FB6E9A" w:rsidTr="00913BC5">
        <w:trPr>
          <w:trHeight w:val="300"/>
          <w:jc w:val="center"/>
        </w:trPr>
        <w:tc>
          <w:tcPr>
            <w:tcW w:w="3215" w:type="dxa"/>
            <w:shd w:val="clear" w:color="auto" w:fill="8DB3E2"/>
            <w:noWrap/>
            <w:vAlign w:val="center"/>
          </w:tcPr>
          <w:p w:rsidR="00FC3081" w:rsidRPr="00FB6E9A" w:rsidRDefault="00FC3081" w:rsidP="00913BC5">
            <w:pPr>
              <w:rPr>
                <w:rFonts w:ascii="Trebuchet MS" w:eastAsia="Times New Roman" w:hAnsi="Trebuchet MS" w:cs="Arial"/>
                <w:b/>
                <w:bCs/>
                <w:sz w:val="22"/>
                <w:szCs w:val="22"/>
              </w:rPr>
            </w:pPr>
            <w:r w:rsidRPr="00FB6E9A">
              <w:rPr>
                <w:rFonts w:ascii="Trebuchet MS" w:eastAsia="Times New Roman" w:hAnsi="Trebuchet MS" w:cs="Arial"/>
                <w:b/>
                <w:bCs/>
                <w:sz w:val="22"/>
                <w:szCs w:val="22"/>
              </w:rPr>
              <w:t>ŢINTĂ ÎNDEPLINITĂ (%)</w:t>
            </w:r>
          </w:p>
        </w:tc>
        <w:tc>
          <w:tcPr>
            <w:tcW w:w="2740" w:type="dxa"/>
            <w:shd w:val="clear" w:color="auto" w:fill="8DB3E2"/>
            <w:noWrap/>
            <w:vAlign w:val="center"/>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42,49%</w:t>
            </w:r>
          </w:p>
        </w:tc>
        <w:tc>
          <w:tcPr>
            <w:tcW w:w="2950" w:type="dxa"/>
            <w:shd w:val="clear" w:color="auto" w:fill="8DB3E2"/>
            <w:vAlign w:val="center"/>
          </w:tcPr>
          <w:p w:rsidR="00FC3081" w:rsidRPr="00FB6E9A" w:rsidRDefault="00FC3081" w:rsidP="00913BC5">
            <w:pPr>
              <w:jc w:val="center"/>
              <w:rPr>
                <w:rFonts w:ascii="Trebuchet MS" w:eastAsia="Times New Roman" w:hAnsi="Trebuchet MS" w:cs="Arial"/>
                <w:b/>
                <w:bCs/>
                <w:sz w:val="22"/>
                <w:szCs w:val="22"/>
              </w:rPr>
            </w:pPr>
            <w:r w:rsidRPr="00FB6E9A">
              <w:rPr>
                <w:rFonts w:ascii="Trebuchet MS" w:eastAsia="Times New Roman" w:hAnsi="Trebuchet MS" w:cs="Arial"/>
                <w:b/>
                <w:bCs/>
                <w:sz w:val="22"/>
                <w:szCs w:val="22"/>
              </w:rPr>
              <w:t>39,87%</w:t>
            </w:r>
          </w:p>
        </w:tc>
      </w:tr>
    </w:tbl>
    <w:p w:rsidR="00FC3081" w:rsidRPr="00FB6E9A" w:rsidRDefault="00FC3081" w:rsidP="00FC3081">
      <w:pPr>
        <w:shd w:val="clear" w:color="auto" w:fill="FFFFFF"/>
        <w:spacing w:after="150"/>
        <w:rPr>
          <w:rFonts w:ascii="Trebuchet MS" w:eastAsia="Times New Roman" w:hAnsi="Trebuchet MS" w:cs="Arial"/>
          <w:sz w:val="22"/>
          <w:szCs w:val="22"/>
        </w:rPr>
      </w:pPr>
    </w:p>
    <w:p w:rsidR="00FC3081" w:rsidRPr="00801AF9" w:rsidRDefault="00FC3081" w:rsidP="00FC3081">
      <w:pPr>
        <w:shd w:val="clear" w:color="auto" w:fill="FFFFFF"/>
        <w:spacing w:after="150"/>
        <w:rPr>
          <w:rFonts w:ascii="Arial" w:eastAsia="Times New Roman" w:hAnsi="Arial" w:cs="Arial"/>
          <w:color w:val="00B050"/>
        </w:rPr>
      </w:pPr>
      <w:r w:rsidRPr="00801AF9">
        <w:rPr>
          <w:noProof/>
          <w:color w:val="00B050"/>
          <w:lang w:val="en-US"/>
        </w:rPr>
        <w:drawing>
          <wp:inline distT="0" distB="0" distL="0" distR="0" wp14:anchorId="3470DE8E" wp14:editId="6916AD1F">
            <wp:extent cx="6467475" cy="4695825"/>
            <wp:effectExtent l="0" t="0" r="9525" b="9525"/>
            <wp:docPr id="55" name="Object 1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FC3081" w:rsidRPr="00801AF9" w:rsidRDefault="00FC3081" w:rsidP="00FC3081">
      <w:pPr>
        <w:rPr>
          <w:rFonts w:ascii="Arial" w:hAnsi="Arial" w:cs="Arial"/>
          <w:b/>
          <w:color w:val="00B050"/>
        </w:rPr>
      </w:pPr>
    </w:p>
    <w:p w:rsidR="0082575A" w:rsidRPr="00FB6E9A" w:rsidRDefault="0082575A" w:rsidP="0082575A">
      <w:pPr>
        <w:rPr>
          <w:rFonts w:ascii="Trebuchet MS" w:hAnsi="Trebuchet MS" w:cs="Arial"/>
          <w:b/>
        </w:rPr>
      </w:pPr>
      <w:r w:rsidRPr="00FB6E9A">
        <w:rPr>
          <w:rFonts w:ascii="Trebuchet MS" w:hAnsi="Trebuchet MS" w:cs="Arial"/>
          <w:b/>
        </w:rPr>
        <w:t>VII.1.3.3 Vehicule scoase din uz</w:t>
      </w:r>
    </w:p>
    <w:p w:rsidR="0082575A" w:rsidRPr="00FB6E9A" w:rsidRDefault="0082575A" w:rsidP="0082575A">
      <w:pPr>
        <w:rPr>
          <w:rFonts w:ascii="Trebuchet MS" w:hAnsi="Trebuchet MS" w:cs="Arial"/>
          <w:b/>
          <w:sz w:val="22"/>
          <w:szCs w:val="22"/>
        </w:rPr>
      </w:pPr>
    </w:p>
    <w:p w:rsidR="0082575A" w:rsidRPr="00FB6E9A" w:rsidRDefault="0082575A" w:rsidP="0082575A">
      <w:pPr>
        <w:tabs>
          <w:tab w:val="left" w:pos="360"/>
        </w:tabs>
        <w:rPr>
          <w:rFonts w:ascii="Trebuchet MS" w:hAnsi="Trebuchet MS" w:cs="Arial"/>
          <w:b/>
          <w:sz w:val="22"/>
          <w:szCs w:val="22"/>
          <w:lang w:val="ro-RO"/>
        </w:rPr>
      </w:pPr>
      <w:r w:rsidRPr="00FB6E9A">
        <w:rPr>
          <w:rFonts w:ascii="Trebuchet MS" w:hAnsi="Trebuchet MS" w:cs="Arial"/>
          <w:b/>
          <w:sz w:val="22"/>
          <w:szCs w:val="22"/>
          <w:lang w:val="ro-RO"/>
        </w:rPr>
        <w:t>A</w:t>
      </w:r>
      <w:r w:rsidRPr="00FB6E9A">
        <w:rPr>
          <w:rFonts w:ascii="Trebuchet MS" w:hAnsi="Trebuchet MS" w:cs="Arial"/>
          <w:b/>
          <w:sz w:val="22"/>
          <w:szCs w:val="22"/>
          <w:lang w:val="ro-RO"/>
        </w:rPr>
        <w:tab/>
        <w:t>Indicatori specifici</w:t>
      </w:r>
    </w:p>
    <w:p w:rsidR="0082575A" w:rsidRPr="00FB6E9A" w:rsidRDefault="0082575A" w:rsidP="0082575A">
      <w:pPr>
        <w:rPr>
          <w:rFonts w:ascii="Trebuchet MS" w:hAnsi="Trebuchet MS" w:cs="Arial"/>
          <w:sz w:val="22"/>
          <w:szCs w:val="22"/>
          <w:lang w:val="ro-RO"/>
        </w:rPr>
      </w:pPr>
    </w:p>
    <w:p w:rsidR="0082575A" w:rsidRPr="00FB6E9A" w:rsidRDefault="0082575A" w:rsidP="0082575A">
      <w:pPr>
        <w:rPr>
          <w:rFonts w:ascii="Trebuchet MS" w:hAnsi="Trebuchet MS" w:cs="Arial"/>
          <w:b/>
          <w:sz w:val="22"/>
          <w:szCs w:val="22"/>
          <w:lang w:val="ro-RO"/>
        </w:rPr>
      </w:pPr>
      <w:r w:rsidRPr="00FB6E9A">
        <w:rPr>
          <w:rFonts w:ascii="Trebuchet MS" w:hAnsi="Trebuchet MS" w:cs="Arial"/>
          <w:b/>
          <w:sz w:val="22"/>
          <w:szCs w:val="22"/>
          <w:lang w:val="ro-RO"/>
        </w:rPr>
        <w:t>COD INDICATOR</w:t>
      </w:r>
      <w:r w:rsidRPr="00FB6E9A">
        <w:rPr>
          <w:rFonts w:ascii="Trebuchet MS" w:hAnsi="Trebuchet MS" w:cs="Arial"/>
          <w:sz w:val="22"/>
          <w:szCs w:val="22"/>
          <w:lang w:val="ro-RO"/>
        </w:rPr>
        <w:t xml:space="preserve"> </w:t>
      </w:r>
      <w:r w:rsidRPr="00FB6E9A">
        <w:rPr>
          <w:rFonts w:ascii="Trebuchet MS" w:hAnsi="Trebuchet MS" w:cs="Arial"/>
          <w:sz w:val="22"/>
          <w:szCs w:val="22"/>
          <w:lang w:val="ro-RO"/>
        </w:rPr>
        <w:tab/>
        <w:t xml:space="preserve"> Cod indicator: România </w:t>
      </w:r>
      <w:r w:rsidRPr="00FB6E9A">
        <w:rPr>
          <w:rFonts w:ascii="Trebuchet MS" w:hAnsi="Trebuchet MS" w:cs="Arial"/>
          <w:b/>
          <w:sz w:val="22"/>
          <w:szCs w:val="22"/>
          <w:lang w:val="ro-RO"/>
        </w:rPr>
        <w:t>RO 69</w:t>
      </w:r>
    </w:p>
    <w:p w:rsidR="0082575A" w:rsidRPr="00FB6E9A" w:rsidRDefault="0082575A" w:rsidP="0082575A">
      <w:pPr>
        <w:rPr>
          <w:rFonts w:ascii="Trebuchet MS" w:hAnsi="Trebuchet MS" w:cs="Arial"/>
          <w:b/>
          <w:sz w:val="22"/>
          <w:szCs w:val="22"/>
          <w:lang w:val="ro-RO"/>
        </w:rPr>
      </w:pPr>
      <w:r w:rsidRPr="00FB6E9A">
        <w:rPr>
          <w:rFonts w:ascii="Trebuchet MS" w:hAnsi="Trebuchet MS" w:cs="Arial"/>
          <w:sz w:val="22"/>
          <w:szCs w:val="22"/>
          <w:lang w:val="ro-RO"/>
        </w:rPr>
        <w:t xml:space="preserve">                                  Cod indicator AEM: </w:t>
      </w:r>
      <w:r w:rsidRPr="00FB6E9A">
        <w:rPr>
          <w:rFonts w:ascii="Trebuchet MS" w:hAnsi="Trebuchet MS" w:cs="Arial"/>
          <w:b/>
          <w:sz w:val="22"/>
          <w:szCs w:val="22"/>
          <w:lang w:val="ro-RO"/>
        </w:rPr>
        <w:t>TERM 011</w:t>
      </w:r>
    </w:p>
    <w:p w:rsidR="0082575A" w:rsidRPr="00FB6E9A" w:rsidRDefault="0082575A" w:rsidP="0082575A">
      <w:pPr>
        <w:autoSpaceDE w:val="0"/>
        <w:autoSpaceDN w:val="0"/>
        <w:adjustRightInd w:val="0"/>
        <w:rPr>
          <w:rFonts w:ascii="Trebuchet MS" w:eastAsia="Times New Roman" w:hAnsi="Trebuchet MS" w:cs="Arial"/>
          <w:b/>
          <w:sz w:val="22"/>
          <w:szCs w:val="22"/>
          <w:lang w:val="ro-RO"/>
        </w:rPr>
      </w:pPr>
      <w:r w:rsidRPr="00FB6E9A">
        <w:rPr>
          <w:rFonts w:ascii="Trebuchet MS" w:eastAsia="Times New Roman" w:hAnsi="Trebuchet MS" w:cs="Arial"/>
          <w:b/>
          <w:sz w:val="22"/>
          <w:szCs w:val="22"/>
          <w:lang w:val="ro-RO"/>
        </w:rPr>
        <w:t>DENUMIRE      VEHICULE SCOASE DIN UZ</w:t>
      </w:r>
    </w:p>
    <w:p w:rsidR="0082575A" w:rsidRPr="00FB6E9A" w:rsidRDefault="0082575A" w:rsidP="0082575A">
      <w:pPr>
        <w:autoSpaceDE w:val="0"/>
        <w:autoSpaceDN w:val="0"/>
        <w:adjustRightInd w:val="0"/>
        <w:rPr>
          <w:rFonts w:ascii="Trebuchet MS" w:eastAsia="Times New Roman" w:hAnsi="Trebuchet MS" w:cs="Arial"/>
          <w:sz w:val="22"/>
          <w:szCs w:val="22"/>
          <w:lang w:val="en-US"/>
        </w:rPr>
      </w:pPr>
    </w:p>
    <w:p w:rsidR="00FC3081" w:rsidRPr="00FB6E9A" w:rsidRDefault="0082575A" w:rsidP="00FC3081">
      <w:pPr>
        <w:jc w:val="both"/>
        <w:rPr>
          <w:rFonts w:ascii="Trebuchet MS" w:hAnsi="Trebuchet MS" w:cs="Arial"/>
          <w:sz w:val="22"/>
          <w:szCs w:val="22"/>
        </w:rPr>
      </w:pPr>
      <w:r w:rsidRPr="00FB6E9A">
        <w:rPr>
          <w:rFonts w:ascii="Trebuchet MS" w:hAnsi="Trebuchet MS" w:cs="sans-serif"/>
          <w:sz w:val="22"/>
          <w:szCs w:val="22"/>
        </w:rPr>
        <w:tab/>
      </w:r>
      <w:r w:rsidR="00FC3081" w:rsidRPr="00FB6E9A">
        <w:rPr>
          <w:rFonts w:ascii="Trebuchet MS" w:hAnsi="Trebuchet MS" w:cs="Arial"/>
          <w:sz w:val="22"/>
          <w:szCs w:val="22"/>
        </w:rPr>
        <w:t xml:space="preserve">Legea nr. 212/2015 privind modalitatea de gestionare a vehiculelor şi a vehiculelor scoase din uz stabileşte măsuri privind </w:t>
      </w:r>
      <w:r w:rsidR="00FC3081" w:rsidRPr="00FB6E9A">
        <w:rPr>
          <w:rFonts w:ascii="Trebuchet MS" w:hAnsi="Trebuchet MS" w:cs="Arial"/>
          <w:sz w:val="22"/>
          <w:szCs w:val="22"/>
          <w:lang w:val="it-IT"/>
        </w:rPr>
        <w:t>prevenirea producerii de deşeuri provenite de la VSU precum şi reutilizarea, reciclarea şi alte forme de valorificare a VSU şi a componentelor acestora, în vederea reducerii cantităţii de deşeuri destinate eliminării. De asemenea activitatea de colectare şi tratare VSU trebuie să se desfăşoare conform prevederilor legale pentru a se preveni impactul negativ asupra mediului. Directiva prevede responsabilitatea producătorului, care încă de la faza de proiectare a produsului trebuie să acorde atenţie limitării utilizării unor substanţe periculoase şi să prevadă posibilităţile de dezmembrare, reutilizare şi valorificare a componentelor şi materialelor.</w:t>
      </w:r>
    </w:p>
    <w:p w:rsidR="00FC3081" w:rsidRPr="00FB6E9A" w:rsidRDefault="00FC3081" w:rsidP="00FC3081">
      <w:pPr>
        <w:autoSpaceDE w:val="0"/>
        <w:autoSpaceDN w:val="0"/>
        <w:adjustRightInd w:val="0"/>
        <w:jc w:val="both"/>
        <w:rPr>
          <w:rFonts w:ascii="Trebuchet MS" w:eastAsia="Times New Roman" w:hAnsi="Trebuchet MS" w:cs="Arial"/>
          <w:sz w:val="22"/>
          <w:szCs w:val="22"/>
          <w:lang w:val="ro-RO"/>
        </w:rPr>
      </w:pPr>
      <w:r w:rsidRPr="00FB6E9A">
        <w:rPr>
          <w:rFonts w:ascii="Trebuchet MS" w:eastAsia="Times New Roman" w:hAnsi="Trebuchet MS" w:cs="Arial"/>
          <w:sz w:val="22"/>
          <w:szCs w:val="22"/>
          <w:lang w:val="it-IT"/>
        </w:rPr>
        <w:tab/>
        <w:t>În cadrul acestei secţiuni se vor prezenta informaţii şi date referitoare la numărul de VSU colectate şi pentru care au fost emise certificate de distrugere şi care au fost tratate în perioada 2017- 2023 la nivelul Municipiului Bucureşti. Ultimele date în curs de prelucrare și validare de către Agenția Națională pentru Protecția Mediului sunt la nivelul anului 2022.</w:t>
      </w:r>
    </w:p>
    <w:p w:rsidR="00FC3081" w:rsidRPr="00FB6E9A" w:rsidRDefault="00FC3081" w:rsidP="00FC3081">
      <w:pPr>
        <w:jc w:val="both"/>
        <w:rPr>
          <w:rFonts w:ascii="Trebuchet MS" w:hAnsi="Trebuchet MS"/>
          <w:sz w:val="22"/>
          <w:szCs w:val="22"/>
        </w:rPr>
      </w:pPr>
    </w:p>
    <w:p w:rsidR="00FC3081" w:rsidRPr="00FB6E9A" w:rsidRDefault="00FC3081" w:rsidP="00FC3081">
      <w:pPr>
        <w:autoSpaceDE w:val="0"/>
        <w:jc w:val="both"/>
        <w:rPr>
          <w:rFonts w:ascii="Trebuchet MS" w:hAnsi="Trebuchet MS"/>
          <w:sz w:val="22"/>
          <w:szCs w:val="22"/>
        </w:rPr>
      </w:pPr>
      <w:r w:rsidRPr="00FB6E9A">
        <w:rPr>
          <w:rFonts w:ascii="Trebuchet MS" w:hAnsi="Trebuchet MS" w:cs="Arial"/>
          <w:sz w:val="22"/>
          <w:szCs w:val="22"/>
        </w:rPr>
        <w:tab/>
        <w:t xml:space="preserve">În scopul monitorizării atingerii obiectivelor prevăzute mai sus, operatorii </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economici care desfăşoară operaţiuni de colectare şi tratare a vehiculelor scoase din uz au obligaţia de a transmite agenției teritoriale de mediu următoarele date:</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numărul certificatului de distrugere emis pentru fiecare vehicul scos din uz colectat;</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numărul de vehicule scoase din uz colectate pe categoriile M1 și N1;</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masa vehiculului din documentele de înmatriculare pentru fiecare vehicul scos din uz şi seria şasiului aferent;</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anul de fabricaţie pentru fiecare vehicul scos din uz;</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greutatea la recepţie pentru fiecare vehicul scos din uz;</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xml:space="preserve">- cantităţile de materiale rezultate de la depoluarea şi dezmembrarea VSU; </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xml:space="preserve">- materialele rezultate din tocarea vehiculelor scoase din uz ; </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masa totală a vehiculelor scoase din uz și exportate;</w:t>
      </w:r>
    </w:p>
    <w:p w:rsidR="00FC3081" w:rsidRPr="00FB6E9A" w:rsidRDefault="00FC3081" w:rsidP="00FC3081">
      <w:pPr>
        <w:jc w:val="both"/>
        <w:rPr>
          <w:rFonts w:ascii="Trebuchet MS" w:hAnsi="Trebuchet MS"/>
          <w:sz w:val="22"/>
          <w:szCs w:val="22"/>
        </w:rPr>
      </w:pPr>
      <w:r w:rsidRPr="00FB6E9A">
        <w:rPr>
          <w:rFonts w:ascii="Trebuchet MS" w:hAnsi="Trebuchet MS" w:cs="Arial"/>
          <w:sz w:val="22"/>
          <w:szCs w:val="22"/>
        </w:rPr>
        <w:t xml:space="preserve">- masa totală a părţilor vehiculelor scoase din uz din România și exportate pentru </w:t>
      </w:r>
    </w:p>
    <w:p w:rsidR="00FC3081" w:rsidRPr="00FB6E9A" w:rsidRDefault="00FC3081" w:rsidP="00FC3081">
      <w:pPr>
        <w:jc w:val="both"/>
        <w:rPr>
          <w:rFonts w:ascii="Trebuchet MS" w:hAnsi="Trebuchet MS" w:cs="Arial"/>
          <w:sz w:val="22"/>
          <w:szCs w:val="22"/>
        </w:rPr>
      </w:pPr>
      <w:r w:rsidRPr="00FB6E9A">
        <w:rPr>
          <w:rFonts w:ascii="Trebuchet MS" w:hAnsi="Trebuchet MS" w:cs="Arial"/>
          <w:sz w:val="22"/>
          <w:szCs w:val="22"/>
        </w:rPr>
        <w:t>tratare ulterioară (reciclate/eliminate).</w:t>
      </w:r>
    </w:p>
    <w:p w:rsidR="00FC3081" w:rsidRPr="00FB6E9A" w:rsidRDefault="00FC3081" w:rsidP="00FC3081">
      <w:pPr>
        <w:jc w:val="both"/>
        <w:rPr>
          <w:rFonts w:ascii="Trebuchet MS" w:hAnsi="Trebuchet MS"/>
          <w:sz w:val="22"/>
          <w:szCs w:val="22"/>
        </w:rPr>
      </w:pPr>
    </w:p>
    <w:p w:rsidR="00FC3081" w:rsidRPr="00FB6E9A" w:rsidRDefault="00FC3081" w:rsidP="00FC3081">
      <w:pPr>
        <w:autoSpaceDE w:val="0"/>
        <w:autoSpaceDN w:val="0"/>
        <w:adjustRightInd w:val="0"/>
        <w:jc w:val="both"/>
        <w:rPr>
          <w:rFonts w:ascii="Trebuchet MS" w:eastAsia="Times New Roman" w:hAnsi="Trebuchet MS" w:cs="Arial"/>
          <w:sz w:val="22"/>
          <w:szCs w:val="22"/>
          <w:lang w:val="en-US"/>
        </w:rPr>
      </w:pPr>
    </w:p>
    <w:p w:rsidR="00FC3081" w:rsidRPr="00FB6E9A" w:rsidRDefault="00FC3081" w:rsidP="00FC3081">
      <w:pPr>
        <w:spacing w:line="276" w:lineRule="auto"/>
        <w:jc w:val="both"/>
        <w:rPr>
          <w:rFonts w:ascii="Trebuchet MS" w:hAnsi="Trebuchet MS" w:cs="Arial"/>
          <w:sz w:val="22"/>
          <w:szCs w:val="22"/>
          <w:lang w:val="ro-RO"/>
        </w:rPr>
      </w:pPr>
      <w:r w:rsidRPr="00FB6E9A">
        <w:rPr>
          <w:rFonts w:ascii="Trebuchet MS" w:hAnsi="Trebuchet MS" w:cs="Arial"/>
          <w:sz w:val="22"/>
          <w:szCs w:val="22"/>
          <w:lang w:val="ro-RO"/>
        </w:rPr>
        <w:t>Evoluția numărului de unități de VSU în perioada 2017 – 2023, colectate și tratate de către societățile autorizate, pe raza Municipiului Bucureşti:</w:t>
      </w:r>
    </w:p>
    <w:p w:rsidR="00FC3081" w:rsidRPr="00FB6E9A" w:rsidRDefault="00FC3081" w:rsidP="00FC3081">
      <w:pPr>
        <w:spacing w:line="276" w:lineRule="auto"/>
        <w:jc w:val="both"/>
        <w:rPr>
          <w:rFonts w:ascii="Trebuchet MS" w:hAnsi="Trebuchet MS" w:cs="Arial"/>
          <w:sz w:val="22"/>
          <w:szCs w:val="22"/>
          <w:lang w:val="ro-RO"/>
        </w:rPr>
      </w:pPr>
    </w:p>
    <w:tbl>
      <w:tblPr>
        <w:tblW w:w="9720" w:type="dxa"/>
        <w:tblInd w:w="-100" w:type="dxa"/>
        <w:tblLayout w:type="fixed"/>
        <w:tblLook w:val="0000" w:firstRow="0" w:lastRow="0" w:firstColumn="0" w:lastColumn="0" w:noHBand="0" w:noVBand="0"/>
      </w:tblPr>
      <w:tblGrid>
        <w:gridCol w:w="1710"/>
        <w:gridCol w:w="1080"/>
        <w:gridCol w:w="1170"/>
        <w:gridCol w:w="1080"/>
        <w:gridCol w:w="1170"/>
        <w:gridCol w:w="1170"/>
        <w:gridCol w:w="1170"/>
        <w:gridCol w:w="1170"/>
      </w:tblGrid>
      <w:tr w:rsidR="00FC3081" w:rsidRPr="00FB6E9A" w:rsidTr="00913BC5">
        <w:trPr>
          <w:trHeight w:val="290"/>
        </w:trPr>
        <w:tc>
          <w:tcPr>
            <w:tcW w:w="1710" w:type="dxa"/>
            <w:tcBorders>
              <w:top w:val="single" w:sz="8" w:space="0" w:color="000000"/>
              <w:left w:val="single" w:sz="8" w:space="0" w:color="000000"/>
              <w:bottom w:val="single" w:sz="8" w:space="0" w:color="000000"/>
            </w:tcBorders>
            <w:shd w:val="clear" w:color="auto" w:fill="auto"/>
            <w:vAlign w:val="center"/>
          </w:tcPr>
          <w:p w:rsidR="00FC3081" w:rsidRPr="00FB6E9A" w:rsidRDefault="00FC3081" w:rsidP="00913BC5">
            <w:pPr>
              <w:spacing w:line="276" w:lineRule="auto"/>
              <w:jc w:val="center"/>
              <w:rPr>
                <w:rFonts w:ascii="Trebuchet MS" w:hAnsi="Trebuchet MS" w:cs="Arial"/>
                <w:b/>
                <w:sz w:val="22"/>
                <w:szCs w:val="22"/>
              </w:rPr>
            </w:pPr>
          </w:p>
        </w:tc>
        <w:tc>
          <w:tcPr>
            <w:tcW w:w="1080"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C3081" w:rsidRPr="00FB6E9A" w:rsidRDefault="00FC3081" w:rsidP="00913BC5">
            <w:pPr>
              <w:spacing w:line="276" w:lineRule="auto"/>
              <w:jc w:val="center"/>
              <w:rPr>
                <w:rFonts w:ascii="Trebuchet MS" w:hAnsi="Trebuchet MS" w:cs="Arial"/>
                <w:b/>
                <w:sz w:val="22"/>
                <w:szCs w:val="22"/>
              </w:rPr>
            </w:pPr>
            <w:r w:rsidRPr="00FB6E9A">
              <w:rPr>
                <w:rFonts w:ascii="Trebuchet MS" w:hAnsi="Trebuchet MS" w:cs="Arial"/>
                <w:b/>
                <w:sz w:val="22"/>
                <w:szCs w:val="22"/>
              </w:rPr>
              <w:t>2017</w:t>
            </w:r>
          </w:p>
        </w:tc>
        <w:tc>
          <w:tcPr>
            <w:tcW w:w="1170"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C3081" w:rsidRPr="00FB6E9A" w:rsidRDefault="00FC3081" w:rsidP="00913BC5">
            <w:pPr>
              <w:spacing w:line="276" w:lineRule="auto"/>
              <w:jc w:val="center"/>
              <w:rPr>
                <w:rFonts w:ascii="Trebuchet MS" w:hAnsi="Trebuchet MS" w:cs="Arial"/>
                <w:b/>
                <w:sz w:val="22"/>
                <w:szCs w:val="22"/>
              </w:rPr>
            </w:pPr>
            <w:r w:rsidRPr="00FB6E9A">
              <w:rPr>
                <w:rFonts w:ascii="Trebuchet MS" w:hAnsi="Trebuchet MS" w:cs="Arial"/>
                <w:b/>
                <w:sz w:val="22"/>
                <w:szCs w:val="22"/>
              </w:rPr>
              <w:t>2018</w:t>
            </w:r>
          </w:p>
        </w:tc>
        <w:tc>
          <w:tcPr>
            <w:tcW w:w="1080"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C3081" w:rsidRPr="00FB6E9A" w:rsidRDefault="00FC3081" w:rsidP="00913BC5">
            <w:pPr>
              <w:spacing w:line="276" w:lineRule="auto"/>
              <w:jc w:val="center"/>
              <w:rPr>
                <w:rFonts w:ascii="Trebuchet MS" w:hAnsi="Trebuchet MS" w:cs="Arial"/>
                <w:b/>
                <w:sz w:val="22"/>
                <w:szCs w:val="22"/>
              </w:rPr>
            </w:pPr>
            <w:r w:rsidRPr="00FB6E9A">
              <w:rPr>
                <w:rFonts w:ascii="Trebuchet MS" w:hAnsi="Trebuchet MS" w:cs="Arial"/>
                <w:b/>
                <w:sz w:val="22"/>
                <w:szCs w:val="22"/>
              </w:rPr>
              <w:t>2019</w:t>
            </w:r>
          </w:p>
        </w:tc>
        <w:tc>
          <w:tcPr>
            <w:tcW w:w="1170" w:type="dxa"/>
            <w:tcBorders>
              <w:top w:val="single" w:sz="8" w:space="0" w:color="000000"/>
              <w:left w:val="single" w:sz="8" w:space="0" w:color="000000"/>
              <w:bottom w:val="single" w:sz="8" w:space="0" w:color="000000"/>
              <w:right w:val="single" w:sz="8" w:space="0" w:color="000000"/>
            </w:tcBorders>
            <w:shd w:val="clear" w:color="auto" w:fill="D9D9D9"/>
          </w:tcPr>
          <w:p w:rsidR="00FC3081" w:rsidRPr="00FB6E9A" w:rsidRDefault="00FC3081" w:rsidP="00913BC5">
            <w:pPr>
              <w:spacing w:line="276" w:lineRule="auto"/>
              <w:jc w:val="center"/>
              <w:rPr>
                <w:rFonts w:ascii="Trebuchet MS" w:hAnsi="Trebuchet MS" w:cs="Arial"/>
                <w:b/>
                <w:sz w:val="22"/>
                <w:szCs w:val="22"/>
              </w:rPr>
            </w:pPr>
            <w:r w:rsidRPr="00FB6E9A">
              <w:rPr>
                <w:rFonts w:ascii="Trebuchet MS" w:hAnsi="Trebuchet MS" w:cs="Arial"/>
                <w:b/>
                <w:sz w:val="22"/>
                <w:szCs w:val="22"/>
              </w:rPr>
              <w:t>2020</w:t>
            </w:r>
          </w:p>
        </w:tc>
        <w:tc>
          <w:tcPr>
            <w:tcW w:w="1170" w:type="dxa"/>
            <w:tcBorders>
              <w:top w:val="single" w:sz="8" w:space="0" w:color="000000"/>
              <w:left w:val="single" w:sz="8" w:space="0" w:color="000000"/>
              <w:bottom w:val="single" w:sz="8" w:space="0" w:color="000000"/>
              <w:right w:val="single" w:sz="8" w:space="0" w:color="000000"/>
            </w:tcBorders>
            <w:shd w:val="clear" w:color="auto" w:fill="D9D9D9"/>
          </w:tcPr>
          <w:p w:rsidR="00FC3081" w:rsidRPr="00FB6E9A" w:rsidRDefault="00FC3081" w:rsidP="00913BC5">
            <w:pPr>
              <w:spacing w:line="276" w:lineRule="auto"/>
              <w:jc w:val="center"/>
              <w:rPr>
                <w:rFonts w:ascii="Trebuchet MS" w:hAnsi="Trebuchet MS" w:cs="Arial"/>
                <w:b/>
                <w:sz w:val="22"/>
                <w:szCs w:val="22"/>
              </w:rPr>
            </w:pPr>
            <w:r w:rsidRPr="00FB6E9A">
              <w:rPr>
                <w:rFonts w:ascii="Trebuchet MS" w:hAnsi="Trebuchet MS" w:cs="Arial"/>
                <w:b/>
                <w:sz w:val="22"/>
                <w:szCs w:val="22"/>
              </w:rPr>
              <w:t>2021</w:t>
            </w:r>
          </w:p>
        </w:tc>
        <w:tc>
          <w:tcPr>
            <w:tcW w:w="1170" w:type="dxa"/>
            <w:tcBorders>
              <w:top w:val="single" w:sz="8" w:space="0" w:color="000000"/>
              <w:left w:val="single" w:sz="8" w:space="0" w:color="000000"/>
              <w:bottom w:val="single" w:sz="8" w:space="0" w:color="000000"/>
              <w:right w:val="single" w:sz="8" w:space="0" w:color="000000"/>
            </w:tcBorders>
            <w:shd w:val="clear" w:color="auto" w:fill="D9D9D9"/>
          </w:tcPr>
          <w:p w:rsidR="00FC3081" w:rsidRPr="00FB6E9A" w:rsidRDefault="00FC3081" w:rsidP="00913BC5">
            <w:pPr>
              <w:spacing w:line="276" w:lineRule="auto"/>
              <w:jc w:val="center"/>
              <w:rPr>
                <w:rFonts w:ascii="Trebuchet MS" w:hAnsi="Trebuchet MS" w:cs="Arial"/>
                <w:b/>
                <w:sz w:val="22"/>
                <w:szCs w:val="22"/>
              </w:rPr>
            </w:pPr>
            <w:r w:rsidRPr="00FB6E9A">
              <w:rPr>
                <w:rFonts w:ascii="Trebuchet MS" w:hAnsi="Trebuchet MS" w:cs="Arial"/>
                <w:b/>
                <w:sz w:val="22"/>
                <w:szCs w:val="22"/>
              </w:rPr>
              <w:t>2022</w:t>
            </w:r>
          </w:p>
        </w:tc>
        <w:tc>
          <w:tcPr>
            <w:tcW w:w="1170" w:type="dxa"/>
            <w:tcBorders>
              <w:top w:val="single" w:sz="8" w:space="0" w:color="000000"/>
              <w:left w:val="single" w:sz="8" w:space="0" w:color="000000"/>
              <w:bottom w:val="single" w:sz="8" w:space="0" w:color="000000"/>
              <w:right w:val="single" w:sz="8" w:space="0" w:color="000000"/>
            </w:tcBorders>
            <w:shd w:val="clear" w:color="auto" w:fill="D9D9D9"/>
          </w:tcPr>
          <w:p w:rsidR="00FC3081" w:rsidRPr="00FB6E9A" w:rsidRDefault="00FC3081" w:rsidP="00913BC5">
            <w:pPr>
              <w:spacing w:line="276" w:lineRule="auto"/>
              <w:jc w:val="center"/>
              <w:rPr>
                <w:rFonts w:ascii="Trebuchet MS" w:hAnsi="Trebuchet MS" w:cs="Arial"/>
                <w:b/>
                <w:sz w:val="22"/>
                <w:szCs w:val="22"/>
              </w:rPr>
            </w:pPr>
            <w:r w:rsidRPr="00FB6E9A">
              <w:rPr>
                <w:rFonts w:ascii="Trebuchet MS" w:hAnsi="Trebuchet MS" w:cs="Arial"/>
                <w:b/>
                <w:sz w:val="22"/>
                <w:szCs w:val="22"/>
              </w:rPr>
              <w:t>2023</w:t>
            </w:r>
          </w:p>
        </w:tc>
      </w:tr>
      <w:tr w:rsidR="00FC3081" w:rsidRPr="00FB6E9A" w:rsidTr="00913BC5">
        <w:trPr>
          <w:trHeight w:val="590"/>
        </w:trPr>
        <w:tc>
          <w:tcPr>
            <w:tcW w:w="1710" w:type="dxa"/>
            <w:tcBorders>
              <w:left w:val="single" w:sz="8" w:space="0" w:color="000000"/>
              <w:bottom w:val="single" w:sz="8" w:space="0" w:color="000000"/>
            </w:tcBorders>
            <w:shd w:val="clear" w:color="auto" w:fill="auto"/>
            <w:vAlign w:val="center"/>
          </w:tcPr>
          <w:p w:rsidR="00FC3081" w:rsidRPr="00FB6E9A" w:rsidRDefault="00FC3081" w:rsidP="00913BC5">
            <w:pPr>
              <w:spacing w:line="276" w:lineRule="auto"/>
              <w:jc w:val="center"/>
              <w:rPr>
                <w:rFonts w:ascii="Trebuchet MS" w:hAnsi="Trebuchet MS" w:cs="Arial"/>
                <w:sz w:val="22"/>
                <w:szCs w:val="22"/>
              </w:rPr>
            </w:pPr>
            <w:r w:rsidRPr="00FB6E9A">
              <w:rPr>
                <w:rFonts w:ascii="Trebuchet MS" w:hAnsi="Trebuchet MS" w:cs="Arial"/>
                <w:sz w:val="22"/>
                <w:szCs w:val="22"/>
              </w:rPr>
              <w:t>Nr. VSU COLECTATE</w:t>
            </w:r>
          </w:p>
        </w:tc>
        <w:tc>
          <w:tcPr>
            <w:tcW w:w="1080" w:type="dxa"/>
            <w:tcBorders>
              <w:left w:val="single" w:sz="8" w:space="0" w:color="000000"/>
              <w:bottom w:val="single" w:sz="8" w:space="0" w:color="000000"/>
              <w:right w:val="single" w:sz="8" w:space="0" w:color="000000"/>
            </w:tcBorders>
            <w:vAlign w:val="center"/>
          </w:tcPr>
          <w:p w:rsidR="00FC3081" w:rsidRPr="00FB6E9A" w:rsidRDefault="00FC3081" w:rsidP="00913BC5">
            <w:pPr>
              <w:snapToGrid w:val="0"/>
              <w:spacing w:line="276" w:lineRule="auto"/>
              <w:jc w:val="center"/>
              <w:rPr>
                <w:rFonts w:ascii="Trebuchet MS" w:hAnsi="Trebuchet MS" w:cs="Arial"/>
                <w:sz w:val="22"/>
                <w:szCs w:val="22"/>
              </w:rPr>
            </w:pPr>
            <w:r w:rsidRPr="00FB6E9A">
              <w:rPr>
                <w:rFonts w:ascii="Trebuchet MS" w:hAnsi="Trebuchet MS" w:cs="Arial"/>
                <w:sz w:val="22"/>
                <w:szCs w:val="22"/>
              </w:rPr>
              <w:t>2756</w:t>
            </w:r>
          </w:p>
        </w:tc>
        <w:tc>
          <w:tcPr>
            <w:tcW w:w="117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p>
          <w:p w:rsidR="00FC3081" w:rsidRPr="00FB6E9A" w:rsidRDefault="00FC3081" w:rsidP="00913BC5">
            <w:pPr>
              <w:jc w:val="center"/>
              <w:rPr>
                <w:rFonts w:ascii="Trebuchet MS" w:eastAsia="Times New Roman" w:hAnsi="Trebuchet MS" w:cs="Arial"/>
                <w:sz w:val="22"/>
                <w:szCs w:val="22"/>
                <w:lang w:val="en-US"/>
              </w:rPr>
            </w:pPr>
            <w:r w:rsidRPr="00FB6E9A">
              <w:rPr>
                <w:rFonts w:ascii="Trebuchet MS" w:hAnsi="Trebuchet MS" w:cs="Arial"/>
                <w:sz w:val="22"/>
                <w:szCs w:val="22"/>
              </w:rPr>
              <w:t>7917</w:t>
            </w:r>
          </w:p>
          <w:p w:rsidR="00FC3081" w:rsidRPr="00FB6E9A" w:rsidRDefault="00FC3081" w:rsidP="00913BC5">
            <w:pPr>
              <w:snapToGrid w:val="0"/>
              <w:spacing w:line="276" w:lineRule="auto"/>
              <w:jc w:val="center"/>
              <w:rPr>
                <w:rFonts w:ascii="Trebuchet MS" w:hAnsi="Trebuchet MS" w:cs="Arial"/>
                <w:sz w:val="22"/>
                <w:szCs w:val="22"/>
              </w:rPr>
            </w:pPr>
          </w:p>
        </w:tc>
        <w:tc>
          <w:tcPr>
            <w:tcW w:w="108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9209</w:t>
            </w:r>
          </w:p>
        </w:tc>
        <w:tc>
          <w:tcPr>
            <w:tcW w:w="117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6249</w:t>
            </w:r>
          </w:p>
        </w:tc>
        <w:tc>
          <w:tcPr>
            <w:tcW w:w="117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6020</w:t>
            </w:r>
          </w:p>
        </w:tc>
        <w:tc>
          <w:tcPr>
            <w:tcW w:w="1170" w:type="dxa"/>
            <w:tcBorders>
              <w:left w:val="single" w:sz="8" w:space="0" w:color="000000"/>
              <w:bottom w:val="single" w:sz="8" w:space="0" w:color="000000"/>
              <w:right w:val="single" w:sz="8" w:space="0" w:color="000000"/>
            </w:tcBorders>
          </w:tcPr>
          <w:p w:rsidR="00FC3081" w:rsidRPr="00FB6E9A" w:rsidRDefault="00FC3081" w:rsidP="00913BC5">
            <w:pPr>
              <w:jc w:val="center"/>
              <w:rPr>
                <w:rFonts w:ascii="Trebuchet MS" w:hAnsi="Trebuchet MS" w:cs="Arial"/>
                <w:sz w:val="22"/>
                <w:szCs w:val="22"/>
              </w:rPr>
            </w:pPr>
          </w:p>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6371</w:t>
            </w:r>
          </w:p>
        </w:tc>
        <w:tc>
          <w:tcPr>
            <w:tcW w:w="1170" w:type="dxa"/>
            <w:tcBorders>
              <w:left w:val="single" w:sz="8" w:space="0" w:color="000000"/>
              <w:bottom w:val="single" w:sz="8" w:space="0" w:color="000000"/>
              <w:right w:val="single" w:sz="8" w:space="0" w:color="000000"/>
            </w:tcBorders>
          </w:tcPr>
          <w:p w:rsidR="00FC3081" w:rsidRPr="00FB6E9A" w:rsidRDefault="00FC3081" w:rsidP="00913BC5">
            <w:pPr>
              <w:jc w:val="center"/>
              <w:rPr>
                <w:rFonts w:ascii="Trebuchet MS" w:hAnsi="Trebuchet MS" w:cs="Arial"/>
                <w:sz w:val="22"/>
                <w:szCs w:val="22"/>
              </w:rPr>
            </w:pPr>
          </w:p>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7577</w:t>
            </w:r>
          </w:p>
        </w:tc>
      </w:tr>
      <w:tr w:rsidR="00FC3081" w:rsidRPr="00FB6E9A" w:rsidTr="00913BC5">
        <w:trPr>
          <w:trHeight w:val="676"/>
        </w:trPr>
        <w:tc>
          <w:tcPr>
            <w:tcW w:w="1710" w:type="dxa"/>
            <w:tcBorders>
              <w:left w:val="single" w:sz="8" w:space="0" w:color="000000"/>
              <w:bottom w:val="single" w:sz="8" w:space="0" w:color="000000"/>
            </w:tcBorders>
            <w:shd w:val="clear" w:color="auto" w:fill="auto"/>
            <w:vAlign w:val="center"/>
          </w:tcPr>
          <w:p w:rsidR="00FC3081" w:rsidRPr="00FB6E9A" w:rsidRDefault="00FC3081" w:rsidP="00913BC5">
            <w:pPr>
              <w:spacing w:line="276" w:lineRule="auto"/>
              <w:jc w:val="center"/>
              <w:rPr>
                <w:rFonts w:ascii="Trebuchet MS" w:hAnsi="Trebuchet MS" w:cs="Arial"/>
                <w:sz w:val="22"/>
                <w:szCs w:val="22"/>
              </w:rPr>
            </w:pPr>
            <w:r w:rsidRPr="00FB6E9A">
              <w:rPr>
                <w:rFonts w:ascii="Trebuchet MS" w:hAnsi="Trebuchet MS" w:cs="Arial"/>
                <w:sz w:val="22"/>
                <w:szCs w:val="22"/>
              </w:rPr>
              <w:t>Nr. VSU TRATATE</w:t>
            </w:r>
          </w:p>
        </w:tc>
        <w:tc>
          <w:tcPr>
            <w:tcW w:w="1080" w:type="dxa"/>
            <w:tcBorders>
              <w:left w:val="single" w:sz="8" w:space="0" w:color="000000"/>
              <w:bottom w:val="single" w:sz="8" w:space="0" w:color="000000"/>
              <w:right w:val="single" w:sz="8" w:space="0" w:color="000000"/>
            </w:tcBorders>
            <w:vAlign w:val="center"/>
          </w:tcPr>
          <w:p w:rsidR="00FC3081" w:rsidRPr="00FB6E9A" w:rsidRDefault="00FC3081" w:rsidP="00913BC5">
            <w:pPr>
              <w:snapToGrid w:val="0"/>
              <w:spacing w:line="276" w:lineRule="auto"/>
              <w:jc w:val="center"/>
              <w:rPr>
                <w:rFonts w:ascii="Trebuchet MS" w:hAnsi="Trebuchet MS" w:cs="Arial"/>
                <w:sz w:val="22"/>
                <w:szCs w:val="22"/>
              </w:rPr>
            </w:pPr>
            <w:r w:rsidRPr="00FB6E9A">
              <w:rPr>
                <w:rFonts w:ascii="Trebuchet MS" w:hAnsi="Trebuchet MS" w:cs="Arial"/>
                <w:sz w:val="22"/>
                <w:szCs w:val="22"/>
              </w:rPr>
              <w:t>2584</w:t>
            </w:r>
          </w:p>
        </w:tc>
        <w:tc>
          <w:tcPr>
            <w:tcW w:w="117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p>
          <w:p w:rsidR="00FC3081" w:rsidRPr="00FB6E9A" w:rsidRDefault="00FC3081" w:rsidP="00913BC5">
            <w:pPr>
              <w:jc w:val="center"/>
              <w:rPr>
                <w:rFonts w:ascii="Trebuchet MS" w:eastAsia="Times New Roman" w:hAnsi="Trebuchet MS" w:cs="Arial"/>
                <w:sz w:val="22"/>
                <w:szCs w:val="22"/>
                <w:lang w:val="en-US"/>
              </w:rPr>
            </w:pPr>
            <w:r w:rsidRPr="00FB6E9A">
              <w:rPr>
                <w:rFonts w:ascii="Trebuchet MS" w:hAnsi="Trebuchet MS" w:cs="Arial"/>
                <w:sz w:val="22"/>
                <w:szCs w:val="22"/>
              </w:rPr>
              <w:t>6595</w:t>
            </w:r>
          </w:p>
          <w:p w:rsidR="00FC3081" w:rsidRPr="00FB6E9A" w:rsidRDefault="00FC3081" w:rsidP="00913BC5">
            <w:pPr>
              <w:snapToGrid w:val="0"/>
              <w:spacing w:line="276" w:lineRule="auto"/>
              <w:jc w:val="center"/>
              <w:rPr>
                <w:rFonts w:ascii="Trebuchet MS" w:hAnsi="Trebuchet MS" w:cs="Arial"/>
                <w:sz w:val="22"/>
                <w:szCs w:val="22"/>
              </w:rPr>
            </w:pPr>
          </w:p>
        </w:tc>
        <w:tc>
          <w:tcPr>
            <w:tcW w:w="108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8767</w:t>
            </w:r>
          </w:p>
        </w:tc>
        <w:tc>
          <w:tcPr>
            <w:tcW w:w="117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6237</w:t>
            </w:r>
          </w:p>
        </w:tc>
        <w:tc>
          <w:tcPr>
            <w:tcW w:w="1170" w:type="dxa"/>
            <w:tcBorders>
              <w:left w:val="single" w:sz="8" w:space="0" w:color="000000"/>
              <w:bottom w:val="single" w:sz="8" w:space="0" w:color="000000"/>
              <w:right w:val="single" w:sz="8" w:space="0" w:color="000000"/>
            </w:tcBorders>
            <w:vAlign w:val="center"/>
          </w:tcPr>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6101</w:t>
            </w:r>
          </w:p>
        </w:tc>
        <w:tc>
          <w:tcPr>
            <w:tcW w:w="1170" w:type="dxa"/>
            <w:tcBorders>
              <w:left w:val="single" w:sz="8" w:space="0" w:color="000000"/>
              <w:bottom w:val="single" w:sz="8" w:space="0" w:color="000000"/>
              <w:right w:val="single" w:sz="8" w:space="0" w:color="000000"/>
            </w:tcBorders>
          </w:tcPr>
          <w:p w:rsidR="00FC3081" w:rsidRPr="00FB6E9A" w:rsidRDefault="00FC3081" w:rsidP="00913BC5">
            <w:pPr>
              <w:jc w:val="center"/>
              <w:rPr>
                <w:rFonts w:ascii="Trebuchet MS" w:hAnsi="Trebuchet MS" w:cs="Arial"/>
                <w:sz w:val="22"/>
                <w:szCs w:val="22"/>
              </w:rPr>
            </w:pPr>
          </w:p>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6174</w:t>
            </w:r>
          </w:p>
        </w:tc>
        <w:tc>
          <w:tcPr>
            <w:tcW w:w="1170" w:type="dxa"/>
            <w:tcBorders>
              <w:left w:val="single" w:sz="8" w:space="0" w:color="000000"/>
              <w:bottom w:val="single" w:sz="8" w:space="0" w:color="000000"/>
              <w:right w:val="single" w:sz="8" w:space="0" w:color="000000"/>
            </w:tcBorders>
          </w:tcPr>
          <w:p w:rsidR="00FC3081" w:rsidRPr="00FB6E9A" w:rsidRDefault="00FC3081" w:rsidP="00913BC5">
            <w:pPr>
              <w:jc w:val="center"/>
              <w:rPr>
                <w:rFonts w:ascii="Trebuchet MS" w:hAnsi="Trebuchet MS" w:cs="Arial"/>
                <w:sz w:val="22"/>
                <w:szCs w:val="22"/>
              </w:rPr>
            </w:pPr>
          </w:p>
          <w:p w:rsidR="00FC3081" w:rsidRPr="00FB6E9A" w:rsidRDefault="00FC3081" w:rsidP="00913BC5">
            <w:pPr>
              <w:jc w:val="center"/>
              <w:rPr>
                <w:rFonts w:ascii="Trebuchet MS" w:hAnsi="Trebuchet MS" w:cs="Arial"/>
                <w:sz w:val="22"/>
                <w:szCs w:val="22"/>
              </w:rPr>
            </w:pPr>
            <w:r w:rsidRPr="00FB6E9A">
              <w:rPr>
                <w:rFonts w:ascii="Trebuchet MS" w:hAnsi="Trebuchet MS" w:cs="Arial"/>
                <w:sz w:val="22"/>
                <w:szCs w:val="22"/>
              </w:rPr>
              <w:t>7275</w:t>
            </w:r>
          </w:p>
        </w:tc>
      </w:tr>
    </w:tbl>
    <w:p w:rsidR="00FC3081" w:rsidRPr="00FB6E9A" w:rsidRDefault="00FC3081" w:rsidP="00FC3081">
      <w:pPr>
        <w:spacing w:line="276" w:lineRule="auto"/>
        <w:jc w:val="both"/>
        <w:rPr>
          <w:rFonts w:ascii="Trebuchet MS" w:hAnsi="Trebuchet MS" w:cs="Arial"/>
          <w:sz w:val="22"/>
          <w:szCs w:val="22"/>
          <w:lang w:val="ro-RO"/>
        </w:rPr>
      </w:pPr>
    </w:p>
    <w:p w:rsidR="00FC3081" w:rsidRPr="00FC554D" w:rsidRDefault="00FC3081" w:rsidP="00FC3081">
      <w:pPr>
        <w:spacing w:line="276" w:lineRule="auto"/>
        <w:jc w:val="both"/>
        <w:rPr>
          <w:rFonts w:ascii="Arial" w:hAnsi="Arial" w:cs="Arial"/>
          <w:lang w:val="ro-RO"/>
        </w:rPr>
      </w:pPr>
      <w:r w:rsidRPr="00FB6E9A">
        <w:rPr>
          <w:rFonts w:ascii="Trebuchet MS" w:hAnsi="Trebuchet MS" w:cs="Arial"/>
          <w:sz w:val="22"/>
          <w:szCs w:val="22"/>
          <w:lang w:val="ro-RO"/>
        </w:rPr>
        <w:t xml:space="preserve">           </w:t>
      </w:r>
      <w:r>
        <w:rPr>
          <w:noProof/>
          <w:lang w:val="en-US"/>
        </w:rPr>
        <w:drawing>
          <wp:inline distT="0" distB="0" distL="0" distR="0" wp14:anchorId="09E7FCBE" wp14:editId="23D7B0DC">
            <wp:extent cx="5943600" cy="3851910"/>
            <wp:effectExtent l="0" t="0" r="0" b="1524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FC3081" w:rsidRPr="00FC554D" w:rsidRDefault="00FC3081" w:rsidP="00FC3081">
      <w:pPr>
        <w:spacing w:line="276" w:lineRule="auto"/>
        <w:jc w:val="both"/>
        <w:rPr>
          <w:rFonts w:ascii="Arial" w:hAnsi="Arial" w:cs="Arial"/>
          <w:lang w:val="ro-RO"/>
        </w:rPr>
      </w:pPr>
    </w:p>
    <w:p w:rsidR="00FC3081" w:rsidRPr="00FB6E9A" w:rsidRDefault="00FC3081" w:rsidP="00FC3081">
      <w:pPr>
        <w:spacing w:line="276" w:lineRule="auto"/>
        <w:jc w:val="both"/>
        <w:rPr>
          <w:rFonts w:ascii="Trebuchet MS" w:hAnsi="Trebuchet MS" w:cs="Arial"/>
          <w:sz w:val="22"/>
          <w:szCs w:val="22"/>
          <w:lang w:val="ro-RO"/>
        </w:rPr>
      </w:pPr>
      <w:r w:rsidRPr="00FB6E9A">
        <w:rPr>
          <w:rFonts w:ascii="Trebuchet MS" w:hAnsi="Trebuchet MS" w:cs="Arial"/>
          <w:sz w:val="22"/>
          <w:szCs w:val="22"/>
          <w:lang w:val="ro-RO"/>
        </w:rPr>
        <w:t>Sursa: Agenția pentru Protecția Mediului București- Baza de date anuală privind VSU</w:t>
      </w:r>
    </w:p>
    <w:p w:rsidR="00FC3081" w:rsidRPr="00FB6E9A" w:rsidRDefault="00FC3081" w:rsidP="00FC3081">
      <w:pPr>
        <w:spacing w:line="276" w:lineRule="auto"/>
        <w:jc w:val="both"/>
        <w:rPr>
          <w:rFonts w:ascii="Trebuchet MS" w:hAnsi="Trebuchet MS" w:cs="Arial"/>
          <w:sz w:val="22"/>
          <w:szCs w:val="22"/>
          <w:lang w:val="ro-RO"/>
        </w:rPr>
      </w:pPr>
    </w:p>
    <w:p w:rsidR="00FC3081" w:rsidRPr="00FB6E9A" w:rsidRDefault="00FC3081" w:rsidP="00FC3081">
      <w:pPr>
        <w:spacing w:line="276" w:lineRule="auto"/>
        <w:jc w:val="both"/>
        <w:rPr>
          <w:rFonts w:ascii="Trebuchet MS" w:eastAsia="Times New Roman" w:hAnsi="Trebuchet MS" w:cs="Arial"/>
          <w:sz w:val="22"/>
          <w:szCs w:val="22"/>
        </w:rPr>
      </w:pPr>
      <w:r w:rsidRPr="00FB6E9A">
        <w:rPr>
          <w:rFonts w:ascii="Trebuchet MS" w:hAnsi="Trebuchet MS" w:cs="Arial"/>
          <w:sz w:val="22"/>
          <w:szCs w:val="22"/>
        </w:rPr>
        <w:tab/>
        <w:t xml:space="preserve">Cantitativ, pe raza municipiului București s-au colectat pe parcursul anului 2023, în total </w:t>
      </w:r>
      <w:r w:rsidRPr="00FB6E9A">
        <w:rPr>
          <w:rFonts w:ascii="Trebuchet MS" w:eastAsia="Times New Roman" w:hAnsi="Trebuchet MS" w:cs="Arial"/>
          <w:sz w:val="22"/>
          <w:szCs w:val="22"/>
        </w:rPr>
        <w:t>7560.894 tone de vehicule scoase din uz, din care s-au tratat 7305.654 tone, incluzand stocurile de VSU din anul 2022.</w:t>
      </w:r>
    </w:p>
    <w:p w:rsidR="00FC3081" w:rsidRPr="00FB6E9A" w:rsidRDefault="00FC3081" w:rsidP="00FC3081">
      <w:pPr>
        <w:widowControl w:val="0"/>
        <w:tabs>
          <w:tab w:val="left" w:pos="360"/>
        </w:tabs>
        <w:autoSpaceDE w:val="0"/>
        <w:spacing w:line="276" w:lineRule="auto"/>
        <w:jc w:val="both"/>
        <w:rPr>
          <w:rFonts w:ascii="Trebuchet MS" w:hAnsi="Trebuchet MS" w:cs="Arial"/>
          <w:sz w:val="22"/>
          <w:szCs w:val="22"/>
        </w:rPr>
      </w:pPr>
      <w:r w:rsidRPr="00FB6E9A">
        <w:rPr>
          <w:rFonts w:ascii="Trebuchet MS" w:hAnsi="Trebuchet MS" w:cs="Arial"/>
          <w:sz w:val="22"/>
          <w:szCs w:val="22"/>
          <w:lang w:val="pt-BR"/>
        </w:rPr>
        <w:t>Datele corespunzătoare anului 2023</w:t>
      </w:r>
      <w:r w:rsidRPr="00FB6E9A">
        <w:rPr>
          <w:rFonts w:ascii="Trebuchet MS" w:hAnsi="Trebuchet MS" w:cs="Arial"/>
          <w:sz w:val="22"/>
          <w:szCs w:val="22"/>
          <w:lang w:val="ro-RO"/>
        </w:rPr>
        <w:t xml:space="preserve"> nu sunt </w:t>
      </w:r>
      <w:r w:rsidRPr="00FB6E9A">
        <w:rPr>
          <w:rFonts w:ascii="Trebuchet MS" w:hAnsi="Trebuchet MS" w:cs="Arial"/>
          <w:sz w:val="22"/>
          <w:szCs w:val="22"/>
          <w:lang w:val="pt-BR"/>
        </w:rPr>
        <w:t>validate până în prezent de către Agenţia Naţională pentru Protecţia Mediului</w:t>
      </w:r>
      <w:r w:rsidRPr="00FB6E9A">
        <w:rPr>
          <w:rFonts w:ascii="Trebuchet MS" w:hAnsi="Trebuchet MS" w:cs="Arial"/>
          <w:sz w:val="22"/>
          <w:szCs w:val="22"/>
          <w:lang w:val="ro-RO"/>
        </w:rPr>
        <w:t>, fiind in curs de prelucrare.</w:t>
      </w:r>
    </w:p>
    <w:p w:rsidR="00FC3081" w:rsidRPr="00FB6E9A" w:rsidRDefault="00FC3081" w:rsidP="00FC3081">
      <w:pPr>
        <w:spacing w:line="276" w:lineRule="auto"/>
        <w:jc w:val="both"/>
        <w:rPr>
          <w:rFonts w:ascii="Trebuchet MS" w:hAnsi="Trebuchet MS" w:cs="Arial"/>
          <w:sz w:val="22"/>
          <w:szCs w:val="22"/>
          <w:lang w:val="it-IT"/>
        </w:rPr>
      </w:pPr>
      <w:r w:rsidRPr="00FB6E9A">
        <w:rPr>
          <w:rFonts w:ascii="Trebuchet MS" w:hAnsi="Trebuchet MS" w:cs="Arial"/>
          <w:sz w:val="22"/>
          <w:szCs w:val="22"/>
        </w:rPr>
        <w:tab/>
        <w:t xml:space="preserve">La nivelul anului 2023 pe raza Municipiului Bucureşti erau autorizaţi pentru activităţi de colectare </w:t>
      </w:r>
      <w:r w:rsidRPr="00FB6E9A">
        <w:rPr>
          <w:rFonts w:ascii="Trebuchet MS" w:hAnsi="Trebuchet MS" w:cs="Arial"/>
          <w:sz w:val="22"/>
          <w:szCs w:val="22"/>
          <w:lang w:val="ro-RO"/>
        </w:rPr>
        <w:t xml:space="preserve">și tratare </w:t>
      </w:r>
      <w:r w:rsidRPr="00FB6E9A">
        <w:rPr>
          <w:rFonts w:ascii="Trebuchet MS" w:hAnsi="Trebuchet MS" w:cs="Arial"/>
          <w:sz w:val="22"/>
          <w:szCs w:val="22"/>
        </w:rPr>
        <w:t xml:space="preserve">a vehiculelor scoase din uz 15 operatori economici. </w:t>
      </w:r>
      <w:r w:rsidRPr="00FB6E9A">
        <w:rPr>
          <w:rFonts w:ascii="Trebuchet MS" w:hAnsi="Trebuchet MS" w:cs="Arial"/>
          <w:sz w:val="22"/>
          <w:szCs w:val="22"/>
          <w:lang w:val="it-IT"/>
        </w:rPr>
        <w:t>Toţi aceşti operatori deţin autorizaţii de mediu, precum şi autorizaţie tehnică de la RAR şi aviz de funcţionare de la Inspectoratul Judeţean de Poliţie Bucureşti.</w:t>
      </w:r>
    </w:p>
    <w:p w:rsidR="00FC3081" w:rsidRPr="00FB6E9A" w:rsidRDefault="00FC3081" w:rsidP="00FC3081">
      <w:pPr>
        <w:spacing w:line="276" w:lineRule="auto"/>
        <w:jc w:val="both"/>
        <w:rPr>
          <w:rFonts w:ascii="Trebuchet MS" w:hAnsi="Trebuchet MS" w:cs="Arial"/>
          <w:sz w:val="22"/>
          <w:szCs w:val="22"/>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311"/>
        <w:gridCol w:w="3748"/>
        <w:gridCol w:w="2055"/>
      </w:tblGrid>
      <w:tr w:rsidR="00FB6E9A" w:rsidRPr="00FB6E9A" w:rsidTr="00913BC5">
        <w:tc>
          <w:tcPr>
            <w:tcW w:w="236" w:type="dxa"/>
            <w:shd w:val="clear" w:color="auto" w:fill="auto"/>
          </w:tcPr>
          <w:p w:rsidR="00FC3081" w:rsidRPr="00FB6E9A" w:rsidRDefault="00FC3081" w:rsidP="00913BC5">
            <w:pPr>
              <w:rPr>
                <w:rFonts w:ascii="Trebuchet MS" w:eastAsia="Calibri" w:hAnsi="Trebuchet MS" w:cs="Arial"/>
                <w:b/>
                <w:sz w:val="22"/>
                <w:szCs w:val="22"/>
                <w:lang w:val="en-US"/>
              </w:rPr>
            </w:pPr>
            <w:r w:rsidRPr="00FB6E9A">
              <w:rPr>
                <w:rFonts w:ascii="Trebuchet MS" w:eastAsia="Calibri" w:hAnsi="Trebuchet MS" w:cs="Arial"/>
                <w:b/>
                <w:sz w:val="22"/>
                <w:szCs w:val="22"/>
                <w:lang w:val="en-US"/>
              </w:rPr>
              <w:t>Nr. crt.</w:t>
            </w:r>
          </w:p>
          <w:p w:rsidR="00FC3081" w:rsidRPr="00FB6E9A" w:rsidRDefault="00FC3081" w:rsidP="00913BC5">
            <w:pPr>
              <w:rPr>
                <w:rFonts w:ascii="Trebuchet MS" w:eastAsia="Calibri" w:hAnsi="Trebuchet MS" w:cs="Arial"/>
                <w:b/>
                <w:sz w:val="22"/>
                <w:szCs w:val="22"/>
                <w:lang w:val="en-US"/>
              </w:rPr>
            </w:pPr>
          </w:p>
        </w:tc>
        <w:tc>
          <w:tcPr>
            <w:tcW w:w="3311" w:type="dxa"/>
            <w:shd w:val="clear" w:color="auto" w:fill="auto"/>
          </w:tcPr>
          <w:p w:rsidR="00FC3081" w:rsidRPr="00FB6E9A" w:rsidRDefault="00FC3081" w:rsidP="00913BC5">
            <w:pPr>
              <w:jc w:val="center"/>
              <w:rPr>
                <w:rFonts w:ascii="Trebuchet MS" w:eastAsia="Calibri" w:hAnsi="Trebuchet MS" w:cs="Arial"/>
                <w:b/>
                <w:sz w:val="22"/>
                <w:szCs w:val="22"/>
                <w:lang w:val="en-US"/>
              </w:rPr>
            </w:pPr>
          </w:p>
          <w:p w:rsidR="00FC3081" w:rsidRPr="00FB6E9A" w:rsidRDefault="00FC3081" w:rsidP="00913BC5">
            <w:pPr>
              <w:jc w:val="center"/>
              <w:rPr>
                <w:rFonts w:ascii="Trebuchet MS" w:eastAsia="Calibri" w:hAnsi="Trebuchet MS" w:cs="Arial"/>
                <w:b/>
                <w:sz w:val="22"/>
                <w:szCs w:val="22"/>
                <w:lang w:val="en-US"/>
              </w:rPr>
            </w:pPr>
            <w:r w:rsidRPr="00FB6E9A">
              <w:rPr>
                <w:rFonts w:ascii="Trebuchet MS" w:eastAsia="Calibri" w:hAnsi="Trebuchet MS" w:cs="Arial"/>
                <w:b/>
                <w:sz w:val="22"/>
                <w:szCs w:val="22"/>
                <w:lang w:val="en-US"/>
              </w:rPr>
              <w:t>Agent economic</w:t>
            </w:r>
          </w:p>
        </w:tc>
        <w:tc>
          <w:tcPr>
            <w:tcW w:w="3748" w:type="dxa"/>
            <w:shd w:val="clear" w:color="auto" w:fill="auto"/>
          </w:tcPr>
          <w:p w:rsidR="00FC3081" w:rsidRPr="00FB6E9A" w:rsidRDefault="00FC3081" w:rsidP="00913BC5">
            <w:pPr>
              <w:jc w:val="center"/>
              <w:rPr>
                <w:rFonts w:ascii="Trebuchet MS" w:eastAsia="Calibri" w:hAnsi="Trebuchet MS" w:cs="Arial"/>
                <w:b/>
                <w:sz w:val="22"/>
                <w:szCs w:val="22"/>
                <w:lang w:val="en-US"/>
              </w:rPr>
            </w:pPr>
          </w:p>
          <w:p w:rsidR="00FC3081" w:rsidRPr="00FB6E9A" w:rsidRDefault="00FC3081" w:rsidP="00913BC5">
            <w:pPr>
              <w:jc w:val="center"/>
              <w:rPr>
                <w:rFonts w:ascii="Trebuchet MS" w:eastAsia="Calibri" w:hAnsi="Trebuchet MS" w:cs="Arial"/>
                <w:b/>
                <w:sz w:val="22"/>
                <w:szCs w:val="22"/>
                <w:lang w:val="en-US"/>
              </w:rPr>
            </w:pPr>
            <w:r w:rsidRPr="00FB6E9A">
              <w:rPr>
                <w:rFonts w:ascii="Trebuchet MS" w:eastAsia="Calibri" w:hAnsi="Trebuchet MS" w:cs="Arial"/>
                <w:b/>
                <w:sz w:val="22"/>
                <w:szCs w:val="22"/>
                <w:lang w:val="en-US"/>
              </w:rPr>
              <w:t>Punct de lucru</w:t>
            </w:r>
          </w:p>
        </w:tc>
        <w:tc>
          <w:tcPr>
            <w:tcW w:w="2055" w:type="dxa"/>
            <w:shd w:val="clear" w:color="auto" w:fill="auto"/>
          </w:tcPr>
          <w:p w:rsidR="00FC3081" w:rsidRPr="00FB6E9A" w:rsidRDefault="00FC3081" w:rsidP="00913BC5">
            <w:pPr>
              <w:jc w:val="center"/>
              <w:rPr>
                <w:rFonts w:ascii="Trebuchet MS" w:eastAsia="Calibri" w:hAnsi="Trebuchet MS" w:cs="Arial"/>
                <w:b/>
                <w:sz w:val="22"/>
                <w:szCs w:val="22"/>
                <w:lang w:val="en-US"/>
              </w:rPr>
            </w:pPr>
            <w:r w:rsidRPr="00FB6E9A">
              <w:rPr>
                <w:rFonts w:ascii="Trebuchet MS" w:eastAsia="Calibri" w:hAnsi="Trebuchet MS" w:cs="Arial"/>
                <w:b/>
                <w:sz w:val="22"/>
                <w:szCs w:val="22"/>
                <w:lang w:val="en-US"/>
              </w:rPr>
              <w:t>Activitatea defășurată</w:t>
            </w:r>
          </w:p>
        </w:tc>
      </w:tr>
      <w:tr w:rsidR="00FB6E9A" w:rsidRPr="00FB6E9A" w:rsidTr="00913BC5">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1</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ADIVIO COMSERV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Drumul Dealu Aluniş nr. 11-15 (lot 1, parcela 1), sector 4</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50"/>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2</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METAL COLECT TRADING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Intrarea Blejoi nr. 8-16, sector 6</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50"/>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3</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CORREO ALLORE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Str. Zăbrăuţiului nr. 15, sector 5</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50"/>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4</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DENIS UNIC PROIECT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Bd. Iuliu Maniu nr. 413 B, sector 6</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5</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ECO GREEN VILLE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Şos. Bucureşti-Măgurele nr. 34, sector 5</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6</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MOBILE AUTO INTERNATIONAL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Şos. Alexandriei nr. 211A, sector 5</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32"/>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7</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REMAT BUCURESTI SUD SA</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Șos. Berceni Fort, nr. 5, sector 4</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68"/>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8</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REMAT MILITARI SA</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Str.Bârsăneşti, nr.23, sector 6</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32"/>
        </w:trPr>
        <w:tc>
          <w:tcPr>
            <w:tcW w:w="236" w:type="dxa"/>
            <w:vMerge w:val="restart"/>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9</w:t>
            </w:r>
          </w:p>
        </w:tc>
        <w:tc>
          <w:tcPr>
            <w:tcW w:w="3311" w:type="dxa"/>
            <w:vMerge w:val="restart"/>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REMATHOLDING Co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Şos.Chitilei nr.499, zona II, sector 1</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tratare și shredder</w:t>
            </w:r>
          </w:p>
        </w:tc>
      </w:tr>
      <w:tr w:rsidR="00FB6E9A" w:rsidRPr="00FB6E9A" w:rsidTr="00913BC5">
        <w:trPr>
          <w:trHeight w:val="368"/>
        </w:trPr>
        <w:tc>
          <w:tcPr>
            <w:tcW w:w="236" w:type="dxa"/>
            <w:vMerge/>
            <w:shd w:val="clear" w:color="auto" w:fill="auto"/>
          </w:tcPr>
          <w:p w:rsidR="00FC3081" w:rsidRPr="00FB6E9A" w:rsidRDefault="00FC3081" w:rsidP="00913BC5">
            <w:pPr>
              <w:rPr>
                <w:rFonts w:ascii="Trebuchet MS" w:eastAsia="Calibri" w:hAnsi="Trebuchet MS" w:cs="Arial"/>
                <w:sz w:val="22"/>
                <w:szCs w:val="22"/>
                <w:lang w:val="en-US"/>
              </w:rPr>
            </w:pPr>
          </w:p>
        </w:tc>
        <w:tc>
          <w:tcPr>
            <w:tcW w:w="3311" w:type="dxa"/>
            <w:vMerge/>
            <w:shd w:val="clear" w:color="auto" w:fill="auto"/>
          </w:tcPr>
          <w:p w:rsidR="00FC3081" w:rsidRPr="00FB6E9A" w:rsidRDefault="00FC3081" w:rsidP="00913BC5">
            <w:pPr>
              <w:rPr>
                <w:rFonts w:ascii="Trebuchet MS" w:eastAsia="Calibri" w:hAnsi="Trebuchet MS" w:cs="Arial"/>
                <w:sz w:val="22"/>
                <w:szCs w:val="22"/>
                <w:lang w:val="en-US"/>
              </w:rPr>
            </w:pP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Șos. Berceni nr.110 A, sector 4</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 xml:space="preserve">colectare </w:t>
            </w:r>
          </w:p>
        </w:tc>
      </w:tr>
      <w:tr w:rsidR="00FB6E9A" w:rsidRPr="00FB6E9A" w:rsidTr="00913BC5">
        <w:trPr>
          <w:trHeight w:val="332"/>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10</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ROMRECYCLING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Șos. Berceni Fort nr. 5, sector 4</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shredder</w:t>
            </w:r>
          </w:p>
        </w:tc>
      </w:tr>
      <w:tr w:rsidR="00FB6E9A" w:rsidRPr="00FB6E9A" w:rsidTr="00913BC5">
        <w:trPr>
          <w:trHeight w:val="368"/>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11</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ROCO MAN AUTO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Drumul Dealu Aluniş nr. 11-15, sector 4</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68"/>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12</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REMAT ECO METAL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Bd. Preciziei nr. 9 B, sector 6</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32"/>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13</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SMART AUTO INVEST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Str. Regiei nr. 2, Corp C 9, sector 6</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68"/>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14</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MG&amp;AC ALEX&amp;GEANY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Str. Nicolae Teclu nr. 5, sector 3</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r w:rsidR="00FB6E9A" w:rsidRPr="00FB6E9A" w:rsidTr="00913BC5">
        <w:trPr>
          <w:trHeight w:val="332"/>
        </w:trPr>
        <w:tc>
          <w:tcPr>
            <w:tcW w:w="236"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15</w:t>
            </w:r>
          </w:p>
        </w:tc>
        <w:tc>
          <w:tcPr>
            <w:tcW w:w="3311"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SC DUNVIO LOIAL SRL</w:t>
            </w:r>
          </w:p>
        </w:tc>
        <w:tc>
          <w:tcPr>
            <w:tcW w:w="3748"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Str. Sold. Tudor Mihail nr. 1-21, sector 2</w:t>
            </w:r>
          </w:p>
        </w:tc>
        <w:tc>
          <w:tcPr>
            <w:tcW w:w="2055" w:type="dxa"/>
            <w:shd w:val="clear" w:color="auto" w:fill="auto"/>
          </w:tcPr>
          <w:p w:rsidR="00FC3081" w:rsidRPr="00FB6E9A" w:rsidRDefault="00FC3081" w:rsidP="00913BC5">
            <w:pPr>
              <w:rPr>
                <w:rFonts w:ascii="Trebuchet MS" w:eastAsia="Calibri" w:hAnsi="Trebuchet MS" w:cs="Arial"/>
                <w:sz w:val="22"/>
                <w:szCs w:val="22"/>
                <w:lang w:val="en-US"/>
              </w:rPr>
            </w:pPr>
            <w:r w:rsidRPr="00FB6E9A">
              <w:rPr>
                <w:rFonts w:ascii="Trebuchet MS" w:eastAsia="Calibri" w:hAnsi="Trebuchet MS" w:cs="Arial"/>
                <w:sz w:val="22"/>
                <w:szCs w:val="22"/>
                <w:lang w:val="en-US"/>
              </w:rPr>
              <w:t>colectare şi tratare</w:t>
            </w:r>
          </w:p>
        </w:tc>
      </w:tr>
    </w:tbl>
    <w:p w:rsidR="00FC3081" w:rsidRPr="00FB6E9A" w:rsidRDefault="00FC3081" w:rsidP="00FC3081">
      <w:pPr>
        <w:spacing w:line="276" w:lineRule="auto"/>
        <w:jc w:val="both"/>
        <w:rPr>
          <w:rFonts w:ascii="Trebuchet MS" w:hAnsi="Trebuchet MS" w:cs="Arial"/>
          <w:sz w:val="22"/>
          <w:szCs w:val="22"/>
        </w:rPr>
      </w:pPr>
    </w:p>
    <w:p w:rsidR="00FC3081" w:rsidRPr="00FB6E9A" w:rsidRDefault="00FC3081" w:rsidP="00FC3081">
      <w:pPr>
        <w:widowControl w:val="0"/>
        <w:autoSpaceDE w:val="0"/>
        <w:spacing w:line="276" w:lineRule="auto"/>
        <w:jc w:val="both"/>
        <w:rPr>
          <w:rFonts w:ascii="Trebuchet MS" w:hAnsi="Trebuchet MS" w:cs="Arial"/>
          <w:sz w:val="22"/>
          <w:szCs w:val="22"/>
        </w:rPr>
      </w:pPr>
      <w:r w:rsidRPr="00FB6E9A">
        <w:rPr>
          <w:rFonts w:ascii="Trebuchet MS" w:hAnsi="Trebuchet MS" w:cs="Arial"/>
          <w:sz w:val="22"/>
          <w:szCs w:val="22"/>
          <w:lang w:val="it-IT"/>
        </w:rPr>
        <w:tab/>
        <w:t>De asemenea, sunt autorizate două instalaţii de tip shredder, aparținând SC REMATHOLDING Co și SC ROMRECYCLING, care preiau caroseriile provenite de la VSU, în vederea tratării.</w:t>
      </w:r>
    </w:p>
    <w:p w:rsidR="00FC3081" w:rsidRPr="00FB6E9A" w:rsidRDefault="00FC3081" w:rsidP="00FC3081">
      <w:pPr>
        <w:widowControl w:val="0"/>
        <w:autoSpaceDE w:val="0"/>
        <w:spacing w:line="276" w:lineRule="auto"/>
        <w:jc w:val="both"/>
        <w:rPr>
          <w:rFonts w:ascii="Trebuchet MS" w:hAnsi="Trebuchet MS" w:cs="Arial"/>
          <w:sz w:val="22"/>
          <w:szCs w:val="22"/>
        </w:rPr>
      </w:pPr>
      <w:r w:rsidRPr="00FB6E9A">
        <w:rPr>
          <w:rFonts w:ascii="Trebuchet MS" w:hAnsi="Trebuchet MS" w:cs="Arial"/>
          <w:sz w:val="22"/>
          <w:szCs w:val="22"/>
          <w:lang w:val="pt-BR"/>
        </w:rPr>
        <w:tab/>
        <w:t>Materialele rezultate (fracţia uşoară de shredder) sunt apoi introduse în staţia de sortare cu rol de separare a fracțiilor neferoase de cele nemetalice.</w:t>
      </w:r>
    </w:p>
    <w:p w:rsidR="00FC3081" w:rsidRPr="00FB6E9A" w:rsidRDefault="00FC3081" w:rsidP="00FC3081">
      <w:pPr>
        <w:spacing w:line="276" w:lineRule="auto"/>
        <w:jc w:val="both"/>
        <w:rPr>
          <w:rFonts w:ascii="Trebuchet MS" w:hAnsi="Trebuchet MS" w:cs="Arial"/>
          <w:sz w:val="22"/>
          <w:szCs w:val="22"/>
          <w:shd w:val="clear" w:color="auto" w:fill="FFFFFF"/>
          <w:lang w:val="ro-RO"/>
        </w:rPr>
      </w:pPr>
      <w:r w:rsidRPr="00FB6E9A">
        <w:rPr>
          <w:rFonts w:ascii="Trebuchet MS" w:hAnsi="Trebuchet MS" w:cs="Arial"/>
          <w:sz w:val="22"/>
          <w:szCs w:val="22"/>
          <w:shd w:val="clear" w:color="auto" w:fill="FFFFFF"/>
          <w:lang w:val="ro-RO"/>
        </w:rPr>
        <w:tab/>
        <w:t>Pentru o mai bună reciclare a vehiculelor scoase din uz și pentru îmbunătățirea calității mediului, autorităţile competente au demarat un program specific, ”Programul de stimulare a înnoirii Parcului auto național” (denumit și Programul "Rabla"), prin care se încurajează achiziționarea vehiculelor vechi, pentru reducerea emisiilor poluante şi care a funcţionat începând cu anul 2010. De asemenea, acest program de finanțare a achiziției unui autovehicul nou a continuat și în 2023. Prin acest program, românii au posibilitatea de a cumpăra un vehicul nou, prin predarea unui vehicul mai vechi de 8 ani.</w:t>
      </w:r>
    </w:p>
    <w:p w:rsidR="00FC3081" w:rsidRPr="00FB6E9A" w:rsidRDefault="00FC3081" w:rsidP="00FC3081">
      <w:pPr>
        <w:spacing w:line="276" w:lineRule="auto"/>
        <w:jc w:val="both"/>
        <w:rPr>
          <w:rFonts w:ascii="Trebuchet MS" w:hAnsi="Trebuchet MS" w:cs="Arial"/>
          <w:sz w:val="22"/>
          <w:szCs w:val="22"/>
          <w:lang w:val="ro-RO"/>
        </w:rPr>
      </w:pPr>
    </w:p>
    <w:p w:rsidR="00FC3081" w:rsidRPr="00FB6E9A" w:rsidRDefault="00FC3081" w:rsidP="00FC3081">
      <w:pPr>
        <w:spacing w:line="276" w:lineRule="auto"/>
        <w:ind w:left="720"/>
        <w:contextualSpacing/>
        <w:jc w:val="both"/>
        <w:rPr>
          <w:rFonts w:ascii="Trebuchet MS" w:eastAsia="Times New Roman" w:hAnsi="Trebuchet MS" w:cs="Arial"/>
          <w:b/>
          <w:sz w:val="22"/>
          <w:szCs w:val="22"/>
          <w:lang w:val="ro-RO"/>
        </w:rPr>
      </w:pPr>
      <w:r w:rsidRPr="00FB6E9A">
        <w:rPr>
          <w:rFonts w:ascii="Trebuchet MS" w:eastAsia="Times New Roman" w:hAnsi="Trebuchet MS" w:cs="Arial"/>
          <w:b/>
          <w:sz w:val="22"/>
          <w:szCs w:val="22"/>
          <w:lang w:val="ro-RO"/>
        </w:rPr>
        <w:t>B Alte date şi informaţii specifice</w:t>
      </w:r>
    </w:p>
    <w:p w:rsidR="00FC3081" w:rsidRPr="00FB6E9A" w:rsidRDefault="00FC3081" w:rsidP="00FC3081">
      <w:pPr>
        <w:spacing w:line="276" w:lineRule="auto"/>
        <w:jc w:val="both"/>
        <w:rPr>
          <w:rFonts w:ascii="Trebuchet MS" w:hAnsi="Trebuchet MS" w:cs="Arial"/>
          <w:sz w:val="22"/>
          <w:szCs w:val="22"/>
          <w:lang w:val="ro-RO"/>
        </w:rPr>
      </w:pPr>
    </w:p>
    <w:p w:rsidR="00FC3081" w:rsidRPr="00FB6E9A" w:rsidRDefault="00FC3081" w:rsidP="00FC3081">
      <w:pPr>
        <w:spacing w:line="276" w:lineRule="auto"/>
        <w:ind w:left="720"/>
        <w:contextualSpacing/>
        <w:jc w:val="both"/>
        <w:rPr>
          <w:rFonts w:ascii="Trebuchet MS" w:eastAsia="Times New Roman" w:hAnsi="Trebuchet MS" w:cs="Arial"/>
          <w:sz w:val="22"/>
          <w:szCs w:val="22"/>
          <w:lang w:val="ro-RO"/>
        </w:rPr>
      </w:pPr>
      <w:r w:rsidRPr="00FB6E9A">
        <w:rPr>
          <w:rFonts w:ascii="Trebuchet MS" w:eastAsia="Times New Roman" w:hAnsi="Trebuchet MS" w:cs="Arial"/>
          <w:sz w:val="22"/>
          <w:szCs w:val="22"/>
          <w:lang w:val="ro-RO"/>
        </w:rPr>
        <w:t>Începând cu data de 1 ianuarie 2015, agenţii economici trebuie să asigure realizarea următoarelor obiective, luând în considerare masa medie la gol:</w:t>
      </w:r>
    </w:p>
    <w:p w:rsidR="00FC3081" w:rsidRPr="00FB6E9A" w:rsidRDefault="00FC3081" w:rsidP="00FC3081">
      <w:pPr>
        <w:numPr>
          <w:ilvl w:val="0"/>
          <w:numId w:val="35"/>
        </w:numPr>
        <w:autoSpaceDE w:val="0"/>
        <w:autoSpaceDN w:val="0"/>
        <w:adjustRightInd w:val="0"/>
        <w:spacing w:line="276" w:lineRule="auto"/>
        <w:jc w:val="both"/>
        <w:rPr>
          <w:rFonts w:ascii="Trebuchet MS" w:hAnsi="Trebuchet MS" w:cs="Arial"/>
          <w:sz w:val="22"/>
          <w:szCs w:val="22"/>
          <w:lang w:val="ro-RO"/>
        </w:rPr>
      </w:pPr>
      <w:r w:rsidRPr="00FB6E9A">
        <w:rPr>
          <w:rFonts w:ascii="Trebuchet MS" w:hAnsi="Trebuchet MS" w:cs="Arial"/>
          <w:sz w:val="22"/>
          <w:szCs w:val="22"/>
          <w:lang w:val="ro-RO"/>
        </w:rPr>
        <w:t xml:space="preserve">reutilizarea şi valorificarea a cel puţin 95% din masa vehiculelor, pentru toate vehiculele scoase din uz; </w:t>
      </w:r>
    </w:p>
    <w:p w:rsidR="00FC3081" w:rsidRPr="00FB6E9A" w:rsidRDefault="00FC3081" w:rsidP="00FC3081">
      <w:pPr>
        <w:numPr>
          <w:ilvl w:val="0"/>
          <w:numId w:val="35"/>
        </w:numPr>
        <w:autoSpaceDE w:val="0"/>
        <w:autoSpaceDN w:val="0"/>
        <w:adjustRightInd w:val="0"/>
        <w:spacing w:line="276" w:lineRule="auto"/>
        <w:jc w:val="both"/>
        <w:rPr>
          <w:rFonts w:ascii="Trebuchet MS" w:hAnsi="Trebuchet MS" w:cs="Arial"/>
          <w:sz w:val="22"/>
          <w:szCs w:val="22"/>
        </w:rPr>
      </w:pPr>
      <w:r w:rsidRPr="00FB6E9A">
        <w:rPr>
          <w:rFonts w:ascii="Trebuchet MS" w:hAnsi="Trebuchet MS" w:cs="Arial"/>
          <w:sz w:val="22"/>
          <w:szCs w:val="22"/>
        </w:rPr>
        <w:t xml:space="preserve">reutilizarea şi reciclarea a cel puţin 85% din masa vehiculelor, pentru toate vehiculele scoase din uz. </w:t>
      </w:r>
    </w:p>
    <w:p w:rsidR="00FC3081" w:rsidRPr="00FB6E9A" w:rsidRDefault="00FC3081" w:rsidP="00FC3081">
      <w:pPr>
        <w:rPr>
          <w:rFonts w:ascii="Trebuchet MS" w:hAnsi="Trebuchet MS"/>
          <w:sz w:val="22"/>
          <w:szCs w:val="22"/>
        </w:rPr>
      </w:pPr>
    </w:p>
    <w:p w:rsidR="00FC3081" w:rsidRPr="00FB6E9A" w:rsidRDefault="00FC3081" w:rsidP="00FC3081">
      <w:pPr>
        <w:widowControl w:val="0"/>
        <w:tabs>
          <w:tab w:val="left" w:pos="360"/>
        </w:tabs>
        <w:autoSpaceDE w:val="0"/>
        <w:spacing w:line="276" w:lineRule="auto"/>
        <w:jc w:val="both"/>
        <w:rPr>
          <w:rFonts w:ascii="Trebuchet MS" w:hAnsi="Trebuchet MS" w:cs="Arial"/>
          <w:sz w:val="22"/>
          <w:szCs w:val="22"/>
          <w:lang w:val="ro-RO"/>
        </w:rPr>
      </w:pPr>
      <w:r w:rsidRPr="00FB6E9A">
        <w:rPr>
          <w:rFonts w:ascii="Trebuchet MS" w:hAnsi="Trebuchet MS" w:cs="Arial"/>
          <w:sz w:val="22"/>
          <w:szCs w:val="22"/>
          <w:lang w:val="ro-RO"/>
        </w:rPr>
        <w:t>Obiectivele de valorificare, reutilizare și reciclare, se reciclează la nivel naţional, deoarece există VSU colectate într-un judeţ şi tratate în altul, în termenul prevăzut de lege, iar calculul acestora nu e relevant la nivel judeţean.</w:t>
      </w:r>
    </w:p>
    <w:p w:rsidR="00FC3081" w:rsidRPr="00FB6E9A" w:rsidRDefault="00FC3081" w:rsidP="00FC3081">
      <w:pPr>
        <w:widowControl w:val="0"/>
        <w:tabs>
          <w:tab w:val="left" w:pos="360"/>
        </w:tabs>
        <w:autoSpaceDE w:val="0"/>
        <w:spacing w:line="276" w:lineRule="auto"/>
        <w:jc w:val="both"/>
        <w:rPr>
          <w:rFonts w:ascii="Trebuchet MS" w:hAnsi="Trebuchet MS" w:cs="Arial"/>
          <w:sz w:val="22"/>
          <w:szCs w:val="22"/>
          <w:lang w:val="ro-RO"/>
        </w:rPr>
      </w:pPr>
      <w:r w:rsidRPr="00FB6E9A">
        <w:rPr>
          <w:rFonts w:ascii="Trebuchet MS" w:hAnsi="Trebuchet MS" w:cs="Arial"/>
          <w:sz w:val="22"/>
          <w:szCs w:val="22"/>
          <w:lang w:val="ro-RO"/>
        </w:rPr>
        <w:t>Mai jos sunt prezentate aceste obiective, conform ultimelor date validate de ANPM:</w:t>
      </w:r>
    </w:p>
    <w:p w:rsidR="00FC3081" w:rsidRPr="00FB6E9A" w:rsidRDefault="00FC3081" w:rsidP="00FC3081">
      <w:pPr>
        <w:widowControl w:val="0"/>
        <w:tabs>
          <w:tab w:val="left" w:pos="360"/>
        </w:tabs>
        <w:autoSpaceDE w:val="0"/>
        <w:spacing w:line="276" w:lineRule="auto"/>
        <w:jc w:val="both"/>
        <w:rPr>
          <w:rFonts w:ascii="Trebuchet MS" w:hAnsi="Trebuchet MS" w:cs="Arial"/>
          <w:sz w:val="22"/>
          <w:szCs w:val="22"/>
          <w:lang w:val="ro-RO"/>
        </w:rPr>
      </w:pPr>
    </w:p>
    <w:p w:rsidR="00FC3081" w:rsidRPr="00FB6E9A" w:rsidRDefault="00FC3081" w:rsidP="00FC3081">
      <w:pPr>
        <w:widowControl w:val="0"/>
        <w:tabs>
          <w:tab w:val="left" w:pos="360"/>
        </w:tabs>
        <w:autoSpaceDE w:val="0"/>
        <w:spacing w:line="276" w:lineRule="auto"/>
        <w:jc w:val="both"/>
        <w:rPr>
          <w:rFonts w:ascii="Trebuchet MS" w:hAnsi="Trebuchet MS" w:cs="Arial"/>
          <w:b/>
          <w:sz w:val="22"/>
          <w:szCs w:val="22"/>
          <w:lang w:val="ro-RO"/>
        </w:rPr>
      </w:pPr>
      <w:r w:rsidRPr="00FB6E9A">
        <w:rPr>
          <w:rFonts w:ascii="Trebuchet MS" w:hAnsi="Trebuchet MS" w:cs="Arial"/>
          <w:b/>
          <w:sz w:val="22"/>
          <w:szCs w:val="22"/>
          <w:lang w:val="ro-RO"/>
        </w:rPr>
        <w:t xml:space="preserve">Tabel nr. VII.1.3.3.3. Cantităţi totale de materiale reutilizate, reciclate, valorificate </w:t>
      </w:r>
    </w:p>
    <w:p w:rsidR="00FC3081" w:rsidRPr="00FB6E9A" w:rsidRDefault="00FC3081" w:rsidP="00FC3081">
      <w:pPr>
        <w:widowControl w:val="0"/>
        <w:tabs>
          <w:tab w:val="left" w:pos="360"/>
        </w:tabs>
        <w:autoSpaceDE w:val="0"/>
        <w:spacing w:line="276" w:lineRule="auto"/>
        <w:jc w:val="both"/>
        <w:rPr>
          <w:rFonts w:ascii="Trebuchet MS" w:hAnsi="Trebuchet MS" w:cs="Arial"/>
          <w:b/>
          <w:sz w:val="22"/>
          <w:szCs w:val="22"/>
          <w:lang w:val="ro-RO"/>
        </w:rPr>
      </w:pPr>
      <w:r w:rsidRPr="00FB6E9A">
        <w:rPr>
          <w:rFonts w:ascii="Trebuchet MS" w:hAnsi="Trebuchet MS" w:cs="Arial"/>
          <w:b/>
          <w:sz w:val="22"/>
          <w:szCs w:val="22"/>
          <w:lang w:val="ro-RO"/>
        </w:rPr>
        <w:t>(în tone) în perioada 2014-2020</w:t>
      </w:r>
    </w:p>
    <w:p w:rsidR="00FC3081" w:rsidRPr="00FC554D" w:rsidRDefault="00FC3081" w:rsidP="00FC3081">
      <w:pPr>
        <w:widowControl w:val="0"/>
        <w:tabs>
          <w:tab w:val="left" w:pos="360"/>
        </w:tabs>
        <w:autoSpaceDE w:val="0"/>
        <w:spacing w:line="276" w:lineRule="auto"/>
        <w:jc w:val="both"/>
        <w:rPr>
          <w:rFonts w:ascii="Arial" w:hAnsi="Arial" w:cs="Arial"/>
          <w:lang w:val="ro-RO"/>
        </w:rPr>
      </w:pPr>
    </w:p>
    <w:tbl>
      <w:tblPr>
        <w:tblW w:w="8760" w:type="dxa"/>
        <w:tblInd w:w="108" w:type="dxa"/>
        <w:tblLook w:val="04A0" w:firstRow="1" w:lastRow="0" w:firstColumn="1" w:lastColumn="0" w:noHBand="0" w:noVBand="1"/>
      </w:tblPr>
      <w:tblGrid>
        <w:gridCol w:w="2140"/>
        <w:gridCol w:w="940"/>
        <w:gridCol w:w="940"/>
        <w:gridCol w:w="940"/>
        <w:gridCol w:w="940"/>
        <w:gridCol w:w="960"/>
        <w:gridCol w:w="960"/>
        <w:gridCol w:w="940"/>
      </w:tblGrid>
      <w:tr w:rsidR="00FC3081" w:rsidRPr="0066695F" w:rsidTr="00913BC5">
        <w:trPr>
          <w:trHeight w:val="315"/>
        </w:trPr>
        <w:tc>
          <w:tcPr>
            <w:tcW w:w="2140" w:type="dxa"/>
            <w:vMerge w:val="restart"/>
            <w:tcBorders>
              <w:top w:val="nil"/>
              <w:left w:val="single" w:sz="8" w:space="0" w:color="B3CC82"/>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 </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b/>
                <w:bCs/>
                <w:color w:val="000000"/>
                <w:sz w:val="18"/>
                <w:szCs w:val="18"/>
                <w:lang w:val="en-US"/>
              </w:rPr>
            </w:pPr>
            <w:r w:rsidRPr="0066695F">
              <w:rPr>
                <w:rFonts w:ascii="Arial" w:eastAsia="Times New Roman" w:hAnsi="Arial" w:cs="Arial"/>
                <w:b/>
                <w:bCs/>
                <w:color w:val="000000"/>
                <w:sz w:val="18"/>
                <w:szCs w:val="18"/>
                <w:lang w:val="en-US"/>
              </w:rPr>
              <w:t>Anul 2014</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b/>
                <w:bCs/>
                <w:color w:val="000000"/>
                <w:sz w:val="18"/>
                <w:szCs w:val="18"/>
                <w:lang w:val="en-US"/>
              </w:rPr>
            </w:pPr>
            <w:r w:rsidRPr="0066695F">
              <w:rPr>
                <w:rFonts w:ascii="Arial" w:eastAsia="Times New Roman" w:hAnsi="Arial" w:cs="Arial"/>
                <w:b/>
                <w:bCs/>
                <w:color w:val="000000"/>
                <w:sz w:val="18"/>
                <w:szCs w:val="18"/>
                <w:lang w:val="en-US"/>
              </w:rPr>
              <w:t>Anul 2015</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b/>
                <w:bCs/>
                <w:color w:val="000000"/>
                <w:sz w:val="18"/>
                <w:szCs w:val="18"/>
                <w:lang w:val="en-US"/>
              </w:rPr>
            </w:pPr>
            <w:r w:rsidRPr="0066695F">
              <w:rPr>
                <w:rFonts w:ascii="Arial" w:eastAsia="Times New Roman" w:hAnsi="Arial" w:cs="Arial"/>
                <w:b/>
                <w:bCs/>
                <w:color w:val="000000"/>
                <w:sz w:val="18"/>
                <w:szCs w:val="18"/>
                <w:lang w:val="en-US"/>
              </w:rPr>
              <w:t>Anul 2016</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b/>
                <w:bCs/>
                <w:color w:val="000000"/>
                <w:sz w:val="18"/>
                <w:szCs w:val="18"/>
                <w:lang w:val="en-US"/>
              </w:rPr>
            </w:pPr>
            <w:r w:rsidRPr="0066695F">
              <w:rPr>
                <w:rFonts w:ascii="Arial" w:eastAsia="Times New Roman" w:hAnsi="Arial" w:cs="Arial"/>
                <w:b/>
                <w:bCs/>
                <w:color w:val="000000"/>
                <w:sz w:val="18"/>
                <w:szCs w:val="18"/>
                <w:lang w:val="en-US"/>
              </w:rPr>
              <w:t>Anul 2017</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b/>
                <w:bCs/>
                <w:color w:val="000000"/>
                <w:sz w:val="18"/>
                <w:szCs w:val="18"/>
                <w:lang w:val="en-US"/>
              </w:rPr>
            </w:pPr>
            <w:r w:rsidRPr="0066695F">
              <w:rPr>
                <w:rFonts w:ascii="Arial" w:eastAsia="Times New Roman" w:hAnsi="Arial" w:cs="Arial"/>
                <w:b/>
                <w:bCs/>
                <w:color w:val="000000"/>
                <w:sz w:val="18"/>
                <w:szCs w:val="18"/>
                <w:lang w:val="en-US"/>
              </w:rPr>
              <w:t>Anul 2018</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b/>
                <w:bCs/>
                <w:color w:val="000000"/>
                <w:sz w:val="18"/>
                <w:szCs w:val="18"/>
                <w:lang w:val="en-US"/>
              </w:rPr>
            </w:pPr>
            <w:r w:rsidRPr="0066695F">
              <w:rPr>
                <w:rFonts w:ascii="Arial" w:eastAsia="Times New Roman" w:hAnsi="Arial" w:cs="Arial"/>
                <w:b/>
                <w:bCs/>
                <w:color w:val="000000"/>
                <w:sz w:val="18"/>
                <w:szCs w:val="18"/>
                <w:lang w:val="en-US"/>
              </w:rPr>
              <w:t>Anul 2019</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b/>
                <w:bCs/>
                <w:color w:val="000000"/>
                <w:sz w:val="18"/>
                <w:szCs w:val="18"/>
                <w:lang w:val="en-US"/>
              </w:rPr>
            </w:pPr>
            <w:r w:rsidRPr="0066695F">
              <w:rPr>
                <w:rFonts w:ascii="Arial" w:eastAsia="Times New Roman" w:hAnsi="Arial" w:cs="Arial"/>
                <w:b/>
                <w:bCs/>
                <w:color w:val="000000"/>
                <w:sz w:val="18"/>
                <w:szCs w:val="18"/>
                <w:lang w:val="en-US"/>
              </w:rPr>
              <w:t>Anul 2020</w:t>
            </w:r>
          </w:p>
        </w:tc>
      </w:tr>
      <w:tr w:rsidR="00FC3081" w:rsidRPr="0066695F" w:rsidTr="00913BC5">
        <w:trPr>
          <w:trHeight w:val="315"/>
        </w:trPr>
        <w:tc>
          <w:tcPr>
            <w:tcW w:w="2140" w:type="dxa"/>
            <w:vMerge/>
            <w:tcBorders>
              <w:top w:val="nil"/>
              <w:left w:val="single" w:sz="8" w:space="0" w:color="B3CC82"/>
              <w:bottom w:val="single" w:sz="8" w:space="0" w:color="B3CC82"/>
              <w:right w:val="single" w:sz="8" w:space="0" w:color="B3CC82"/>
            </w:tcBorders>
            <w:vAlign w:val="center"/>
            <w:hideMark/>
          </w:tcPr>
          <w:p w:rsidR="00FC3081" w:rsidRPr="0066695F" w:rsidRDefault="00FC3081" w:rsidP="00913BC5">
            <w:pPr>
              <w:rPr>
                <w:rFonts w:ascii="Arial" w:eastAsia="Times New Roman" w:hAnsi="Arial" w:cs="Arial"/>
                <w:color w:val="000000"/>
                <w:sz w:val="18"/>
                <w:szCs w:val="18"/>
                <w:lang w:val="en-US"/>
              </w:rPr>
            </w:pP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Total</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Total</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Total</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Total</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Total</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Total</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Total</w:t>
            </w:r>
          </w:p>
        </w:tc>
      </w:tr>
      <w:tr w:rsidR="00FC3081" w:rsidRPr="0066695F" w:rsidTr="00913BC5">
        <w:trPr>
          <w:trHeight w:val="495"/>
        </w:trPr>
        <w:tc>
          <w:tcPr>
            <w:tcW w:w="2140" w:type="dxa"/>
            <w:tcBorders>
              <w:top w:val="nil"/>
              <w:left w:val="single" w:sz="8" w:space="0" w:color="B3CC82"/>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Vehicule scoase din uz (W) numar</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42138</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41886</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46572</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49830</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67344</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84621</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79360</w:t>
            </w:r>
          </w:p>
        </w:tc>
      </w:tr>
      <w:tr w:rsidR="00FC3081" w:rsidRPr="0066695F" w:rsidTr="00913BC5">
        <w:trPr>
          <w:trHeight w:val="495"/>
        </w:trPr>
        <w:tc>
          <w:tcPr>
            <w:tcW w:w="2140" w:type="dxa"/>
            <w:tcBorders>
              <w:top w:val="nil"/>
              <w:left w:val="single" w:sz="8" w:space="0" w:color="B3CC82"/>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Vehicule scoase din uz (W1) tone</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38137</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38851</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44637</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48428</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66319</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86126</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83782</w:t>
            </w:r>
          </w:p>
        </w:tc>
      </w:tr>
      <w:tr w:rsidR="00FC3081" w:rsidRPr="0066695F" w:rsidTr="00913BC5">
        <w:trPr>
          <w:trHeight w:val="315"/>
        </w:trPr>
        <w:tc>
          <w:tcPr>
            <w:tcW w:w="2140" w:type="dxa"/>
            <w:tcBorders>
              <w:top w:val="nil"/>
              <w:left w:val="single" w:sz="8" w:space="0" w:color="B3CC82"/>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 xml:space="preserve">Reutilizare tone </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1335</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1283</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1493</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1606</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2540</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4988</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4515</w:t>
            </w:r>
          </w:p>
        </w:tc>
      </w:tr>
      <w:tr w:rsidR="00FC3081" w:rsidRPr="0066695F" w:rsidTr="00913BC5">
        <w:trPr>
          <w:trHeight w:val="315"/>
        </w:trPr>
        <w:tc>
          <w:tcPr>
            <w:tcW w:w="2140" w:type="dxa"/>
            <w:tcBorders>
              <w:top w:val="nil"/>
              <w:left w:val="single" w:sz="8" w:space="0" w:color="B3CC82"/>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Reciclare tone</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30728</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31794</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36501</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39575</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53996</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68225</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66990</w:t>
            </w:r>
          </w:p>
        </w:tc>
      </w:tr>
      <w:tr w:rsidR="00FC3081" w:rsidRPr="0066695F" w:rsidTr="00913BC5">
        <w:trPr>
          <w:trHeight w:val="315"/>
        </w:trPr>
        <w:tc>
          <w:tcPr>
            <w:tcW w:w="2140" w:type="dxa"/>
            <w:tcBorders>
              <w:top w:val="nil"/>
              <w:left w:val="single" w:sz="8" w:space="0" w:color="B3CC82"/>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 xml:space="preserve">Valorificare tone </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32413</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33988</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39623</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43245</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58599</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74603</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72188</w:t>
            </w:r>
          </w:p>
        </w:tc>
      </w:tr>
      <w:tr w:rsidR="00FC3081" w:rsidRPr="0066695F" w:rsidTr="00913BC5">
        <w:trPr>
          <w:trHeight w:val="495"/>
        </w:trPr>
        <w:tc>
          <w:tcPr>
            <w:tcW w:w="2140" w:type="dxa"/>
            <w:tcBorders>
              <w:top w:val="nil"/>
              <w:left w:val="single" w:sz="8" w:space="0" w:color="B3CC82"/>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 xml:space="preserve">Reutilizare+Reciclare (X1) tone </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32063</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33077</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37994</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41181</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56536</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73213</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71505</w:t>
            </w:r>
          </w:p>
        </w:tc>
      </w:tr>
      <w:tr w:rsidR="00FC3081" w:rsidRPr="0066695F" w:rsidTr="00913BC5">
        <w:trPr>
          <w:trHeight w:val="495"/>
        </w:trPr>
        <w:tc>
          <w:tcPr>
            <w:tcW w:w="2140" w:type="dxa"/>
            <w:tcBorders>
              <w:top w:val="nil"/>
              <w:left w:val="single" w:sz="8" w:space="0" w:color="B3CC82"/>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 xml:space="preserve">Reutilizare+Valorificare (X2) tone </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33748</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35271</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41116</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44851</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61139</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79591</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76703</w:t>
            </w:r>
          </w:p>
        </w:tc>
      </w:tr>
      <w:tr w:rsidR="00FC3081" w:rsidRPr="0066695F" w:rsidTr="00913BC5">
        <w:trPr>
          <w:trHeight w:val="495"/>
        </w:trPr>
        <w:tc>
          <w:tcPr>
            <w:tcW w:w="2140" w:type="dxa"/>
            <w:tcBorders>
              <w:top w:val="nil"/>
              <w:left w:val="single" w:sz="8" w:space="0" w:color="B3CC82"/>
              <w:bottom w:val="single" w:sz="8" w:space="0" w:color="B3CC82"/>
              <w:right w:val="single" w:sz="8" w:space="0" w:color="B3CC82"/>
            </w:tcBorders>
            <w:shd w:val="clear" w:color="000000" w:fill="CDDDAC"/>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Obiectiv de reutilizare si reciclare (X1/W1) %</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84.1</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85.1</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85.1</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85.04</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85.25</w:t>
            </w:r>
          </w:p>
        </w:tc>
        <w:tc>
          <w:tcPr>
            <w:tcW w:w="96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85.1</w:t>
            </w:r>
          </w:p>
        </w:tc>
        <w:tc>
          <w:tcPr>
            <w:tcW w:w="940" w:type="dxa"/>
            <w:tcBorders>
              <w:top w:val="nil"/>
              <w:left w:val="nil"/>
              <w:bottom w:val="single" w:sz="8" w:space="0" w:color="B3CC82"/>
              <w:right w:val="single" w:sz="8" w:space="0" w:color="B3CC82"/>
            </w:tcBorders>
            <w:shd w:val="clear" w:color="000000" w:fill="CDDDAC"/>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85.35</w:t>
            </w:r>
          </w:p>
        </w:tc>
      </w:tr>
      <w:tr w:rsidR="00FC3081" w:rsidRPr="0066695F" w:rsidTr="00913BC5">
        <w:trPr>
          <w:trHeight w:val="495"/>
        </w:trPr>
        <w:tc>
          <w:tcPr>
            <w:tcW w:w="2140" w:type="dxa"/>
            <w:tcBorders>
              <w:top w:val="nil"/>
              <w:left w:val="single" w:sz="8" w:space="0" w:color="B3CC82"/>
              <w:bottom w:val="single" w:sz="8" w:space="0" w:color="B3CC82"/>
              <w:right w:val="single" w:sz="8" w:space="0" w:color="B3CC82"/>
            </w:tcBorders>
            <w:shd w:val="clear" w:color="000000" w:fill="E6EED5"/>
            <w:vAlign w:val="center"/>
            <w:hideMark/>
          </w:tcPr>
          <w:p w:rsidR="00FC3081" w:rsidRPr="0066695F" w:rsidRDefault="00FC3081" w:rsidP="00913BC5">
            <w:pPr>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 xml:space="preserve">Obiectiv de reutilizare si valorificare (X2/W1) % </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88.5</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90.8</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92.1</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92.61</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92.19</w:t>
            </w:r>
          </w:p>
        </w:tc>
        <w:tc>
          <w:tcPr>
            <w:tcW w:w="96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92.41</w:t>
            </w:r>
          </w:p>
        </w:tc>
        <w:tc>
          <w:tcPr>
            <w:tcW w:w="940" w:type="dxa"/>
            <w:tcBorders>
              <w:top w:val="nil"/>
              <w:left w:val="nil"/>
              <w:bottom w:val="single" w:sz="8" w:space="0" w:color="B3CC82"/>
              <w:right w:val="single" w:sz="8" w:space="0" w:color="B3CC82"/>
            </w:tcBorders>
            <w:shd w:val="clear" w:color="000000" w:fill="E6EED5"/>
            <w:vAlign w:val="center"/>
            <w:hideMark/>
          </w:tcPr>
          <w:p w:rsidR="00FC3081" w:rsidRPr="0066695F" w:rsidRDefault="00FC3081" w:rsidP="00913BC5">
            <w:pPr>
              <w:jc w:val="right"/>
              <w:rPr>
                <w:rFonts w:ascii="Arial" w:eastAsia="Times New Roman" w:hAnsi="Arial" w:cs="Arial"/>
                <w:color w:val="000000"/>
                <w:sz w:val="18"/>
                <w:szCs w:val="18"/>
                <w:lang w:val="en-US"/>
              </w:rPr>
            </w:pPr>
            <w:r w:rsidRPr="0066695F">
              <w:rPr>
                <w:rFonts w:ascii="Arial" w:eastAsia="Times New Roman" w:hAnsi="Arial" w:cs="Arial"/>
                <w:color w:val="000000"/>
                <w:sz w:val="18"/>
                <w:szCs w:val="18"/>
                <w:lang w:val="en-US"/>
              </w:rPr>
              <w:t>91.55</w:t>
            </w:r>
          </w:p>
        </w:tc>
      </w:tr>
    </w:tbl>
    <w:p w:rsidR="00FC3081" w:rsidRPr="00FC554D" w:rsidRDefault="00FC3081" w:rsidP="00FC3081">
      <w:pPr>
        <w:rPr>
          <w:rFonts w:ascii="Arial" w:hAnsi="Arial" w:cs="Arial"/>
        </w:rPr>
      </w:pPr>
    </w:p>
    <w:p w:rsidR="00FC3081" w:rsidRPr="00B5057E" w:rsidRDefault="00FC3081" w:rsidP="00FC3081"/>
    <w:p w:rsidR="0082575A" w:rsidRPr="00DB17CC" w:rsidRDefault="0082575A" w:rsidP="00FC3081">
      <w:pPr>
        <w:jc w:val="both"/>
        <w:rPr>
          <w:rFonts w:ascii="Arial" w:hAnsi="Arial" w:cs="Arial"/>
        </w:rPr>
      </w:pPr>
    </w:p>
    <w:p w:rsidR="0082575A" w:rsidRPr="00DB17CC" w:rsidRDefault="0082575A" w:rsidP="0082575A">
      <w:pPr>
        <w:rPr>
          <w:rFonts w:ascii="Arial" w:hAnsi="Arial" w:cs="Arial"/>
        </w:rPr>
      </w:pPr>
    </w:p>
    <w:p w:rsidR="0082575A" w:rsidRPr="00FB6E9A" w:rsidRDefault="0082575A" w:rsidP="0082575A">
      <w:pPr>
        <w:rPr>
          <w:rFonts w:ascii="Trebuchet MS" w:hAnsi="Trebuchet MS" w:cs="Arial"/>
          <w:b/>
          <w:lang w:val="it-IT"/>
        </w:rPr>
      </w:pPr>
      <w:r w:rsidRPr="00FB6E9A">
        <w:rPr>
          <w:rFonts w:ascii="Trebuchet MS" w:hAnsi="Trebuchet MS" w:cs="Arial"/>
          <w:b/>
          <w:lang w:val="it-IT"/>
        </w:rPr>
        <w:t>VII.1.4. Impacturi şi presiuni privind deşeurile</w:t>
      </w:r>
    </w:p>
    <w:p w:rsidR="0082575A" w:rsidRPr="00DB17CC" w:rsidRDefault="0082575A" w:rsidP="0082575A">
      <w:pPr>
        <w:rPr>
          <w:rFonts w:ascii="Arial" w:hAnsi="Arial" w:cs="Arial"/>
          <w:lang w:val="it-IT"/>
        </w:rPr>
      </w:pPr>
    </w:p>
    <w:p w:rsidR="0082575A" w:rsidRPr="00FB6E9A" w:rsidRDefault="0082575A" w:rsidP="004F134E">
      <w:pPr>
        <w:pStyle w:val="ListParagraph"/>
        <w:numPr>
          <w:ilvl w:val="0"/>
          <w:numId w:val="22"/>
        </w:numPr>
        <w:jc w:val="both"/>
        <w:rPr>
          <w:rFonts w:ascii="Trebuchet MS" w:hAnsi="Trebuchet MS" w:cs="Arial"/>
          <w:b/>
          <w:sz w:val="22"/>
          <w:szCs w:val="22"/>
        </w:rPr>
      </w:pPr>
      <w:r w:rsidRPr="00FB6E9A">
        <w:rPr>
          <w:rFonts w:ascii="Trebuchet MS" w:hAnsi="Trebuchet MS" w:cs="Arial"/>
          <w:b/>
          <w:sz w:val="22"/>
          <w:szCs w:val="22"/>
          <w:lang w:val="it-IT"/>
        </w:rPr>
        <w:t xml:space="preserve"> </w:t>
      </w:r>
      <w:r w:rsidRPr="00FB6E9A">
        <w:rPr>
          <w:rFonts w:ascii="Trebuchet MS" w:hAnsi="Trebuchet MS" w:cs="Arial"/>
          <w:b/>
          <w:sz w:val="22"/>
          <w:szCs w:val="22"/>
        </w:rPr>
        <w:t>Indicatori specifici</w:t>
      </w:r>
    </w:p>
    <w:p w:rsidR="0082575A" w:rsidRPr="00FB6E9A" w:rsidRDefault="0082575A" w:rsidP="0082575A">
      <w:pPr>
        <w:pStyle w:val="ListParagraph"/>
        <w:jc w:val="both"/>
        <w:rPr>
          <w:rFonts w:ascii="Trebuchet MS" w:hAnsi="Trebuchet MS" w:cs="Arial"/>
          <w:b/>
          <w:sz w:val="22"/>
          <w:szCs w:val="22"/>
        </w:rPr>
      </w:pPr>
      <w:r w:rsidRPr="00FB6E9A">
        <w:rPr>
          <w:rFonts w:ascii="Trebuchet MS" w:hAnsi="Trebuchet MS" w:cs="Arial"/>
          <w:b/>
          <w:sz w:val="22"/>
          <w:szCs w:val="22"/>
        </w:rPr>
        <w:t>Nu este cazul</w:t>
      </w:r>
    </w:p>
    <w:p w:rsidR="0082575A" w:rsidRPr="00FB6E9A" w:rsidRDefault="0082575A" w:rsidP="004F134E">
      <w:pPr>
        <w:pStyle w:val="ListParagraph"/>
        <w:numPr>
          <w:ilvl w:val="0"/>
          <w:numId w:val="22"/>
        </w:numPr>
        <w:jc w:val="both"/>
        <w:rPr>
          <w:rFonts w:ascii="Trebuchet MS" w:hAnsi="Trebuchet MS" w:cs="Arial"/>
          <w:b/>
          <w:sz w:val="22"/>
          <w:szCs w:val="22"/>
        </w:rPr>
      </w:pPr>
      <w:r w:rsidRPr="00FB6E9A">
        <w:rPr>
          <w:rFonts w:ascii="Trebuchet MS" w:hAnsi="Trebuchet MS" w:cs="Arial"/>
          <w:b/>
          <w:sz w:val="22"/>
          <w:szCs w:val="22"/>
        </w:rPr>
        <w:t>Alte date şi informaţii specifice</w:t>
      </w:r>
    </w:p>
    <w:p w:rsidR="0082575A" w:rsidRPr="00FB6E9A" w:rsidRDefault="0082575A" w:rsidP="0082575A">
      <w:pPr>
        <w:jc w:val="both"/>
        <w:rPr>
          <w:rFonts w:ascii="Trebuchet MS" w:hAnsi="Trebuchet MS" w:cs="Arial"/>
          <w:sz w:val="22"/>
          <w:szCs w:val="22"/>
        </w:rPr>
      </w:pPr>
    </w:p>
    <w:p w:rsidR="008469D0" w:rsidRPr="00FB6E9A" w:rsidRDefault="008469D0" w:rsidP="008469D0">
      <w:pPr>
        <w:ind w:firstLine="360"/>
        <w:jc w:val="both"/>
        <w:rPr>
          <w:rFonts w:ascii="Trebuchet MS" w:hAnsi="Trebuchet MS" w:cs="Arial"/>
          <w:sz w:val="22"/>
          <w:szCs w:val="22"/>
        </w:rPr>
      </w:pPr>
      <w:r w:rsidRPr="00FB6E9A">
        <w:rPr>
          <w:rFonts w:ascii="Trebuchet MS" w:hAnsi="Trebuchet MS" w:cs="Arial"/>
          <w:b/>
          <w:sz w:val="22"/>
          <w:szCs w:val="22"/>
        </w:rPr>
        <w:t>În Municipiul Bucureşti</w:t>
      </w:r>
      <w:r w:rsidRPr="00FB6E9A">
        <w:rPr>
          <w:rFonts w:ascii="Trebuchet MS" w:hAnsi="Trebuchet MS" w:cs="Arial"/>
          <w:sz w:val="22"/>
          <w:szCs w:val="22"/>
        </w:rPr>
        <w:t>, activitatea de colectare şi transport a deşeurilor menajere şi stradale (DMS) se realizează de către urmatoarele societăţi in cele șase sectoare:</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Compania ROMPREST Service  (sector 1 si 5)</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lang w:val="en-US"/>
        </w:rPr>
        <w:t>SOCIETATEA SUPERCOM S.A. (sector 2)</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DIRECTIA GENERALA DE SALUBRITATE (sector 3)</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lang w:val="en-US"/>
        </w:rPr>
        <w:t>UNITED WASTE SOLUTIONS SRL (fosta SOCIETATEA ROSAL GRUP S.R.L.</w:t>
      </w:r>
      <w:r w:rsidRPr="00FB6E9A">
        <w:rPr>
          <w:rFonts w:ascii="Trebuchet MS" w:hAnsi="Trebuchet MS" w:cs="Arial"/>
          <w:sz w:val="22"/>
          <w:szCs w:val="22"/>
        </w:rPr>
        <w:t xml:space="preserve"> sector 4)</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TOTUL VERDE. SA (fosta AMENAJAREA DOMENIULUI PUBLIC 4 A.D.P. 4 sector 4)</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SALUBRIZARE  Sector 5 SA  (transfer de la S.C. SALUBRIZARE FAPTE 5 S.A. fosta AMENAJARE EDILITARA SI SALUBRIZARE SA  desfiintata</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lang w:val="en-US"/>
        </w:rPr>
        <w:t>SOCIETATEA REBU S.A.</w:t>
      </w:r>
      <w:r w:rsidRPr="00FB6E9A">
        <w:rPr>
          <w:rFonts w:ascii="Trebuchet MS" w:hAnsi="Trebuchet MS" w:cs="Arial"/>
          <w:sz w:val="22"/>
          <w:szCs w:val="22"/>
        </w:rPr>
        <w:t xml:space="preserve"> (are castigate licitatii in  sectoarele    1, 2, 3 si 6)</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lang w:val="en-US"/>
        </w:rPr>
        <w:t>SOCIETATEA</w:t>
      </w:r>
      <w:r w:rsidRPr="00FB6E9A">
        <w:rPr>
          <w:rFonts w:ascii="Trebuchet MS" w:hAnsi="Trebuchet MS" w:cs="Arial"/>
          <w:sz w:val="22"/>
          <w:szCs w:val="22"/>
        </w:rPr>
        <w:t xml:space="preserve"> URBAN S.A. (sector 6)</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SALSERV ECOSISTEM S.A. (sectorul 6)</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URBAN COMPREST RECYCLING SRL</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SAL-TRANS EXIM S.R.L.</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DERMAT CONS S.R.L.</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SERVICII SALUBRITATE BUCURESTI S.A.</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SAL PREST &amp; CLEANING S.R.L.</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lang w:val="en-US"/>
        </w:rPr>
        <w:t>SOCIETATEA</w:t>
      </w:r>
      <w:r w:rsidRPr="00FB6E9A">
        <w:rPr>
          <w:rFonts w:ascii="Trebuchet MS" w:hAnsi="Trebuchet MS" w:cs="Arial"/>
          <w:sz w:val="22"/>
          <w:szCs w:val="22"/>
        </w:rPr>
        <w:t xml:space="preserve"> GEVA CONSTRUCT AMBIENT S.R.L.</w:t>
      </w:r>
    </w:p>
    <w:p w:rsidR="008469D0" w:rsidRPr="00FB6E9A" w:rsidRDefault="008469D0" w:rsidP="008469D0">
      <w:pPr>
        <w:numPr>
          <w:ilvl w:val="0"/>
          <w:numId w:val="35"/>
        </w:numPr>
        <w:jc w:val="both"/>
        <w:rPr>
          <w:rFonts w:ascii="Trebuchet MS" w:hAnsi="Trebuchet MS" w:cs="Arial"/>
          <w:sz w:val="22"/>
          <w:szCs w:val="22"/>
        </w:rPr>
      </w:pPr>
      <w:r w:rsidRPr="00FB6E9A">
        <w:rPr>
          <w:rFonts w:ascii="Trebuchet MS" w:hAnsi="Trebuchet MS" w:cs="Arial"/>
          <w:sz w:val="22"/>
          <w:szCs w:val="22"/>
        </w:rPr>
        <w:t>DMV PROSAL CONSULTING S.R.L.</w:t>
      </w:r>
    </w:p>
    <w:p w:rsidR="008469D0" w:rsidRPr="00FB6E9A" w:rsidRDefault="008469D0" w:rsidP="008469D0">
      <w:pPr>
        <w:jc w:val="both"/>
        <w:rPr>
          <w:rFonts w:ascii="Trebuchet MS" w:hAnsi="Trebuchet MS" w:cs="Arial"/>
          <w:sz w:val="22"/>
          <w:szCs w:val="22"/>
        </w:rPr>
      </w:pPr>
      <w:r w:rsidRPr="00FB6E9A">
        <w:rPr>
          <w:rFonts w:ascii="Trebuchet MS" w:hAnsi="Trebuchet MS" w:cs="Arial"/>
          <w:sz w:val="22"/>
          <w:szCs w:val="22"/>
        </w:rPr>
        <w:t xml:space="preserve"> precum </w:t>
      </w:r>
      <w:r w:rsidRPr="00FB6E9A">
        <w:rPr>
          <w:rFonts w:ascii="Trebuchet MS" w:hAnsi="Trebuchet MS" w:cs="Arial"/>
          <w:sz w:val="22"/>
          <w:szCs w:val="22"/>
          <w:lang w:val="ro-RO"/>
        </w:rPr>
        <w:t xml:space="preserve">și </w:t>
      </w:r>
      <w:r w:rsidRPr="00FB6E9A">
        <w:rPr>
          <w:rFonts w:ascii="Trebuchet MS" w:hAnsi="Trebuchet MS" w:cs="Arial"/>
          <w:sz w:val="22"/>
          <w:szCs w:val="22"/>
        </w:rPr>
        <w:t>de către administrațiile domeniului public din următoarele sectoare:</w:t>
      </w:r>
    </w:p>
    <w:p w:rsidR="008469D0" w:rsidRPr="00FB6E9A" w:rsidRDefault="008469D0" w:rsidP="008469D0">
      <w:pPr>
        <w:pStyle w:val="ListParagraph"/>
        <w:numPr>
          <w:ilvl w:val="0"/>
          <w:numId w:val="35"/>
        </w:numPr>
        <w:jc w:val="both"/>
        <w:rPr>
          <w:rFonts w:ascii="Trebuchet MS" w:hAnsi="Trebuchet MS" w:cs="Arial"/>
          <w:sz w:val="22"/>
          <w:szCs w:val="22"/>
        </w:rPr>
      </w:pPr>
      <w:r w:rsidRPr="00FB6E9A">
        <w:rPr>
          <w:rFonts w:ascii="Trebuchet MS" w:hAnsi="Trebuchet MS" w:cs="Arial"/>
          <w:sz w:val="22"/>
          <w:szCs w:val="22"/>
        </w:rPr>
        <w:t>Administraţia Domeniului Public Sector 1</w:t>
      </w:r>
    </w:p>
    <w:p w:rsidR="008469D0" w:rsidRPr="00FB6E9A" w:rsidRDefault="008469D0" w:rsidP="008469D0">
      <w:pPr>
        <w:pStyle w:val="ListParagraph"/>
        <w:numPr>
          <w:ilvl w:val="0"/>
          <w:numId w:val="35"/>
        </w:numPr>
        <w:jc w:val="both"/>
        <w:rPr>
          <w:rFonts w:ascii="Trebuchet MS" w:hAnsi="Trebuchet MS" w:cs="Arial"/>
          <w:sz w:val="22"/>
          <w:szCs w:val="22"/>
        </w:rPr>
      </w:pPr>
      <w:r w:rsidRPr="00FB6E9A">
        <w:rPr>
          <w:rFonts w:ascii="Trebuchet MS" w:hAnsi="Trebuchet MS" w:cs="Arial"/>
          <w:sz w:val="22"/>
          <w:szCs w:val="22"/>
        </w:rPr>
        <w:t>Administraţia Domeniului Public sector 2</w:t>
      </w:r>
    </w:p>
    <w:p w:rsidR="008469D0" w:rsidRPr="00FB6E9A" w:rsidRDefault="008469D0" w:rsidP="008469D0">
      <w:pPr>
        <w:pStyle w:val="ListParagraph"/>
        <w:numPr>
          <w:ilvl w:val="0"/>
          <w:numId w:val="35"/>
        </w:numPr>
        <w:jc w:val="both"/>
        <w:rPr>
          <w:rFonts w:ascii="Trebuchet MS" w:hAnsi="Trebuchet MS" w:cs="Arial"/>
          <w:sz w:val="22"/>
          <w:szCs w:val="22"/>
        </w:rPr>
      </w:pPr>
      <w:r w:rsidRPr="00FB6E9A">
        <w:rPr>
          <w:rFonts w:ascii="Trebuchet MS" w:hAnsi="Trebuchet MS" w:cs="Arial"/>
          <w:sz w:val="22"/>
          <w:szCs w:val="22"/>
        </w:rPr>
        <w:t>ADMINSTRAŢIA DOMENIULUI PUBLIC şî DEZVOLTARE URBANĂ SECTOR 6</w:t>
      </w:r>
    </w:p>
    <w:p w:rsidR="008469D0" w:rsidRPr="00FB6E9A" w:rsidRDefault="008469D0" w:rsidP="008469D0">
      <w:pPr>
        <w:jc w:val="both"/>
        <w:rPr>
          <w:rFonts w:ascii="Trebuchet MS" w:hAnsi="Trebuchet MS" w:cs="Arial"/>
          <w:sz w:val="22"/>
          <w:szCs w:val="22"/>
        </w:rPr>
      </w:pPr>
    </w:p>
    <w:p w:rsidR="008469D0" w:rsidRPr="00FB6E9A" w:rsidRDefault="008469D0" w:rsidP="008469D0">
      <w:pPr>
        <w:ind w:firstLine="360"/>
        <w:jc w:val="both"/>
        <w:rPr>
          <w:rFonts w:ascii="Trebuchet MS" w:hAnsi="Trebuchet MS" w:cs="Arial"/>
          <w:sz w:val="22"/>
          <w:szCs w:val="22"/>
        </w:rPr>
      </w:pPr>
      <w:r w:rsidRPr="00FB6E9A">
        <w:rPr>
          <w:rFonts w:ascii="Trebuchet MS" w:hAnsi="Trebuchet MS" w:cs="Arial"/>
          <w:sz w:val="22"/>
          <w:szCs w:val="22"/>
        </w:rPr>
        <w:t>Întreaga cantitate de deşeuri colectată din Bucureşti, la nivelul anului 2021 s-a depozitat la depozitul ecologic in operare existent în regiunea Bucuresti-Ilfov şi anume Depozitul Vidra (Ecosud) din jud. Ilfov.</w:t>
      </w:r>
    </w:p>
    <w:p w:rsidR="008469D0" w:rsidRPr="00FB6E9A" w:rsidRDefault="008469D0" w:rsidP="008469D0">
      <w:pPr>
        <w:ind w:firstLine="360"/>
        <w:jc w:val="both"/>
        <w:rPr>
          <w:rFonts w:ascii="Trebuchet MS" w:hAnsi="Trebuchet MS" w:cs="Arial"/>
          <w:sz w:val="22"/>
          <w:szCs w:val="22"/>
        </w:rPr>
      </w:pPr>
      <w:r w:rsidRPr="00FB6E9A">
        <w:rPr>
          <w:rFonts w:ascii="Trebuchet MS" w:hAnsi="Trebuchet MS" w:cs="Arial"/>
          <w:sz w:val="22"/>
          <w:szCs w:val="22"/>
        </w:rPr>
        <w:t xml:space="preserve">Depozitul CHIAJNA aparţinând SC IRIDEX GROUP S.R.L. din Bucuresti, a fost inchis de la 1 iunie 2020, doar deseurile proprii rezultate din statia de sortare din Ilfov (reziduurile) au fost tratate in instalatia de tratare mecano-biologica si apoi au fost depozitate aici, iar in anul 2022 a fost inchis definitiv si se afla in perioada de monitorizare postinchidere.. </w:t>
      </w:r>
    </w:p>
    <w:p w:rsidR="008469D0" w:rsidRPr="00FB6E9A" w:rsidRDefault="008469D0" w:rsidP="008469D0">
      <w:pPr>
        <w:ind w:firstLine="360"/>
        <w:jc w:val="both"/>
        <w:rPr>
          <w:rFonts w:ascii="Trebuchet MS" w:hAnsi="Trebuchet MS" w:cs="Arial"/>
          <w:sz w:val="22"/>
          <w:szCs w:val="22"/>
        </w:rPr>
      </w:pPr>
      <w:r w:rsidRPr="00FB6E9A">
        <w:rPr>
          <w:rFonts w:ascii="Trebuchet MS" w:hAnsi="Trebuchet MS" w:cs="Arial"/>
          <w:sz w:val="22"/>
          <w:szCs w:val="22"/>
        </w:rPr>
        <w:t>Depozitul Glina (Ecorec) din jud. Ilfov are activitatea suspendata din februarie 2019.</w:t>
      </w:r>
    </w:p>
    <w:p w:rsidR="008469D0" w:rsidRPr="00FB6E9A" w:rsidRDefault="008469D0" w:rsidP="008469D0">
      <w:pPr>
        <w:pStyle w:val="ListParagraph"/>
        <w:jc w:val="both"/>
        <w:rPr>
          <w:rFonts w:ascii="Trebuchet MS" w:hAnsi="Trebuchet MS" w:cs="Arial"/>
          <w:sz w:val="22"/>
          <w:szCs w:val="22"/>
        </w:rPr>
      </w:pPr>
    </w:p>
    <w:p w:rsidR="008469D0" w:rsidRPr="00FB6E9A" w:rsidRDefault="008469D0" w:rsidP="008469D0">
      <w:pPr>
        <w:tabs>
          <w:tab w:val="left" w:pos="360"/>
        </w:tabs>
        <w:jc w:val="both"/>
        <w:rPr>
          <w:rFonts w:ascii="Trebuchet MS" w:hAnsi="Trebuchet MS" w:cs="Arial"/>
          <w:sz w:val="22"/>
          <w:szCs w:val="22"/>
        </w:rPr>
      </w:pPr>
      <w:r w:rsidRPr="00FB6E9A">
        <w:rPr>
          <w:rFonts w:ascii="Trebuchet MS" w:hAnsi="Trebuchet MS" w:cs="Arial"/>
          <w:sz w:val="22"/>
          <w:szCs w:val="22"/>
        </w:rPr>
        <w:tab/>
        <w:t>În paralel cu depozitarea directă, o parte din deşeuri este supusă operaţiilor de sortare şi balotare, reducând considerabil cantitatea de deşeuri depozitată pe depozitele ecologice.</w:t>
      </w:r>
    </w:p>
    <w:p w:rsidR="008469D0" w:rsidRPr="00FB6E9A" w:rsidRDefault="008469D0" w:rsidP="008469D0">
      <w:pPr>
        <w:ind w:firstLine="360"/>
        <w:jc w:val="both"/>
        <w:rPr>
          <w:rFonts w:ascii="Trebuchet MS" w:hAnsi="Trebuchet MS" w:cs="Arial"/>
          <w:sz w:val="22"/>
          <w:szCs w:val="22"/>
        </w:rPr>
      </w:pPr>
      <w:r w:rsidRPr="00FB6E9A">
        <w:rPr>
          <w:rFonts w:ascii="Trebuchet MS" w:hAnsi="Trebuchet MS" w:cs="Arial"/>
          <w:sz w:val="22"/>
          <w:szCs w:val="22"/>
        </w:rPr>
        <w:t>De asemenea, deşeurile rezultate în urma sortării sunt procesate şi trimise spre valorificare, inclusiv în instalaţiile de coincinerare din ţară, fără a mai ajunge pe depozite.</w:t>
      </w:r>
    </w:p>
    <w:p w:rsidR="0082575A" w:rsidRPr="00FB6E9A" w:rsidRDefault="0082575A" w:rsidP="0082575A">
      <w:pPr>
        <w:ind w:firstLine="360"/>
        <w:jc w:val="both"/>
        <w:rPr>
          <w:rFonts w:ascii="Trebuchet MS" w:hAnsi="Trebuchet MS" w:cs="Arial"/>
          <w:sz w:val="22"/>
          <w:szCs w:val="22"/>
        </w:rPr>
      </w:pP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Toate elementele unui sistem de gestionare a deşeurilor pot avea un impact potenţial asupra mediului. Un sistem modern de management al deşeurilor elimină sau reduce considerabil posibilitatea apariţiei acestora până la un nivel acceptabil din punct de vedere al mediului şi social.</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Depozitarea în spaţii neadecvate a deşeurilor, mai ales în mediul rural, a determinat apariţia de depozitări necontrolate pe străzi sau la marginea aşezării rurale. Pe lângă aspectul inestetic, există un impact economic reprezentat de o slabă dezvoltare în domeniul turismului.</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Depozitarea necorespunzătoare a deşeurilor poate cauza înfundarea sistemelor de drenare şi apariţia inundaţiilor.</w:t>
      </w:r>
    </w:p>
    <w:p w:rsidR="0082575A" w:rsidRPr="00FB6E9A" w:rsidRDefault="0082575A" w:rsidP="0082575A">
      <w:pPr>
        <w:tabs>
          <w:tab w:val="left" w:pos="360"/>
        </w:tabs>
        <w:autoSpaceDE w:val="0"/>
        <w:autoSpaceDN w:val="0"/>
        <w:adjustRightInd w:val="0"/>
        <w:jc w:val="both"/>
        <w:rPr>
          <w:rFonts w:ascii="Trebuchet MS" w:hAnsi="Trebuchet MS" w:cs="Arial"/>
          <w:sz w:val="22"/>
          <w:szCs w:val="22"/>
          <w:lang w:val="it-IT"/>
        </w:rPr>
      </w:pPr>
      <w:r w:rsidRPr="00FB6E9A">
        <w:rPr>
          <w:rFonts w:ascii="Trebuchet MS" w:hAnsi="Trebuchet MS" w:cs="Arial"/>
          <w:sz w:val="22"/>
          <w:szCs w:val="22"/>
          <w:lang w:val="it-IT"/>
        </w:rPr>
        <w:tab/>
        <w:t xml:space="preserve">În depozitele de deşeuri, deşeurile biodegradabile se descompun, producând gaze şi levigat. Dacă nu sunt captate, gazele generate de depozitele de deşeuri contribuie în mod semnificativ la efectul de seră, deoarece acestea constau în principal din metan, care este de 23 de ori mai puternic decât dioxidul de carbon în ceea ce priveşte efectul asupra schimbărilor climatice în perspectiva orizontului de 100 de ani luat în considerare de Grupul interguvernamental privind schimbările climatice. </w:t>
      </w:r>
    </w:p>
    <w:p w:rsidR="0082575A" w:rsidRPr="00FB6E9A" w:rsidRDefault="0082575A" w:rsidP="0082575A">
      <w:pPr>
        <w:tabs>
          <w:tab w:val="left" w:pos="360"/>
        </w:tabs>
        <w:autoSpaceDE w:val="0"/>
        <w:autoSpaceDN w:val="0"/>
        <w:adjustRightInd w:val="0"/>
        <w:jc w:val="both"/>
        <w:rPr>
          <w:rFonts w:ascii="Trebuchet MS" w:hAnsi="Trebuchet MS" w:cs="Arial"/>
          <w:sz w:val="22"/>
          <w:szCs w:val="22"/>
          <w:lang w:val="it-IT"/>
        </w:rPr>
      </w:pPr>
      <w:r w:rsidRPr="00FB6E9A">
        <w:rPr>
          <w:rFonts w:ascii="Trebuchet MS" w:hAnsi="Trebuchet MS" w:cs="Arial"/>
          <w:sz w:val="22"/>
          <w:szCs w:val="22"/>
          <w:lang w:val="it-IT"/>
        </w:rPr>
        <w:tab/>
        <w:t>Înainte de adoptarea Directivei privind depozitele de deşeuri, emisiile de metan generate de depozitele de deşeuri reprezentau 30% din emisiile antropice globale de metan în atmosferă. În ipoteza că toate ţările ar respecta dispoziţiile Directivei privind depozitele de deşeuri, chiar dacă va avea loc o creştere a cantităţii de deşeuri solide municipale, se estimează că, în 2020, emisiile de metan vor fi semnificativ mai mici decât în 2000.  Dacă nu este colectat în conformitate cu dispoziţiile Directivei privind depozitele de deşeuri, levigatul poate contamina apele subterane şi solul. De asemenea, depozitele de deşeuri pot avea un impact negativ asupra zonelor învecinate, deoarece acestea generează bioaerosoli, mirosuri şi afectează negativ aspectul zonei din imediata apropiere.</w:t>
      </w:r>
    </w:p>
    <w:p w:rsidR="0082575A" w:rsidRPr="00FB6E9A" w:rsidRDefault="0082575A" w:rsidP="0082575A">
      <w:pPr>
        <w:tabs>
          <w:tab w:val="left" w:pos="360"/>
        </w:tabs>
        <w:autoSpaceDE w:val="0"/>
        <w:autoSpaceDN w:val="0"/>
        <w:adjustRightInd w:val="0"/>
        <w:jc w:val="both"/>
        <w:rPr>
          <w:rFonts w:ascii="Trebuchet MS" w:hAnsi="Trebuchet MS" w:cs="Arial"/>
          <w:sz w:val="22"/>
          <w:szCs w:val="22"/>
          <w:lang w:val="it-IT"/>
        </w:rPr>
      </w:pPr>
      <w:r w:rsidRPr="00FB6E9A">
        <w:rPr>
          <w:rFonts w:ascii="Trebuchet MS" w:hAnsi="Trebuchet MS" w:cs="Arial"/>
          <w:sz w:val="22"/>
          <w:szCs w:val="22"/>
          <w:lang w:val="it-IT"/>
        </w:rPr>
        <w:tab/>
        <w:t xml:space="preserve">Un alt efect negativ al depozitării deşeurilor este acela că aria de teren utilizată este mai mare decât cea necesară altor metode de gestionare a deşeurilor. Depozitarea deşeurilor biodegradabile nu prezintă aproape niciun avantaj, cu posibila excepţie a capacităţii de „stocare” a carbonului sechestrat în deşeurile pretratate şi a unei cantităţi foarte reduse de energie generată de gazele provenind de la depozitele de deşeuri, dacă respectivele depozite de deşeuri sunt gestionate în mod corespunzător. </w:t>
      </w:r>
    </w:p>
    <w:p w:rsidR="0082575A" w:rsidRPr="00FB6E9A" w:rsidRDefault="0082575A" w:rsidP="0082575A">
      <w:pPr>
        <w:autoSpaceDE w:val="0"/>
        <w:autoSpaceDN w:val="0"/>
        <w:adjustRightInd w:val="0"/>
        <w:ind w:firstLine="720"/>
        <w:jc w:val="both"/>
        <w:rPr>
          <w:rFonts w:ascii="Trebuchet MS" w:hAnsi="Trebuchet MS" w:cs="Arial"/>
          <w:sz w:val="22"/>
          <w:szCs w:val="22"/>
          <w:lang w:val="es-ES"/>
        </w:rPr>
      </w:pPr>
      <w:r w:rsidRPr="00FB6E9A">
        <w:rPr>
          <w:rFonts w:ascii="Trebuchet MS" w:hAnsi="Trebuchet MS" w:cs="Arial"/>
          <w:sz w:val="22"/>
          <w:szCs w:val="22"/>
          <w:lang w:val="it-IT"/>
        </w:rPr>
        <w:t xml:space="preserve">Implementarea dispoziţiilor Directivei UE privind depozitele de deşeuri va duce la reducerea principalelor efecte negative ale depozitării deşeurilor, însă acestea nu vor fi complet eliminate. </w:t>
      </w:r>
      <w:r w:rsidRPr="00FB6E9A">
        <w:rPr>
          <w:rFonts w:ascii="Trebuchet MS" w:hAnsi="Trebuchet MS" w:cs="Arial"/>
          <w:sz w:val="22"/>
          <w:szCs w:val="22"/>
          <w:lang w:val="es-ES"/>
        </w:rPr>
        <w:t>De asemenea, depozitarea deşeurilor echivalează cu pierderi irecuperabile de resurse şi de teren. Pe termen mediu şi lung, aceasta nu este considerată ca fiind o soluţie sustenabilă de gestionare a deşeurilor şi, drept urmare, nu este recomandată.</w:t>
      </w:r>
    </w:p>
    <w:p w:rsidR="0082575A" w:rsidRPr="00FB6E9A" w:rsidRDefault="0082575A" w:rsidP="0082575A">
      <w:pPr>
        <w:tabs>
          <w:tab w:val="left" w:pos="360"/>
        </w:tabs>
        <w:autoSpaceDE w:val="0"/>
        <w:autoSpaceDN w:val="0"/>
        <w:adjustRightInd w:val="0"/>
        <w:jc w:val="both"/>
        <w:rPr>
          <w:rFonts w:ascii="Trebuchet MS" w:hAnsi="Trebuchet MS" w:cs="Arial"/>
          <w:sz w:val="22"/>
          <w:szCs w:val="22"/>
          <w:lang w:val="es-ES"/>
        </w:rPr>
      </w:pPr>
      <w:r w:rsidRPr="00FB6E9A">
        <w:rPr>
          <w:rFonts w:ascii="Trebuchet MS" w:hAnsi="Trebuchet MS" w:cs="Arial"/>
          <w:sz w:val="22"/>
          <w:szCs w:val="22"/>
          <w:lang w:val="es-ES"/>
        </w:rPr>
        <w:tab/>
        <w:t xml:space="preserve">Întreţinerea necorespunzătoare a vehiculelor de colectare a deşeurilor duce la emanarea unor nivele ridicate de gaze de eşapament, fiind eliberate şi acestea în atmosferă.  </w:t>
      </w:r>
    </w:p>
    <w:p w:rsidR="0082575A" w:rsidRPr="00FB6E9A" w:rsidRDefault="0082575A" w:rsidP="0082575A">
      <w:pPr>
        <w:tabs>
          <w:tab w:val="left" w:pos="360"/>
        </w:tabs>
        <w:autoSpaceDE w:val="0"/>
        <w:autoSpaceDN w:val="0"/>
        <w:adjustRightInd w:val="0"/>
        <w:jc w:val="both"/>
        <w:rPr>
          <w:rFonts w:ascii="Trebuchet MS" w:hAnsi="Trebuchet MS" w:cs="Arial"/>
          <w:sz w:val="22"/>
          <w:szCs w:val="22"/>
          <w:lang w:val="es-ES"/>
        </w:rPr>
      </w:pPr>
      <w:r w:rsidRPr="00FB6E9A">
        <w:rPr>
          <w:rFonts w:ascii="Trebuchet MS" w:hAnsi="Trebuchet MS" w:cs="Arial"/>
          <w:sz w:val="22"/>
          <w:szCs w:val="22"/>
          <w:lang w:val="es-ES"/>
        </w:rPr>
        <w:tab/>
        <w:t>Levigatul format în depozitele de deşeuri menajere influenţează negativ apele de suprafaţă şi cele subterane. Solurile din vecinătatea depozitelor pot fi contaminate cu metale grele şi alţi poluanţi toxici.</w:t>
      </w:r>
    </w:p>
    <w:p w:rsidR="0082575A" w:rsidRPr="00FB6E9A" w:rsidRDefault="0082575A" w:rsidP="0082575A">
      <w:pPr>
        <w:tabs>
          <w:tab w:val="left" w:pos="360"/>
        </w:tabs>
        <w:autoSpaceDE w:val="0"/>
        <w:autoSpaceDN w:val="0"/>
        <w:adjustRightInd w:val="0"/>
        <w:jc w:val="both"/>
        <w:rPr>
          <w:rFonts w:ascii="Trebuchet MS" w:hAnsi="Trebuchet MS" w:cs="Arial"/>
          <w:sz w:val="22"/>
          <w:szCs w:val="22"/>
          <w:lang w:val="es-ES"/>
        </w:rPr>
      </w:pPr>
      <w:r w:rsidRPr="00FB6E9A">
        <w:rPr>
          <w:rFonts w:ascii="Trebuchet MS" w:hAnsi="Trebuchet MS" w:cs="Arial"/>
          <w:sz w:val="22"/>
          <w:szCs w:val="22"/>
          <w:lang w:val="es-ES"/>
        </w:rPr>
        <w:tab/>
        <w:t>Emisiile necontrolate de biogaz contribuie la formarea gazelor cu efect de seră.</w:t>
      </w:r>
    </w:p>
    <w:p w:rsidR="0082575A" w:rsidRPr="00FB6E9A" w:rsidRDefault="0082575A" w:rsidP="0082575A">
      <w:pPr>
        <w:autoSpaceDE w:val="0"/>
        <w:autoSpaceDN w:val="0"/>
        <w:adjustRightInd w:val="0"/>
        <w:ind w:firstLine="360"/>
        <w:jc w:val="both"/>
        <w:rPr>
          <w:rFonts w:ascii="Trebuchet MS" w:hAnsi="Trebuchet MS" w:cs="Arial"/>
          <w:sz w:val="22"/>
          <w:szCs w:val="22"/>
          <w:lang w:val="it-IT"/>
        </w:rPr>
      </w:pPr>
      <w:r w:rsidRPr="00FB6E9A">
        <w:rPr>
          <w:rFonts w:ascii="Trebuchet MS" w:hAnsi="Trebuchet MS" w:cs="Arial"/>
          <w:sz w:val="22"/>
          <w:szCs w:val="22"/>
          <w:lang w:val="es-ES"/>
        </w:rPr>
        <w:t xml:space="preserve">Reziduurile depozitate pe rampele de deşeuri menajere pot constitui vectori importanţi în răspândirea infecţiilor. </w:t>
      </w:r>
      <w:r w:rsidRPr="00FB6E9A">
        <w:rPr>
          <w:rFonts w:ascii="Trebuchet MS" w:hAnsi="Trebuchet MS" w:cs="Arial"/>
          <w:sz w:val="22"/>
          <w:szCs w:val="22"/>
          <w:lang w:val="it-IT"/>
        </w:rPr>
        <w:t>Reziduurile provenite din diferite surse conţin o gamă diversificată de microorganisme printre care şi agenţi patogeni. În condiţii prielnice, agenţii patogeni pot trăi în reziduuri timp îndelungat (zile, săptămâni, luni) de unde pot pătrunde în sol, apă de suprafaţă, pânză freatică, putând provoca astfel infecţii şi prin contact direct. Reziduurile pot asigura crearea unor condiţii favorabile pentru înmulţirea insectelor şi rozătoarelor, ele fiind cunoscute ca purtătoare de boli infecţioase.</w:t>
      </w:r>
    </w:p>
    <w:p w:rsidR="0082575A" w:rsidRPr="00FB6E9A" w:rsidRDefault="0082575A" w:rsidP="0082575A">
      <w:pPr>
        <w:autoSpaceDE w:val="0"/>
        <w:autoSpaceDN w:val="0"/>
        <w:adjustRightInd w:val="0"/>
        <w:ind w:firstLine="360"/>
        <w:jc w:val="both"/>
        <w:rPr>
          <w:rFonts w:ascii="Trebuchet MS" w:hAnsi="Trebuchet MS" w:cs="Arial"/>
          <w:sz w:val="22"/>
          <w:szCs w:val="22"/>
          <w:lang w:val="it-IT"/>
        </w:rPr>
      </w:pPr>
      <w:r w:rsidRPr="00FB6E9A">
        <w:rPr>
          <w:rFonts w:ascii="Trebuchet MS" w:hAnsi="Trebuchet MS" w:cs="Arial"/>
          <w:sz w:val="22"/>
          <w:szCs w:val="22"/>
          <w:lang w:val="it-IT"/>
        </w:rPr>
        <w:t>Reziduurile necorespunzător tratate cât şi produsele lor de descompunere, fiind spălate de ape de precipitaţii, se împrăştie şi pătrund în sol. Se poate polua astfel suprafaţa solului pe întinderi mari, după care particulele de sol contaminate şi de materii poluante, prin apele din precipitaţii, pătrund în apele freatice sau în apele de suprafaţă din apropiere.</w:t>
      </w:r>
    </w:p>
    <w:p w:rsidR="0082575A" w:rsidRPr="00FB6E9A" w:rsidRDefault="0082575A" w:rsidP="0082575A">
      <w:pPr>
        <w:autoSpaceDE w:val="0"/>
        <w:autoSpaceDN w:val="0"/>
        <w:adjustRightInd w:val="0"/>
        <w:ind w:firstLine="360"/>
        <w:jc w:val="both"/>
        <w:rPr>
          <w:rFonts w:ascii="Trebuchet MS" w:hAnsi="Trebuchet MS" w:cs="Arial"/>
          <w:sz w:val="22"/>
          <w:szCs w:val="22"/>
          <w:lang w:val="it-IT"/>
        </w:rPr>
      </w:pPr>
      <w:r w:rsidRPr="00FB6E9A">
        <w:rPr>
          <w:rFonts w:ascii="Trebuchet MS" w:hAnsi="Trebuchet MS" w:cs="Arial"/>
          <w:sz w:val="22"/>
          <w:szCs w:val="22"/>
          <w:lang w:val="it-IT"/>
        </w:rPr>
        <w:t>Reziduurile provenite din procesele de curăţare şi spălare din gospodăriile</w:t>
      </w:r>
    </w:p>
    <w:p w:rsidR="0082575A" w:rsidRPr="00FB6E9A" w:rsidRDefault="0082575A" w:rsidP="0082575A">
      <w:pPr>
        <w:autoSpaceDE w:val="0"/>
        <w:autoSpaceDN w:val="0"/>
        <w:adjustRightInd w:val="0"/>
        <w:jc w:val="both"/>
        <w:rPr>
          <w:rFonts w:ascii="Trebuchet MS" w:hAnsi="Trebuchet MS" w:cs="Arial"/>
          <w:sz w:val="22"/>
          <w:szCs w:val="22"/>
          <w:lang w:val="it-IT"/>
        </w:rPr>
      </w:pPr>
      <w:r w:rsidRPr="00FB6E9A">
        <w:rPr>
          <w:rFonts w:ascii="Trebuchet MS" w:hAnsi="Trebuchet MS" w:cs="Arial"/>
          <w:sz w:val="22"/>
          <w:szCs w:val="22"/>
          <w:lang w:val="it-IT"/>
        </w:rPr>
        <w:t>individuale, dar mai ales reziduurile proceselor industriale pot ajunge în mediul înconjurător şi prin circulaţia schimbului de materii. Depozitarea şi tratarea necorespunzătoare a deşeurilor solide menajere pot conduce la poluarea atmosferei. Descompunerea reziduurilor cu conţinut de substanţe organice este însoţită de degajarea unor gaze urât mirositoare (metan, amoniac, hidrogen sulfurat) Vântul şi mişcările de aer antrenează praful din grămezile de reziduuri, poluând atmosfera.</w:t>
      </w:r>
    </w:p>
    <w:p w:rsidR="0082575A" w:rsidRPr="00FB6E9A" w:rsidRDefault="0082575A" w:rsidP="0082575A">
      <w:pPr>
        <w:autoSpaceDE w:val="0"/>
        <w:autoSpaceDN w:val="0"/>
        <w:adjustRightInd w:val="0"/>
        <w:ind w:firstLine="360"/>
        <w:jc w:val="both"/>
        <w:rPr>
          <w:rFonts w:ascii="Trebuchet MS" w:hAnsi="Trebuchet MS" w:cs="Arial"/>
          <w:sz w:val="22"/>
          <w:szCs w:val="22"/>
          <w:lang w:val="it-IT"/>
        </w:rPr>
      </w:pPr>
      <w:r w:rsidRPr="00FB6E9A">
        <w:rPr>
          <w:rFonts w:ascii="Trebuchet MS" w:hAnsi="Trebuchet MS" w:cs="Arial"/>
          <w:sz w:val="22"/>
          <w:szCs w:val="22"/>
          <w:lang w:val="it-IT"/>
        </w:rPr>
        <w:t>Produsele de ardere (fum, funingine, cenuşă) apărute în urma autoaprinderii incomplete a reziduurilor la locurile de depozitare poluează mediul înconjurător pe întinderi foarte mari. Aspectul deprecierii estetice a cadrului natural este un alt factor de impact al depozitelor de deşeuri.</w:t>
      </w:r>
    </w:p>
    <w:p w:rsidR="0082575A" w:rsidRPr="00FB6E9A" w:rsidRDefault="0082575A" w:rsidP="0082575A">
      <w:pPr>
        <w:autoSpaceDE w:val="0"/>
        <w:autoSpaceDN w:val="0"/>
        <w:adjustRightInd w:val="0"/>
        <w:ind w:firstLine="360"/>
        <w:jc w:val="both"/>
        <w:rPr>
          <w:rFonts w:ascii="Trebuchet MS" w:hAnsi="Trebuchet MS" w:cs="Arial"/>
          <w:sz w:val="22"/>
          <w:szCs w:val="22"/>
          <w:lang w:val="it-IT"/>
        </w:rPr>
      </w:pPr>
      <w:r w:rsidRPr="00FB6E9A">
        <w:rPr>
          <w:rFonts w:ascii="Trebuchet MS" w:hAnsi="Trebuchet MS" w:cs="Arial"/>
          <w:sz w:val="22"/>
          <w:szCs w:val="22"/>
          <w:lang w:val="it-IT"/>
        </w:rPr>
        <w:t>Iazurile de decantare, haldele de steril minier, haldele de zgură şi cenuşă afectează mediul înconjurător sub diferite aspecte:</w:t>
      </w:r>
    </w:p>
    <w:p w:rsidR="0082575A" w:rsidRPr="00FB6E9A" w:rsidRDefault="0082575A" w:rsidP="004F134E">
      <w:pPr>
        <w:numPr>
          <w:ilvl w:val="0"/>
          <w:numId w:val="36"/>
        </w:numPr>
        <w:tabs>
          <w:tab w:val="clear" w:pos="1531"/>
          <w:tab w:val="num" w:pos="360"/>
        </w:tabs>
        <w:autoSpaceDE w:val="0"/>
        <w:autoSpaceDN w:val="0"/>
        <w:adjustRightInd w:val="0"/>
        <w:ind w:left="397" w:hanging="397"/>
        <w:jc w:val="both"/>
        <w:rPr>
          <w:rFonts w:ascii="Trebuchet MS" w:hAnsi="Trebuchet MS" w:cs="Arial"/>
          <w:sz w:val="22"/>
          <w:szCs w:val="22"/>
        </w:rPr>
      </w:pPr>
      <w:r w:rsidRPr="00FB6E9A">
        <w:rPr>
          <w:rFonts w:ascii="Trebuchet MS" w:hAnsi="Trebuchet MS" w:cs="Arial"/>
          <w:sz w:val="22"/>
          <w:szCs w:val="22"/>
        </w:rPr>
        <w:t>scoaterea unor mari suprafeţe de teren din activitatea sectorului agro-silvic</w:t>
      </w:r>
    </w:p>
    <w:p w:rsidR="0082575A" w:rsidRPr="00FB6E9A" w:rsidRDefault="0082575A" w:rsidP="004F134E">
      <w:pPr>
        <w:numPr>
          <w:ilvl w:val="0"/>
          <w:numId w:val="36"/>
        </w:numPr>
        <w:tabs>
          <w:tab w:val="clear" w:pos="1531"/>
          <w:tab w:val="num" w:pos="360"/>
        </w:tabs>
        <w:autoSpaceDE w:val="0"/>
        <w:autoSpaceDN w:val="0"/>
        <w:adjustRightInd w:val="0"/>
        <w:ind w:left="397" w:hanging="397"/>
        <w:jc w:val="both"/>
        <w:rPr>
          <w:rFonts w:ascii="Trebuchet MS" w:hAnsi="Trebuchet MS" w:cs="Arial"/>
          <w:sz w:val="22"/>
          <w:szCs w:val="22"/>
          <w:lang w:val="pt-BR"/>
        </w:rPr>
      </w:pPr>
      <w:r w:rsidRPr="00FB6E9A">
        <w:rPr>
          <w:rFonts w:ascii="Trebuchet MS" w:hAnsi="Trebuchet MS" w:cs="Arial"/>
          <w:sz w:val="22"/>
          <w:szCs w:val="22"/>
          <w:lang w:val="pt-BR"/>
        </w:rPr>
        <w:t>distrugerea solului vegetal, a florei şi faunei de pe suprafeţele ocupate</w:t>
      </w:r>
    </w:p>
    <w:p w:rsidR="0082575A" w:rsidRPr="00FB6E9A" w:rsidRDefault="0082575A" w:rsidP="004F134E">
      <w:pPr>
        <w:numPr>
          <w:ilvl w:val="0"/>
          <w:numId w:val="36"/>
        </w:numPr>
        <w:tabs>
          <w:tab w:val="clear" w:pos="1531"/>
          <w:tab w:val="num" w:pos="360"/>
        </w:tabs>
        <w:autoSpaceDE w:val="0"/>
        <w:autoSpaceDN w:val="0"/>
        <w:adjustRightInd w:val="0"/>
        <w:ind w:left="397" w:hanging="397"/>
        <w:jc w:val="both"/>
        <w:rPr>
          <w:rFonts w:ascii="Trebuchet MS" w:hAnsi="Trebuchet MS" w:cs="Arial"/>
          <w:sz w:val="22"/>
          <w:szCs w:val="22"/>
        </w:rPr>
      </w:pPr>
      <w:r w:rsidRPr="00FB6E9A">
        <w:rPr>
          <w:rFonts w:ascii="Trebuchet MS" w:hAnsi="Trebuchet MS" w:cs="Arial"/>
          <w:sz w:val="22"/>
          <w:szCs w:val="22"/>
        </w:rPr>
        <w:t>pericol posibil de alunecare şi pierderea stabilităţii haldelor, pericol de a provoca alunecări de teren</w:t>
      </w:r>
    </w:p>
    <w:p w:rsidR="0082575A" w:rsidRPr="00FB6E9A" w:rsidRDefault="0082575A" w:rsidP="004F134E">
      <w:pPr>
        <w:numPr>
          <w:ilvl w:val="0"/>
          <w:numId w:val="36"/>
        </w:numPr>
        <w:tabs>
          <w:tab w:val="clear" w:pos="1531"/>
          <w:tab w:val="num" w:pos="360"/>
        </w:tabs>
        <w:autoSpaceDE w:val="0"/>
        <w:autoSpaceDN w:val="0"/>
        <w:adjustRightInd w:val="0"/>
        <w:ind w:left="397" w:hanging="397"/>
        <w:jc w:val="both"/>
        <w:rPr>
          <w:rFonts w:ascii="Trebuchet MS" w:hAnsi="Trebuchet MS" w:cs="Arial"/>
          <w:sz w:val="22"/>
          <w:szCs w:val="22"/>
        </w:rPr>
      </w:pPr>
      <w:r w:rsidRPr="00FB6E9A">
        <w:rPr>
          <w:rFonts w:ascii="Trebuchet MS" w:hAnsi="Trebuchet MS" w:cs="Arial"/>
          <w:sz w:val="22"/>
          <w:szCs w:val="22"/>
        </w:rPr>
        <w:t>distrugerea suprafeţelor scufundate, inclusiv a construcţiilor şi lucrărilor de artă</w:t>
      </w:r>
    </w:p>
    <w:p w:rsidR="0082575A" w:rsidRPr="00FB6E9A" w:rsidRDefault="0082575A" w:rsidP="004F134E">
      <w:pPr>
        <w:numPr>
          <w:ilvl w:val="0"/>
          <w:numId w:val="36"/>
        </w:numPr>
        <w:tabs>
          <w:tab w:val="clear" w:pos="1531"/>
          <w:tab w:val="num" w:pos="360"/>
          <w:tab w:val="num" w:pos="1080"/>
        </w:tabs>
        <w:autoSpaceDE w:val="0"/>
        <w:autoSpaceDN w:val="0"/>
        <w:adjustRightInd w:val="0"/>
        <w:ind w:left="397" w:hanging="397"/>
        <w:jc w:val="both"/>
        <w:rPr>
          <w:rFonts w:ascii="Trebuchet MS" w:hAnsi="Trebuchet MS" w:cs="Arial"/>
          <w:sz w:val="22"/>
          <w:szCs w:val="22"/>
        </w:rPr>
      </w:pPr>
      <w:r w:rsidRPr="00FB6E9A">
        <w:rPr>
          <w:rFonts w:ascii="Trebuchet MS" w:hAnsi="Trebuchet MS" w:cs="Arial"/>
          <w:sz w:val="22"/>
          <w:szCs w:val="22"/>
        </w:rPr>
        <w:t>pulberile şi praful acoperă şi înăbuşă vegetaţia având urmări nefavorabile datorate compoziţiei lor chimice sau reacţiilor la care dau naştere în contact cu umezeala şi atmosfera; degradează aspectul natural al regiunii şi murdăresc clădirile, influenţează negativ posibilităţile de recreere şi turismul.</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Datorită grosimii mari a haldelor şi a depozitelor din iazuri nu mai este posibilă o regenerare naturală, terenurile ocupate de aceste materiale sunt şi rămân pustiuri artificiale.</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Reziduurile minerale şi substanţele toxice din acestea, depuse pe sol, sunt foarte greu şi foarte puţin degradabile de microorganisme sau prin dizolvare, deci solul spre deosebire de ape şi atmosferă, nu are putere de dispersare, iar degradarea lui se produce imediat şi ireversibil.</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Exfiltraţiile de la iazurile de decantare distrug sau modifică nefavorabil flora bacteriană şi fauna solului.</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Sterilele rezultate în urma prelucrării minereurilor în uzinele de preparare sunt transportate prin intermediul sistemelor de hidrotransport şi depozitate în iazuri de decantare, care realizează o epurare mecanică şi în unele cazuri, în amestec cu apele de mină şi o epurare chimică.</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În ceea ce priveşte bateriile şi acumulatorii, din cauza substanţelor pe care le conţin (metale grele cum ar fi mercurul, plumbul, nichelul, litiul şi cadmiul), bateriile reprezintă un pericol pentru mediu şi pentru sănătatea noastră. Ajunse la groapa de gunoi, bateriile portabile se oxidează şi eliberează metalele grele care ajung în sol, intră în pânza freatică şi ajung apoi în apa de la robinet sau de la fântână.</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Incinerate, bateriile portabile degajă în fum aceste substanţe toxice şi poluează aerul. Mercurul conţinut într-o baterie tip pastilă, dintre cele folosite la ceasuri sau la calculatoarele portabile, poate polua cinci sute de litri de apă sau un metru pătrat de sol pe o perioadă de cincizeci de ani.</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Bateriile auto se degradează într-o perioadă lungă de timp, iar substanţele eliberate prin degradare poluează solul, apele şi aerul. Ele conţin plumb sub formă de ioni solubili.</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Expunerea la plumb poate duce la intoxicaţii grave. Bateriile auto conţin acid sulfuric, substanţă care produce arsuri dacă este varsata accidental. Schimbarea bateriilor auto este o activitate periculoasă, care necesită personal autorizat şi competent. Depozitarea bateriilor auto uzate trebuie facută în containere speciale, rezistente la coroziune.</w:t>
      </w:r>
    </w:p>
    <w:p w:rsidR="0082575A" w:rsidRPr="00FB6E9A" w:rsidRDefault="0082575A" w:rsidP="0082575A">
      <w:pPr>
        <w:autoSpaceDE w:val="0"/>
        <w:autoSpaceDN w:val="0"/>
        <w:adjustRightInd w:val="0"/>
        <w:ind w:firstLine="360"/>
        <w:jc w:val="both"/>
        <w:rPr>
          <w:rFonts w:ascii="Trebuchet MS" w:hAnsi="Trebuchet MS" w:cs="Arial"/>
          <w:sz w:val="22"/>
          <w:szCs w:val="22"/>
        </w:rPr>
      </w:pPr>
      <w:r w:rsidRPr="00FB6E9A">
        <w:rPr>
          <w:rFonts w:ascii="Trebuchet MS" w:hAnsi="Trebuchet MS" w:cs="Arial"/>
          <w:sz w:val="22"/>
          <w:szCs w:val="22"/>
        </w:rPr>
        <w:t>În cazul vehiculelor scoase din uz, uleiul de motor ars conţine: funingini, răşini, acizi organici proveniţi din oxidarea parţială a uleiului, clor, compuşi aromatici, fenoli şi alte substanţe chimice periculoase. Uleiurile uzate sunt puţin degradabile şi reuşesc să distrugă flora şi fauna dacă sunt deversate fără discernământ. Ars în spaţiu deschis, uleiul de motor degajă hidrocarburi extrem de poluante pentru aer şi cu impact cancerigen asupra oamenilor.</w:t>
      </w:r>
    </w:p>
    <w:p w:rsidR="0082575A" w:rsidRPr="00FB6E9A" w:rsidRDefault="0082575A" w:rsidP="0082575A">
      <w:pPr>
        <w:autoSpaceDE w:val="0"/>
        <w:autoSpaceDN w:val="0"/>
        <w:adjustRightInd w:val="0"/>
        <w:ind w:firstLine="360"/>
        <w:jc w:val="both"/>
        <w:rPr>
          <w:rFonts w:ascii="Trebuchet MS" w:hAnsi="Trebuchet MS" w:cs="Arial"/>
          <w:sz w:val="22"/>
          <w:szCs w:val="22"/>
          <w:lang w:val="es-ES"/>
        </w:rPr>
      </w:pPr>
      <w:r w:rsidRPr="00FB6E9A">
        <w:rPr>
          <w:rFonts w:ascii="Trebuchet MS" w:hAnsi="Trebuchet MS" w:cs="Arial"/>
          <w:sz w:val="22"/>
          <w:szCs w:val="22"/>
          <w:lang w:val="pt-BR"/>
        </w:rPr>
        <w:t xml:space="preserve">Ars în aer liber, uleiul de motor uzat poate elibera acid clorhidric, extrem de poluant pentru atmosferă. </w:t>
      </w:r>
      <w:r w:rsidRPr="00FB6E9A">
        <w:rPr>
          <w:rFonts w:ascii="Trebuchet MS" w:hAnsi="Trebuchet MS" w:cs="Arial"/>
          <w:sz w:val="22"/>
          <w:szCs w:val="22"/>
          <w:lang w:val="es-ES"/>
        </w:rPr>
        <w:t>Folosit la vopsirea gardurilor din lemn este periculos pentru sănătatea oamenilor.</w:t>
      </w:r>
    </w:p>
    <w:p w:rsidR="0082575A" w:rsidRPr="00FB6E9A" w:rsidRDefault="0082575A" w:rsidP="0082575A">
      <w:pPr>
        <w:autoSpaceDE w:val="0"/>
        <w:autoSpaceDN w:val="0"/>
        <w:adjustRightInd w:val="0"/>
        <w:ind w:firstLine="360"/>
        <w:jc w:val="both"/>
        <w:rPr>
          <w:rFonts w:ascii="Trebuchet MS" w:hAnsi="Trebuchet MS" w:cs="Arial"/>
          <w:sz w:val="22"/>
          <w:szCs w:val="22"/>
          <w:lang w:val="es-ES"/>
        </w:rPr>
      </w:pPr>
      <w:r w:rsidRPr="00FB6E9A">
        <w:rPr>
          <w:rFonts w:ascii="Trebuchet MS" w:hAnsi="Trebuchet MS" w:cs="Arial"/>
          <w:sz w:val="22"/>
          <w:szCs w:val="22"/>
          <w:lang w:val="es-ES"/>
        </w:rPr>
        <w:t>După ploaie, substanţele conţinute de ulei ajung în sol şi contaminează pânza freatică.</w:t>
      </w:r>
    </w:p>
    <w:p w:rsidR="00F06B26" w:rsidRDefault="00F06B26" w:rsidP="00F06B26">
      <w:pPr>
        <w:autoSpaceDE w:val="0"/>
        <w:autoSpaceDN w:val="0"/>
        <w:adjustRightInd w:val="0"/>
        <w:jc w:val="both"/>
        <w:rPr>
          <w:rFonts w:ascii="Trebuchet MS" w:hAnsi="Trebuchet MS" w:cs="Arial"/>
          <w:sz w:val="22"/>
          <w:szCs w:val="22"/>
          <w:lang w:val="es-ES"/>
        </w:rPr>
      </w:pPr>
    </w:p>
    <w:p w:rsidR="00745ACE" w:rsidRPr="00FB6E9A" w:rsidRDefault="00745ACE" w:rsidP="00F06B26">
      <w:pPr>
        <w:autoSpaceDE w:val="0"/>
        <w:autoSpaceDN w:val="0"/>
        <w:adjustRightInd w:val="0"/>
        <w:jc w:val="both"/>
        <w:rPr>
          <w:rFonts w:ascii="Trebuchet MS" w:hAnsi="Trebuchet MS" w:cs="Arial"/>
          <w:sz w:val="22"/>
          <w:szCs w:val="22"/>
          <w:lang w:val="es-ES"/>
        </w:rPr>
      </w:pPr>
    </w:p>
    <w:p w:rsidR="00F06B26" w:rsidRPr="00FC554D" w:rsidRDefault="00F06B26" w:rsidP="00F06B26">
      <w:pPr>
        <w:autoSpaceDE w:val="0"/>
        <w:autoSpaceDN w:val="0"/>
        <w:adjustRightInd w:val="0"/>
        <w:jc w:val="both"/>
        <w:rPr>
          <w:rFonts w:ascii="Arial" w:hAnsi="Arial" w:cs="Arial"/>
          <w:lang w:val="es-ES"/>
        </w:rPr>
      </w:pPr>
    </w:p>
    <w:p w:rsidR="0082575A" w:rsidRPr="00DB17CC" w:rsidRDefault="0082575A" w:rsidP="0082575A">
      <w:pPr>
        <w:autoSpaceDE w:val="0"/>
        <w:autoSpaceDN w:val="0"/>
        <w:adjustRightInd w:val="0"/>
        <w:jc w:val="both"/>
        <w:rPr>
          <w:rFonts w:ascii="Arial" w:hAnsi="Arial" w:cs="Arial"/>
          <w:lang w:val="es-ES"/>
        </w:rPr>
      </w:pPr>
    </w:p>
    <w:p w:rsidR="0082575A" w:rsidRPr="00745ACE" w:rsidRDefault="0082575A" w:rsidP="0082575A">
      <w:pPr>
        <w:autoSpaceDE w:val="0"/>
        <w:autoSpaceDN w:val="0"/>
        <w:adjustRightInd w:val="0"/>
        <w:jc w:val="both"/>
        <w:rPr>
          <w:rFonts w:ascii="Trebuchet MS" w:hAnsi="Trebuchet MS" w:cs="Arial"/>
          <w:b/>
          <w:lang w:val="it-IT"/>
        </w:rPr>
      </w:pPr>
      <w:r w:rsidRPr="00745ACE">
        <w:rPr>
          <w:rFonts w:ascii="Trebuchet MS" w:hAnsi="Trebuchet MS" w:cs="Arial"/>
          <w:b/>
          <w:lang w:val="it-IT"/>
        </w:rPr>
        <w:t>VII. 1.5. Tendinţe şi prognoze privind generarea deşeurilor</w:t>
      </w:r>
    </w:p>
    <w:p w:rsidR="0082575A" w:rsidRPr="00DB17CC" w:rsidRDefault="0082575A" w:rsidP="0082575A">
      <w:pPr>
        <w:rPr>
          <w:rFonts w:ascii="Arial" w:hAnsi="Arial" w:cs="Arial"/>
          <w:lang w:val="it-IT"/>
        </w:rPr>
      </w:pPr>
    </w:p>
    <w:p w:rsidR="0082575A" w:rsidRPr="00745ACE" w:rsidRDefault="0082575A" w:rsidP="004F134E">
      <w:pPr>
        <w:pStyle w:val="ListParagraph"/>
        <w:numPr>
          <w:ilvl w:val="0"/>
          <w:numId w:val="37"/>
        </w:numPr>
        <w:jc w:val="both"/>
        <w:rPr>
          <w:rFonts w:ascii="Trebuchet MS" w:hAnsi="Trebuchet MS" w:cs="Arial"/>
          <w:b/>
          <w:sz w:val="22"/>
          <w:szCs w:val="22"/>
        </w:rPr>
      </w:pPr>
      <w:r w:rsidRPr="00745ACE">
        <w:rPr>
          <w:rFonts w:ascii="Trebuchet MS" w:hAnsi="Trebuchet MS" w:cs="Arial"/>
          <w:b/>
          <w:sz w:val="22"/>
          <w:szCs w:val="22"/>
          <w:lang w:val="it-IT"/>
        </w:rPr>
        <w:t xml:space="preserve"> </w:t>
      </w:r>
      <w:r w:rsidRPr="00745ACE">
        <w:rPr>
          <w:rFonts w:ascii="Trebuchet MS" w:hAnsi="Trebuchet MS" w:cs="Arial"/>
          <w:b/>
          <w:sz w:val="22"/>
          <w:szCs w:val="22"/>
        </w:rPr>
        <w:t>Indicatori specifici</w:t>
      </w:r>
    </w:p>
    <w:p w:rsidR="0082575A" w:rsidRPr="00745ACE" w:rsidRDefault="0082575A" w:rsidP="0082575A">
      <w:pPr>
        <w:pStyle w:val="ListParagraph"/>
        <w:jc w:val="both"/>
        <w:rPr>
          <w:rFonts w:ascii="Trebuchet MS" w:hAnsi="Trebuchet MS" w:cs="Arial"/>
          <w:b/>
          <w:sz w:val="22"/>
          <w:szCs w:val="22"/>
        </w:rPr>
      </w:pPr>
      <w:r w:rsidRPr="00745ACE">
        <w:rPr>
          <w:rFonts w:ascii="Trebuchet MS" w:hAnsi="Trebuchet MS" w:cs="Arial"/>
          <w:b/>
          <w:sz w:val="22"/>
          <w:szCs w:val="22"/>
        </w:rPr>
        <w:t>Nu este cazul</w:t>
      </w:r>
    </w:p>
    <w:p w:rsidR="0082575A" w:rsidRPr="00745ACE" w:rsidRDefault="0082575A" w:rsidP="004F134E">
      <w:pPr>
        <w:pStyle w:val="ListParagraph"/>
        <w:numPr>
          <w:ilvl w:val="0"/>
          <w:numId w:val="37"/>
        </w:numPr>
        <w:jc w:val="both"/>
        <w:rPr>
          <w:rFonts w:ascii="Trebuchet MS" w:hAnsi="Trebuchet MS" w:cs="Arial"/>
          <w:b/>
          <w:sz w:val="22"/>
          <w:szCs w:val="22"/>
        </w:rPr>
      </w:pPr>
      <w:r w:rsidRPr="00745ACE">
        <w:rPr>
          <w:rFonts w:ascii="Trebuchet MS" w:hAnsi="Trebuchet MS" w:cs="Arial"/>
          <w:b/>
          <w:sz w:val="22"/>
          <w:szCs w:val="22"/>
        </w:rPr>
        <w:t>Alte date şi informaţii specifice</w:t>
      </w:r>
    </w:p>
    <w:p w:rsidR="0082575A" w:rsidRPr="00745ACE" w:rsidRDefault="0082575A" w:rsidP="0082575A">
      <w:pPr>
        <w:jc w:val="both"/>
        <w:rPr>
          <w:rFonts w:ascii="Trebuchet MS" w:hAnsi="Trebuchet MS" w:cs="Arial"/>
          <w:sz w:val="22"/>
          <w:szCs w:val="22"/>
        </w:rPr>
      </w:pPr>
    </w:p>
    <w:p w:rsidR="008469D0" w:rsidRPr="00745ACE" w:rsidRDefault="008469D0" w:rsidP="008469D0">
      <w:pPr>
        <w:ind w:firstLine="360"/>
        <w:jc w:val="both"/>
        <w:rPr>
          <w:rFonts w:ascii="Trebuchet MS" w:hAnsi="Trebuchet MS" w:cs="Arial"/>
          <w:sz w:val="22"/>
          <w:szCs w:val="22"/>
        </w:rPr>
      </w:pPr>
      <w:r w:rsidRPr="00745ACE">
        <w:rPr>
          <w:rFonts w:ascii="Trebuchet MS" w:hAnsi="Trebuchet MS" w:cs="Arial"/>
          <w:sz w:val="22"/>
          <w:szCs w:val="22"/>
        </w:rPr>
        <w:t>Datele privind generarea deseurilor respectiv colectarea/valorificarea/tratarea D.E.E.E., V.S.U., Ambalaje s.a. au fost prezentate in cadrul capitolelor anterioare, fiind prezentate şi evoluţiile pe ultimii ani disponibili.</w:t>
      </w:r>
    </w:p>
    <w:p w:rsidR="004E115E" w:rsidRPr="001E2F4F" w:rsidRDefault="004E115E" w:rsidP="004E115E">
      <w:pPr>
        <w:rPr>
          <w:b/>
          <w:lang w:val="it-IT"/>
        </w:rPr>
      </w:pPr>
    </w:p>
    <w:p w:rsidR="004E115E" w:rsidRPr="001E2F4F" w:rsidRDefault="004E115E" w:rsidP="004E115E"/>
    <w:p w:rsidR="00AE762B" w:rsidRDefault="00AE762B">
      <w:pPr>
        <w:rPr>
          <w:rFonts w:ascii="Arial" w:hAnsi="Arial" w:cs="Arial"/>
          <w:b/>
        </w:rPr>
      </w:pPr>
      <w:r>
        <w:rPr>
          <w:rFonts w:ascii="Arial" w:hAnsi="Arial" w:cs="Arial"/>
          <w:b/>
        </w:rPr>
        <w:br w:type="page"/>
      </w:r>
    </w:p>
    <w:p w:rsidR="00AE762B" w:rsidRPr="00745ACE" w:rsidRDefault="00AE762B" w:rsidP="00954CC9">
      <w:pPr>
        <w:jc w:val="center"/>
        <w:rPr>
          <w:rFonts w:ascii="Trebuchet MS" w:hAnsi="Trebuchet MS" w:cs="Arial"/>
          <w:b/>
          <w:sz w:val="32"/>
          <w:szCs w:val="32"/>
          <w:lang w:val="it-IT"/>
        </w:rPr>
      </w:pPr>
      <w:r w:rsidRPr="00745ACE">
        <w:rPr>
          <w:rFonts w:ascii="Trebuchet MS" w:hAnsi="Trebuchet MS" w:cs="Arial"/>
          <w:b/>
          <w:sz w:val="32"/>
          <w:szCs w:val="32"/>
          <w:lang w:val="it-IT"/>
        </w:rPr>
        <w:t xml:space="preserve">CAPITOLUL </w:t>
      </w:r>
      <w:r w:rsidR="00362C67" w:rsidRPr="00745ACE">
        <w:rPr>
          <w:rFonts w:ascii="Trebuchet MS" w:hAnsi="Trebuchet MS" w:cs="Arial"/>
          <w:b/>
          <w:sz w:val="32"/>
          <w:szCs w:val="32"/>
          <w:lang w:val="it-IT"/>
        </w:rPr>
        <w:t>VIII</w:t>
      </w:r>
    </w:p>
    <w:p w:rsidR="00AE762B" w:rsidRPr="00745ACE" w:rsidRDefault="00AE762B" w:rsidP="00954CC9">
      <w:pPr>
        <w:jc w:val="center"/>
        <w:rPr>
          <w:rFonts w:ascii="Trebuchet MS" w:hAnsi="Trebuchet MS" w:cs="Arial"/>
          <w:b/>
          <w:sz w:val="32"/>
          <w:szCs w:val="32"/>
          <w:lang w:val="it-IT"/>
        </w:rPr>
      </w:pPr>
      <w:r w:rsidRPr="00745ACE">
        <w:rPr>
          <w:rFonts w:ascii="Trebuchet MS" w:hAnsi="Trebuchet MS" w:cs="Arial"/>
          <w:b/>
          <w:sz w:val="32"/>
          <w:szCs w:val="32"/>
          <w:lang w:val="it-IT"/>
        </w:rPr>
        <w:t>MEDIUL URBAN, SĂNĂTATEA ŞI CALITATEA VIEŢII</w:t>
      </w:r>
    </w:p>
    <w:p w:rsidR="00AE762B" w:rsidRPr="00745ACE" w:rsidRDefault="00AE762B" w:rsidP="00954CC9">
      <w:pPr>
        <w:jc w:val="center"/>
        <w:rPr>
          <w:rFonts w:ascii="Trebuchet MS" w:hAnsi="Trebuchet MS" w:cs="Arial"/>
          <w:b/>
          <w:sz w:val="32"/>
          <w:szCs w:val="32"/>
          <w:lang w:val="it-IT"/>
        </w:rPr>
      </w:pPr>
    </w:p>
    <w:p w:rsidR="00AE762B" w:rsidRPr="00745ACE" w:rsidRDefault="00AE762B" w:rsidP="00954CC9">
      <w:pPr>
        <w:jc w:val="both"/>
        <w:rPr>
          <w:rFonts w:ascii="Trebuchet MS" w:hAnsi="Trebuchet MS" w:cs="Arial"/>
          <w:b/>
          <w:lang w:val="it-IT"/>
        </w:rPr>
      </w:pPr>
    </w:p>
    <w:p w:rsidR="00AE762B" w:rsidRPr="00745ACE" w:rsidRDefault="00362C67" w:rsidP="00954CC9">
      <w:pPr>
        <w:jc w:val="both"/>
        <w:rPr>
          <w:rFonts w:ascii="Trebuchet MS" w:hAnsi="Trebuchet MS" w:cs="Arial"/>
          <w:b/>
          <w:lang w:val="it-IT"/>
        </w:rPr>
      </w:pPr>
      <w:r w:rsidRPr="00745ACE">
        <w:rPr>
          <w:rFonts w:ascii="Trebuchet MS" w:hAnsi="Trebuchet MS" w:cs="Arial"/>
          <w:b/>
          <w:lang w:val="it-IT"/>
        </w:rPr>
        <w:t>VIII</w:t>
      </w:r>
      <w:r w:rsidR="00AE762B" w:rsidRPr="00745ACE">
        <w:rPr>
          <w:rFonts w:ascii="Trebuchet MS" w:hAnsi="Trebuchet MS" w:cs="Arial"/>
          <w:b/>
          <w:lang w:val="it-IT"/>
        </w:rPr>
        <w:t>.1  Mediul urban şi calitatea vieţii: stare şi consecinţe</w:t>
      </w:r>
    </w:p>
    <w:p w:rsidR="00AE762B" w:rsidRPr="00745ACE" w:rsidRDefault="00AE762B" w:rsidP="00954CC9">
      <w:pPr>
        <w:jc w:val="both"/>
        <w:rPr>
          <w:rFonts w:ascii="Trebuchet MS" w:hAnsi="Trebuchet MS" w:cs="Arial"/>
          <w:b/>
          <w:lang w:val="it-IT"/>
        </w:rPr>
      </w:pPr>
    </w:p>
    <w:p w:rsidR="00AE762B" w:rsidRPr="00745ACE" w:rsidRDefault="00362C67" w:rsidP="00954CC9">
      <w:pPr>
        <w:jc w:val="both"/>
        <w:rPr>
          <w:rFonts w:ascii="Trebuchet MS" w:hAnsi="Trebuchet MS" w:cs="Arial"/>
          <w:b/>
          <w:lang w:val="it-IT"/>
        </w:rPr>
      </w:pPr>
      <w:r w:rsidRPr="00745ACE">
        <w:rPr>
          <w:rFonts w:ascii="Trebuchet MS" w:hAnsi="Trebuchet MS" w:cs="Arial"/>
          <w:b/>
          <w:lang w:val="it-IT"/>
        </w:rPr>
        <w:t>VIII</w:t>
      </w:r>
      <w:r w:rsidR="00AE762B" w:rsidRPr="00745ACE">
        <w:rPr>
          <w:rFonts w:ascii="Trebuchet MS" w:hAnsi="Trebuchet MS" w:cs="Arial"/>
          <w:b/>
          <w:lang w:val="ro-RO"/>
        </w:rPr>
        <w:t>.1.1 Calitatea aerului din aglomerările urbane şi efectele asupra sănătăţii</w:t>
      </w:r>
      <w:r w:rsidR="00AE762B" w:rsidRPr="00745ACE">
        <w:rPr>
          <w:rFonts w:ascii="Trebuchet MS" w:hAnsi="Trebuchet MS" w:cs="Arial"/>
          <w:b/>
          <w:lang w:val="it-IT"/>
        </w:rPr>
        <w:t xml:space="preserve"> </w:t>
      </w:r>
    </w:p>
    <w:p w:rsidR="00AE762B" w:rsidRPr="00745ACE" w:rsidRDefault="00362C67" w:rsidP="00954CC9">
      <w:pPr>
        <w:tabs>
          <w:tab w:val="left" w:leader="dot" w:pos="9356"/>
        </w:tabs>
        <w:rPr>
          <w:rFonts w:ascii="Trebuchet MS" w:hAnsi="Trebuchet MS" w:cs="Arial"/>
          <w:b/>
          <w:lang w:val="it-IT"/>
        </w:rPr>
      </w:pPr>
      <w:r w:rsidRPr="00745ACE">
        <w:rPr>
          <w:rFonts w:ascii="Trebuchet MS" w:hAnsi="Trebuchet MS" w:cs="Arial"/>
          <w:b/>
          <w:lang w:val="it-IT"/>
        </w:rPr>
        <w:t>VIII</w:t>
      </w:r>
      <w:r w:rsidR="00AE762B" w:rsidRPr="00745ACE">
        <w:rPr>
          <w:rFonts w:ascii="Trebuchet MS" w:hAnsi="Trebuchet MS" w:cs="Arial"/>
          <w:b/>
          <w:lang w:val="it-IT"/>
        </w:rPr>
        <w:t xml:space="preserve">.1.1.1 </w:t>
      </w:r>
      <w:r w:rsidR="00AE762B" w:rsidRPr="00745ACE">
        <w:rPr>
          <w:rFonts w:ascii="Trebuchet MS" w:hAnsi="Trebuchet MS" w:cs="Arial"/>
          <w:b/>
          <w:lang w:val="ro-RO"/>
        </w:rPr>
        <w:t>Depăşiri ale concentraţiei medii anuale de PM10, NO2, SO2 şi O3 în anumite aglomerări urbane</w:t>
      </w:r>
    </w:p>
    <w:p w:rsidR="00AE762B" w:rsidRPr="00B63600" w:rsidRDefault="00AE762B" w:rsidP="009C432C">
      <w:pPr>
        <w:tabs>
          <w:tab w:val="left" w:leader="dot" w:pos="9356"/>
        </w:tabs>
        <w:jc w:val="both"/>
        <w:rPr>
          <w:rFonts w:ascii="Arial" w:hAnsi="Arial" w:cs="Arial"/>
          <w:lang w:val="ro-RO"/>
        </w:rPr>
      </w:pPr>
    </w:p>
    <w:p w:rsidR="00AE762B" w:rsidRPr="00745ACE" w:rsidRDefault="00AE762B" w:rsidP="009C432C">
      <w:pPr>
        <w:pStyle w:val="Default"/>
        <w:rPr>
          <w:rFonts w:ascii="Trebuchet MS" w:hAnsi="Trebuchet MS"/>
          <w:sz w:val="22"/>
          <w:szCs w:val="22"/>
          <w:lang w:val="it-IT"/>
        </w:rPr>
      </w:pPr>
      <w:r w:rsidRPr="00745ACE">
        <w:rPr>
          <w:rFonts w:ascii="Trebuchet MS" w:hAnsi="Trebuchet MS"/>
          <w:b/>
          <w:bCs/>
          <w:sz w:val="22"/>
          <w:szCs w:val="22"/>
          <w:lang w:val="it-IT"/>
        </w:rPr>
        <w:t xml:space="preserve">A. Indicatori specifici </w:t>
      </w:r>
    </w:p>
    <w:p w:rsidR="00AE762B" w:rsidRPr="00745ACE" w:rsidRDefault="00AE762B" w:rsidP="009C432C">
      <w:pPr>
        <w:pStyle w:val="Default"/>
        <w:rPr>
          <w:rFonts w:ascii="Trebuchet MS" w:hAnsi="Trebuchet MS"/>
          <w:sz w:val="22"/>
          <w:szCs w:val="22"/>
          <w:lang w:val="it-IT"/>
        </w:rPr>
      </w:pPr>
      <w:r w:rsidRPr="00745ACE">
        <w:rPr>
          <w:rFonts w:ascii="Trebuchet MS" w:hAnsi="Trebuchet MS"/>
          <w:b/>
          <w:bCs/>
          <w:sz w:val="22"/>
          <w:szCs w:val="22"/>
          <w:lang w:val="it-IT"/>
        </w:rPr>
        <w:t>COD INDICATOR</w:t>
      </w:r>
      <w:r w:rsidRPr="00745ACE">
        <w:rPr>
          <w:rFonts w:ascii="Trebuchet MS" w:hAnsi="Trebuchet MS"/>
          <w:sz w:val="22"/>
          <w:szCs w:val="22"/>
          <w:lang w:val="it-IT"/>
        </w:rPr>
        <w:t xml:space="preserve"> </w:t>
      </w:r>
    </w:p>
    <w:p w:rsidR="00AE762B" w:rsidRPr="00745ACE" w:rsidRDefault="00AE762B" w:rsidP="009C432C">
      <w:pPr>
        <w:pStyle w:val="Default"/>
        <w:rPr>
          <w:rFonts w:ascii="Trebuchet MS" w:hAnsi="Trebuchet MS"/>
          <w:sz w:val="22"/>
          <w:szCs w:val="22"/>
          <w:lang w:val="it-IT"/>
        </w:rPr>
      </w:pPr>
      <w:r w:rsidRPr="00745ACE">
        <w:rPr>
          <w:rFonts w:ascii="Trebuchet MS" w:hAnsi="Trebuchet MS"/>
          <w:sz w:val="22"/>
          <w:szCs w:val="22"/>
          <w:lang w:val="it-IT"/>
        </w:rPr>
        <w:t xml:space="preserve">Cod indicator România: </w:t>
      </w:r>
      <w:r w:rsidRPr="00745ACE">
        <w:rPr>
          <w:rFonts w:ascii="Trebuchet MS" w:hAnsi="Trebuchet MS"/>
          <w:b/>
          <w:bCs/>
          <w:sz w:val="22"/>
          <w:szCs w:val="22"/>
          <w:lang w:val="it-IT"/>
        </w:rPr>
        <w:t>RO 04</w:t>
      </w:r>
    </w:p>
    <w:p w:rsidR="00AE762B" w:rsidRPr="00745ACE" w:rsidRDefault="00AE762B" w:rsidP="009C432C">
      <w:pPr>
        <w:pStyle w:val="Default"/>
        <w:rPr>
          <w:rFonts w:ascii="Trebuchet MS" w:hAnsi="Trebuchet MS"/>
          <w:sz w:val="22"/>
          <w:szCs w:val="22"/>
          <w:lang w:val="it-IT"/>
        </w:rPr>
      </w:pPr>
      <w:r w:rsidRPr="00745ACE">
        <w:rPr>
          <w:rFonts w:ascii="Trebuchet MS" w:hAnsi="Trebuchet MS"/>
          <w:sz w:val="22"/>
          <w:szCs w:val="22"/>
          <w:lang w:val="it-IT"/>
        </w:rPr>
        <w:t xml:space="preserve">Cod indicator AEM: </w:t>
      </w:r>
      <w:r w:rsidRPr="00745ACE">
        <w:rPr>
          <w:rFonts w:ascii="Trebuchet MS" w:hAnsi="Trebuchet MS"/>
          <w:b/>
          <w:bCs/>
          <w:sz w:val="22"/>
          <w:szCs w:val="22"/>
          <w:lang w:val="it-IT"/>
        </w:rPr>
        <w:t xml:space="preserve">CSI 04 </w:t>
      </w:r>
    </w:p>
    <w:p w:rsidR="00AE762B" w:rsidRPr="00745ACE" w:rsidRDefault="00AE762B" w:rsidP="009C432C">
      <w:pPr>
        <w:pStyle w:val="Default"/>
        <w:rPr>
          <w:rFonts w:ascii="Trebuchet MS" w:hAnsi="Trebuchet MS"/>
          <w:sz w:val="22"/>
          <w:szCs w:val="22"/>
          <w:lang w:val="it-IT"/>
        </w:rPr>
      </w:pPr>
      <w:r w:rsidRPr="00745ACE">
        <w:rPr>
          <w:rFonts w:ascii="Trebuchet MS" w:hAnsi="Trebuchet MS"/>
          <w:b/>
          <w:bCs/>
          <w:sz w:val="22"/>
          <w:szCs w:val="22"/>
          <w:lang w:val="it-IT"/>
        </w:rPr>
        <w:t xml:space="preserve">DENUMIRE </w:t>
      </w:r>
    </w:p>
    <w:p w:rsidR="00AE762B" w:rsidRPr="00745ACE" w:rsidRDefault="00AE762B" w:rsidP="009C432C">
      <w:pPr>
        <w:pStyle w:val="Default"/>
        <w:rPr>
          <w:rFonts w:ascii="Trebuchet MS" w:hAnsi="Trebuchet MS"/>
          <w:b/>
          <w:bCs/>
          <w:sz w:val="22"/>
          <w:szCs w:val="22"/>
          <w:lang w:val="it-IT"/>
        </w:rPr>
      </w:pPr>
      <w:r w:rsidRPr="00745ACE">
        <w:rPr>
          <w:rFonts w:ascii="Trebuchet MS" w:hAnsi="Trebuchet MS"/>
          <w:b/>
          <w:bCs/>
          <w:sz w:val="22"/>
          <w:szCs w:val="22"/>
          <w:lang w:val="it-IT"/>
        </w:rPr>
        <w:t xml:space="preserve">DEPĂŞIREA VALORILOR LIMITĂ PRIVIND CALITATEA AERULUI ÎN ZONELE URBANE </w:t>
      </w:r>
    </w:p>
    <w:p w:rsidR="00AE762B" w:rsidRPr="00745ACE" w:rsidRDefault="00AE762B" w:rsidP="009C432C">
      <w:pPr>
        <w:pStyle w:val="Default"/>
        <w:rPr>
          <w:rFonts w:ascii="Trebuchet MS" w:hAnsi="Trebuchet MS"/>
          <w:sz w:val="22"/>
          <w:szCs w:val="22"/>
          <w:lang w:val="it-IT"/>
        </w:rPr>
      </w:pPr>
      <w:r w:rsidRPr="00745ACE">
        <w:rPr>
          <w:rFonts w:ascii="Trebuchet MS" w:hAnsi="Trebuchet MS"/>
          <w:b/>
          <w:bCs/>
          <w:sz w:val="22"/>
          <w:szCs w:val="22"/>
          <w:lang w:val="it-IT"/>
        </w:rPr>
        <w:t xml:space="preserve">DEFINIŢIE </w:t>
      </w:r>
    </w:p>
    <w:p w:rsidR="00AE762B" w:rsidRPr="00745ACE" w:rsidRDefault="00AE762B" w:rsidP="009C432C">
      <w:pPr>
        <w:pStyle w:val="Default"/>
        <w:rPr>
          <w:rFonts w:ascii="Trebuchet MS" w:hAnsi="Trebuchet MS"/>
          <w:sz w:val="22"/>
          <w:szCs w:val="22"/>
          <w:lang w:val="it-IT"/>
        </w:rPr>
      </w:pPr>
      <w:r w:rsidRPr="00745ACE">
        <w:rPr>
          <w:rFonts w:ascii="Trebuchet MS" w:hAnsi="Trebuchet MS"/>
          <w:sz w:val="22"/>
          <w:szCs w:val="22"/>
          <w:lang w:val="it-IT"/>
        </w:rPr>
        <w:t>Procentul populaţiei urbane potenţial expusă la concentraţ</w:t>
      </w:r>
      <w:r w:rsidR="0005726D" w:rsidRPr="00745ACE">
        <w:rPr>
          <w:rFonts w:ascii="Trebuchet MS" w:hAnsi="Trebuchet MS"/>
          <w:sz w:val="22"/>
          <w:szCs w:val="22"/>
          <w:lang w:val="it-IT"/>
        </w:rPr>
        <w:t>ii de poluanţi în aerul înconjur</w:t>
      </w:r>
      <w:r w:rsidRPr="00745ACE">
        <w:rPr>
          <w:rFonts w:ascii="Trebuchet MS" w:hAnsi="Trebuchet MS"/>
          <w:sz w:val="22"/>
          <w:szCs w:val="22"/>
          <w:lang w:val="it-IT"/>
        </w:rPr>
        <w:t xml:space="preserve">ător care depăşesc valoarea-limită pentru protecţia sănătăţii umane. </w:t>
      </w:r>
    </w:p>
    <w:p w:rsidR="00AE762B" w:rsidRPr="00745ACE" w:rsidRDefault="00AE762B" w:rsidP="009C432C">
      <w:pPr>
        <w:pStyle w:val="Default"/>
        <w:rPr>
          <w:rFonts w:ascii="Trebuchet MS" w:hAnsi="Trebuchet MS"/>
          <w:color w:val="auto"/>
          <w:sz w:val="22"/>
          <w:szCs w:val="22"/>
          <w:lang w:val="it-IT"/>
        </w:rPr>
      </w:pPr>
    </w:p>
    <w:p w:rsidR="005E6B8E" w:rsidRPr="00745ACE" w:rsidRDefault="00AE762B" w:rsidP="005E6B8E">
      <w:pPr>
        <w:pStyle w:val="Default"/>
        <w:rPr>
          <w:rFonts w:ascii="Trebuchet MS" w:hAnsi="Trebuchet MS"/>
          <w:color w:val="auto"/>
          <w:sz w:val="22"/>
          <w:szCs w:val="22"/>
          <w:lang w:val="it-IT"/>
        </w:rPr>
      </w:pPr>
      <w:r w:rsidRPr="00745ACE">
        <w:rPr>
          <w:rFonts w:ascii="Trebuchet MS" w:hAnsi="Trebuchet MS"/>
          <w:color w:val="auto"/>
          <w:sz w:val="22"/>
          <w:szCs w:val="22"/>
          <w:lang w:val="it-IT"/>
        </w:rPr>
        <w:t xml:space="preserve">Grafic </w:t>
      </w:r>
      <w:r w:rsidR="00362C67" w:rsidRPr="00745ACE">
        <w:rPr>
          <w:rFonts w:ascii="Trebuchet MS" w:hAnsi="Trebuchet MS"/>
          <w:b/>
          <w:sz w:val="22"/>
          <w:szCs w:val="22"/>
          <w:lang w:val="it-IT"/>
        </w:rPr>
        <w:t>VIII</w:t>
      </w:r>
      <w:r w:rsidRPr="00745ACE">
        <w:rPr>
          <w:rFonts w:ascii="Trebuchet MS" w:hAnsi="Trebuchet MS"/>
          <w:color w:val="auto"/>
          <w:sz w:val="22"/>
          <w:szCs w:val="22"/>
          <w:lang w:val="it-IT"/>
        </w:rPr>
        <w:t>.1.1.1</w:t>
      </w:r>
      <w:r w:rsidR="00231310" w:rsidRPr="00745ACE">
        <w:rPr>
          <w:rFonts w:ascii="Trebuchet MS" w:hAnsi="Trebuchet MS"/>
          <w:color w:val="auto"/>
          <w:sz w:val="22"/>
          <w:szCs w:val="22"/>
          <w:lang w:val="it-IT"/>
        </w:rPr>
        <w:t>.1</w:t>
      </w:r>
      <w:r w:rsidRPr="00745ACE">
        <w:rPr>
          <w:rFonts w:ascii="Trebuchet MS" w:hAnsi="Trebuchet MS"/>
          <w:color w:val="auto"/>
          <w:sz w:val="22"/>
          <w:szCs w:val="22"/>
          <w:lang w:val="it-IT"/>
        </w:rPr>
        <w:t xml:space="preserve"> - numărul de depăşiri ale valorii limită zilnice pentru particule în suspensii PM10 la staţ</w:t>
      </w:r>
      <w:r w:rsidR="005E6B8E" w:rsidRPr="00745ACE">
        <w:rPr>
          <w:rFonts w:ascii="Trebuchet MS" w:hAnsi="Trebuchet MS"/>
          <w:color w:val="auto"/>
          <w:sz w:val="22"/>
          <w:szCs w:val="22"/>
          <w:lang w:val="it-IT"/>
        </w:rPr>
        <w:t>i</w:t>
      </w:r>
      <w:r w:rsidR="00DA5B53" w:rsidRPr="00745ACE">
        <w:rPr>
          <w:rFonts w:ascii="Trebuchet MS" w:hAnsi="Trebuchet MS"/>
          <w:color w:val="auto"/>
          <w:sz w:val="22"/>
          <w:szCs w:val="22"/>
          <w:lang w:val="it-IT"/>
        </w:rPr>
        <w:t>ile de monitorizare in anul 2023</w:t>
      </w:r>
    </w:p>
    <w:p w:rsidR="005E6B8E" w:rsidRPr="0059186B" w:rsidRDefault="005E6B8E" w:rsidP="005E6B8E">
      <w:pPr>
        <w:pStyle w:val="Default"/>
        <w:rPr>
          <w:sz w:val="20"/>
          <w:szCs w:val="20"/>
          <w:lang w:val="it-IT"/>
        </w:rPr>
      </w:pPr>
    </w:p>
    <w:p w:rsidR="005E6B8E" w:rsidRDefault="00DA5B53" w:rsidP="005E6B8E">
      <w:pPr>
        <w:pStyle w:val="Default"/>
        <w:rPr>
          <w:rFonts w:cs="Times New Roman"/>
          <w:color w:val="auto"/>
          <w:lang w:val="it-IT"/>
        </w:rPr>
      </w:pPr>
      <w:r>
        <w:rPr>
          <w:rFonts w:cs="Times New Roman"/>
          <w:noProof/>
          <w:color w:val="auto"/>
        </w:rPr>
        <w:drawing>
          <wp:inline distT="0" distB="0" distL="0" distR="0" wp14:anchorId="07A48580" wp14:editId="4DA2262A">
            <wp:extent cx="5705475" cy="3800475"/>
            <wp:effectExtent l="0" t="0" r="0" b="0"/>
            <wp:docPr id="46" name="Objec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5E6B8E" w:rsidRPr="00745ACE" w:rsidRDefault="005E6B8E" w:rsidP="005E6B8E">
      <w:pPr>
        <w:tabs>
          <w:tab w:val="left" w:pos="567"/>
        </w:tabs>
        <w:jc w:val="both"/>
        <w:rPr>
          <w:rFonts w:ascii="Trebuchet MS" w:hAnsi="Trebuchet MS" w:cs="Arial"/>
          <w:sz w:val="22"/>
          <w:szCs w:val="22"/>
          <w:lang w:val="it-IT"/>
        </w:rPr>
      </w:pPr>
      <w:r>
        <w:rPr>
          <w:rFonts w:ascii="Arial" w:hAnsi="Arial" w:cs="Arial"/>
          <w:lang w:val="it-IT"/>
        </w:rPr>
        <w:tab/>
      </w:r>
      <w:r w:rsidRPr="00745ACE">
        <w:rPr>
          <w:rFonts w:ascii="Trebuchet MS" w:hAnsi="Trebuchet MS" w:cs="Arial"/>
          <w:sz w:val="22"/>
          <w:szCs w:val="22"/>
          <w:lang w:val="it-IT"/>
        </w:rPr>
        <w:t>În anul 202</w:t>
      </w:r>
      <w:r w:rsidR="00DA5B53" w:rsidRPr="00745ACE">
        <w:rPr>
          <w:rFonts w:ascii="Trebuchet MS" w:hAnsi="Trebuchet MS" w:cs="Arial"/>
          <w:sz w:val="22"/>
          <w:szCs w:val="22"/>
          <w:lang w:val="it-IT"/>
        </w:rPr>
        <w:t>3</w:t>
      </w:r>
      <w:r w:rsidRPr="00745ACE">
        <w:rPr>
          <w:rFonts w:ascii="Trebuchet MS" w:hAnsi="Trebuchet MS" w:cs="Arial"/>
          <w:sz w:val="22"/>
          <w:szCs w:val="22"/>
          <w:lang w:val="it-IT"/>
        </w:rPr>
        <w:t xml:space="preserve">  nu s-au înregistrat mai mult de 35 zile cu depăşire a valorii limită </w:t>
      </w:r>
    </w:p>
    <w:p w:rsidR="00CC67BD" w:rsidRDefault="00CC67BD" w:rsidP="005E6B8E">
      <w:pPr>
        <w:pStyle w:val="Default"/>
        <w:rPr>
          <w:rFonts w:cs="Times New Roman"/>
          <w:color w:val="auto"/>
          <w:lang w:val="it-IT"/>
        </w:rPr>
      </w:pPr>
    </w:p>
    <w:p w:rsidR="00867115" w:rsidRDefault="00867115" w:rsidP="00CC67BD">
      <w:pPr>
        <w:pStyle w:val="Default"/>
        <w:rPr>
          <w:rFonts w:cs="Times New Roman"/>
          <w:color w:val="auto"/>
          <w:lang w:val="it-IT"/>
        </w:rPr>
      </w:pPr>
    </w:p>
    <w:p w:rsidR="00AC21D0" w:rsidRPr="00745ACE" w:rsidRDefault="00867115" w:rsidP="00AC21D0">
      <w:pPr>
        <w:pStyle w:val="Default"/>
        <w:spacing w:after="4"/>
        <w:rPr>
          <w:rFonts w:ascii="Trebuchet MS" w:hAnsi="Trebuchet MS"/>
          <w:color w:val="auto"/>
          <w:sz w:val="22"/>
          <w:szCs w:val="22"/>
          <w:lang w:val="it-IT"/>
        </w:rPr>
      </w:pPr>
      <w:r w:rsidRPr="00745ACE">
        <w:rPr>
          <w:rFonts w:ascii="Trebuchet MS" w:hAnsi="Trebuchet MS" w:cs="Times New Roman"/>
          <w:color w:val="auto"/>
          <w:sz w:val="22"/>
          <w:szCs w:val="22"/>
          <w:lang w:val="it-IT"/>
        </w:rPr>
        <w:t xml:space="preserve">Grafic </w:t>
      </w:r>
      <w:r w:rsidR="00362C67" w:rsidRPr="00745ACE">
        <w:rPr>
          <w:rFonts w:ascii="Trebuchet MS" w:hAnsi="Trebuchet MS"/>
          <w:b/>
          <w:sz w:val="22"/>
          <w:szCs w:val="22"/>
          <w:lang w:val="it-IT"/>
        </w:rPr>
        <w:t>VIII</w:t>
      </w:r>
      <w:r w:rsidRPr="00745ACE">
        <w:rPr>
          <w:rFonts w:ascii="Trebuchet MS" w:hAnsi="Trebuchet MS" w:cs="Times New Roman"/>
          <w:color w:val="auto"/>
          <w:sz w:val="22"/>
          <w:szCs w:val="22"/>
          <w:lang w:val="it-IT"/>
        </w:rPr>
        <w:t>.1.1</w:t>
      </w:r>
      <w:r w:rsidR="00231310" w:rsidRPr="00745ACE">
        <w:rPr>
          <w:rFonts w:ascii="Trebuchet MS" w:hAnsi="Trebuchet MS" w:cs="Times New Roman"/>
          <w:color w:val="auto"/>
          <w:sz w:val="22"/>
          <w:szCs w:val="22"/>
          <w:lang w:val="it-IT"/>
        </w:rPr>
        <w:t>.1</w:t>
      </w:r>
      <w:r w:rsidRPr="00745ACE">
        <w:rPr>
          <w:rFonts w:ascii="Trebuchet MS" w:hAnsi="Trebuchet MS" w:cs="Times New Roman"/>
          <w:color w:val="auto"/>
          <w:sz w:val="22"/>
          <w:szCs w:val="22"/>
          <w:lang w:val="it-IT"/>
        </w:rPr>
        <w:t>.2-</w:t>
      </w:r>
      <w:r w:rsidR="00AC21D0" w:rsidRPr="00745ACE">
        <w:rPr>
          <w:rFonts w:ascii="Trebuchet MS" w:hAnsi="Trebuchet MS"/>
          <w:color w:val="auto"/>
          <w:sz w:val="22"/>
          <w:szCs w:val="22"/>
          <w:lang w:val="it-IT"/>
        </w:rPr>
        <w:t xml:space="preserve"> ponderea populaţiei care este potenţial expusă la conentraţii de PM10 ce depăşesc valoarea limită stabilită pentru protecţia umană</w:t>
      </w:r>
    </w:p>
    <w:p w:rsidR="00AC21D0" w:rsidRDefault="00AC21D0" w:rsidP="00AC21D0">
      <w:pPr>
        <w:pStyle w:val="Default"/>
        <w:spacing w:after="4"/>
        <w:rPr>
          <w:color w:val="auto"/>
          <w:sz w:val="20"/>
          <w:szCs w:val="20"/>
          <w:lang w:val="it-IT"/>
        </w:rPr>
      </w:pPr>
      <w:r>
        <w:rPr>
          <w:rFonts w:cs="Times New Roman"/>
          <w:noProof/>
          <w:color w:val="auto"/>
        </w:rPr>
        <w:drawing>
          <wp:inline distT="0" distB="0" distL="0" distR="0" wp14:anchorId="609EE89B" wp14:editId="4B4E69DC">
            <wp:extent cx="5743575" cy="3124200"/>
            <wp:effectExtent l="0" t="0" r="0" b="0"/>
            <wp:docPr id="47" name="Objec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AC21D0" w:rsidRPr="00745ACE" w:rsidRDefault="00AC21D0" w:rsidP="00AC21D0">
      <w:pPr>
        <w:pStyle w:val="Default"/>
        <w:spacing w:after="4"/>
        <w:rPr>
          <w:rFonts w:ascii="Trebuchet MS" w:hAnsi="Trebuchet MS"/>
          <w:color w:val="auto"/>
          <w:sz w:val="22"/>
          <w:szCs w:val="22"/>
          <w:lang w:val="it-IT"/>
        </w:rPr>
      </w:pPr>
      <w:r w:rsidRPr="00745ACE">
        <w:rPr>
          <w:rFonts w:ascii="Trebuchet MS" w:hAnsi="Trebuchet MS"/>
          <w:color w:val="auto"/>
          <w:sz w:val="22"/>
          <w:szCs w:val="22"/>
          <w:lang w:val="it-IT"/>
        </w:rPr>
        <w:t>In anii 2019-2023 nu a fost depasita valoarea limita anuala la nicio statie care a avut captura de date suficienta.</w:t>
      </w:r>
    </w:p>
    <w:p w:rsidR="00AC21D0" w:rsidRPr="00745ACE" w:rsidRDefault="00AC21D0" w:rsidP="00AC21D0">
      <w:pPr>
        <w:pStyle w:val="Default"/>
        <w:spacing w:after="4"/>
        <w:rPr>
          <w:rFonts w:ascii="Trebuchet MS" w:hAnsi="Trebuchet MS"/>
          <w:color w:val="auto"/>
          <w:sz w:val="22"/>
          <w:szCs w:val="22"/>
          <w:lang w:val="it-IT"/>
        </w:rPr>
      </w:pPr>
      <w:r w:rsidRPr="00745ACE">
        <w:rPr>
          <w:rFonts w:ascii="Trebuchet MS" w:hAnsi="Trebuchet MS"/>
          <w:color w:val="auto"/>
          <w:sz w:val="22"/>
          <w:szCs w:val="22"/>
          <w:lang w:val="it-IT"/>
        </w:rPr>
        <w:t xml:space="preserve">Pentru stațiile de trafic ( depasiri in anul 2019- mai mult de 35 depasiri ale VL zilnice) s-a estimat un procent de 8% din populaţie locuieste pe  aria de reprezentativitate a staţiiilor  . In anii 2020-2023 nu au fost mai mult de 35 zile depasiri ale VL zilnice pentru PM10 </w:t>
      </w:r>
    </w:p>
    <w:p w:rsidR="00AC21D0" w:rsidRPr="00745ACE" w:rsidRDefault="00AC21D0" w:rsidP="00AC21D0">
      <w:pPr>
        <w:pStyle w:val="Default"/>
        <w:spacing w:after="4"/>
        <w:rPr>
          <w:rFonts w:ascii="Trebuchet MS" w:hAnsi="Trebuchet MS"/>
          <w:color w:val="auto"/>
          <w:sz w:val="22"/>
          <w:szCs w:val="22"/>
          <w:lang w:val="it-IT"/>
        </w:rPr>
      </w:pPr>
    </w:p>
    <w:p w:rsidR="002A3466" w:rsidRPr="00745ACE" w:rsidRDefault="002A3466" w:rsidP="00AC21D0">
      <w:pPr>
        <w:pStyle w:val="Default"/>
        <w:spacing w:after="4"/>
        <w:rPr>
          <w:rFonts w:ascii="Trebuchet MS" w:hAnsi="Trebuchet MS"/>
          <w:color w:val="auto"/>
          <w:sz w:val="22"/>
          <w:szCs w:val="22"/>
          <w:lang w:val="it-IT"/>
        </w:rPr>
      </w:pPr>
      <w:r w:rsidRPr="00745ACE">
        <w:rPr>
          <w:rFonts w:ascii="Trebuchet MS" w:hAnsi="Trebuchet MS"/>
          <w:color w:val="auto"/>
          <w:sz w:val="22"/>
          <w:szCs w:val="22"/>
          <w:lang w:val="it-IT"/>
        </w:rPr>
        <w:t>-numărul de depăşiri ale valorii ţintă pentru ozon la staţi</w:t>
      </w:r>
      <w:r w:rsidR="00EA5700" w:rsidRPr="00745ACE">
        <w:rPr>
          <w:rFonts w:ascii="Trebuchet MS" w:hAnsi="Trebuchet MS"/>
          <w:color w:val="auto"/>
          <w:sz w:val="22"/>
          <w:szCs w:val="22"/>
          <w:lang w:val="it-IT"/>
        </w:rPr>
        <w:t>ile de monitorizare în anul 2023</w:t>
      </w:r>
    </w:p>
    <w:p w:rsidR="002A3466" w:rsidRPr="00745ACE" w:rsidRDefault="002A3466" w:rsidP="002A3466">
      <w:pPr>
        <w:pStyle w:val="Default"/>
        <w:rPr>
          <w:rFonts w:ascii="Trebuchet MS" w:hAnsi="Trebuchet MS"/>
          <w:color w:val="auto"/>
          <w:sz w:val="22"/>
          <w:szCs w:val="22"/>
          <w:lang w:val="it-IT"/>
        </w:rPr>
      </w:pPr>
    </w:p>
    <w:p w:rsidR="00EA5700" w:rsidRPr="00745ACE" w:rsidRDefault="002A3466" w:rsidP="00EA5700">
      <w:pPr>
        <w:pStyle w:val="Default"/>
        <w:jc w:val="both"/>
        <w:rPr>
          <w:rFonts w:ascii="Trebuchet MS" w:hAnsi="Trebuchet MS"/>
          <w:color w:val="FF0000"/>
          <w:sz w:val="22"/>
          <w:szCs w:val="22"/>
          <w:lang w:val="it-IT"/>
        </w:rPr>
      </w:pPr>
      <w:r w:rsidRPr="00745ACE">
        <w:rPr>
          <w:rFonts w:ascii="Trebuchet MS" w:hAnsi="Trebuchet MS"/>
          <w:color w:val="auto"/>
          <w:sz w:val="22"/>
          <w:szCs w:val="22"/>
          <w:lang w:val="it-IT"/>
        </w:rPr>
        <w:t xml:space="preserve">Grafic </w:t>
      </w:r>
      <w:r w:rsidR="00EA5700" w:rsidRPr="00745ACE">
        <w:rPr>
          <w:rFonts w:ascii="Trebuchet MS" w:hAnsi="Trebuchet MS"/>
          <w:color w:val="auto"/>
          <w:sz w:val="22"/>
          <w:szCs w:val="22"/>
          <w:lang w:val="it-IT"/>
        </w:rPr>
        <w:t>VIII.1.1.1</w:t>
      </w:r>
      <w:r w:rsidRPr="00745ACE">
        <w:rPr>
          <w:rFonts w:ascii="Trebuchet MS" w:hAnsi="Trebuchet MS"/>
          <w:color w:val="auto"/>
          <w:sz w:val="22"/>
          <w:szCs w:val="22"/>
          <w:lang w:val="it-IT"/>
        </w:rPr>
        <w:t xml:space="preserve">.3 - </w:t>
      </w:r>
      <w:r w:rsidR="00EA5700" w:rsidRPr="00745ACE">
        <w:rPr>
          <w:rFonts w:ascii="Trebuchet MS" w:hAnsi="Trebuchet MS"/>
          <w:color w:val="auto"/>
          <w:sz w:val="22"/>
          <w:szCs w:val="22"/>
          <w:lang w:val="it-IT"/>
        </w:rPr>
        <w:t>numărul de depăşiri ale valorii tinta pentru ozon la staţiile de monitorizare in anul 2023</w:t>
      </w:r>
    </w:p>
    <w:p w:rsidR="00EA5700" w:rsidRPr="00745ACE" w:rsidRDefault="00EA5700" w:rsidP="00EA5700">
      <w:pPr>
        <w:pStyle w:val="Default"/>
        <w:rPr>
          <w:rFonts w:ascii="Trebuchet MS" w:hAnsi="Trebuchet MS"/>
          <w:color w:val="auto"/>
          <w:sz w:val="22"/>
          <w:szCs w:val="22"/>
          <w:lang w:val="it-IT"/>
        </w:rPr>
      </w:pPr>
    </w:p>
    <w:p w:rsidR="00EA5700" w:rsidRDefault="00EA5700" w:rsidP="00EA5700">
      <w:pPr>
        <w:pStyle w:val="Default"/>
        <w:jc w:val="both"/>
        <w:rPr>
          <w:b/>
          <w:bCs/>
          <w:i/>
          <w:iCs/>
          <w:lang w:val="it-IT"/>
        </w:rPr>
      </w:pPr>
      <w:r>
        <w:rPr>
          <w:noProof/>
        </w:rPr>
        <w:drawing>
          <wp:inline distT="0" distB="0" distL="0" distR="0" wp14:anchorId="1A3FF7D0" wp14:editId="2312A6B4">
            <wp:extent cx="4943475" cy="3200400"/>
            <wp:effectExtent l="0" t="0" r="0" b="0"/>
            <wp:docPr id="48" name="Objec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E4328F" w:rsidRPr="00745ACE" w:rsidRDefault="00E4328F" w:rsidP="00EA5700">
      <w:pPr>
        <w:pStyle w:val="Default"/>
        <w:jc w:val="both"/>
        <w:rPr>
          <w:rFonts w:ascii="Trebuchet MS" w:hAnsi="Trebuchet MS"/>
          <w:b/>
          <w:bCs/>
          <w:i/>
          <w:iCs/>
          <w:sz w:val="22"/>
          <w:szCs w:val="22"/>
          <w:lang w:val="it-IT"/>
        </w:rPr>
      </w:pPr>
      <w:r w:rsidRPr="00745ACE">
        <w:rPr>
          <w:rFonts w:ascii="Trebuchet MS" w:hAnsi="Trebuchet MS"/>
          <w:b/>
          <w:bCs/>
          <w:i/>
          <w:iCs/>
          <w:sz w:val="22"/>
          <w:szCs w:val="22"/>
          <w:lang w:val="it-IT"/>
        </w:rPr>
        <w:t>Efectele poluării aerului înconjurător asupra sănătăţii</w:t>
      </w:r>
    </w:p>
    <w:p w:rsidR="00361CE0" w:rsidRPr="00745ACE" w:rsidRDefault="002A3466" w:rsidP="00361CE0">
      <w:pPr>
        <w:pStyle w:val="Default"/>
        <w:spacing w:after="4"/>
        <w:rPr>
          <w:rFonts w:ascii="Trebuchet MS" w:hAnsi="Trebuchet MS"/>
          <w:sz w:val="22"/>
          <w:szCs w:val="22"/>
          <w:lang w:val="it-IT"/>
        </w:rPr>
      </w:pPr>
      <w:r w:rsidRPr="00745ACE">
        <w:rPr>
          <w:rFonts w:ascii="Trebuchet MS" w:hAnsi="Trebuchet MS"/>
          <w:sz w:val="22"/>
          <w:szCs w:val="22"/>
          <w:lang w:val="it-IT"/>
        </w:rPr>
        <w:t xml:space="preserve">- </w:t>
      </w:r>
      <w:r w:rsidR="00361CE0" w:rsidRPr="00745ACE">
        <w:rPr>
          <w:rFonts w:ascii="Trebuchet MS" w:hAnsi="Trebuchet MS"/>
          <w:sz w:val="22"/>
          <w:szCs w:val="22"/>
          <w:lang w:val="it-IT"/>
        </w:rPr>
        <w:t xml:space="preserve">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361CE0" w:rsidRPr="00745ACE" w:rsidRDefault="00361CE0" w:rsidP="00361CE0">
      <w:pPr>
        <w:pStyle w:val="Default"/>
        <w:spacing w:after="4"/>
        <w:jc w:val="both"/>
        <w:rPr>
          <w:rFonts w:ascii="Trebuchet MS" w:hAnsi="Trebuchet MS"/>
          <w:b/>
          <w:sz w:val="22"/>
          <w:szCs w:val="22"/>
          <w:lang w:val="it-IT"/>
        </w:rPr>
      </w:pPr>
      <w:r w:rsidRPr="00745ACE">
        <w:rPr>
          <w:rFonts w:ascii="Trebuchet MS" w:hAnsi="Trebuchet MS"/>
          <w:b/>
          <w:sz w:val="22"/>
          <w:szCs w:val="22"/>
          <w:lang w:val="it-IT"/>
        </w:rPr>
        <w:t>În ultimii 5 ani, la staţia de fond urban B1- Lacul Morii nu au fost depăşite valorile limită/ţintă pentru SO2, NO2, CO, benzen şi metale grele. Indicatorii la care a fost depăşită Valoarea limită/valoarea tintă au fost O3 (totuși sub 25 zile depășiri ale valorii țintă) respectiv PM 10 (sub 35 zile depășiri ale VL limită zilnice).</w:t>
      </w:r>
    </w:p>
    <w:p w:rsidR="00361CE0" w:rsidRPr="00745ACE" w:rsidRDefault="00361CE0" w:rsidP="00361CE0">
      <w:pPr>
        <w:pStyle w:val="Default"/>
        <w:spacing w:after="4"/>
        <w:jc w:val="both"/>
        <w:rPr>
          <w:rFonts w:ascii="Trebuchet MS" w:hAnsi="Trebuchet MS"/>
          <w:b/>
          <w:sz w:val="22"/>
          <w:szCs w:val="22"/>
          <w:lang w:val="it-IT"/>
        </w:rPr>
      </w:pPr>
    </w:p>
    <w:p w:rsidR="00361CE0" w:rsidRPr="00745ACE" w:rsidRDefault="00361CE0" w:rsidP="00361CE0">
      <w:pPr>
        <w:pStyle w:val="Default"/>
        <w:jc w:val="both"/>
        <w:rPr>
          <w:rFonts w:ascii="Trebuchet MS" w:hAnsi="Trebuchet MS"/>
          <w:sz w:val="22"/>
          <w:szCs w:val="22"/>
          <w:lang w:val="it-IT"/>
        </w:rPr>
      </w:pPr>
      <w:r w:rsidRPr="00745ACE">
        <w:rPr>
          <w:rFonts w:ascii="Trebuchet MS" w:hAnsi="Trebuchet MS"/>
          <w:sz w:val="22"/>
          <w:szCs w:val="22"/>
          <w:lang w:val="it-IT"/>
        </w:rPr>
        <w:t>In figura următoare este prezentată evoluţia procentului din populaţia urbană expusă la afectarea sănătăţii datorită depăşiri valorilor limită a indicatorilor de calitate a aerului (NO2, O3, PM10), pentru ultimii cinci ani . S-au luat in considerare doar depasirile valorilor limita/valorilor tinta peste nr specificat de L104/2011</w:t>
      </w:r>
    </w:p>
    <w:p w:rsidR="00361CE0" w:rsidRDefault="00361CE0" w:rsidP="00361CE0">
      <w:pPr>
        <w:pStyle w:val="Default"/>
        <w:rPr>
          <w:lang w:val="pt-BR"/>
        </w:rPr>
      </w:pPr>
      <w:r>
        <w:rPr>
          <w:noProof/>
        </w:rPr>
        <w:drawing>
          <wp:inline distT="0" distB="0" distL="0" distR="0" wp14:anchorId="1D920D73" wp14:editId="071AC840">
            <wp:extent cx="5210175" cy="3248025"/>
            <wp:effectExtent l="0" t="0" r="0" b="0"/>
            <wp:docPr id="49" name="Objec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361CE0" w:rsidRDefault="00361CE0" w:rsidP="00361CE0">
      <w:pPr>
        <w:pStyle w:val="Default"/>
        <w:rPr>
          <w:lang w:val="pt-BR"/>
        </w:rPr>
      </w:pPr>
    </w:p>
    <w:p w:rsidR="00361CE0" w:rsidRPr="00745ACE" w:rsidRDefault="00361CE0" w:rsidP="00361CE0">
      <w:pPr>
        <w:pStyle w:val="Default"/>
        <w:rPr>
          <w:rFonts w:ascii="Trebuchet MS" w:hAnsi="Trebuchet MS"/>
          <w:sz w:val="22"/>
          <w:szCs w:val="22"/>
          <w:lang w:val="pt-BR"/>
        </w:rPr>
      </w:pPr>
      <w:r w:rsidRPr="00745ACE">
        <w:rPr>
          <w:rFonts w:ascii="Trebuchet MS" w:hAnsi="Trebuchet MS"/>
          <w:color w:val="auto"/>
          <w:sz w:val="22"/>
          <w:szCs w:val="22"/>
          <w:lang w:val="pt-BR"/>
        </w:rPr>
        <w:t>La statia de fond urban B1, procentul populatiei expuse la la depășirea valorii limita sau țintă pentru PM10, NO2 si O3 este 0.</w:t>
      </w:r>
    </w:p>
    <w:p w:rsidR="00AE762B" w:rsidRPr="00745ACE" w:rsidRDefault="00AE762B" w:rsidP="00361CE0">
      <w:pPr>
        <w:pStyle w:val="Default"/>
        <w:spacing w:after="4"/>
        <w:rPr>
          <w:rFonts w:ascii="Trebuchet MS" w:hAnsi="Trebuchet MS"/>
          <w:sz w:val="22"/>
          <w:szCs w:val="22"/>
          <w:lang w:val="pt-BR"/>
        </w:rPr>
      </w:pPr>
    </w:p>
    <w:p w:rsidR="00AE762B" w:rsidRPr="00745ACE" w:rsidRDefault="00AE762B" w:rsidP="0065528D">
      <w:pPr>
        <w:pStyle w:val="Default"/>
        <w:rPr>
          <w:rFonts w:ascii="Trebuchet MS" w:hAnsi="Trebuchet MS"/>
          <w:sz w:val="22"/>
          <w:szCs w:val="22"/>
          <w:lang w:val="it-IT"/>
        </w:rPr>
      </w:pPr>
      <w:r w:rsidRPr="00745ACE">
        <w:rPr>
          <w:rFonts w:ascii="Trebuchet MS" w:hAnsi="Trebuchet MS"/>
          <w:sz w:val="22"/>
          <w:szCs w:val="22"/>
          <w:lang w:val="it-IT"/>
        </w:rPr>
        <w:t>B.. Alte date şi informaţii specifice</w:t>
      </w:r>
    </w:p>
    <w:p w:rsidR="00AE762B" w:rsidRPr="00745ACE" w:rsidRDefault="00AE762B" w:rsidP="00BD6FA3">
      <w:pPr>
        <w:ind w:firstLine="720"/>
        <w:jc w:val="both"/>
        <w:rPr>
          <w:rFonts w:ascii="Trebuchet MS" w:hAnsi="Trebuchet MS" w:cs="Arial"/>
          <w:sz w:val="22"/>
          <w:szCs w:val="22"/>
          <w:lang w:val="it-IT"/>
        </w:rPr>
      </w:pPr>
      <w:r w:rsidRPr="00745ACE">
        <w:rPr>
          <w:rFonts w:ascii="Trebuchet MS" w:hAnsi="Trebuchet MS" w:cs="Arial"/>
          <w:sz w:val="22"/>
          <w:szCs w:val="22"/>
          <w:lang w:val="it-IT"/>
        </w:rPr>
        <w:t xml:space="preserve">Pentru stabilirea indicatorilor de sănătate relevanţi pentru poluarea aerului s-a început cu definirea şi nominalizarea poluanţilor atmosferici cu posibil efect rapid / lent asupra sănătăţii populaţiei. </w:t>
      </w:r>
    </w:p>
    <w:p w:rsidR="00AE762B" w:rsidRPr="00745ACE" w:rsidRDefault="00AE762B" w:rsidP="00BD6FA3">
      <w:pPr>
        <w:jc w:val="both"/>
        <w:rPr>
          <w:rFonts w:ascii="Trebuchet MS" w:hAnsi="Trebuchet MS" w:cs="Arial"/>
          <w:sz w:val="22"/>
          <w:szCs w:val="22"/>
        </w:rPr>
      </w:pPr>
      <w:r w:rsidRPr="00745ACE">
        <w:rPr>
          <w:rFonts w:ascii="Trebuchet MS" w:hAnsi="Trebuchet MS" w:cs="Arial"/>
          <w:sz w:val="22"/>
          <w:szCs w:val="22"/>
          <w:lang w:val="it-IT"/>
        </w:rPr>
        <w:t xml:space="preserve"> </w:t>
      </w:r>
      <w:r w:rsidRPr="00745ACE">
        <w:rPr>
          <w:rFonts w:ascii="Trebuchet MS" w:hAnsi="Trebuchet MS" w:cs="Arial"/>
          <w:sz w:val="22"/>
          <w:szCs w:val="22"/>
        </w:rPr>
        <w:t xml:space="preserve">Astfel:  </w:t>
      </w:r>
    </w:p>
    <w:p w:rsidR="00AE762B" w:rsidRPr="00745ACE" w:rsidRDefault="00AE762B" w:rsidP="004F134E">
      <w:pPr>
        <w:numPr>
          <w:ilvl w:val="0"/>
          <w:numId w:val="39"/>
        </w:numPr>
        <w:jc w:val="both"/>
        <w:rPr>
          <w:rFonts w:ascii="Trebuchet MS" w:hAnsi="Trebuchet MS" w:cs="Arial"/>
          <w:sz w:val="22"/>
          <w:szCs w:val="22"/>
        </w:rPr>
      </w:pPr>
      <w:r w:rsidRPr="00745ACE">
        <w:rPr>
          <w:rFonts w:ascii="Trebuchet MS" w:hAnsi="Trebuchet MS" w:cs="Arial"/>
          <w:sz w:val="22"/>
          <w:szCs w:val="22"/>
        </w:rPr>
        <w:t xml:space="preserve">s-au stabilit un număr de 7 poluanţi atmosferici (NO2, SO2, O3, Pb, PM10,CO). </w:t>
      </w:r>
    </w:p>
    <w:p w:rsidR="00AE762B" w:rsidRPr="00745ACE" w:rsidRDefault="00AE762B" w:rsidP="004F134E">
      <w:pPr>
        <w:numPr>
          <w:ilvl w:val="0"/>
          <w:numId w:val="39"/>
        </w:numPr>
        <w:jc w:val="both"/>
        <w:rPr>
          <w:rFonts w:ascii="Trebuchet MS" w:hAnsi="Trebuchet MS" w:cs="Arial"/>
          <w:sz w:val="22"/>
          <w:szCs w:val="22"/>
        </w:rPr>
      </w:pPr>
      <w:r w:rsidRPr="00745ACE">
        <w:rPr>
          <w:rFonts w:ascii="Trebuchet MS" w:hAnsi="Trebuchet MS" w:cs="Arial"/>
          <w:sz w:val="22"/>
          <w:szCs w:val="22"/>
        </w:rPr>
        <w:t xml:space="preserve">s-au departajat poluatorii cu efect asupra sănătăţii populaţiei în flux rapid (CO, NO2, SO2, PM10) şi în flux lent (PM10, Pb, O3,benzen) </w:t>
      </w:r>
    </w:p>
    <w:p w:rsidR="00AE762B" w:rsidRPr="00745ACE" w:rsidRDefault="00AE762B" w:rsidP="004F134E">
      <w:pPr>
        <w:numPr>
          <w:ilvl w:val="0"/>
          <w:numId w:val="39"/>
        </w:numPr>
        <w:jc w:val="both"/>
        <w:rPr>
          <w:rFonts w:ascii="Trebuchet MS" w:hAnsi="Trebuchet MS" w:cs="Arial"/>
          <w:sz w:val="22"/>
          <w:szCs w:val="22"/>
        </w:rPr>
      </w:pPr>
      <w:r w:rsidRPr="00745ACE">
        <w:rPr>
          <w:rFonts w:ascii="Trebuchet MS" w:hAnsi="Trebuchet MS" w:cs="Arial"/>
          <w:sz w:val="22"/>
          <w:szCs w:val="22"/>
        </w:rPr>
        <w:t xml:space="preserve">s-a stabilit că sursele acestor poluatori sunt : trafic, construcţii, industrie </w:t>
      </w:r>
    </w:p>
    <w:p w:rsidR="00AE762B" w:rsidRPr="00745ACE" w:rsidRDefault="00AE762B" w:rsidP="00BD6FA3">
      <w:pPr>
        <w:ind w:firstLine="510"/>
        <w:jc w:val="both"/>
        <w:rPr>
          <w:rFonts w:ascii="Trebuchet MS" w:hAnsi="Trebuchet MS" w:cs="Arial"/>
          <w:sz w:val="22"/>
          <w:szCs w:val="22"/>
        </w:rPr>
      </w:pPr>
      <w:r w:rsidRPr="00745ACE">
        <w:rPr>
          <w:rFonts w:ascii="Trebuchet MS" w:hAnsi="Trebuchet MS" w:cs="Arial"/>
          <w:sz w:val="22"/>
          <w:szCs w:val="22"/>
        </w:rPr>
        <w:t xml:space="preserve">Afecţiunile generate de o posibilă poluare atmosferică cu aceste noxe (acumulări peste concentraţia maximă admisă la NO2, SO2, PM10 ) sunt:  </w:t>
      </w:r>
    </w:p>
    <w:p w:rsidR="00AE762B" w:rsidRPr="00745ACE" w:rsidRDefault="00AE762B" w:rsidP="004F134E">
      <w:pPr>
        <w:numPr>
          <w:ilvl w:val="0"/>
          <w:numId w:val="40"/>
        </w:numPr>
        <w:jc w:val="both"/>
        <w:rPr>
          <w:rFonts w:ascii="Trebuchet MS" w:hAnsi="Trebuchet MS" w:cs="Arial"/>
          <w:sz w:val="22"/>
          <w:szCs w:val="22"/>
        </w:rPr>
      </w:pPr>
      <w:r w:rsidRPr="00745ACE">
        <w:rPr>
          <w:rFonts w:ascii="Trebuchet MS" w:hAnsi="Trebuchet MS" w:cs="Arial"/>
          <w:sz w:val="22"/>
          <w:szCs w:val="22"/>
        </w:rPr>
        <w:t xml:space="preserve">intoxicaţii acute (ce apar numai accidental în caz de avarii industriale, avarierea unor cisterne cu poluanţi iritanţi etc.) cu afectarea aparatului respirator şi ocular </w:t>
      </w:r>
    </w:p>
    <w:p w:rsidR="00AE762B" w:rsidRPr="00745ACE" w:rsidRDefault="00AE762B" w:rsidP="004F134E">
      <w:pPr>
        <w:numPr>
          <w:ilvl w:val="0"/>
          <w:numId w:val="40"/>
        </w:numPr>
        <w:jc w:val="both"/>
        <w:rPr>
          <w:rFonts w:ascii="Trebuchet MS" w:hAnsi="Trebuchet MS" w:cs="Arial"/>
          <w:sz w:val="22"/>
          <w:szCs w:val="22"/>
        </w:rPr>
      </w:pPr>
      <w:r w:rsidRPr="00745ACE">
        <w:rPr>
          <w:rFonts w:ascii="Trebuchet MS" w:hAnsi="Trebuchet MS" w:cs="Arial"/>
          <w:sz w:val="22"/>
          <w:szCs w:val="22"/>
        </w:rPr>
        <w:t xml:space="preserve">agravarea bronşitei acute </w:t>
      </w:r>
    </w:p>
    <w:p w:rsidR="00AE762B" w:rsidRPr="00745ACE" w:rsidRDefault="00AE762B" w:rsidP="004F134E">
      <w:pPr>
        <w:numPr>
          <w:ilvl w:val="0"/>
          <w:numId w:val="40"/>
        </w:numPr>
        <w:jc w:val="both"/>
        <w:rPr>
          <w:rFonts w:ascii="Trebuchet MS" w:hAnsi="Trebuchet MS" w:cs="Arial"/>
          <w:sz w:val="22"/>
          <w:szCs w:val="22"/>
          <w:lang w:val="it-IT"/>
        </w:rPr>
      </w:pPr>
      <w:r w:rsidRPr="00745ACE">
        <w:rPr>
          <w:rFonts w:ascii="Trebuchet MS" w:hAnsi="Trebuchet MS" w:cs="Arial"/>
          <w:sz w:val="22"/>
          <w:szCs w:val="22"/>
          <w:lang w:val="it-IT"/>
        </w:rPr>
        <w:t>creşterea semnificativă a mortalităţii şi morbidităţii prin boli respiratorii şi cardio-vasculare</w:t>
      </w:r>
    </w:p>
    <w:p w:rsidR="00AE762B" w:rsidRPr="00745ACE" w:rsidRDefault="00AE762B" w:rsidP="004F134E">
      <w:pPr>
        <w:numPr>
          <w:ilvl w:val="0"/>
          <w:numId w:val="40"/>
        </w:numPr>
        <w:jc w:val="both"/>
        <w:rPr>
          <w:rFonts w:ascii="Trebuchet MS" w:hAnsi="Trebuchet MS" w:cs="Arial"/>
          <w:sz w:val="22"/>
          <w:szCs w:val="22"/>
          <w:lang w:val="it-IT"/>
        </w:rPr>
      </w:pPr>
      <w:r w:rsidRPr="00745ACE">
        <w:rPr>
          <w:rFonts w:ascii="Trebuchet MS" w:hAnsi="Trebuchet MS" w:cs="Arial"/>
          <w:sz w:val="22"/>
          <w:szCs w:val="22"/>
          <w:lang w:val="it-IT"/>
        </w:rPr>
        <w:t xml:space="preserve">acumulări peste concentraţia maximă admisă la CO pot provoca tulburări produse de hipoxie sau anoxie funcţie de procentul de carboxihemoglobină format, cu creşterea morbidităţii prin afecţiuni ale SNC şi cardio-vasculare şi a mortalităţii cardio-vasculare </w:t>
      </w:r>
    </w:p>
    <w:p w:rsidR="00AE762B" w:rsidRPr="00745ACE" w:rsidRDefault="00AE762B" w:rsidP="004F134E">
      <w:pPr>
        <w:numPr>
          <w:ilvl w:val="0"/>
          <w:numId w:val="40"/>
        </w:numPr>
        <w:jc w:val="both"/>
        <w:rPr>
          <w:rFonts w:ascii="Trebuchet MS" w:hAnsi="Trebuchet MS" w:cs="Arial"/>
          <w:sz w:val="22"/>
          <w:szCs w:val="22"/>
          <w:lang w:val="it-IT"/>
        </w:rPr>
      </w:pPr>
      <w:r w:rsidRPr="00745ACE">
        <w:rPr>
          <w:rFonts w:ascii="Trebuchet MS" w:hAnsi="Trebuchet MS" w:cs="Arial"/>
          <w:sz w:val="22"/>
          <w:szCs w:val="22"/>
          <w:lang w:val="it-IT"/>
        </w:rPr>
        <w:t xml:space="preserve">acumulări peste concentraţia maximă admisă la Pb în timp pot duce la tulburări neuropsihice, sanguine (anemii), cardio-vasculare (HTA), renale etc., în special la copii. </w:t>
      </w:r>
    </w:p>
    <w:p w:rsidR="00AE762B" w:rsidRPr="00745ACE" w:rsidRDefault="00AE762B" w:rsidP="00BD6FA3">
      <w:pPr>
        <w:ind w:firstLine="510"/>
        <w:jc w:val="both"/>
        <w:rPr>
          <w:rFonts w:ascii="Trebuchet MS" w:hAnsi="Trebuchet MS" w:cs="Arial"/>
          <w:sz w:val="22"/>
          <w:szCs w:val="22"/>
          <w:lang w:val="it-IT"/>
        </w:rPr>
      </w:pPr>
    </w:p>
    <w:p w:rsidR="00AE762B" w:rsidRPr="00745ACE" w:rsidRDefault="00AE762B" w:rsidP="00BD6FA3">
      <w:pPr>
        <w:ind w:firstLine="720"/>
        <w:jc w:val="both"/>
        <w:rPr>
          <w:rFonts w:ascii="Trebuchet MS" w:hAnsi="Trebuchet MS" w:cs="Arial"/>
          <w:sz w:val="22"/>
          <w:szCs w:val="22"/>
          <w:lang w:val="it-IT"/>
        </w:rPr>
      </w:pPr>
      <w:r w:rsidRPr="00745ACE">
        <w:rPr>
          <w:rFonts w:ascii="Trebuchet MS" w:hAnsi="Trebuchet MS" w:cs="Arial"/>
          <w:sz w:val="22"/>
          <w:szCs w:val="22"/>
          <w:lang w:val="it-IT"/>
        </w:rPr>
        <w:t xml:space="preserve">Asocierea directă între poluarea aerului datorată traficului auto şi sănătatea umană este foarte dificil să se stabilească în termeni absoluţi, datorită numărului mare de variabile, oricum este evident impactul negativ al traficului asupra sănătăţii umane, fapt pentru care OMS, Comisia Europeană şi majoritatea ţărilor au stabilit o serie de standarde şi reglementări referitoare la calitatea aerului citadin. Arderea (combustia) benzinei sau a motorinei în motoarele autovehiculelor este generatoare de emisia a peste 100 compuşi chimici. </w:t>
      </w:r>
    </w:p>
    <w:p w:rsidR="00AE762B" w:rsidRPr="00745ACE" w:rsidRDefault="00AE762B" w:rsidP="00BD6FA3">
      <w:pPr>
        <w:ind w:firstLine="720"/>
        <w:jc w:val="both"/>
        <w:rPr>
          <w:rFonts w:ascii="Trebuchet MS" w:hAnsi="Trebuchet MS" w:cs="Arial"/>
          <w:sz w:val="22"/>
          <w:szCs w:val="22"/>
          <w:lang w:val="it-IT"/>
        </w:rPr>
      </w:pPr>
      <w:r w:rsidRPr="00745ACE">
        <w:rPr>
          <w:rFonts w:ascii="Trebuchet MS" w:hAnsi="Trebuchet MS" w:cs="Arial"/>
          <w:sz w:val="22"/>
          <w:szCs w:val="22"/>
          <w:lang w:val="it-IT"/>
        </w:rPr>
        <w:t xml:space="preserve">În urma a numeroase studii s-a dovedit că peste anumite nivele de poluare apar efecte asupra sănătăţii oamenilor expuşi, afectaţi fiind în mod special copiii şi persoanele în vârstă care suferă de astm, afecţiuni cronice respiratorii sau cardiovasculare. </w:t>
      </w:r>
    </w:p>
    <w:p w:rsidR="00AE762B" w:rsidRPr="00745ACE" w:rsidRDefault="00AE762B" w:rsidP="00BD6FA3">
      <w:pPr>
        <w:ind w:firstLine="720"/>
        <w:jc w:val="both"/>
        <w:rPr>
          <w:rFonts w:ascii="Trebuchet MS" w:hAnsi="Trebuchet MS" w:cs="Arial"/>
          <w:sz w:val="22"/>
          <w:szCs w:val="22"/>
          <w:lang w:val="it-IT"/>
        </w:rPr>
      </w:pPr>
      <w:r w:rsidRPr="00745ACE">
        <w:rPr>
          <w:rFonts w:ascii="Trebuchet MS" w:hAnsi="Trebuchet MS" w:cs="Arial"/>
          <w:sz w:val="22"/>
          <w:szCs w:val="22"/>
          <w:lang w:val="it-IT"/>
        </w:rPr>
        <w:t xml:space="preserve">Influenţa negativă a poluării aerului asupra organismului uman, nu poate fi pusă cu uşurinţă în evidenţă, deoarece ea se realizează foarte lent, şi dă naştere mai rar la îmbolnăviri specifice, de tipul celor apărute în urmă expunerii la noxe de tip profesional. </w:t>
      </w:r>
    </w:p>
    <w:p w:rsidR="00AE762B" w:rsidRPr="00745ACE" w:rsidRDefault="00AE762B" w:rsidP="00BD6FA3">
      <w:pPr>
        <w:ind w:firstLine="720"/>
        <w:jc w:val="both"/>
        <w:rPr>
          <w:rFonts w:ascii="Trebuchet MS" w:hAnsi="Trebuchet MS" w:cs="Arial"/>
          <w:sz w:val="22"/>
          <w:szCs w:val="22"/>
          <w:lang w:val="it-IT"/>
        </w:rPr>
      </w:pPr>
      <w:r w:rsidRPr="00745ACE">
        <w:rPr>
          <w:rFonts w:ascii="Trebuchet MS" w:hAnsi="Trebuchet MS" w:cs="Arial"/>
          <w:sz w:val="22"/>
          <w:szCs w:val="22"/>
          <w:lang w:val="it-IT"/>
        </w:rPr>
        <w:t xml:space="preserve">În schimb poluarea atmosferică influenţează morbiditatea prin boli acute ale aparatului respirator şi mai ales cronice agravând evoluţia acestora. Bolile influenţate de poluarea aerului şi care au fost urmărite au fost: IACRS, bronşită şi bronşiolită acută, emfizem pulmonar, astmul bronşic. </w:t>
      </w:r>
    </w:p>
    <w:p w:rsidR="00AE762B" w:rsidRPr="00745ACE" w:rsidRDefault="00AE762B" w:rsidP="00BD6FA3">
      <w:pPr>
        <w:ind w:firstLine="720"/>
        <w:jc w:val="both"/>
        <w:rPr>
          <w:rFonts w:ascii="Trebuchet MS" w:hAnsi="Trebuchet MS" w:cs="Arial"/>
          <w:sz w:val="22"/>
          <w:szCs w:val="22"/>
          <w:lang w:val="fr-FR"/>
        </w:rPr>
      </w:pPr>
      <w:r w:rsidRPr="00745ACE">
        <w:rPr>
          <w:rFonts w:ascii="Trebuchet MS" w:hAnsi="Trebuchet MS" w:cs="Arial"/>
          <w:sz w:val="22"/>
          <w:szCs w:val="22"/>
          <w:lang w:val="fr-FR"/>
        </w:rPr>
        <w:t xml:space="preserve">Investigaţiile DSP s-au orientat în două direcţii: </w:t>
      </w:r>
    </w:p>
    <w:p w:rsidR="00AE762B" w:rsidRPr="00745ACE" w:rsidRDefault="00AE762B" w:rsidP="004F134E">
      <w:pPr>
        <w:numPr>
          <w:ilvl w:val="0"/>
          <w:numId w:val="41"/>
        </w:numPr>
        <w:jc w:val="both"/>
        <w:rPr>
          <w:rFonts w:ascii="Trebuchet MS" w:hAnsi="Trebuchet MS" w:cs="Arial"/>
          <w:sz w:val="22"/>
          <w:szCs w:val="22"/>
          <w:lang w:val="fr-FR"/>
        </w:rPr>
      </w:pPr>
      <w:r w:rsidRPr="00745ACE">
        <w:rPr>
          <w:rFonts w:ascii="Trebuchet MS" w:hAnsi="Trebuchet MS" w:cs="Arial"/>
          <w:sz w:val="22"/>
          <w:szCs w:val="22"/>
          <w:lang w:val="fr-FR"/>
        </w:rPr>
        <w:t xml:space="preserve">urmărirea efectului poluanţilor atmosferici asupra unor categorii din populaţie, caracterizată printr-o sensibilitate maximă - aşa zisele „grupuri la risc” reprezentate de populaţia infantilă; </w:t>
      </w:r>
    </w:p>
    <w:p w:rsidR="00AE762B" w:rsidRPr="00745ACE" w:rsidRDefault="00AE762B" w:rsidP="004F134E">
      <w:pPr>
        <w:numPr>
          <w:ilvl w:val="0"/>
          <w:numId w:val="41"/>
        </w:numPr>
        <w:jc w:val="both"/>
        <w:rPr>
          <w:rFonts w:ascii="Trebuchet MS" w:hAnsi="Trebuchet MS" w:cs="Arial"/>
          <w:sz w:val="22"/>
          <w:szCs w:val="22"/>
          <w:lang w:val="fr-FR"/>
        </w:rPr>
      </w:pPr>
      <w:r w:rsidRPr="00745ACE">
        <w:rPr>
          <w:rFonts w:ascii="Trebuchet MS" w:hAnsi="Trebuchet MS" w:cs="Arial"/>
          <w:sz w:val="22"/>
          <w:szCs w:val="22"/>
          <w:lang w:val="fr-FR"/>
        </w:rPr>
        <w:t xml:space="preserve">urmărirea evoluţiei multianuale a morbidităţii specifice pe grupuri nozologice, ce pot fi influenţate în mod special de poluarea aerului (afecţiuni ale aparatului respirator, afecţiuni ale ochiului, boli alergice, afecţiuni cardio-vasculare, anemii). </w:t>
      </w:r>
    </w:p>
    <w:p w:rsidR="00AE762B" w:rsidRPr="00745ACE" w:rsidRDefault="00AE762B" w:rsidP="00BD6FA3">
      <w:pPr>
        <w:jc w:val="both"/>
        <w:rPr>
          <w:rFonts w:ascii="Trebuchet MS" w:hAnsi="Trebuchet MS" w:cs="Arial"/>
          <w:sz w:val="22"/>
          <w:szCs w:val="22"/>
          <w:lang w:val="fr-FR"/>
        </w:rPr>
      </w:pPr>
    </w:p>
    <w:p w:rsidR="00AE762B" w:rsidRPr="00745ACE" w:rsidRDefault="00AE762B" w:rsidP="00BD6FA3">
      <w:pPr>
        <w:ind w:firstLine="720"/>
        <w:jc w:val="both"/>
        <w:rPr>
          <w:rFonts w:ascii="Trebuchet MS" w:hAnsi="Trebuchet MS" w:cs="Arial"/>
          <w:sz w:val="22"/>
          <w:szCs w:val="22"/>
          <w:lang w:val="fr-FR"/>
        </w:rPr>
      </w:pPr>
      <w:r w:rsidRPr="00745ACE">
        <w:rPr>
          <w:rFonts w:ascii="Trebuchet MS" w:hAnsi="Trebuchet MS" w:cs="Arial"/>
          <w:sz w:val="22"/>
          <w:szCs w:val="22"/>
          <w:lang w:val="fr-FR"/>
        </w:rPr>
        <w:t>În acest sens s-a efectuat o corelare în dinamică între creşterea peste CMA a poluanţilor iritanţi din aer (date furnizate de APM Bucureşti) şi creşterea morbidităţii prin boli respiratorii şi cardiovasculare (date furnizate de Serviciul de Statistică Medicală din cadrul DSP Bucureşti).</w:t>
      </w:r>
    </w:p>
    <w:p w:rsidR="00AE762B" w:rsidRPr="00745ACE" w:rsidRDefault="00AE762B" w:rsidP="0065528D">
      <w:pPr>
        <w:pStyle w:val="Default"/>
        <w:rPr>
          <w:rFonts w:ascii="Trebuchet MS" w:hAnsi="Trebuchet MS"/>
          <w:sz w:val="22"/>
          <w:szCs w:val="22"/>
          <w:lang w:val="fr-FR"/>
        </w:rPr>
      </w:pPr>
    </w:p>
    <w:p w:rsidR="00AE762B" w:rsidRPr="00745ACE" w:rsidRDefault="00AE762B" w:rsidP="0065528D">
      <w:pPr>
        <w:pStyle w:val="Default"/>
        <w:rPr>
          <w:rFonts w:ascii="Trebuchet MS" w:hAnsi="Trebuchet MS"/>
          <w:sz w:val="22"/>
          <w:szCs w:val="22"/>
          <w:lang w:val="fr-FR"/>
        </w:rPr>
      </w:pPr>
    </w:p>
    <w:p w:rsidR="00154BF9" w:rsidRPr="00745ACE" w:rsidRDefault="00154BF9" w:rsidP="0065528D">
      <w:pPr>
        <w:pStyle w:val="Default"/>
        <w:rPr>
          <w:rFonts w:ascii="Trebuchet MS" w:hAnsi="Trebuchet MS"/>
          <w:sz w:val="22"/>
          <w:szCs w:val="22"/>
          <w:lang w:val="fr-FR"/>
        </w:rPr>
      </w:pPr>
    </w:p>
    <w:p w:rsidR="00154BF9" w:rsidRPr="00745ACE" w:rsidRDefault="00154BF9" w:rsidP="0065528D">
      <w:pPr>
        <w:pStyle w:val="Default"/>
        <w:rPr>
          <w:rFonts w:ascii="Trebuchet MS" w:hAnsi="Trebuchet MS"/>
          <w:sz w:val="22"/>
          <w:szCs w:val="22"/>
          <w:lang w:val="fr-FR"/>
        </w:rPr>
      </w:pPr>
    </w:p>
    <w:p w:rsidR="00154BF9" w:rsidRPr="00745ACE" w:rsidRDefault="00154BF9" w:rsidP="0065528D">
      <w:pPr>
        <w:pStyle w:val="Default"/>
        <w:rPr>
          <w:rFonts w:ascii="Trebuchet MS" w:hAnsi="Trebuchet MS"/>
          <w:sz w:val="22"/>
          <w:szCs w:val="22"/>
          <w:lang w:val="fr-FR"/>
        </w:rPr>
      </w:pPr>
    </w:p>
    <w:p w:rsidR="00154BF9" w:rsidRPr="00745ACE" w:rsidRDefault="00154BF9" w:rsidP="0065528D">
      <w:pPr>
        <w:pStyle w:val="Default"/>
        <w:rPr>
          <w:rFonts w:ascii="Trebuchet MS" w:hAnsi="Trebuchet MS"/>
          <w:sz w:val="22"/>
          <w:szCs w:val="22"/>
          <w:lang w:val="fr-FR"/>
        </w:rPr>
      </w:pPr>
    </w:p>
    <w:p w:rsidR="00154BF9" w:rsidRPr="00745ACE" w:rsidRDefault="00154BF9" w:rsidP="0065528D">
      <w:pPr>
        <w:pStyle w:val="Default"/>
        <w:rPr>
          <w:rFonts w:ascii="Trebuchet MS" w:hAnsi="Trebuchet MS"/>
          <w:sz w:val="22"/>
          <w:szCs w:val="22"/>
          <w:lang w:val="fr-FR"/>
        </w:rPr>
      </w:pPr>
    </w:p>
    <w:p w:rsidR="00154BF9" w:rsidRPr="00745ACE" w:rsidRDefault="00154BF9" w:rsidP="0065528D">
      <w:pPr>
        <w:pStyle w:val="Default"/>
        <w:rPr>
          <w:rFonts w:ascii="Trebuchet MS" w:hAnsi="Trebuchet MS"/>
          <w:sz w:val="22"/>
          <w:szCs w:val="22"/>
          <w:lang w:val="fr-FR"/>
        </w:rPr>
      </w:pPr>
    </w:p>
    <w:p w:rsidR="00AE762B" w:rsidRDefault="00AE762B"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Default="00745ACE" w:rsidP="0065528D">
      <w:pPr>
        <w:pStyle w:val="Default"/>
        <w:rPr>
          <w:rFonts w:ascii="Trebuchet MS" w:hAnsi="Trebuchet MS"/>
          <w:sz w:val="22"/>
          <w:szCs w:val="22"/>
          <w:lang w:val="fr-FR"/>
        </w:rPr>
      </w:pPr>
    </w:p>
    <w:p w:rsidR="00745ACE" w:rsidRPr="00745ACE" w:rsidRDefault="00745ACE" w:rsidP="0065528D">
      <w:pPr>
        <w:pStyle w:val="Default"/>
        <w:rPr>
          <w:rFonts w:ascii="Trebuchet MS" w:hAnsi="Trebuchet MS"/>
          <w:sz w:val="22"/>
          <w:szCs w:val="22"/>
          <w:lang w:val="fr-FR"/>
        </w:rPr>
      </w:pPr>
    </w:p>
    <w:p w:rsidR="00AE762B" w:rsidRPr="00745ACE" w:rsidRDefault="00AE762B" w:rsidP="00035C05">
      <w:pPr>
        <w:pStyle w:val="Default"/>
        <w:rPr>
          <w:rFonts w:ascii="Trebuchet MS" w:hAnsi="Trebuchet MS"/>
          <w:sz w:val="22"/>
          <w:szCs w:val="22"/>
          <w:lang w:val="pt-BR"/>
        </w:rPr>
      </w:pPr>
      <w:r w:rsidRPr="00745ACE">
        <w:rPr>
          <w:rFonts w:ascii="Trebuchet MS" w:hAnsi="Trebuchet MS"/>
          <w:sz w:val="22"/>
          <w:szCs w:val="22"/>
          <w:lang w:val="pt-BR"/>
        </w:rPr>
        <w:t xml:space="preserve">Grafic </w:t>
      </w:r>
      <w:r w:rsidR="00362C67" w:rsidRPr="00745ACE">
        <w:rPr>
          <w:rFonts w:ascii="Trebuchet MS" w:hAnsi="Trebuchet MS"/>
          <w:sz w:val="22"/>
          <w:szCs w:val="22"/>
          <w:lang w:val="pt-BR"/>
        </w:rPr>
        <w:t>VII</w:t>
      </w:r>
      <w:r w:rsidRPr="00745ACE">
        <w:rPr>
          <w:rFonts w:ascii="Trebuchet MS" w:hAnsi="Trebuchet MS"/>
          <w:sz w:val="22"/>
          <w:szCs w:val="22"/>
          <w:lang w:val="pt-BR"/>
        </w:rPr>
        <w:t>I.1.1.3- Evoluţia cazurilor de îmbolnăvire ale aparatului respirator- medici de familie</w:t>
      </w:r>
    </w:p>
    <w:p w:rsidR="00AE762B" w:rsidRDefault="000946BE" w:rsidP="0065528D">
      <w:pPr>
        <w:pStyle w:val="Default"/>
        <w:rPr>
          <w:lang w:val="pt-BR"/>
        </w:rPr>
      </w:pPr>
      <w:bookmarkStart w:id="138" w:name="_MON_1566375647"/>
      <w:bookmarkStart w:id="139" w:name="_MON_1690197465"/>
      <w:bookmarkStart w:id="140" w:name="_MON_1722150793"/>
      <w:bookmarkEnd w:id="138"/>
      <w:bookmarkEnd w:id="139"/>
      <w:bookmarkEnd w:id="140"/>
      <w:r>
        <w:rPr>
          <w:noProof/>
        </w:rPr>
        <w:drawing>
          <wp:inline distT="0" distB="0" distL="0" distR="0" wp14:anchorId="29810011" wp14:editId="54EC4439">
            <wp:extent cx="5200650" cy="3248025"/>
            <wp:effectExtent l="0" t="0" r="19050" b="9525"/>
            <wp:docPr id="126" name="Object 1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AE762B" w:rsidRDefault="00AE762B" w:rsidP="0065528D">
      <w:pPr>
        <w:pStyle w:val="Default"/>
        <w:rPr>
          <w:lang w:val="pt-BR"/>
        </w:rPr>
      </w:pPr>
    </w:p>
    <w:p w:rsidR="00AE762B" w:rsidRPr="00745ACE" w:rsidRDefault="00AE762B" w:rsidP="00035C05">
      <w:pPr>
        <w:pStyle w:val="Default"/>
        <w:rPr>
          <w:rFonts w:ascii="Trebuchet MS" w:hAnsi="Trebuchet MS"/>
          <w:sz w:val="22"/>
          <w:szCs w:val="22"/>
          <w:lang w:val="pt-BR"/>
        </w:rPr>
      </w:pPr>
      <w:r w:rsidRPr="00745ACE">
        <w:rPr>
          <w:rFonts w:ascii="Trebuchet MS" w:hAnsi="Trebuchet MS"/>
          <w:sz w:val="22"/>
          <w:szCs w:val="22"/>
          <w:lang w:val="pt-BR"/>
        </w:rPr>
        <w:t xml:space="preserve">Grafic </w:t>
      </w:r>
      <w:r w:rsidR="00362C67" w:rsidRPr="00745ACE">
        <w:rPr>
          <w:rFonts w:ascii="Trebuchet MS" w:hAnsi="Trebuchet MS"/>
          <w:sz w:val="22"/>
          <w:szCs w:val="22"/>
          <w:lang w:val="pt-BR"/>
        </w:rPr>
        <w:t>VII</w:t>
      </w:r>
      <w:r w:rsidRPr="00745ACE">
        <w:rPr>
          <w:rFonts w:ascii="Trebuchet MS" w:hAnsi="Trebuchet MS"/>
          <w:sz w:val="22"/>
          <w:szCs w:val="22"/>
          <w:lang w:val="pt-BR"/>
        </w:rPr>
        <w:t>I.1.1.4- Evoluţia cazurilor de îmbolnăvire ale aparatului circulator- medici de familie</w:t>
      </w:r>
    </w:p>
    <w:p w:rsidR="00AE762B" w:rsidRDefault="000946BE" w:rsidP="00035C05">
      <w:pPr>
        <w:pStyle w:val="Default"/>
        <w:rPr>
          <w:lang w:val="pt-BR"/>
        </w:rPr>
      </w:pPr>
      <w:bookmarkStart w:id="141" w:name="_MON_1566375807"/>
      <w:bookmarkStart w:id="142" w:name="_MON_1690197433"/>
      <w:bookmarkStart w:id="143" w:name="_MON_1722150851"/>
      <w:bookmarkEnd w:id="141"/>
      <w:bookmarkEnd w:id="142"/>
      <w:bookmarkEnd w:id="143"/>
      <w:r>
        <w:rPr>
          <w:noProof/>
        </w:rPr>
        <w:drawing>
          <wp:inline distT="0" distB="0" distL="0" distR="0" wp14:anchorId="07021374" wp14:editId="75B10D53">
            <wp:extent cx="5676900" cy="3248025"/>
            <wp:effectExtent l="0" t="0" r="19050" b="9525"/>
            <wp:docPr id="127" name="Object 1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AE762B" w:rsidRDefault="00AE762B" w:rsidP="00035C05">
      <w:pPr>
        <w:pStyle w:val="Default"/>
        <w:rPr>
          <w:lang w:val="pt-BR"/>
        </w:rPr>
      </w:pPr>
    </w:p>
    <w:p w:rsidR="00D27FF4" w:rsidRPr="00745ACE" w:rsidRDefault="00D27FF4" w:rsidP="00D27FF4">
      <w:pPr>
        <w:ind w:right="-36" w:firstLine="720"/>
        <w:jc w:val="both"/>
        <w:rPr>
          <w:rFonts w:ascii="Trebuchet MS" w:eastAsia="Times New Roman" w:hAnsi="Trebuchet MS" w:cs="Arial"/>
          <w:color w:val="000000"/>
          <w:sz w:val="22"/>
          <w:szCs w:val="22"/>
          <w:lang w:eastAsia="ro-RO"/>
        </w:rPr>
      </w:pPr>
      <w:r w:rsidRPr="00745ACE">
        <w:rPr>
          <w:rFonts w:ascii="Trebuchet MS" w:eastAsia="Times New Roman" w:hAnsi="Trebuchet MS" w:cs="Arial"/>
          <w:color w:val="000000"/>
          <w:sz w:val="22"/>
          <w:szCs w:val="22"/>
          <w:lang w:eastAsia="ro-RO"/>
        </w:rPr>
        <w:t xml:space="preserve">Constatăm în </w:t>
      </w:r>
      <w:r w:rsidR="006D77EE" w:rsidRPr="00745ACE">
        <w:rPr>
          <w:rFonts w:ascii="Trebuchet MS" w:eastAsia="Times New Roman" w:hAnsi="Trebuchet MS" w:cs="Arial"/>
          <w:color w:val="000000"/>
          <w:sz w:val="22"/>
          <w:szCs w:val="22"/>
          <w:lang w:eastAsia="ro-RO"/>
        </w:rPr>
        <w:t>anii 2022-2023</w:t>
      </w:r>
      <w:r w:rsidRPr="00745ACE">
        <w:rPr>
          <w:rFonts w:ascii="Trebuchet MS" w:eastAsia="Times New Roman" w:hAnsi="Trebuchet MS" w:cs="Arial"/>
          <w:color w:val="000000"/>
          <w:sz w:val="22"/>
          <w:szCs w:val="22"/>
          <w:lang w:eastAsia="ro-RO"/>
        </w:rPr>
        <w:t>, din datele obţinute de la medicii de familie</w:t>
      </w:r>
      <w:r w:rsidR="00E73B97" w:rsidRPr="00745ACE">
        <w:rPr>
          <w:rFonts w:ascii="Trebuchet MS" w:eastAsia="Times New Roman" w:hAnsi="Trebuchet MS" w:cs="Arial"/>
          <w:color w:val="000000"/>
          <w:sz w:val="22"/>
          <w:szCs w:val="22"/>
          <w:lang w:eastAsia="ro-RO"/>
        </w:rPr>
        <w:t>,</w:t>
      </w:r>
      <w:r w:rsidRPr="00745ACE">
        <w:rPr>
          <w:rFonts w:ascii="Trebuchet MS" w:eastAsia="Times New Roman" w:hAnsi="Trebuchet MS" w:cs="Arial"/>
          <w:color w:val="000000"/>
          <w:sz w:val="22"/>
          <w:szCs w:val="22"/>
          <w:lang w:eastAsia="ro-RO"/>
        </w:rPr>
        <w:t xml:space="preserve"> o </w:t>
      </w:r>
      <w:r w:rsidR="0023255A" w:rsidRPr="00745ACE">
        <w:rPr>
          <w:rFonts w:ascii="Trebuchet MS" w:eastAsia="Times New Roman" w:hAnsi="Trebuchet MS" w:cs="Arial"/>
          <w:color w:val="000000"/>
          <w:sz w:val="22"/>
          <w:szCs w:val="22"/>
          <w:lang w:eastAsia="ro-RO"/>
        </w:rPr>
        <w:t>creștere</w:t>
      </w:r>
      <w:r w:rsidRPr="00745ACE">
        <w:rPr>
          <w:rFonts w:ascii="Trebuchet MS" w:eastAsia="Times New Roman" w:hAnsi="Trebuchet MS" w:cs="Arial"/>
          <w:color w:val="000000"/>
          <w:sz w:val="22"/>
          <w:szCs w:val="22"/>
          <w:lang w:eastAsia="ro-RO"/>
        </w:rPr>
        <w:t xml:space="preserve"> a incidenţei prin boli </w:t>
      </w:r>
      <w:r w:rsidR="00E73B97" w:rsidRPr="00745ACE">
        <w:rPr>
          <w:rFonts w:ascii="Trebuchet MS" w:eastAsia="Times New Roman" w:hAnsi="Trebuchet MS" w:cs="Arial"/>
          <w:color w:val="000000"/>
          <w:sz w:val="22"/>
          <w:szCs w:val="22"/>
          <w:lang w:eastAsia="ro-RO"/>
        </w:rPr>
        <w:t xml:space="preserve">atât </w:t>
      </w:r>
      <w:r w:rsidR="0023255A" w:rsidRPr="00745ACE">
        <w:rPr>
          <w:rFonts w:ascii="Trebuchet MS" w:eastAsia="Times New Roman" w:hAnsi="Trebuchet MS" w:cs="Arial"/>
          <w:color w:val="000000"/>
          <w:sz w:val="22"/>
          <w:szCs w:val="22"/>
          <w:lang w:eastAsia="ro-RO"/>
        </w:rPr>
        <w:t xml:space="preserve">cardio-vasculare </w:t>
      </w:r>
      <w:r w:rsidR="00E73B97" w:rsidRPr="00745ACE">
        <w:rPr>
          <w:rFonts w:ascii="Trebuchet MS" w:eastAsia="Times New Roman" w:hAnsi="Trebuchet MS" w:cs="Arial"/>
          <w:color w:val="000000"/>
          <w:sz w:val="22"/>
          <w:szCs w:val="22"/>
          <w:lang w:eastAsia="ro-RO"/>
        </w:rPr>
        <w:t xml:space="preserve">cât și </w:t>
      </w:r>
      <w:r w:rsidR="0023255A" w:rsidRPr="00745ACE">
        <w:rPr>
          <w:rFonts w:ascii="Trebuchet MS" w:eastAsia="Times New Roman" w:hAnsi="Trebuchet MS" w:cs="Arial"/>
          <w:color w:val="000000"/>
          <w:sz w:val="22"/>
          <w:szCs w:val="22"/>
          <w:lang w:eastAsia="ro-RO"/>
        </w:rPr>
        <w:t xml:space="preserve"> respiratorii</w:t>
      </w:r>
      <w:r w:rsidRPr="00745ACE">
        <w:rPr>
          <w:rFonts w:ascii="Trebuchet MS" w:eastAsia="Times New Roman" w:hAnsi="Trebuchet MS" w:cs="Arial"/>
          <w:color w:val="000000"/>
          <w:sz w:val="22"/>
          <w:szCs w:val="22"/>
          <w:lang w:eastAsia="ro-RO"/>
        </w:rPr>
        <w:t>.</w:t>
      </w:r>
    </w:p>
    <w:p w:rsidR="00D27FF4" w:rsidRPr="00745ACE" w:rsidRDefault="00D27FF4" w:rsidP="00D27FF4">
      <w:pPr>
        <w:ind w:right="-36" w:firstLine="720"/>
        <w:jc w:val="both"/>
        <w:rPr>
          <w:rFonts w:ascii="Trebuchet MS" w:eastAsia="Times New Roman" w:hAnsi="Trebuchet MS" w:cs="Arial"/>
          <w:color w:val="000000"/>
          <w:sz w:val="22"/>
          <w:szCs w:val="22"/>
          <w:lang w:eastAsia="ro-RO"/>
        </w:rPr>
      </w:pPr>
      <w:r w:rsidRPr="00745ACE">
        <w:rPr>
          <w:rFonts w:ascii="Trebuchet MS" w:eastAsia="Times New Roman" w:hAnsi="Trebuchet MS" w:cs="Arial"/>
          <w:color w:val="000000"/>
          <w:sz w:val="22"/>
          <w:szCs w:val="22"/>
          <w:lang w:eastAsia="ro-RO"/>
        </w:rPr>
        <w:t>Menţionăm ca poluarea aerului alături de ceilalţi factori amintiţi mai sus poate acutiza, agrava sau declanşa o boala respiratorie sau cardio-vasculară preexistentă</w:t>
      </w:r>
    </w:p>
    <w:p w:rsidR="00AE762B" w:rsidRPr="00745ACE" w:rsidRDefault="00AE762B" w:rsidP="00D27FF4">
      <w:pPr>
        <w:ind w:right="-36"/>
        <w:jc w:val="both"/>
        <w:rPr>
          <w:rFonts w:ascii="Trebuchet MS" w:hAnsi="Trebuchet MS" w:cs="Arial"/>
          <w:color w:val="000000"/>
          <w:sz w:val="22"/>
          <w:szCs w:val="22"/>
          <w:lang w:val="pt-BR"/>
        </w:rPr>
      </w:pPr>
      <w:r w:rsidRPr="00745ACE">
        <w:rPr>
          <w:rFonts w:ascii="Trebuchet MS" w:hAnsi="Trebuchet MS" w:cs="Arial"/>
          <w:sz w:val="22"/>
          <w:szCs w:val="22"/>
          <w:lang w:val="pt-BR"/>
        </w:rPr>
        <w:br w:type="page"/>
      </w:r>
    </w:p>
    <w:p w:rsidR="00AE762B" w:rsidRPr="00745ACE" w:rsidRDefault="00362C67" w:rsidP="00E0722F">
      <w:pPr>
        <w:autoSpaceDE w:val="0"/>
        <w:autoSpaceDN w:val="0"/>
        <w:adjustRightInd w:val="0"/>
        <w:rPr>
          <w:rFonts w:ascii="Trebuchet MS" w:hAnsi="Trebuchet MS" w:cs="Arial"/>
          <w:b/>
          <w:bCs/>
          <w:lang w:val="pt-BR"/>
        </w:rPr>
      </w:pPr>
      <w:r w:rsidRPr="00745ACE">
        <w:rPr>
          <w:rFonts w:ascii="Trebuchet MS" w:hAnsi="Trebuchet MS"/>
          <w:b/>
          <w:lang w:val="pt-BR"/>
        </w:rPr>
        <w:t>VIII</w:t>
      </w:r>
      <w:r w:rsidR="00AE762B" w:rsidRPr="00745ACE">
        <w:rPr>
          <w:rFonts w:ascii="Trebuchet MS" w:hAnsi="Trebuchet MS"/>
          <w:b/>
          <w:lang w:val="pt-BR"/>
        </w:rPr>
        <w:t>.1.2</w:t>
      </w:r>
      <w:r w:rsidR="00AE762B" w:rsidRPr="00745ACE">
        <w:rPr>
          <w:rFonts w:ascii="Trebuchet MS" w:hAnsi="Trebuchet MS" w:cs="Arial"/>
          <w:b/>
          <w:bCs/>
          <w:lang w:val="pt-BR"/>
        </w:rPr>
        <w:t xml:space="preserve">  POLUAREA FONICĂ ŞI EFECTELE ASUPRA SĂNĂTĂŢII ŞI CALITĂŢII VIEŢII</w:t>
      </w:r>
    </w:p>
    <w:p w:rsidR="00AE762B" w:rsidRPr="00745ACE" w:rsidRDefault="00AE762B" w:rsidP="00E0722F">
      <w:pPr>
        <w:autoSpaceDE w:val="0"/>
        <w:autoSpaceDN w:val="0"/>
        <w:adjustRightInd w:val="0"/>
        <w:rPr>
          <w:rFonts w:ascii="Trebuchet MS" w:hAnsi="Trebuchet MS" w:cs="Arial,Bold"/>
          <w:color w:val="000000"/>
          <w:sz w:val="20"/>
          <w:szCs w:val="20"/>
          <w:lang w:val="pt-BR"/>
        </w:rPr>
      </w:pPr>
    </w:p>
    <w:p w:rsidR="00AE762B" w:rsidRPr="00745ACE" w:rsidRDefault="00362C67" w:rsidP="00E0722F">
      <w:pPr>
        <w:autoSpaceDE w:val="0"/>
        <w:autoSpaceDN w:val="0"/>
        <w:adjustRightInd w:val="0"/>
        <w:rPr>
          <w:rFonts w:ascii="Trebuchet MS" w:hAnsi="Trebuchet MS" w:cs="Arial"/>
          <w:b/>
          <w:color w:val="000000"/>
          <w:lang w:val="it-IT"/>
        </w:rPr>
      </w:pPr>
      <w:r w:rsidRPr="00745ACE">
        <w:rPr>
          <w:rFonts w:ascii="Trebuchet MS" w:hAnsi="Trebuchet MS" w:cs="Arial"/>
          <w:b/>
          <w:lang w:val="ro-RO"/>
        </w:rPr>
        <w:t>VII</w:t>
      </w:r>
      <w:r w:rsidR="00AE762B" w:rsidRPr="00745ACE">
        <w:rPr>
          <w:rFonts w:ascii="Trebuchet MS" w:hAnsi="Trebuchet MS" w:cs="Arial"/>
          <w:b/>
          <w:lang w:val="ro-RO"/>
        </w:rPr>
        <w:t>I.1.2.1. Expunerea la poluarea sonoră a aglomerărilor urbane cu peste 250.000 locuitori</w:t>
      </w:r>
    </w:p>
    <w:p w:rsidR="00AE762B" w:rsidRPr="0059186B" w:rsidRDefault="00AE762B" w:rsidP="0065528D">
      <w:pPr>
        <w:pStyle w:val="Default"/>
        <w:rPr>
          <w:lang w:val="it-IT"/>
        </w:rPr>
      </w:pPr>
    </w:p>
    <w:p w:rsidR="00AE762B" w:rsidRPr="00745ACE" w:rsidRDefault="00AE762B" w:rsidP="004F134E">
      <w:pPr>
        <w:pStyle w:val="Default"/>
        <w:numPr>
          <w:ilvl w:val="0"/>
          <w:numId w:val="42"/>
        </w:numPr>
        <w:rPr>
          <w:rFonts w:ascii="Trebuchet MS" w:hAnsi="Trebuchet MS"/>
          <w:sz w:val="22"/>
          <w:szCs w:val="22"/>
          <w:lang w:val="it-IT"/>
        </w:rPr>
      </w:pPr>
      <w:r w:rsidRPr="00745ACE">
        <w:rPr>
          <w:rFonts w:ascii="Trebuchet MS" w:hAnsi="Trebuchet MS"/>
          <w:sz w:val="22"/>
          <w:szCs w:val="22"/>
          <w:lang w:val="pt-BR"/>
        </w:rPr>
        <w:t>Indicatori specifici</w:t>
      </w:r>
    </w:p>
    <w:p w:rsidR="00AE762B" w:rsidRPr="00745ACE" w:rsidRDefault="00AE762B" w:rsidP="00146548">
      <w:pPr>
        <w:pStyle w:val="Default"/>
        <w:ind w:left="720"/>
        <w:rPr>
          <w:rFonts w:ascii="Trebuchet MS" w:hAnsi="Trebuchet MS"/>
          <w:sz w:val="22"/>
          <w:szCs w:val="22"/>
          <w:lang w:val="it-IT"/>
        </w:rPr>
      </w:pPr>
      <w:r w:rsidRPr="00745ACE">
        <w:rPr>
          <w:rFonts w:ascii="Trebuchet MS" w:hAnsi="Trebuchet MS"/>
          <w:sz w:val="22"/>
          <w:szCs w:val="22"/>
          <w:lang w:val="pt-BR"/>
        </w:rPr>
        <w:t>Nu este cazul</w:t>
      </w:r>
    </w:p>
    <w:p w:rsidR="00AE762B" w:rsidRPr="00745ACE" w:rsidRDefault="00AE762B" w:rsidP="00146548">
      <w:pPr>
        <w:pStyle w:val="Default"/>
        <w:rPr>
          <w:rFonts w:ascii="Trebuchet MS" w:hAnsi="Trebuchet MS"/>
          <w:sz w:val="22"/>
          <w:szCs w:val="22"/>
          <w:lang w:val="pt-BR"/>
        </w:rPr>
      </w:pPr>
    </w:p>
    <w:p w:rsidR="00AE762B" w:rsidRPr="00745ACE" w:rsidRDefault="00AE762B" w:rsidP="004F134E">
      <w:pPr>
        <w:pStyle w:val="Default"/>
        <w:numPr>
          <w:ilvl w:val="0"/>
          <w:numId w:val="42"/>
        </w:numPr>
        <w:rPr>
          <w:rFonts w:ascii="Trebuchet MS" w:hAnsi="Trebuchet MS"/>
          <w:sz w:val="22"/>
          <w:szCs w:val="22"/>
          <w:lang w:val="it-IT"/>
        </w:rPr>
      </w:pPr>
      <w:r w:rsidRPr="00745ACE">
        <w:rPr>
          <w:rFonts w:ascii="Trebuchet MS" w:hAnsi="Trebuchet MS"/>
          <w:sz w:val="22"/>
          <w:szCs w:val="22"/>
          <w:lang w:val="pt-BR"/>
        </w:rPr>
        <w:t>Alte date şi informaţii specifice</w:t>
      </w:r>
    </w:p>
    <w:p w:rsidR="00AE762B" w:rsidRPr="00745ACE" w:rsidRDefault="00AE762B" w:rsidP="00247569">
      <w:pPr>
        <w:ind w:firstLine="720"/>
        <w:jc w:val="both"/>
        <w:rPr>
          <w:rFonts w:ascii="Trebuchet MS" w:hAnsi="Trebuchet MS" w:cs="Arial"/>
          <w:sz w:val="22"/>
          <w:szCs w:val="22"/>
        </w:rPr>
      </w:pPr>
    </w:p>
    <w:p w:rsidR="00AE762B" w:rsidRPr="00745ACE" w:rsidRDefault="00AE762B" w:rsidP="00247569">
      <w:pPr>
        <w:ind w:firstLine="720"/>
        <w:jc w:val="both"/>
        <w:rPr>
          <w:rFonts w:ascii="Trebuchet MS" w:hAnsi="Trebuchet MS" w:cs="Arial"/>
          <w:sz w:val="22"/>
          <w:szCs w:val="22"/>
        </w:rPr>
      </w:pPr>
    </w:p>
    <w:p w:rsidR="00AE762B" w:rsidRPr="00745ACE" w:rsidRDefault="00AE762B" w:rsidP="00247569">
      <w:pPr>
        <w:ind w:firstLine="720"/>
        <w:jc w:val="both"/>
        <w:rPr>
          <w:rFonts w:ascii="Trebuchet MS" w:hAnsi="Trebuchet MS" w:cs="Arial"/>
          <w:sz w:val="22"/>
          <w:szCs w:val="22"/>
        </w:rPr>
      </w:pPr>
      <w:r w:rsidRPr="00745ACE">
        <w:rPr>
          <w:rFonts w:ascii="Trebuchet MS" w:hAnsi="Trebuchet MS" w:cs="Arial"/>
          <w:sz w:val="22"/>
          <w:szCs w:val="22"/>
        </w:rPr>
        <w:t xml:space="preserve">Zgomotul devine o problemă majoră pe măsură ce creşte nivelul de trai reflectat prin evoluţia mecanizării, dezvoltarea urbanismului, creşterea densităţii populaţiei din zonele de locuit urbane. Putem afirmă că zgomotul este un factor disturbator în special în oraşele mari, unde sursele multiple asigură un fond sonor permanent şi de intensitate superioară celei din zonele rurale unde sursele de poluare fonice sunt izolate şi intermitente. </w:t>
      </w:r>
    </w:p>
    <w:p w:rsidR="00AE762B" w:rsidRPr="00745ACE" w:rsidRDefault="00AE762B" w:rsidP="00247569">
      <w:pPr>
        <w:ind w:firstLine="720"/>
        <w:jc w:val="both"/>
        <w:rPr>
          <w:rFonts w:ascii="Trebuchet MS" w:hAnsi="Trebuchet MS" w:cs="Arial"/>
          <w:sz w:val="22"/>
          <w:szCs w:val="22"/>
        </w:rPr>
      </w:pPr>
      <w:r w:rsidRPr="00745ACE">
        <w:rPr>
          <w:rFonts w:ascii="Trebuchet MS" w:hAnsi="Trebuchet MS" w:cs="Arial"/>
          <w:sz w:val="22"/>
          <w:szCs w:val="22"/>
        </w:rPr>
        <w:t xml:space="preserve">Expunerea la zgomot reprezintă un factor de risc pentru sănătate. S-a constatat că zgomotele de intensitate scăzută, dar supărătoare, care pătrund în locuinţa omului din circulaţia exterioară sau din încăperile învecinate, datorită acţiuni lor permanente, ziua şi noaptea, se constituie în nişte iritanţi cronici ai organismului uman. </w:t>
      </w:r>
    </w:p>
    <w:p w:rsidR="00AE762B" w:rsidRPr="00745ACE" w:rsidRDefault="00AE762B" w:rsidP="00247569">
      <w:pPr>
        <w:rPr>
          <w:rFonts w:ascii="Trebuchet MS" w:hAnsi="Trebuchet MS" w:cs="Arial"/>
          <w:sz w:val="22"/>
          <w:szCs w:val="22"/>
        </w:rPr>
      </w:pPr>
      <w:r w:rsidRPr="00745ACE">
        <w:rPr>
          <w:rFonts w:ascii="Trebuchet MS" w:hAnsi="Trebuchet MS" w:cs="Arial"/>
          <w:sz w:val="22"/>
          <w:szCs w:val="22"/>
        </w:rPr>
        <w:t>Dereglările cronice ale somnului pot contribui la:</w:t>
      </w:r>
      <w:r w:rsidRPr="00745ACE">
        <w:rPr>
          <w:rFonts w:ascii="Trebuchet MS" w:hAnsi="Trebuchet MS" w:cs="Arial"/>
          <w:sz w:val="22"/>
          <w:szCs w:val="22"/>
        </w:rPr>
        <w:br/>
        <w:t>– boli cardiovasculare</w:t>
      </w:r>
      <w:r w:rsidRPr="00745ACE">
        <w:rPr>
          <w:rFonts w:ascii="Trebuchet MS" w:hAnsi="Trebuchet MS" w:cs="Arial"/>
          <w:sz w:val="22"/>
          <w:szCs w:val="22"/>
        </w:rPr>
        <w:br/>
        <w:t>– nevroze</w:t>
      </w:r>
      <w:r w:rsidRPr="00745ACE">
        <w:rPr>
          <w:rFonts w:ascii="Trebuchet MS" w:hAnsi="Trebuchet MS" w:cs="Arial"/>
          <w:sz w:val="22"/>
          <w:szCs w:val="22"/>
        </w:rPr>
        <w:br/>
        <w:t>– frică</w:t>
      </w:r>
      <w:r w:rsidRPr="00745ACE">
        <w:rPr>
          <w:rFonts w:ascii="Trebuchet MS" w:hAnsi="Trebuchet MS" w:cs="Arial"/>
          <w:sz w:val="22"/>
          <w:szCs w:val="22"/>
        </w:rPr>
        <w:br/>
        <w:t>– agresivitate</w:t>
      </w:r>
      <w:r w:rsidRPr="00745ACE">
        <w:rPr>
          <w:rFonts w:ascii="Trebuchet MS" w:hAnsi="Trebuchet MS" w:cs="Arial"/>
          <w:sz w:val="22"/>
          <w:szCs w:val="22"/>
        </w:rPr>
        <w:br/>
        <w:t xml:space="preserve">           Zgomotul poate crea dificultăţi în procesul de învăţare, în special în cadrul şcolilor, unde este necesar un nivel foarte scăzut al zgomotului.</w:t>
      </w:r>
    </w:p>
    <w:p w:rsidR="00AE762B" w:rsidRPr="00745ACE" w:rsidRDefault="00AE762B" w:rsidP="00247569">
      <w:pPr>
        <w:ind w:firstLine="720"/>
        <w:jc w:val="both"/>
        <w:rPr>
          <w:rFonts w:ascii="Trebuchet MS" w:hAnsi="Trebuchet MS" w:cs="Arial"/>
          <w:sz w:val="22"/>
          <w:szCs w:val="22"/>
        </w:rPr>
      </w:pPr>
      <w:r w:rsidRPr="00745ACE">
        <w:rPr>
          <w:rFonts w:ascii="Trebuchet MS" w:hAnsi="Trebuchet MS" w:cs="Arial"/>
          <w:sz w:val="22"/>
          <w:szCs w:val="22"/>
        </w:rPr>
        <w:t xml:space="preserve">Calitatea factorilor de mediu şi în special zgomotul urban influenţează starea de sănătate a populaţiei, de aceea monitorizarea nivelelor de zgomot exterior clădirilor şi evaluarea impactului asupra sănătăţii reprezintă o componentă esenţială a activităţilor profilactice. </w:t>
      </w:r>
    </w:p>
    <w:p w:rsidR="00AE762B" w:rsidRPr="00745ACE" w:rsidRDefault="00AE762B" w:rsidP="00247569">
      <w:pPr>
        <w:ind w:firstLine="360"/>
        <w:jc w:val="both"/>
        <w:rPr>
          <w:rFonts w:ascii="Trebuchet MS" w:hAnsi="Trebuchet MS" w:cs="Arial"/>
          <w:sz w:val="22"/>
          <w:szCs w:val="22"/>
        </w:rPr>
      </w:pPr>
      <w:r w:rsidRPr="00745ACE">
        <w:rPr>
          <w:rFonts w:ascii="Trebuchet MS" w:hAnsi="Trebuchet MS" w:cs="Arial"/>
          <w:sz w:val="22"/>
          <w:szCs w:val="22"/>
          <w:lang w:val="it-IT"/>
        </w:rPr>
        <w:t xml:space="preserve">In conformitate cu prevederile Ord. </w:t>
      </w:r>
      <w:r w:rsidRPr="00745ACE">
        <w:rPr>
          <w:rFonts w:ascii="Trebuchet MS" w:hAnsi="Trebuchet MS" w:cs="Arial"/>
          <w:sz w:val="22"/>
          <w:szCs w:val="22"/>
        </w:rPr>
        <w:t xml:space="preserve">MS 119/2014 , cap. I, art. 16, </w:t>
      </w:r>
    </w:p>
    <w:p w:rsidR="00AE762B" w:rsidRPr="00745ACE" w:rsidRDefault="00AE762B" w:rsidP="004F134E">
      <w:pPr>
        <w:numPr>
          <w:ilvl w:val="0"/>
          <w:numId w:val="43"/>
        </w:numPr>
        <w:spacing w:after="200" w:line="252" w:lineRule="auto"/>
        <w:jc w:val="both"/>
        <w:rPr>
          <w:rFonts w:ascii="Trebuchet MS" w:hAnsi="Trebuchet MS" w:cs="Arial"/>
          <w:sz w:val="22"/>
          <w:szCs w:val="22"/>
        </w:rPr>
      </w:pPr>
      <w:r w:rsidRPr="00745ACE">
        <w:rPr>
          <w:rFonts w:ascii="Trebuchet MS" w:hAnsi="Trebuchet MS" w:cs="Arial"/>
          <w:sz w:val="22"/>
          <w:szCs w:val="22"/>
        </w:rPr>
        <w:t xml:space="preserve">în perioada zilei, nivelul de presiune acustică continuu echivalent ponderat A (AeqT), măsurat la exteriorul locuintei conform standardului SR ISO 1996/2-08, la 1,5 m înălţime faţă de sol, să nu depăşească 55 dB. </w:t>
      </w:r>
    </w:p>
    <w:p w:rsidR="00AE762B" w:rsidRPr="00745ACE" w:rsidRDefault="00AE762B" w:rsidP="004F134E">
      <w:pPr>
        <w:numPr>
          <w:ilvl w:val="0"/>
          <w:numId w:val="43"/>
        </w:numPr>
        <w:spacing w:after="200" w:line="252" w:lineRule="auto"/>
        <w:jc w:val="both"/>
        <w:rPr>
          <w:rFonts w:ascii="Trebuchet MS" w:hAnsi="Trebuchet MS" w:cs="Arial"/>
          <w:sz w:val="22"/>
          <w:szCs w:val="22"/>
        </w:rPr>
      </w:pPr>
      <w:r w:rsidRPr="00745ACE">
        <w:rPr>
          <w:rFonts w:ascii="Trebuchet MS" w:hAnsi="Trebuchet MS" w:cs="Arial"/>
          <w:sz w:val="22"/>
          <w:szCs w:val="22"/>
        </w:rPr>
        <w:t xml:space="preserve">în perioada nopţii, între orele 23,00-7,00, nivelul de presiune acustică continuu echivalent ponderat  A (L(AeqT)), masurat la exteriorul locuinţei conform standardului SR ISO 1996/2-08, la 1,5 m înalţime faţă de sol, sa nu depăşească 45 dB. </w:t>
      </w:r>
    </w:p>
    <w:p w:rsidR="00AE762B" w:rsidRPr="00745ACE" w:rsidRDefault="00AE762B" w:rsidP="00247569">
      <w:pPr>
        <w:ind w:firstLine="360"/>
        <w:jc w:val="both"/>
        <w:rPr>
          <w:rFonts w:ascii="Trebuchet MS" w:hAnsi="Trebuchet MS" w:cs="Arial"/>
          <w:sz w:val="22"/>
          <w:szCs w:val="22"/>
        </w:rPr>
      </w:pPr>
      <w:r w:rsidRPr="00745ACE">
        <w:rPr>
          <w:rFonts w:ascii="Trebuchet MS" w:hAnsi="Trebuchet MS" w:cs="Arial"/>
          <w:sz w:val="22"/>
          <w:szCs w:val="22"/>
        </w:rPr>
        <w:t>Pentru locuinţe, nivelul de presiune acustică continuu echivalent ponderat A (L(AeqT)), măsurat în timpul zilei, în interiorul camerei cu ferestrele închise, nu trebuie să depăşească 35 dB (A). În timpul nopţii (orele 23,00-7,00), nivelul de zgomot L(AeqT) nu trebuie să depaşească 30 dB.</w:t>
      </w:r>
    </w:p>
    <w:p w:rsidR="00AE762B" w:rsidRPr="00745ACE" w:rsidRDefault="00AE762B" w:rsidP="00247569">
      <w:pPr>
        <w:ind w:firstLine="360"/>
        <w:jc w:val="both"/>
        <w:rPr>
          <w:rFonts w:ascii="Trebuchet MS" w:hAnsi="Trebuchet MS" w:cs="Arial"/>
          <w:sz w:val="22"/>
          <w:szCs w:val="22"/>
        </w:rPr>
      </w:pPr>
      <w:r w:rsidRPr="00745ACE">
        <w:rPr>
          <w:rFonts w:ascii="Trebuchet MS" w:hAnsi="Trebuchet MS" w:cs="Arial"/>
          <w:sz w:val="22"/>
          <w:szCs w:val="22"/>
        </w:rPr>
        <w:t xml:space="preserve"> </w:t>
      </w:r>
    </w:p>
    <w:p w:rsidR="00AE762B" w:rsidRPr="00745ACE" w:rsidRDefault="00AE762B" w:rsidP="00247569">
      <w:pPr>
        <w:ind w:firstLine="360"/>
        <w:jc w:val="both"/>
        <w:rPr>
          <w:rFonts w:ascii="Trebuchet MS" w:hAnsi="Trebuchet MS" w:cs="Arial"/>
          <w:sz w:val="22"/>
          <w:szCs w:val="22"/>
        </w:rPr>
      </w:pPr>
    </w:p>
    <w:p w:rsidR="00AE762B" w:rsidRPr="00745ACE" w:rsidRDefault="00AE762B" w:rsidP="00247569">
      <w:pPr>
        <w:ind w:firstLine="720"/>
        <w:jc w:val="both"/>
        <w:rPr>
          <w:rFonts w:ascii="Trebuchet MS" w:hAnsi="Trebuchet MS" w:cs="Arial"/>
          <w:sz w:val="22"/>
          <w:szCs w:val="22"/>
        </w:rPr>
      </w:pPr>
      <w:r w:rsidRPr="00745ACE">
        <w:rPr>
          <w:rFonts w:ascii="Trebuchet MS" w:hAnsi="Trebuchet MS" w:cs="Arial"/>
          <w:sz w:val="22"/>
          <w:szCs w:val="22"/>
        </w:rPr>
        <w:t xml:space="preserve">Evaluarea nivelului de zgomot se face prin </w:t>
      </w:r>
      <w:r w:rsidRPr="00745ACE">
        <w:rPr>
          <w:rFonts w:ascii="Trebuchet MS" w:hAnsi="Trebuchet MS" w:cs="Arial"/>
          <w:b/>
          <w:i/>
          <w:sz w:val="22"/>
          <w:szCs w:val="22"/>
        </w:rPr>
        <w:t>masuratori cu sonometrul din dotare</w:t>
      </w:r>
      <w:r w:rsidRPr="00745ACE">
        <w:rPr>
          <w:rFonts w:ascii="Trebuchet MS" w:hAnsi="Trebuchet MS" w:cs="Arial"/>
          <w:sz w:val="22"/>
          <w:szCs w:val="22"/>
        </w:rPr>
        <w:t xml:space="preserve"> pentru indicatorul numit nivel de zgomot echivalent (L</w:t>
      </w:r>
      <w:r w:rsidRPr="00745ACE">
        <w:rPr>
          <w:rFonts w:ascii="Trebuchet MS" w:hAnsi="Trebuchet MS" w:cs="Arial"/>
          <w:sz w:val="22"/>
          <w:szCs w:val="22"/>
          <w:vertAlign w:val="subscript"/>
        </w:rPr>
        <w:t>ech</w:t>
      </w:r>
      <w:r w:rsidRPr="00745ACE">
        <w:rPr>
          <w:rFonts w:ascii="Trebuchet MS" w:hAnsi="Trebuchet MS" w:cs="Arial"/>
          <w:sz w:val="22"/>
          <w:szCs w:val="22"/>
        </w:rPr>
        <w:t xml:space="preserve">) </w:t>
      </w:r>
      <w:r w:rsidR="00E340D9" w:rsidRPr="00745ACE">
        <w:rPr>
          <w:rFonts w:ascii="Trebuchet MS" w:hAnsi="Trebuchet MS" w:cs="Arial"/>
          <w:sz w:val="22"/>
          <w:szCs w:val="22"/>
        </w:rPr>
        <w:t>in conformitate cu STAS 10009/2017</w:t>
      </w:r>
      <w:r w:rsidRPr="00745ACE">
        <w:rPr>
          <w:rFonts w:ascii="Trebuchet MS" w:hAnsi="Trebuchet MS" w:cs="Arial"/>
          <w:sz w:val="22"/>
          <w:szCs w:val="22"/>
        </w:rPr>
        <w:t xml:space="preserve"> (acustica urbana- Limite admisibile ale nivelului de zgomot) si a OM Sanatatii nr 119/2014 pentru aprobarea normelor de igiena si a recomandarilor privind mediul de viata al populatiei.</w:t>
      </w:r>
    </w:p>
    <w:p w:rsidR="00AE762B" w:rsidRPr="00745ACE" w:rsidRDefault="00AE762B" w:rsidP="00247569">
      <w:pPr>
        <w:ind w:firstLine="720"/>
        <w:jc w:val="both"/>
        <w:rPr>
          <w:rFonts w:ascii="Trebuchet MS" w:hAnsi="Trebuchet MS" w:cs="Arial"/>
          <w:sz w:val="22"/>
          <w:szCs w:val="22"/>
        </w:rPr>
      </w:pPr>
      <w:r w:rsidRPr="00745ACE">
        <w:rPr>
          <w:rFonts w:ascii="Trebuchet MS" w:hAnsi="Trebuchet MS" w:cs="Arial"/>
          <w:sz w:val="22"/>
          <w:szCs w:val="22"/>
        </w:rPr>
        <w:t>Din masuratorile efectuate de-a lungul timpului reiese ca majoritatea activitatilor industriale/comerciale se incadreaza in ceea ce priveste valorile limita stabilite pentru zona functionala (65 db A) dar nu se pot incadra in valoarea de 55 dbA ce nu trebuie depasita la fatada imobilului de locuit.  In majoritatea cazurilor chiar si  zgomotul de fond (masurat cu sursele de zgomot principale oprite) nu se incadreaza in valorile limita. Exista dificultati serioase in a efectua masuratori si a interpreta corect rezultatele  intrucat nu se poate extrage zgomotul produs de traficul rutier din zgomotul total.</w:t>
      </w:r>
    </w:p>
    <w:p w:rsidR="00AE762B" w:rsidRPr="00745ACE" w:rsidRDefault="00AE762B" w:rsidP="00247569">
      <w:pPr>
        <w:ind w:firstLine="360"/>
        <w:jc w:val="both"/>
        <w:rPr>
          <w:rFonts w:ascii="Trebuchet MS" w:hAnsi="Trebuchet MS" w:cs="Arial"/>
          <w:sz w:val="22"/>
          <w:szCs w:val="22"/>
        </w:rPr>
      </w:pPr>
    </w:p>
    <w:p w:rsidR="00AE762B" w:rsidRPr="00745ACE" w:rsidRDefault="00AE762B" w:rsidP="00EA6D7F">
      <w:pPr>
        <w:ind w:firstLine="720"/>
        <w:jc w:val="both"/>
        <w:rPr>
          <w:rFonts w:ascii="Trebuchet MS" w:hAnsi="Trebuchet MS" w:cs="Arial"/>
          <w:sz w:val="22"/>
          <w:szCs w:val="22"/>
        </w:rPr>
      </w:pPr>
      <w:r w:rsidRPr="00745ACE">
        <w:rPr>
          <w:rFonts w:ascii="Trebuchet MS" w:hAnsi="Trebuchet MS" w:cs="Arial"/>
          <w:sz w:val="22"/>
          <w:szCs w:val="22"/>
        </w:rPr>
        <w:t xml:space="preserve">APM Bucureşti analizeaza hartile de zgomot si planurile de actiune pentru reducerea zgomotului ambiant, intocmite de autoritatile responsabile conform </w:t>
      </w:r>
      <w:r w:rsidR="00E73B97" w:rsidRPr="00745ACE">
        <w:rPr>
          <w:rFonts w:ascii="Trebuchet MS" w:hAnsi="Trebuchet MS" w:cs="Arial"/>
          <w:sz w:val="22"/>
          <w:szCs w:val="22"/>
        </w:rPr>
        <w:t>L121/2019 privind evaluarea și gestionarea zgomotului ambiant</w:t>
      </w:r>
      <w:r w:rsidRPr="00745ACE">
        <w:rPr>
          <w:rFonts w:ascii="Trebuchet MS" w:hAnsi="Trebuchet MS" w:cs="Arial"/>
          <w:sz w:val="22"/>
          <w:szCs w:val="22"/>
        </w:rPr>
        <w:t xml:space="preserve">. </w:t>
      </w:r>
    </w:p>
    <w:p w:rsidR="00AE762B" w:rsidRPr="00745ACE" w:rsidRDefault="00AE762B" w:rsidP="00EA6D7F">
      <w:pPr>
        <w:ind w:firstLine="720"/>
        <w:jc w:val="both"/>
        <w:rPr>
          <w:rFonts w:ascii="Trebuchet MS" w:hAnsi="Trebuchet MS" w:cs="Arial"/>
          <w:sz w:val="22"/>
          <w:szCs w:val="22"/>
          <w:lang w:val="it-IT"/>
        </w:rPr>
      </w:pPr>
      <w:r w:rsidRPr="00745ACE">
        <w:rPr>
          <w:rFonts w:ascii="Trebuchet MS" w:hAnsi="Trebuchet MS" w:cs="Arial"/>
          <w:sz w:val="22"/>
          <w:szCs w:val="22"/>
          <w:lang w:val="it-IT"/>
        </w:rPr>
        <w:t>Autoritatile responsabile sunt: Primaria Municipiului Bucuresti  pentru Municipiul Bucuresti, unitatile aflate sub autoritatea ministerului transporturilor care au în administrare infrastructuri rutiere, feroviare, aeroportuare, pentru drumurile principale, căile ferate principale si aeroporturile civile aflate în administrarea lor.</w:t>
      </w:r>
    </w:p>
    <w:p w:rsidR="00AE762B" w:rsidRPr="00745ACE" w:rsidRDefault="00AE762B" w:rsidP="00EA6D7F">
      <w:pPr>
        <w:ind w:firstLine="720"/>
        <w:jc w:val="both"/>
        <w:rPr>
          <w:rFonts w:ascii="Trebuchet MS" w:hAnsi="Trebuchet MS" w:cs="Arial"/>
          <w:sz w:val="22"/>
          <w:szCs w:val="22"/>
          <w:lang w:val="it-IT"/>
        </w:rPr>
      </w:pPr>
      <w:r w:rsidRPr="00745ACE">
        <w:rPr>
          <w:rFonts w:ascii="Trebuchet MS" w:hAnsi="Trebuchet MS" w:cs="Arial"/>
          <w:sz w:val="22"/>
          <w:szCs w:val="22"/>
          <w:lang w:val="it-IT"/>
        </w:rPr>
        <w:t>Hartile de zgomot se realizeaza pentru indicatorii L</w:t>
      </w:r>
      <w:r w:rsidRPr="00745ACE">
        <w:rPr>
          <w:rFonts w:ascii="Trebuchet MS" w:hAnsi="Trebuchet MS" w:cs="Arial"/>
          <w:sz w:val="22"/>
          <w:szCs w:val="22"/>
          <w:vertAlign w:val="subscript"/>
          <w:lang w:val="it-IT"/>
        </w:rPr>
        <w:t>ZSN</w:t>
      </w:r>
      <w:r w:rsidRPr="00745ACE">
        <w:rPr>
          <w:rFonts w:ascii="Trebuchet MS" w:hAnsi="Trebuchet MS" w:cs="Arial"/>
          <w:sz w:val="22"/>
          <w:szCs w:val="22"/>
          <w:lang w:val="it-IT"/>
        </w:rPr>
        <w:t xml:space="preserve"> si L</w:t>
      </w:r>
      <w:r w:rsidRPr="00745ACE">
        <w:rPr>
          <w:rFonts w:ascii="Trebuchet MS" w:hAnsi="Trebuchet MS" w:cs="Arial"/>
          <w:sz w:val="22"/>
          <w:szCs w:val="22"/>
          <w:vertAlign w:val="subscript"/>
          <w:lang w:val="it-IT"/>
        </w:rPr>
        <w:t>N</w:t>
      </w:r>
      <w:r w:rsidRPr="00745ACE">
        <w:rPr>
          <w:rFonts w:ascii="Trebuchet MS" w:hAnsi="Trebuchet MS" w:cs="Arial"/>
          <w:sz w:val="22"/>
          <w:szCs w:val="22"/>
          <w:lang w:val="it-IT"/>
        </w:rPr>
        <w:t xml:space="preserve"> (niveluri acustice medii ponderate (A), determinate prin </w:t>
      </w:r>
      <w:r w:rsidRPr="00745ACE">
        <w:rPr>
          <w:rFonts w:ascii="Trebuchet MS" w:hAnsi="Trebuchet MS" w:cs="Arial"/>
          <w:b/>
          <w:i/>
          <w:sz w:val="22"/>
          <w:szCs w:val="22"/>
          <w:lang w:val="it-IT"/>
        </w:rPr>
        <w:t>modelare</w:t>
      </w:r>
      <w:r w:rsidRPr="00745ACE">
        <w:rPr>
          <w:rFonts w:ascii="Trebuchet MS" w:hAnsi="Trebuchet MS" w:cs="Arial"/>
          <w:sz w:val="22"/>
          <w:szCs w:val="22"/>
          <w:lang w:val="it-IT"/>
        </w:rPr>
        <w:t xml:space="preserve"> pentru totalul perioadelor de zi-seara-noapte, respectiv noapte dintr-un an)</w:t>
      </w:r>
    </w:p>
    <w:p w:rsidR="00AE762B" w:rsidRPr="00745ACE" w:rsidRDefault="00AE762B" w:rsidP="00EA6D7F">
      <w:pPr>
        <w:ind w:firstLine="720"/>
        <w:jc w:val="both"/>
        <w:rPr>
          <w:rFonts w:ascii="Trebuchet MS" w:hAnsi="Trebuchet MS" w:cs="Arial"/>
          <w:sz w:val="22"/>
          <w:szCs w:val="22"/>
          <w:lang w:val="it-IT"/>
        </w:rPr>
      </w:pPr>
    </w:p>
    <w:p w:rsidR="00AE762B" w:rsidRPr="00745ACE" w:rsidRDefault="00AE762B" w:rsidP="00EA6D7F">
      <w:pPr>
        <w:ind w:firstLine="720"/>
        <w:jc w:val="both"/>
        <w:rPr>
          <w:rFonts w:ascii="Trebuchet MS" w:hAnsi="Trebuchet MS" w:cs="Arial"/>
          <w:sz w:val="22"/>
          <w:szCs w:val="22"/>
          <w:lang w:val="it-IT"/>
        </w:rPr>
      </w:pPr>
      <w:r w:rsidRPr="00745ACE">
        <w:rPr>
          <w:rFonts w:ascii="Trebuchet MS" w:hAnsi="Trebuchet MS" w:cs="Arial"/>
          <w:sz w:val="22"/>
          <w:szCs w:val="22"/>
          <w:lang w:val="it-IT"/>
        </w:rPr>
        <w:t xml:space="preserve"> Atat hartile de zgomot cat si planurile de actiune trebuie intocmite dupa o metodologie specifica, aprobata de Ministerul Mediului.</w:t>
      </w:r>
    </w:p>
    <w:p w:rsidR="00AE762B" w:rsidRPr="00745ACE" w:rsidRDefault="00AE762B" w:rsidP="00247569">
      <w:pPr>
        <w:pStyle w:val="Default"/>
        <w:rPr>
          <w:rFonts w:ascii="Trebuchet MS" w:hAnsi="Trebuchet MS"/>
          <w:sz w:val="22"/>
          <w:szCs w:val="22"/>
          <w:lang w:val="it-IT"/>
        </w:rPr>
      </w:pPr>
    </w:p>
    <w:p w:rsidR="00AE762B" w:rsidRPr="00745ACE" w:rsidRDefault="00AE762B" w:rsidP="00247569">
      <w:pPr>
        <w:pStyle w:val="Default"/>
        <w:rPr>
          <w:rFonts w:ascii="Trebuchet MS" w:hAnsi="Trebuchet MS"/>
          <w:sz w:val="22"/>
          <w:szCs w:val="22"/>
          <w:lang w:val="it-IT"/>
        </w:rPr>
      </w:pPr>
      <w:r w:rsidRPr="00745ACE">
        <w:rPr>
          <w:rFonts w:ascii="Trebuchet MS" w:hAnsi="Trebuchet MS"/>
          <w:sz w:val="22"/>
          <w:szCs w:val="22"/>
          <w:lang w:val="it-IT"/>
        </w:rPr>
        <w:tab/>
        <w:t>În ceea ce urmează este prezentat numărul de persoane (în sute) expuse la zgomot pentru indicatorii Lzsn respectiv Ln</w:t>
      </w:r>
    </w:p>
    <w:p w:rsidR="00AE762B" w:rsidRPr="00745ACE" w:rsidRDefault="00AE762B" w:rsidP="00247569">
      <w:pPr>
        <w:pStyle w:val="Default"/>
        <w:rPr>
          <w:rFonts w:ascii="Trebuchet MS" w:hAnsi="Trebuchet MS"/>
          <w:color w:val="FF0000"/>
          <w:sz w:val="22"/>
          <w:szCs w:val="22"/>
          <w:lang w:val="it-IT"/>
        </w:rPr>
      </w:pPr>
    </w:p>
    <w:p w:rsidR="00AE762B" w:rsidRPr="00745ACE" w:rsidRDefault="00362C67" w:rsidP="00EB0351">
      <w:pPr>
        <w:autoSpaceDE w:val="0"/>
        <w:autoSpaceDN w:val="0"/>
        <w:adjustRightInd w:val="0"/>
        <w:rPr>
          <w:rFonts w:ascii="Trebuchet MS" w:hAnsi="Trebuchet MS" w:cs="Arial"/>
          <w:sz w:val="22"/>
          <w:szCs w:val="22"/>
          <w:lang w:val="it-IT"/>
        </w:rPr>
      </w:pPr>
      <w:r w:rsidRPr="00745ACE">
        <w:rPr>
          <w:rFonts w:ascii="Trebuchet MS" w:hAnsi="Trebuchet MS"/>
          <w:sz w:val="22"/>
          <w:szCs w:val="22"/>
          <w:lang w:val="it-IT"/>
        </w:rPr>
        <w:t>Tabel VIII</w:t>
      </w:r>
      <w:r w:rsidR="00AE762B" w:rsidRPr="00745ACE">
        <w:rPr>
          <w:rFonts w:ascii="Trebuchet MS" w:hAnsi="Trebuchet MS"/>
          <w:sz w:val="22"/>
          <w:szCs w:val="22"/>
          <w:lang w:val="it-IT"/>
        </w:rPr>
        <w:t xml:space="preserve">.1.2.1.1 </w:t>
      </w:r>
      <w:r w:rsidR="00AE762B" w:rsidRPr="00745ACE">
        <w:rPr>
          <w:rFonts w:ascii="Trebuchet MS" w:hAnsi="Trebuchet MS" w:cs="Arial"/>
          <w:sz w:val="22"/>
          <w:szCs w:val="22"/>
          <w:lang w:val="it-IT"/>
        </w:rPr>
        <w:t>Numarul de persoane (sute) care trăiesc în locuinţe expuse la depăşiri ale valorilor aprobate pentru indicatorii Lzsn respectiv Ln, pentru fiecare tip de sursă</w:t>
      </w:r>
    </w:p>
    <w:p w:rsidR="00AE762B" w:rsidRPr="00745ACE" w:rsidRDefault="00AE762B" w:rsidP="00247569">
      <w:pPr>
        <w:pStyle w:val="Default"/>
        <w:rPr>
          <w:rFonts w:ascii="Trebuchet MS" w:hAnsi="Trebuchet MS"/>
          <w:color w:val="FF0000"/>
          <w:sz w:val="22"/>
          <w:szCs w:val="22"/>
          <w:lang w:val="it-IT"/>
        </w:rPr>
      </w:pPr>
    </w:p>
    <w:tbl>
      <w:tblPr>
        <w:tblW w:w="8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80"/>
        <w:gridCol w:w="1880"/>
        <w:gridCol w:w="960"/>
        <w:gridCol w:w="974"/>
        <w:gridCol w:w="1069"/>
        <w:gridCol w:w="1087"/>
      </w:tblGrid>
      <w:tr w:rsidR="00071150" w:rsidRPr="00745ACE" w:rsidTr="004E10F1">
        <w:trPr>
          <w:trHeight w:val="300"/>
        </w:trPr>
        <w:tc>
          <w:tcPr>
            <w:tcW w:w="2980" w:type="dxa"/>
            <w:noWrap/>
            <w:vAlign w:val="bottom"/>
          </w:tcPr>
          <w:p w:rsidR="00AE762B" w:rsidRPr="00745ACE" w:rsidRDefault="00AE762B" w:rsidP="00EB0351">
            <w:pPr>
              <w:rPr>
                <w:rFonts w:ascii="Trebuchet MS" w:hAnsi="Trebuchet MS"/>
                <w:sz w:val="22"/>
                <w:szCs w:val="22"/>
                <w:lang w:val="it-IT"/>
              </w:rPr>
            </w:pPr>
          </w:p>
        </w:tc>
        <w:tc>
          <w:tcPr>
            <w:tcW w:w="1880" w:type="dxa"/>
            <w:noWrap/>
            <w:vAlign w:val="bottom"/>
          </w:tcPr>
          <w:p w:rsidR="00AE762B" w:rsidRPr="00745ACE" w:rsidRDefault="00AE762B" w:rsidP="00EB0351">
            <w:pPr>
              <w:rPr>
                <w:rFonts w:ascii="Trebuchet MS" w:hAnsi="Trebuchet MS"/>
                <w:sz w:val="22"/>
                <w:szCs w:val="22"/>
                <w:lang w:val="en-US"/>
              </w:rPr>
            </w:pPr>
            <w:r w:rsidRPr="00745ACE">
              <w:rPr>
                <w:rFonts w:ascii="Trebuchet MS" w:hAnsi="Trebuchet MS"/>
                <w:sz w:val="22"/>
                <w:szCs w:val="22"/>
                <w:lang w:val="en-US"/>
              </w:rPr>
              <w:t>drumuri</w:t>
            </w:r>
          </w:p>
        </w:tc>
        <w:tc>
          <w:tcPr>
            <w:tcW w:w="960" w:type="dxa"/>
            <w:noWrap/>
            <w:vAlign w:val="bottom"/>
          </w:tcPr>
          <w:p w:rsidR="00AE762B" w:rsidRPr="00745ACE" w:rsidRDefault="00AE762B" w:rsidP="00EB0351">
            <w:pPr>
              <w:rPr>
                <w:rFonts w:ascii="Trebuchet MS" w:hAnsi="Trebuchet MS"/>
                <w:sz w:val="22"/>
                <w:szCs w:val="22"/>
                <w:lang w:val="en-US"/>
              </w:rPr>
            </w:pPr>
            <w:r w:rsidRPr="00745ACE">
              <w:rPr>
                <w:rFonts w:ascii="Trebuchet MS" w:hAnsi="Trebuchet MS"/>
                <w:sz w:val="22"/>
                <w:szCs w:val="22"/>
                <w:lang w:val="en-US"/>
              </w:rPr>
              <w:t>cai ferate</w:t>
            </w:r>
          </w:p>
        </w:tc>
        <w:tc>
          <w:tcPr>
            <w:tcW w:w="960" w:type="dxa"/>
            <w:noWrap/>
            <w:vAlign w:val="bottom"/>
          </w:tcPr>
          <w:p w:rsidR="00AE762B" w:rsidRPr="00745ACE" w:rsidRDefault="00AE762B" w:rsidP="00EB0351">
            <w:pPr>
              <w:rPr>
                <w:rFonts w:ascii="Trebuchet MS" w:hAnsi="Trebuchet MS"/>
                <w:sz w:val="22"/>
                <w:szCs w:val="22"/>
                <w:lang w:val="en-US"/>
              </w:rPr>
            </w:pPr>
            <w:r w:rsidRPr="00745ACE">
              <w:rPr>
                <w:rFonts w:ascii="Trebuchet MS" w:hAnsi="Trebuchet MS"/>
                <w:sz w:val="22"/>
                <w:szCs w:val="22"/>
                <w:lang w:val="en-US"/>
              </w:rPr>
              <w:t>tramvai</w:t>
            </w:r>
          </w:p>
        </w:tc>
        <w:tc>
          <w:tcPr>
            <w:tcW w:w="1006" w:type="dxa"/>
            <w:noWrap/>
            <w:vAlign w:val="bottom"/>
          </w:tcPr>
          <w:p w:rsidR="00AE762B" w:rsidRPr="00745ACE" w:rsidRDefault="00AE762B" w:rsidP="00EB0351">
            <w:pPr>
              <w:rPr>
                <w:rFonts w:ascii="Trebuchet MS" w:hAnsi="Trebuchet MS"/>
                <w:sz w:val="22"/>
                <w:szCs w:val="22"/>
                <w:lang w:val="en-US"/>
              </w:rPr>
            </w:pPr>
            <w:r w:rsidRPr="00745ACE">
              <w:rPr>
                <w:rFonts w:ascii="Trebuchet MS" w:hAnsi="Trebuchet MS"/>
                <w:sz w:val="22"/>
                <w:szCs w:val="22"/>
                <w:lang w:val="en-US"/>
              </w:rPr>
              <w:t>aeroport</w:t>
            </w:r>
          </w:p>
        </w:tc>
        <w:tc>
          <w:tcPr>
            <w:tcW w:w="1010" w:type="dxa"/>
            <w:noWrap/>
            <w:vAlign w:val="bottom"/>
          </w:tcPr>
          <w:p w:rsidR="00AE762B" w:rsidRPr="00745ACE" w:rsidRDefault="00AE762B" w:rsidP="00EB0351">
            <w:pPr>
              <w:rPr>
                <w:rFonts w:ascii="Trebuchet MS" w:hAnsi="Trebuchet MS"/>
                <w:sz w:val="22"/>
                <w:szCs w:val="22"/>
                <w:lang w:val="en-US"/>
              </w:rPr>
            </w:pPr>
            <w:r w:rsidRPr="00745ACE">
              <w:rPr>
                <w:rFonts w:ascii="Trebuchet MS" w:hAnsi="Trebuchet MS"/>
                <w:sz w:val="22"/>
                <w:szCs w:val="22"/>
                <w:lang w:val="en-US"/>
              </w:rPr>
              <w:t>industrie</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LZSN  între 55-59</w:t>
            </w:r>
          </w:p>
        </w:tc>
        <w:tc>
          <w:tcPr>
            <w:tcW w:w="1880" w:type="dxa"/>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4950</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40</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1250</w:t>
            </w:r>
          </w:p>
        </w:tc>
        <w:tc>
          <w:tcPr>
            <w:tcW w:w="1006" w:type="dxa"/>
            <w:vAlign w:val="bottom"/>
          </w:tcPr>
          <w:p w:rsidR="000A280C" w:rsidRPr="00745ACE" w:rsidRDefault="00071150" w:rsidP="00EB0351">
            <w:pPr>
              <w:jc w:val="right"/>
              <w:rPr>
                <w:rFonts w:ascii="Trebuchet MS" w:hAnsi="Trebuchet MS"/>
                <w:sz w:val="22"/>
                <w:szCs w:val="22"/>
                <w:lang w:val="en-US"/>
              </w:rPr>
            </w:pPr>
            <w:r w:rsidRPr="00745ACE">
              <w:rPr>
                <w:rFonts w:ascii="Trebuchet MS" w:hAnsi="Trebuchet MS"/>
                <w:sz w:val="22"/>
                <w:szCs w:val="22"/>
                <w:lang w:val="en-US"/>
              </w:rPr>
              <w:t>19</w:t>
            </w:r>
          </w:p>
        </w:tc>
        <w:tc>
          <w:tcPr>
            <w:tcW w:w="1010" w:type="dxa"/>
            <w:noWrap/>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22</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LZSN    între 60-64</w:t>
            </w:r>
          </w:p>
        </w:tc>
        <w:tc>
          <w:tcPr>
            <w:tcW w:w="1880" w:type="dxa"/>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7015</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13</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225</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10</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LZSN  între 65-69</w:t>
            </w:r>
          </w:p>
        </w:tc>
        <w:tc>
          <w:tcPr>
            <w:tcW w:w="1880" w:type="dxa"/>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4111</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1</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14</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0</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LZSN    între 70-74</w:t>
            </w:r>
          </w:p>
        </w:tc>
        <w:tc>
          <w:tcPr>
            <w:tcW w:w="1880" w:type="dxa"/>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1315</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2</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0</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LZSN mai mari de 75</w:t>
            </w:r>
          </w:p>
        </w:tc>
        <w:tc>
          <w:tcPr>
            <w:tcW w:w="1880" w:type="dxa"/>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304</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0</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Ln    între 45-49</w:t>
            </w:r>
          </w:p>
        </w:tc>
        <w:tc>
          <w:tcPr>
            <w:tcW w:w="1880" w:type="dxa"/>
            <w:noWrap/>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4039</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50</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1493</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2</w:t>
            </w:r>
          </w:p>
        </w:tc>
        <w:tc>
          <w:tcPr>
            <w:tcW w:w="1010" w:type="dxa"/>
            <w:noWrap/>
            <w:vAlign w:val="center"/>
          </w:tcPr>
          <w:p w:rsidR="000A280C" w:rsidRPr="00745ACE" w:rsidRDefault="000A280C">
            <w:pPr>
              <w:jc w:val="center"/>
              <w:rPr>
                <w:rFonts w:ascii="Trebuchet MS" w:hAnsi="Trebuchet MS" w:cs="Calibri"/>
                <w:b/>
                <w:bCs/>
                <w:sz w:val="22"/>
                <w:szCs w:val="22"/>
              </w:rPr>
            </w:pPr>
            <w:r w:rsidRPr="00745ACE">
              <w:rPr>
                <w:rFonts w:ascii="Trebuchet MS" w:hAnsi="Trebuchet MS" w:cs="Calibri"/>
                <w:b/>
                <w:bCs/>
                <w:sz w:val="22"/>
                <w:szCs w:val="22"/>
              </w:rPr>
              <w:t>30</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Ln    între 50-54</w:t>
            </w:r>
          </w:p>
        </w:tc>
        <w:tc>
          <w:tcPr>
            <w:tcW w:w="1880" w:type="dxa"/>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6679</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25</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579</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18</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Ln    între 55-59</w:t>
            </w:r>
          </w:p>
        </w:tc>
        <w:tc>
          <w:tcPr>
            <w:tcW w:w="1880" w:type="dxa"/>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5617</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4</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40</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8</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Ln    între 60-64</w:t>
            </w:r>
          </w:p>
        </w:tc>
        <w:tc>
          <w:tcPr>
            <w:tcW w:w="1880" w:type="dxa"/>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1966</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1</w:t>
            </w:r>
          </w:p>
        </w:tc>
        <w:tc>
          <w:tcPr>
            <w:tcW w:w="960" w:type="dxa"/>
            <w:vAlign w:val="bottom"/>
          </w:tcPr>
          <w:p w:rsidR="000A280C" w:rsidRPr="00745ACE" w:rsidRDefault="009E0649" w:rsidP="00EB0351">
            <w:pPr>
              <w:jc w:val="right"/>
              <w:rPr>
                <w:rFonts w:ascii="Trebuchet MS" w:hAnsi="Trebuchet MS"/>
                <w:sz w:val="22"/>
                <w:szCs w:val="22"/>
                <w:lang w:val="en-US"/>
              </w:rPr>
            </w:pPr>
            <w:r w:rsidRPr="00745ACE">
              <w:rPr>
                <w:rFonts w:ascii="Trebuchet MS" w:hAnsi="Trebuchet MS"/>
                <w:sz w:val="22"/>
                <w:szCs w:val="22"/>
                <w:lang w:val="en-US"/>
              </w:rPr>
              <w:t>4</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0</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Ln    între 65-69</w:t>
            </w:r>
          </w:p>
        </w:tc>
        <w:tc>
          <w:tcPr>
            <w:tcW w:w="1880" w:type="dxa"/>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572</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0</w:t>
            </w:r>
          </w:p>
        </w:tc>
      </w:tr>
      <w:tr w:rsidR="00071150" w:rsidRPr="00745ACE" w:rsidTr="00071150">
        <w:trPr>
          <w:trHeight w:val="300"/>
        </w:trPr>
        <w:tc>
          <w:tcPr>
            <w:tcW w:w="2980" w:type="dxa"/>
            <w:vAlign w:val="bottom"/>
          </w:tcPr>
          <w:p w:rsidR="000A280C" w:rsidRPr="00745ACE" w:rsidRDefault="000A280C" w:rsidP="00EB0351">
            <w:pPr>
              <w:rPr>
                <w:rFonts w:ascii="Trebuchet MS" w:hAnsi="Trebuchet MS"/>
                <w:sz w:val="22"/>
                <w:szCs w:val="22"/>
                <w:lang w:val="en-US"/>
              </w:rPr>
            </w:pPr>
            <w:r w:rsidRPr="00745ACE">
              <w:rPr>
                <w:rFonts w:ascii="Trebuchet MS" w:hAnsi="Trebuchet MS"/>
                <w:sz w:val="22"/>
                <w:szCs w:val="22"/>
                <w:lang w:val="en-US"/>
              </w:rPr>
              <w:t xml:space="preserve">  Ln mai mari de 70</w:t>
            </w:r>
          </w:p>
        </w:tc>
        <w:tc>
          <w:tcPr>
            <w:tcW w:w="1880" w:type="dxa"/>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35</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960"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06" w:type="dxa"/>
            <w:vAlign w:val="bottom"/>
          </w:tcPr>
          <w:p w:rsidR="000A280C" w:rsidRPr="00745ACE" w:rsidRDefault="000A280C" w:rsidP="00EB0351">
            <w:pPr>
              <w:jc w:val="right"/>
              <w:rPr>
                <w:rFonts w:ascii="Trebuchet MS" w:hAnsi="Trebuchet MS"/>
                <w:sz w:val="22"/>
                <w:szCs w:val="22"/>
                <w:lang w:val="en-US"/>
              </w:rPr>
            </w:pPr>
            <w:r w:rsidRPr="00745ACE">
              <w:rPr>
                <w:rFonts w:ascii="Trebuchet MS" w:hAnsi="Trebuchet MS"/>
                <w:sz w:val="22"/>
                <w:szCs w:val="22"/>
                <w:lang w:val="en-US"/>
              </w:rPr>
              <w:t>0</w:t>
            </w:r>
          </w:p>
        </w:tc>
        <w:tc>
          <w:tcPr>
            <w:tcW w:w="1010" w:type="dxa"/>
            <w:noWrap/>
            <w:vAlign w:val="center"/>
          </w:tcPr>
          <w:p w:rsidR="000A280C" w:rsidRPr="00745ACE" w:rsidRDefault="000A280C" w:rsidP="00071150">
            <w:pPr>
              <w:jc w:val="center"/>
              <w:rPr>
                <w:rFonts w:ascii="Trebuchet MS" w:hAnsi="Trebuchet MS" w:cs="Calibri"/>
                <w:b/>
                <w:bCs/>
                <w:sz w:val="22"/>
                <w:szCs w:val="22"/>
              </w:rPr>
            </w:pPr>
            <w:r w:rsidRPr="00745ACE">
              <w:rPr>
                <w:rFonts w:ascii="Trebuchet MS" w:hAnsi="Trebuchet MS" w:cs="Calibri"/>
                <w:b/>
                <w:bCs/>
                <w:sz w:val="22"/>
                <w:szCs w:val="22"/>
              </w:rPr>
              <w:t>0</w:t>
            </w:r>
          </w:p>
        </w:tc>
      </w:tr>
    </w:tbl>
    <w:p w:rsidR="00AE762B" w:rsidRPr="00745ACE" w:rsidRDefault="00AE762B" w:rsidP="00247569">
      <w:pPr>
        <w:pStyle w:val="Default"/>
        <w:rPr>
          <w:rFonts w:ascii="Trebuchet MS" w:hAnsi="Trebuchet MS"/>
          <w:color w:val="FF0000"/>
          <w:sz w:val="22"/>
          <w:szCs w:val="22"/>
          <w:lang w:val="pt-BR"/>
        </w:rPr>
      </w:pPr>
    </w:p>
    <w:p w:rsidR="00AE762B" w:rsidRPr="00745ACE" w:rsidRDefault="00AE762B" w:rsidP="00EB0351">
      <w:pPr>
        <w:autoSpaceDE w:val="0"/>
        <w:autoSpaceDN w:val="0"/>
        <w:adjustRightInd w:val="0"/>
        <w:rPr>
          <w:rFonts w:ascii="Trebuchet MS" w:hAnsi="Trebuchet MS" w:cs="Arial"/>
          <w:sz w:val="22"/>
          <w:szCs w:val="22"/>
          <w:lang w:val="pt-BR"/>
        </w:rPr>
      </w:pPr>
    </w:p>
    <w:p w:rsidR="00AE762B" w:rsidRPr="00745ACE" w:rsidRDefault="00AE762B" w:rsidP="00EB0351">
      <w:pPr>
        <w:autoSpaceDE w:val="0"/>
        <w:autoSpaceDN w:val="0"/>
        <w:adjustRightInd w:val="0"/>
        <w:rPr>
          <w:rFonts w:ascii="Trebuchet MS" w:hAnsi="Trebuchet MS" w:cs="Arial"/>
          <w:sz w:val="22"/>
          <w:szCs w:val="22"/>
          <w:lang w:val="pt-BR"/>
        </w:rPr>
      </w:pPr>
      <w:r w:rsidRPr="00745ACE">
        <w:rPr>
          <w:rFonts w:ascii="Trebuchet MS" w:hAnsi="Trebuchet MS" w:cs="Arial"/>
          <w:sz w:val="22"/>
          <w:szCs w:val="22"/>
          <w:lang w:val="pt-BR"/>
        </w:rPr>
        <w:t>Datele provin din hărtile strategice de zgomot întocmite de Primăria Municipiului Bucureşti</w:t>
      </w:r>
      <w:r w:rsidR="006D77EE" w:rsidRPr="00745ACE">
        <w:rPr>
          <w:rFonts w:ascii="Trebuchet MS" w:hAnsi="Trebuchet MS" w:cs="Arial"/>
          <w:sz w:val="22"/>
          <w:szCs w:val="22"/>
          <w:lang w:val="pt-BR"/>
        </w:rPr>
        <w:t>-2023</w:t>
      </w:r>
      <w:r w:rsidR="00D941EB" w:rsidRPr="00745ACE">
        <w:rPr>
          <w:rFonts w:ascii="Trebuchet MS" w:hAnsi="Trebuchet MS" w:cs="Arial"/>
          <w:sz w:val="22"/>
          <w:szCs w:val="22"/>
          <w:lang w:val="pt-BR"/>
        </w:rPr>
        <w:t xml:space="preserve"> respectiv CFR</w:t>
      </w:r>
      <w:r w:rsidR="00071150" w:rsidRPr="00745ACE">
        <w:rPr>
          <w:rFonts w:ascii="Trebuchet MS" w:hAnsi="Trebuchet MS" w:cs="Arial"/>
          <w:sz w:val="22"/>
          <w:szCs w:val="22"/>
          <w:lang w:val="pt-BR"/>
        </w:rPr>
        <w:t xml:space="preserve">- 2016 si </w:t>
      </w:r>
      <w:r w:rsidR="00D941EB" w:rsidRPr="00745ACE">
        <w:rPr>
          <w:rFonts w:ascii="Trebuchet MS" w:hAnsi="Trebuchet MS" w:cs="Arial"/>
          <w:sz w:val="22"/>
          <w:szCs w:val="22"/>
          <w:lang w:val="pt-BR"/>
        </w:rPr>
        <w:t xml:space="preserve"> si Aeroportul Aurel Vlaicu</w:t>
      </w:r>
      <w:r w:rsidR="00071150" w:rsidRPr="00745ACE">
        <w:rPr>
          <w:rFonts w:ascii="Trebuchet MS" w:hAnsi="Trebuchet MS" w:cs="Arial"/>
          <w:sz w:val="22"/>
          <w:szCs w:val="22"/>
          <w:lang w:val="pt-BR"/>
        </w:rPr>
        <w:t>- 2022</w:t>
      </w:r>
    </w:p>
    <w:p w:rsidR="00AE762B" w:rsidRPr="00745ACE" w:rsidRDefault="00362C67" w:rsidP="00EB0351">
      <w:pPr>
        <w:autoSpaceDE w:val="0"/>
        <w:autoSpaceDN w:val="0"/>
        <w:adjustRightInd w:val="0"/>
        <w:rPr>
          <w:rFonts w:ascii="Trebuchet MS" w:hAnsi="Trebuchet MS" w:cs="Arial"/>
          <w:sz w:val="22"/>
          <w:szCs w:val="22"/>
          <w:lang w:val="pt-BR"/>
        </w:rPr>
      </w:pPr>
      <w:r w:rsidRPr="00745ACE">
        <w:rPr>
          <w:rFonts w:ascii="Trebuchet MS" w:hAnsi="Trebuchet MS" w:cs="Arial"/>
          <w:sz w:val="22"/>
          <w:szCs w:val="22"/>
          <w:lang w:val="pt-BR"/>
        </w:rPr>
        <w:t>Grafic VIII</w:t>
      </w:r>
      <w:r w:rsidR="00AE762B" w:rsidRPr="00745ACE">
        <w:rPr>
          <w:rFonts w:ascii="Trebuchet MS" w:hAnsi="Trebuchet MS" w:cs="Arial"/>
          <w:sz w:val="22"/>
          <w:szCs w:val="22"/>
          <w:lang w:val="pt-BR"/>
        </w:rPr>
        <w:t>.1.2.1.1</w:t>
      </w:r>
      <w:r w:rsidR="00AE762B" w:rsidRPr="00745ACE">
        <w:rPr>
          <w:rFonts w:ascii="Trebuchet MS" w:hAnsi="Trebuchet MS"/>
          <w:sz w:val="22"/>
          <w:szCs w:val="22"/>
          <w:lang w:val="pt-BR"/>
        </w:rPr>
        <w:t xml:space="preserve"> </w:t>
      </w:r>
      <w:r w:rsidR="00AE762B" w:rsidRPr="00745ACE">
        <w:rPr>
          <w:rFonts w:ascii="Trebuchet MS" w:hAnsi="Trebuchet MS" w:cs="Arial"/>
          <w:sz w:val="22"/>
          <w:szCs w:val="22"/>
          <w:lang w:val="pt-BR"/>
        </w:rPr>
        <w:t>Numarul de persoane (sute) care trăiesc în locuinţe expuse la depăşiri ale valorilor aprobate pentru indicatorul Lzsn pentru fiecare tip de sursă</w:t>
      </w:r>
    </w:p>
    <w:p w:rsidR="00AE762B" w:rsidRDefault="000946BE" w:rsidP="00EB0351">
      <w:pPr>
        <w:autoSpaceDE w:val="0"/>
        <w:autoSpaceDN w:val="0"/>
        <w:adjustRightInd w:val="0"/>
        <w:rPr>
          <w:rFonts w:ascii="Arial" w:hAnsi="Arial" w:cs="Arial"/>
          <w:lang w:val="en-US"/>
        </w:rPr>
      </w:pPr>
      <w:r>
        <w:rPr>
          <w:noProof/>
          <w:lang w:val="en-US"/>
        </w:rPr>
        <w:drawing>
          <wp:inline distT="0" distB="0" distL="0" distR="0" wp14:anchorId="53A66035" wp14:editId="30C5B882">
            <wp:extent cx="4591050" cy="2933700"/>
            <wp:effectExtent l="0" t="0" r="0" b="0"/>
            <wp:docPr id="128" name="Object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AE762B" w:rsidRPr="00EB0351" w:rsidRDefault="00AE762B" w:rsidP="00EB0351">
      <w:pPr>
        <w:autoSpaceDE w:val="0"/>
        <w:autoSpaceDN w:val="0"/>
        <w:adjustRightInd w:val="0"/>
        <w:rPr>
          <w:rFonts w:ascii="Arial" w:hAnsi="Arial" w:cs="Arial"/>
          <w:lang w:val="en-US"/>
        </w:rPr>
      </w:pPr>
    </w:p>
    <w:p w:rsidR="00AE762B" w:rsidRDefault="00AE762B" w:rsidP="00F26243">
      <w:pPr>
        <w:autoSpaceDE w:val="0"/>
        <w:autoSpaceDN w:val="0"/>
        <w:adjustRightInd w:val="0"/>
        <w:rPr>
          <w:rFonts w:ascii="Arial" w:hAnsi="Arial" w:cs="Arial"/>
          <w:lang w:val="pt-BR"/>
        </w:rPr>
      </w:pPr>
    </w:p>
    <w:p w:rsidR="00AE762B" w:rsidRPr="00745ACE" w:rsidRDefault="00362C67" w:rsidP="00F26243">
      <w:pPr>
        <w:autoSpaceDE w:val="0"/>
        <w:autoSpaceDN w:val="0"/>
        <w:adjustRightInd w:val="0"/>
        <w:rPr>
          <w:rFonts w:ascii="Trebuchet MS" w:hAnsi="Trebuchet MS" w:cs="Arial"/>
          <w:sz w:val="22"/>
          <w:szCs w:val="22"/>
          <w:lang w:val="pt-BR"/>
        </w:rPr>
      </w:pPr>
      <w:r w:rsidRPr="00745ACE">
        <w:rPr>
          <w:rFonts w:ascii="Trebuchet MS" w:hAnsi="Trebuchet MS" w:cs="Arial"/>
          <w:sz w:val="22"/>
          <w:szCs w:val="22"/>
          <w:lang w:val="pt-BR"/>
        </w:rPr>
        <w:t>Grafic VIII</w:t>
      </w:r>
      <w:r w:rsidR="00AE762B" w:rsidRPr="00745ACE">
        <w:rPr>
          <w:rFonts w:ascii="Trebuchet MS" w:hAnsi="Trebuchet MS" w:cs="Arial"/>
          <w:sz w:val="22"/>
          <w:szCs w:val="22"/>
          <w:lang w:val="pt-BR"/>
        </w:rPr>
        <w:t>.1.2.1.2</w:t>
      </w:r>
      <w:r w:rsidR="00AE762B" w:rsidRPr="00745ACE">
        <w:rPr>
          <w:rFonts w:ascii="Trebuchet MS" w:hAnsi="Trebuchet MS"/>
          <w:sz w:val="22"/>
          <w:szCs w:val="22"/>
          <w:lang w:val="pt-BR"/>
        </w:rPr>
        <w:t xml:space="preserve"> </w:t>
      </w:r>
      <w:r w:rsidR="00AE762B" w:rsidRPr="00745ACE">
        <w:rPr>
          <w:rFonts w:ascii="Trebuchet MS" w:hAnsi="Trebuchet MS" w:cs="Arial"/>
          <w:sz w:val="22"/>
          <w:szCs w:val="22"/>
          <w:lang w:val="pt-BR"/>
        </w:rPr>
        <w:t>Numarul de persoane (sute) care trăiesc în locuinţe expuse la depăşiri ale valorilor aprobate pentru indicatorul Ln pentru fiecare tip de sursă</w:t>
      </w:r>
    </w:p>
    <w:p w:rsidR="00AE762B" w:rsidRDefault="000946BE" w:rsidP="00F26243">
      <w:pPr>
        <w:autoSpaceDE w:val="0"/>
        <w:autoSpaceDN w:val="0"/>
        <w:adjustRightInd w:val="0"/>
        <w:rPr>
          <w:rFonts w:ascii="Arial" w:hAnsi="Arial" w:cs="Arial"/>
          <w:lang w:val="en-US"/>
        </w:rPr>
      </w:pPr>
      <w:r>
        <w:rPr>
          <w:noProof/>
          <w:lang w:val="en-US"/>
        </w:rPr>
        <w:drawing>
          <wp:inline distT="0" distB="0" distL="0" distR="0" wp14:anchorId="2C44123E" wp14:editId="4A7CA525">
            <wp:extent cx="4581525" cy="2752725"/>
            <wp:effectExtent l="0" t="0" r="0" b="0"/>
            <wp:docPr id="129" name="Object 1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AE762B" w:rsidRPr="00EB0351" w:rsidRDefault="00AE762B" w:rsidP="00F26243">
      <w:pPr>
        <w:autoSpaceDE w:val="0"/>
        <w:autoSpaceDN w:val="0"/>
        <w:adjustRightInd w:val="0"/>
        <w:rPr>
          <w:rFonts w:ascii="Arial" w:hAnsi="Arial" w:cs="Arial"/>
          <w:lang w:val="en-US"/>
        </w:rPr>
      </w:pPr>
    </w:p>
    <w:p w:rsidR="00AE762B" w:rsidRDefault="00AE762B">
      <w:pPr>
        <w:rPr>
          <w:lang w:val="it-IT"/>
        </w:rPr>
      </w:pPr>
    </w:p>
    <w:p w:rsidR="00AE762B" w:rsidRPr="00745ACE" w:rsidRDefault="00AE762B">
      <w:pPr>
        <w:rPr>
          <w:rFonts w:ascii="Trebuchet MS" w:hAnsi="Trebuchet MS" w:cs="Arial"/>
          <w:sz w:val="22"/>
          <w:szCs w:val="22"/>
          <w:lang w:val="it-IT"/>
        </w:rPr>
      </w:pPr>
      <w:r w:rsidRPr="00745ACE">
        <w:rPr>
          <w:rFonts w:ascii="Trebuchet MS" w:hAnsi="Trebuchet MS" w:cs="Arial"/>
          <w:sz w:val="22"/>
          <w:szCs w:val="22"/>
          <w:lang w:val="it-IT"/>
        </w:rPr>
        <w:t xml:space="preserve">Datorită mărimii foarte mari a fisierelor, nu putem include hartile de zgomot realizate de Primăria Municipiului Bucureşti pentru fiecare tip de sursă în parte. Acestea sunt disponibile pe site-ul PMB </w:t>
      </w:r>
      <w:r w:rsidR="00795178" w:rsidRPr="00745ACE">
        <w:rPr>
          <w:rFonts w:ascii="Trebuchet MS" w:hAnsi="Trebuchet MS" w:cs="Arial"/>
          <w:sz w:val="22"/>
          <w:szCs w:val="22"/>
          <w:lang w:val="it-IT"/>
        </w:rPr>
        <w:t xml:space="preserve">la link-ul </w:t>
      </w:r>
    </w:p>
    <w:p w:rsidR="00AE762B" w:rsidRDefault="00291812">
      <w:pPr>
        <w:rPr>
          <w:lang w:val="it-IT"/>
        </w:rPr>
      </w:pPr>
      <w:hyperlink r:id="rId179" w:history="1">
        <w:r w:rsidR="00795178" w:rsidRPr="00745ACE">
          <w:rPr>
            <w:rStyle w:val="Hyperlink"/>
            <w:rFonts w:ascii="Trebuchet MS" w:hAnsi="Trebuchet MS" w:cs="Arial"/>
            <w:sz w:val="22"/>
            <w:szCs w:val="22"/>
          </w:rPr>
          <w:t>http://hartiacustice.pmb.ro/page/hstrat</w:t>
        </w:r>
      </w:hyperlink>
      <w:r w:rsidR="00AE762B">
        <w:rPr>
          <w:lang w:val="it-IT"/>
        </w:rPr>
        <w:br w:type="page"/>
      </w:r>
    </w:p>
    <w:p w:rsidR="00AE762B" w:rsidRPr="00745ACE" w:rsidRDefault="00362C67">
      <w:pPr>
        <w:rPr>
          <w:rFonts w:ascii="Trebuchet MS" w:hAnsi="Trebuchet MS" w:cs="Arial"/>
          <w:b/>
          <w:lang w:val="it-IT"/>
        </w:rPr>
      </w:pPr>
      <w:r w:rsidRPr="00745ACE">
        <w:rPr>
          <w:rFonts w:ascii="Trebuchet MS" w:hAnsi="Trebuchet MS" w:cs="Arial"/>
          <w:b/>
          <w:lang w:val="ro-RO"/>
        </w:rPr>
        <w:t>VIII</w:t>
      </w:r>
      <w:r w:rsidR="00AE762B" w:rsidRPr="00745ACE">
        <w:rPr>
          <w:rFonts w:ascii="Trebuchet MS" w:hAnsi="Trebuchet MS" w:cs="Arial"/>
          <w:b/>
          <w:lang w:val="ro-RO"/>
        </w:rPr>
        <w:t>.1.3 Calitatea apei potabile şi efectele asupra sănătăţii</w:t>
      </w:r>
      <w:r w:rsidR="00AE762B" w:rsidRPr="00745ACE">
        <w:rPr>
          <w:rFonts w:ascii="Trebuchet MS" w:hAnsi="Trebuchet MS" w:cs="Arial"/>
          <w:b/>
          <w:lang w:val="it-IT"/>
        </w:rPr>
        <w:t xml:space="preserve"> </w:t>
      </w:r>
    </w:p>
    <w:p w:rsidR="00AE762B" w:rsidRPr="00A91E9C" w:rsidRDefault="00AE762B" w:rsidP="006A1C32">
      <w:pPr>
        <w:jc w:val="both"/>
        <w:rPr>
          <w:rFonts w:ascii="Arial" w:hAnsi="Arial" w:cs="Arial"/>
          <w:b/>
          <w:lang w:val="it-IT"/>
        </w:rPr>
      </w:pPr>
    </w:p>
    <w:p w:rsidR="00AE762B" w:rsidRPr="00745ACE" w:rsidRDefault="00AE762B" w:rsidP="004F134E">
      <w:pPr>
        <w:pStyle w:val="ListParagraph"/>
        <w:numPr>
          <w:ilvl w:val="0"/>
          <w:numId w:val="44"/>
        </w:numPr>
        <w:jc w:val="both"/>
        <w:rPr>
          <w:rFonts w:ascii="Trebuchet MS" w:hAnsi="Trebuchet MS" w:cs="Arial"/>
          <w:b/>
          <w:sz w:val="22"/>
          <w:szCs w:val="22"/>
          <w:lang w:val="it-IT"/>
        </w:rPr>
      </w:pPr>
      <w:r w:rsidRPr="00745ACE">
        <w:rPr>
          <w:rFonts w:ascii="Trebuchet MS" w:hAnsi="Trebuchet MS" w:cs="Arial"/>
          <w:b/>
          <w:sz w:val="22"/>
          <w:szCs w:val="22"/>
          <w:lang w:val="it-IT"/>
        </w:rPr>
        <w:t>Indicatori specifici</w:t>
      </w:r>
    </w:p>
    <w:p w:rsidR="00AE762B" w:rsidRPr="00745ACE" w:rsidRDefault="00AE762B" w:rsidP="006A1C32">
      <w:pPr>
        <w:pStyle w:val="ListParagraph"/>
        <w:jc w:val="both"/>
        <w:rPr>
          <w:rFonts w:ascii="Trebuchet MS" w:hAnsi="Trebuchet MS" w:cs="Arial"/>
          <w:b/>
          <w:sz w:val="22"/>
          <w:szCs w:val="22"/>
          <w:lang w:val="it-IT"/>
        </w:rPr>
      </w:pPr>
      <w:r w:rsidRPr="00745ACE">
        <w:rPr>
          <w:rFonts w:ascii="Trebuchet MS" w:hAnsi="Trebuchet MS" w:cs="Arial"/>
          <w:b/>
          <w:sz w:val="22"/>
          <w:szCs w:val="22"/>
          <w:lang w:val="it-IT"/>
        </w:rPr>
        <w:t>Nu este cazul</w:t>
      </w:r>
    </w:p>
    <w:p w:rsidR="00AE762B" w:rsidRPr="00745ACE" w:rsidRDefault="00AE762B" w:rsidP="006A1C32">
      <w:pPr>
        <w:jc w:val="both"/>
        <w:rPr>
          <w:rFonts w:ascii="Trebuchet MS" w:hAnsi="Trebuchet MS" w:cs="Arial"/>
          <w:b/>
          <w:sz w:val="22"/>
          <w:szCs w:val="22"/>
          <w:lang w:val="it-IT"/>
        </w:rPr>
      </w:pPr>
    </w:p>
    <w:p w:rsidR="00AE762B" w:rsidRPr="00745ACE" w:rsidRDefault="00AE762B" w:rsidP="004F134E">
      <w:pPr>
        <w:pStyle w:val="ListParagraph"/>
        <w:numPr>
          <w:ilvl w:val="0"/>
          <w:numId w:val="44"/>
        </w:numPr>
        <w:jc w:val="both"/>
        <w:rPr>
          <w:rFonts w:ascii="Trebuchet MS" w:hAnsi="Trebuchet MS" w:cs="Arial"/>
          <w:b/>
          <w:sz w:val="22"/>
          <w:szCs w:val="22"/>
          <w:lang w:val="it-IT"/>
        </w:rPr>
      </w:pPr>
      <w:r w:rsidRPr="00745ACE">
        <w:rPr>
          <w:rFonts w:ascii="Trebuchet MS" w:hAnsi="Trebuchet MS" w:cs="Arial"/>
          <w:b/>
          <w:sz w:val="22"/>
          <w:szCs w:val="22"/>
          <w:lang w:val="it-IT"/>
        </w:rPr>
        <w:t>Alte date şi informaţii specifice</w:t>
      </w:r>
    </w:p>
    <w:p w:rsidR="00AE762B" w:rsidRPr="00745ACE" w:rsidRDefault="00AE762B" w:rsidP="006A1C32">
      <w:pPr>
        <w:pStyle w:val="ListParagraph"/>
        <w:jc w:val="both"/>
        <w:rPr>
          <w:rFonts w:ascii="Trebuchet MS" w:hAnsi="Trebuchet MS" w:cs="Arial"/>
          <w:b/>
          <w:sz w:val="22"/>
          <w:szCs w:val="22"/>
          <w:lang w:val="it-IT"/>
        </w:rPr>
      </w:pPr>
    </w:p>
    <w:p w:rsidR="00D6236C" w:rsidRPr="00745ACE" w:rsidRDefault="00D6236C" w:rsidP="00D6236C">
      <w:pPr>
        <w:ind w:firstLine="360"/>
        <w:jc w:val="both"/>
        <w:rPr>
          <w:rFonts w:ascii="Trebuchet MS" w:hAnsi="Trebuchet MS" w:cs="Arial"/>
          <w:sz w:val="22"/>
          <w:szCs w:val="22"/>
        </w:rPr>
      </w:pPr>
      <w:r w:rsidRPr="00745ACE">
        <w:rPr>
          <w:rFonts w:ascii="Trebuchet MS" w:hAnsi="Trebuchet MS" w:cs="Arial"/>
          <w:sz w:val="22"/>
          <w:szCs w:val="22"/>
        </w:rPr>
        <w:t>Compartimentul de Evaluare a Factorilor de Risc din Mediul de Viata din cadrul Directiei de Sanatate Publica a Municipiului Bucuresti implementeaza activitatile cuprinse in cadrul obiectivului privind protejarea sanatatii si prevenirea imbolnavirilor asociate factorilor de risc de mediu din cadrul Programului National privind evaluarea starii de sanatate si a factorilor de risc, participa la elaborarea Raportului anual privind starea de sanatate comunitara si colaboreaza cu alte institutii de monitorizare a caror activitate se reflecta in functionalitatea sanitara a oricaror unitati ce pot influenta mediul de viata al populatiei. </w:t>
      </w:r>
    </w:p>
    <w:p w:rsidR="00D6236C" w:rsidRPr="00745ACE" w:rsidRDefault="00D6236C" w:rsidP="00D6236C">
      <w:pPr>
        <w:jc w:val="both"/>
        <w:rPr>
          <w:rFonts w:ascii="Trebuchet MS" w:hAnsi="Trebuchet MS" w:cs="Arial"/>
          <w:sz w:val="22"/>
          <w:szCs w:val="22"/>
        </w:rPr>
      </w:pPr>
    </w:p>
    <w:p w:rsidR="00D6236C" w:rsidRPr="00745ACE" w:rsidRDefault="00D6236C" w:rsidP="00D6236C">
      <w:pPr>
        <w:jc w:val="both"/>
        <w:rPr>
          <w:rFonts w:ascii="Trebuchet MS" w:hAnsi="Trebuchet MS" w:cs="Arial"/>
          <w:b/>
          <w:sz w:val="22"/>
          <w:szCs w:val="22"/>
          <w:u w:val="single"/>
        </w:rPr>
      </w:pPr>
      <w:r w:rsidRPr="00745ACE">
        <w:rPr>
          <w:rFonts w:ascii="Trebuchet MS" w:hAnsi="Trebuchet MS" w:cs="Arial"/>
          <w:b/>
          <w:sz w:val="22"/>
          <w:szCs w:val="22"/>
          <w:u w:val="single"/>
        </w:rPr>
        <w:t>Efectele apei poluate asupra starii de sanatate</w:t>
      </w:r>
    </w:p>
    <w:p w:rsidR="00D6236C" w:rsidRPr="00745ACE" w:rsidRDefault="00D6236C" w:rsidP="00D6236C">
      <w:pPr>
        <w:jc w:val="both"/>
        <w:rPr>
          <w:rFonts w:ascii="Trebuchet MS" w:hAnsi="Trebuchet MS" w:cs="Arial"/>
          <w:sz w:val="22"/>
          <w:szCs w:val="22"/>
        </w:rPr>
      </w:pP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Accesul la apa potabilă este esenţial pentru sănătate, este un drept fundamental al omului şi o componentă activă a politicilor de protejare a sănătăţii.</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Apa este esenţială pentru susţinerea vieţii, iar alimentarea cu apă potabilă trebuie să fie disponibilă pentru toţi. A îmbunătăţi accesul la apa potabilă inseamnă a obţine efecte tangibile pentru sănătate. Apa potabilă, aşa cum este definită de Organizaţia Mondială a Sănătăţii, este apa care consumată de-alungul întregii vieţi nu produce niciun risc semnificativ pentru sănătate. Grupele cu cel mai mare risc la bolile transmise prin intermediul apei sunt reprezentate de nou-nascuţi şi copii, persoanele imunodeprimate, persoanele care trăiesc în condiţii insalube şi persoanele vârstnice.</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O abordare holistică a evaluării şi managementul riscului privind apa potabilă va creşte încrederea consumatorilor în siguranţa apei distribuite. Această abordare necesită o evaluare sistematică a riscurilor de-alungul întregului sistem de aprovizionare cu apă - de la captarea sursei de apă până la consumatorul final, precum şi identificarea modalităţilor prin care aceste riscuri pot fi gestionate, inclusiv a metodelor prin care se asigură funcţionarea efectivă a măsurilor de control. Deasemenea, trebuie să cuprindă strategiile care se ocupă de managementul zilnic al calităţii apei, inclusiv al defecţiunilor apărute.</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Marea majoritate a problemelor de sănătate legate de consumul de apă sunt rezultatul contaminării microbiologice. Totuşi, un număr apreciabil de cazuri de îmbolnăviri se datorează şi contaminării chimice a apei de băut.</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Garantarea siguranţei alimentării cu apă potabilă se bazează pe existenta mai multor bariere, de la captarea surselor de apă până la consumator, necesare prevenirii contaminării apei sau reducerii contaminării până la un nivel care să nu afecteze sănătatea.</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În termeni generali, cele mai mari riscuri microbiene sunt asociate ingestiei de apă contaminate cu materii fecale de origine umană sau animală. Acestea pot fi sursă de germeni patogeni, virusuri, protozoare şi helminţi. Calitatea microbiologică a apei variază adeseori rapid şi pe arii întinse. Un vârf de concentraţie de germeni patogeni chiar pe o perioadă scurtă de timp creşte riscul considerabil de apariţia a epidemiilor hidrice (hepatita virala acuta de tip A, boala diareica acuta, dizenteria, febra tifoida). Mai mult, până când contaminarea microbiană să fie detectată, deja mulţi oameni au fost expuşi apei contaminate. Din aceste motive, pentru asigurarea calităţii microbiologice a apei, conformarea nu trebuie testată numai în punctele finale, ci pe întreg sistemul de distribuţie a apei potabile.</w:t>
      </w:r>
    </w:p>
    <w:p w:rsidR="00D6236C" w:rsidRPr="00745ACE" w:rsidRDefault="00D6236C" w:rsidP="00D6236C">
      <w:pPr>
        <w:jc w:val="both"/>
        <w:rPr>
          <w:rFonts w:ascii="Trebuchet MS" w:hAnsi="Trebuchet MS" w:cs="Arial"/>
          <w:sz w:val="22"/>
          <w:szCs w:val="22"/>
        </w:rPr>
      </w:pPr>
      <w:r w:rsidRPr="00745ACE">
        <w:rPr>
          <w:rFonts w:ascii="Trebuchet MS" w:hAnsi="Trebuchet MS" w:cs="Arial"/>
          <w:sz w:val="22"/>
          <w:szCs w:val="22"/>
        </w:rPr>
        <w:t>Există trei componente în planificarea siguranţei apei de băut:</w:t>
      </w:r>
    </w:p>
    <w:p w:rsidR="00D6236C" w:rsidRPr="00745ACE" w:rsidRDefault="00D6236C" w:rsidP="00D6236C">
      <w:pPr>
        <w:jc w:val="both"/>
        <w:rPr>
          <w:rFonts w:ascii="Trebuchet MS" w:hAnsi="Trebuchet MS" w:cs="Arial"/>
          <w:sz w:val="22"/>
          <w:szCs w:val="22"/>
        </w:rPr>
      </w:pPr>
      <w:r w:rsidRPr="00745ACE">
        <w:rPr>
          <w:rFonts w:ascii="Trebuchet MS" w:hAnsi="Trebuchet MS" w:cs="Arial"/>
          <w:sz w:val="22"/>
          <w:szCs w:val="22"/>
        </w:rPr>
        <w:t>-Managementul siguranţei din punct de vedere microbian a apei potabile, care necesită o evaluare sistemică a pericolelor potenţiale</w:t>
      </w:r>
    </w:p>
    <w:p w:rsidR="00D6236C" w:rsidRPr="00745ACE" w:rsidRDefault="00D6236C" w:rsidP="00D6236C">
      <w:pPr>
        <w:jc w:val="both"/>
        <w:rPr>
          <w:rFonts w:ascii="Trebuchet MS" w:hAnsi="Trebuchet MS" w:cs="Arial"/>
          <w:sz w:val="22"/>
          <w:szCs w:val="22"/>
        </w:rPr>
      </w:pPr>
      <w:r w:rsidRPr="00745ACE">
        <w:rPr>
          <w:rFonts w:ascii="Trebuchet MS" w:hAnsi="Trebuchet MS" w:cs="Arial"/>
          <w:sz w:val="22"/>
          <w:szCs w:val="22"/>
        </w:rPr>
        <w:t>-Identificarea măsurilor de control necesare reducerii ori eliminării pericolelor şi monitorizarea operaţională pentru a se asigura faptul că barierele din interiorul sistemului funcţionează eficient</w:t>
      </w:r>
    </w:p>
    <w:p w:rsidR="00D6236C" w:rsidRPr="00745ACE" w:rsidRDefault="00D6236C" w:rsidP="00D6236C">
      <w:pPr>
        <w:jc w:val="both"/>
        <w:rPr>
          <w:rFonts w:ascii="Trebuchet MS" w:hAnsi="Trebuchet MS" w:cs="Arial"/>
          <w:sz w:val="22"/>
          <w:szCs w:val="22"/>
        </w:rPr>
      </w:pPr>
      <w:r w:rsidRPr="00745ACE">
        <w:rPr>
          <w:rFonts w:ascii="Trebuchet MS" w:hAnsi="Trebuchet MS" w:cs="Arial"/>
          <w:sz w:val="22"/>
          <w:szCs w:val="22"/>
        </w:rPr>
        <w:t>-Dezvoltarea planurilor de gestionare a acţiunilor aplicate atât în condiţii normale de funcţionare, cât şi în situaţii de avarie în sistemul de distribuţie a apei.</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Complementar germenilor patogeni de origine fecală, există şi alte pericole microbiene importante pentru sănătatea publică, cum ar fi de exemplu Dracunculus medinensis, Cyanobacterium şi Legionella. Etapele infecţioase din dezvoltarea multor helminţi, cum ar fi geohelminţii şi teniile, pot fi transmise la om prin intermediul apei de băut. O singură larvă sau un singur ou de parazit este suficient pentru declanşarea bolii, de aceea aceştia trebuie să fie absenţi din apa de băut.</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Dezinfecţia este de o importanţă covârşitoare în potabilizarea apei. Distrugerea germenilor patogeni este esenţială, iar cel mai des agent chimic utilizat este clorul. Dezinfecţia este o barieră eficace pentru mulţi germeni patogeni, facând parte din tratarea atât a apelor de suprafaţă, cât şi a celor de profunzime. Utilizarea dezinfectanţilor chimici la tratarea apei atrage după sine formarea de produşi secundari. Cu toate acestea, riscurile pentru sănătate provocate de aceşti derivaţi secundari sunt cu mult mai reduse în comparaţie cu riscurile asociate unei dezinfecţii insuficiente.</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Preocupările pentru sănătate asociate cu constituenţii chimici ai apei de băut se datorează capacităţii anumitor substanţe chimice de a provoca efecte adverse pe sănătate după lungi perioade de expunere. Puţine substanţe chimice pot conduce la afectarea stării de sănătate după o singură expunere. Mai mult, experienţa arată că în majoritatea incidentelor de contaminare chimică accidentală masivă, apa devine improprie consumului prin gustul, mirosul şi aspectul inacceptabil. De aceea, este mai eficientă concentrarea de resurse pentru acţiuni de remediere prin găsirea şi eliminarea sursei de contaminare, decât instalarea unui proces costisitor de tratare suplimentară de eliminare a acelei substanţe chimice.</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 xml:space="preserve">De exemplu, expunerea la concentraţii mari de fluor poate conduce la pătarea dinţilor, iar în cazurile severe la deformări osoase. În mod similar, arsenicul poate apărea în mod natural în apă, iar expunerea la arsenic poate duce la creşterea semnificativă  a cancerului şi leziunilor dermatologice. Prezenţa nitraţilor şi a nitriţilor în apă a fost asociată cu methemoglobinemia, în special la sugari alimentati artificial cu lapte praf si apa de fantana. In cazurile respective s-au facut recomandari de dezinfectie cu substante clorigene a sursei de apa si/sau folosirea de sisteme locale de filtrare a apei, intretinerea igienica a fantanilor cu pastrarea perimetrului de protectie sanitara, efectuarea de analize periodice de verificare a calitatii apei, utilizarea rationala a ingrasamintelor si pesticidelor in agricultura, precum si interzicerea folosirii apei cu continut crescut de nitrati la prepararea laptelui praf pentru alimentatia sugarilor 0-1 an. </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 xml:space="preserve">Există câteva substanţe chimice care pătrunse în organism odată cu apa au un efect de prevenire a îmbolnăvirilor. Un exemplu este efectul fluorului din apa de băut în combaterea apariţiei cariei dentare. </w:t>
      </w:r>
    </w:p>
    <w:p w:rsidR="00D6236C" w:rsidRPr="00745ACE" w:rsidRDefault="00D6236C" w:rsidP="00D6236C">
      <w:pPr>
        <w:ind w:firstLine="720"/>
        <w:jc w:val="both"/>
        <w:rPr>
          <w:rFonts w:ascii="Trebuchet MS" w:hAnsi="Trebuchet MS" w:cs="Arial"/>
          <w:sz w:val="22"/>
          <w:szCs w:val="22"/>
        </w:rPr>
      </w:pPr>
      <w:r w:rsidRPr="00745ACE">
        <w:rPr>
          <w:rFonts w:ascii="Trebuchet MS" w:hAnsi="Trebuchet MS" w:cs="Arial"/>
          <w:sz w:val="22"/>
          <w:szCs w:val="22"/>
        </w:rPr>
        <w:t>Apa potabilă trebuie să nu aibă gust şi miros inacceptabile pentru majoritatea consumatorilor. La aprecierea calităţii apei de băut, consumatorii se bazează în principal pe propriile simţuri. Constituenţii fizici, chimici şi microbiologici din apă pot modifica aspectul, mirosul şi gustul apei, iar consumatorul va evalua calitatea şi acceptabilitatea apei pe baza acestor criterii. Apariţia unor modificări de aspect, gust sau miros a apei din sistemul de aprovizionare poate semnaliza modificări ale sursei de apă brută ori deficienţe ale proceselor de tratare, schimbări care trebuie investigate imediat.</w:t>
      </w:r>
    </w:p>
    <w:p w:rsidR="00D6236C" w:rsidRPr="00745ACE" w:rsidRDefault="00D6236C" w:rsidP="00D6236C">
      <w:pPr>
        <w:jc w:val="both"/>
        <w:rPr>
          <w:rFonts w:ascii="Trebuchet MS" w:hAnsi="Trebuchet MS" w:cs="Arial"/>
          <w:sz w:val="22"/>
          <w:szCs w:val="22"/>
        </w:rPr>
      </w:pPr>
      <w:r w:rsidRPr="00745ACE">
        <w:rPr>
          <w:rFonts w:ascii="Trebuchet MS" w:hAnsi="Trebuchet MS" w:cs="Arial"/>
          <w:sz w:val="22"/>
          <w:szCs w:val="22"/>
        </w:rPr>
        <w:t>Cea mai importanta schimbare legislativa in domeniul apei potabile o reprezinta Legea 458/2002 (M.O.nr.522/29.07.2002) consolidata in martie 2017 care reprezinta transpunerea Directivei 98/83/CE – Calitatea apei destinate consumului uman. Legea reglementeaza calitatea apei potabile, avand ca obiectiv protectia sanatatii oamenilor impotriva efectelor oricarui tip de contaminare a acesteia, prin asigurarea calitatii ei de apa curata si sanogena.</w:t>
      </w:r>
    </w:p>
    <w:p w:rsidR="00154BF9" w:rsidRPr="00745ACE" w:rsidRDefault="00D6236C" w:rsidP="00D6236C">
      <w:pPr>
        <w:ind w:firstLine="720"/>
        <w:jc w:val="both"/>
        <w:rPr>
          <w:rFonts w:ascii="Trebuchet MS" w:hAnsi="Trebuchet MS"/>
          <w:sz w:val="22"/>
          <w:szCs w:val="22"/>
        </w:rPr>
      </w:pPr>
      <w:r w:rsidRPr="00745ACE">
        <w:rPr>
          <w:rFonts w:ascii="Trebuchet MS" w:hAnsi="Trebuchet MS" w:cs="Arial"/>
          <w:sz w:val="22"/>
          <w:szCs w:val="22"/>
        </w:rPr>
        <w:t>Începând cu anul 2000, pentru o perioadă de 25 ani, Apa Nova Bucureşti este concesionarul serviciilor publice de alimentare cu apă si de canalizare din Municipiul Bucureşti. Obiectul său principal de activitate este gestiunea resurselor de apă, tratarea si distribuirea apei către populaţie, precum şi evacuarea apelor uzate</w:t>
      </w:r>
      <w:r w:rsidRPr="00745ACE">
        <w:rPr>
          <w:rFonts w:ascii="Trebuchet MS" w:hAnsi="Trebuchet MS"/>
          <w:sz w:val="22"/>
          <w:szCs w:val="22"/>
        </w:rPr>
        <w:t>.</w:t>
      </w:r>
    </w:p>
    <w:p w:rsidR="00154BF9" w:rsidRPr="00745ACE" w:rsidRDefault="00154BF9">
      <w:pPr>
        <w:rPr>
          <w:rFonts w:ascii="Trebuchet MS" w:hAnsi="Trebuchet MS"/>
          <w:sz w:val="22"/>
          <w:szCs w:val="22"/>
        </w:rPr>
      </w:pPr>
      <w:r w:rsidRPr="00745ACE">
        <w:rPr>
          <w:rFonts w:ascii="Trebuchet MS" w:hAnsi="Trebuchet MS"/>
          <w:sz w:val="22"/>
          <w:szCs w:val="22"/>
        </w:rPr>
        <w:br w:type="page"/>
      </w:r>
    </w:p>
    <w:p w:rsidR="00D6236C" w:rsidRDefault="00D6236C" w:rsidP="00D6236C">
      <w:pPr>
        <w:ind w:firstLine="720"/>
        <w:jc w:val="both"/>
      </w:pPr>
    </w:p>
    <w:p w:rsidR="00436BA3" w:rsidRPr="00745ACE" w:rsidRDefault="00436BA3" w:rsidP="00436BA3">
      <w:pPr>
        <w:rPr>
          <w:rFonts w:ascii="Trebuchet MS" w:eastAsiaTheme="minorHAnsi" w:hAnsi="Trebuchet MS" w:cs="Arial"/>
          <w:b/>
          <w:bCs/>
          <w:sz w:val="22"/>
          <w:szCs w:val="22"/>
          <w:lang w:val="en-US"/>
        </w:rPr>
      </w:pPr>
      <w:r w:rsidRPr="00745ACE">
        <w:rPr>
          <w:rFonts w:ascii="Trebuchet MS" w:hAnsi="Trebuchet MS" w:cs="Arial"/>
          <w:b/>
          <w:bCs/>
          <w:sz w:val="22"/>
          <w:szCs w:val="22"/>
        </w:rPr>
        <w:t>RAPORT AL CALITĂȚII APEI POTABILE MUN. BUCUREȘTI furn</w:t>
      </w:r>
      <w:r w:rsidR="00A91E9C" w:rsidRPr="00745ACE">
        <w:rPr>
          <w:rFonts w:ascii="Trebuchet MS" w:hAnsi="Trebuchet MS" w:cs="Arial"/>
          <w:b/>
          <w:bCs/>
          <w:sz w:val="22"/>
          <w:szCs w:val="22"/>
        </w:rPr>
        <w:t>izat de DSP București- anul 2023</w:t>
      </w:r>
    </w:p>
    <w:p w:rsidR="00436BA3" w:rsidRPr="00745ACE" w:rsidRDefault="00436BA3" w:rsidP="00436BA3">
      <w:pPr>
        <w:rPr>
          <w:rFonts w:ascii="Trebuchet MS" w:hAnsi="Trebuchet MS" w:cs="Arial"/>
          <w:sz w:val="22"/>
          <w:szCs w:val="22"/>
        </w:rPr>
      </w:pPr>
    </w:p>
    <w:p w:rsidR="00A91E9C" w:rsidRPr="00745ACE" w:rsidRDefault="00A91E9C" w:rsidP="00A91E9C">
      <w:pPr>
        <w:pStyle w:val="NoSpacing"/>
        <w:jc w:val="both"/>
        <w:rPr>
          <w:rFonts w:ascii="Trebuchet MS" w:hAnsi="Trebuchet MS"/>
        </w:rPr>
      </w:pPr>
      <w:r w:rsidRPr="00745ACE">
        <w:rPr>
          <w:rFonts w:ascii="Trebuchet MS" w:hAnsi="Trebuchet MS"/>
          <w:b/>
          <w:u w:val="single"/>
        </w:rPr>
        <w:t>Supravegherea calității apei potabile distribuite în sistem centralizat în zonele de aprovizionare mari</w:t>
      </w:r>
      <w:r w:rsidRPr="00745ACE">
        <w:rPr>
          <w:rFonts w:ascii="Trebuchet MS" w:hAnsi="Trebuchet MS"/>
        </w:rPr>
        <w:t xml:space="preserve"> </w:t>
      </w:r>
    </w:p>
    <w:p w:rsidR="00A91E9C" w:rsidRPr="00745ACE" w:rsidRDefault="00A91E9C" w:rsidP="00A91E9C">
      <w:pPr>
        <w:pStyle w:val="NoSpacing"/>
        <w:ind w:right="42"/>
        <w:jc w:val="both"/>
        <w:rPr>
          <w:rFonts w:ascii="Trebuchet MS" w:hAnsi="Trebuchet MS"/>
        </w:rPr>
      </w:pPr>
      <w:r w:rsidRPr="00745ACE">
        <w:rPr>
          <w:rFonts w:ascii="Trebuchet MS" w:hAnsi="Trebuchet MS"/>
        </w:rPr>
        <w:t xml:space="preserve">     Surse de apă captate pentru potabilizare în sistemul centralizat de apă potabilă :  </w:t>
      </w:r>
    </w:p>
    <w:p w:rsidR="00A91E9C" w:rsidRPr="00745ACE" w:rsidRDefault="00A91E9C" w:rsidP="00A91E9C">
      <w:pPr>
        <w:pStyle w:val="NoSpacing"/>
        <w:ind w:right="42"/>
        <w:jc w:val="both"/>
        <w:rPr>
          <w:rFonts w:ascii="Trebuchet MS" w:hAnsi="Trebuchet MS"/>
        </w:rPr>
      </w:pPr>
      <w:r w:rsidRPr="00745ACE">
        <w:rPr>
          <w:rFonts w:ascii="Trebuchet MS" w:hAnsi="Trebuchet MS"/>
        </w:rPr>
        <w:t xml:space="preserve">           1. Râul Dâmboviţa, prin staţia de tratare </w:t>
      </w:r>
      <w:r w:rsidRPr="00745ACE">
        <w:rPr>
          <w:rFonts w:ascii="Trebuchet MS" w:hAnsi="Trebuchet MS"/>
          <w:b/>
        </w:rPr>
        <w:t>Arcuda</w:t>
      </w:r>
    </w:p>
    <w:p w:rsidR="00A91E9C" w:rsidRPr="00745ACE" w:rsidRDefault="00A91E9C" w:rsidP="00A91E9C">
      <w:pPr>
        <w:jc w:val="both"/>
        <w:rPr>
          <w:rFonts w:ascii="Trebuchet MS" w:hAnsi="Trebuchet MS"/>
          <w:sz w:val="22"/>
          <w:szCs w:val="22"/>
        </w:rPr>
      </w:pPr>
      <w:r w:rsidRPr="00745ACE">
        <w:rPr>
          <w:rFonts w:ascii="Trebuchet MS" w:hAnsi="Trebuchet MS"/>
          <w:sz w:val="22"/>
          <w:szCs w:val="22"/>
        </w:rPr>
        <w:t xml:space="preserve">           2. Râul Argeş, prin staţiile de tratare </w:t>
      </w:r>
      <w:r w:rsidRPr="00745ACE">
        <w:rPr>
          <w:rFonts w:ascii="Trebuchet MS" w:hAnsi="Trebuchet MS"/>
          <w:b/>
          <w:sz w:val="22"/>
          <w:szCs w:val="22"/>
        </w:rPr>
        <w:t>Roşu şi Crivina</w:t>
      </w:r>
      <w:r w:rsidRPr="00745ACE">
        <w:rPr>
          <w:rFonts w:ascii="Trebuchet MS" w:hAnsi="Trebuchet MS"/>
          <w:sz w:val="22"/>
          <w:szCs w:val="22"/>
        </w:rPr>
        <w:t xml:space="preserve"> </w:t>
      </w:r>
    </w:p>
    <w:p w:rsidR="00A91E9C" w:rsidRPr="00745ACE" w:rsidRDefault="00A91E9C" w:rsidP="00A91E9C">
      <w:pPr>
        <w:jc w:val="both"/>
        <w:rPr>
          <w:rFonts w:ascii="Trebuchet MS" w:hAnsi="Trebuchet MS"/>
          <w:sz w:val="22"/>
          <w:szCs w:val="22"/>
        </w:rPr>
      </w:pPr>
      <w:r w:rsidRPr="00745ACE">
        <w:rPr>
          <w:rFonts w:ascii="Trebuchet MS" w:hAnsi="Trebuchet MS"/>
          <w:sz w:val="22"/>
          <w:szCs w:val="22"/>
        </w:rPr>
        <w:tab/>
        <w:t xml:space="preserve">Direcția de Sănătate Publică a Municipiului București efectuează monitorizarea de audit a calității apei, conform HG 971/2023 </w:t>
      </w:r>
      <w:r w:rsidRPr="00745ACE">
        <w:rPr>
          <w:rFonts w:ascii="Trebuchet MS" w:hAnsi="Trebuchet MS"/>
          <w:bCs/>
          <w:sz w:val="22"/>
          <w:szCs w:val="22"/>
        </w:rPr>
        <w:t>pentru aprobarea Normelor de supraveghere, monitorizare și inspecție sanitară a calității apei potabile și Ordonanța 7/2023 privind calitatea apei destinate consumului uman.</w:t>
      </w:r>
    </w:p>
    <w:p w:rsidR="00A91E9C" w:rsidRPr="00745ACE" w:rsidRDefault="00A91E9C" w:rsidP="00A91E9C">
      <w:pPr>
        <w:jc w:val="both"/>
        <w:rPr>
          <w:rFonts w:ascii="Trebuchet MS" w:hAnsi="Trebuchet MS"/>
          <w:sz w:val="22"/>
          <w:szCs w:val="22"/>
        </w:rPr>
      </w:pPr>
      <w:r w:rsidRPr="00745ACE">
        <w:rPr>
          <w:rFonts w:ascii="Trebuchet MS" w:hAnsi="Trebuchet MS"/>
          <w:sz w:val="22"/>
          <w:szCs w:val="22"/>
        </w:rPr>
        <w:tab/>
        <w:t>La nivelul rețelei de distribuție a Municipiul București, calitatea apei potabile distribuite consumatorilor, a fost monitorizată prin prelevarea de probe din 55 puncte de recoltare, stabilite împreuna cu reprezentanții producătorului/distribuitorului de apă potabilă SC. APA NOVA BUCUREȘTI SA.</w:t>
      </w:r>
    </w:p>
    <w:p w:rsidR="00A91E9C" w:rsidRPr="00745ACE" w:rsidRDefault="00A91E9C" w:rsidP="00A91E9C">
      <w:pPr>
        <w:jc w:val="both"/>
        <w:rPr>
          <w:rFonts w:ascii="Trebuchet MS" w:hAnsi="Trebuchet MS"/>
          <w:b/>
          <w:sz w:val="22"/>
          <w:szCs w:val="22"/>
        </w:rPr>
      </w:pPr>
      <w:r w:rsidRPr="00745ACE">
        <w:rPr>
          <w:rFonts w:ascii="Trebuchet MS" w:hAnsi="Trebuchet MS"/>
          <w:sz w:val="22"/>
          <w:szCs w:val="22"/>
        </w:rPr>
        <w:tab/>
        <w:t xml:space="preserve"> Aceste puncte fixe de recoltă sunt răspândite uniform pe toată suprafața Mun Bucuresti, fiind ușor accesibile, plasate în zone publice cu acces liber pentru  reprezentanții Direcției de Sănătate Publică a Mun. București și a Laboratorului de Calitate a apei din cadrul SC.Apa Nova Bucuresti SA. Orice modificare a compoziției apei, față de normele stabilite prin legislația in vigoare – Legea nr. 458/2002  actualizată, poate constitui un risc asupra sănătății celor ce o consuma sau o folosesc si de aceea pentru prevenirea îmbolnavirilor datorate unei (eventuale) încărcături bacteriologice din apa de băut, s-a urmarit intens prezența clorului rezidual liber în apa prelucrată si distribuită consumatorilor, acesta fiind un element care atestă efectuarea dezinfecției apei și un element de rezervă pentru a acționa la nevoie pe traseul rețelei de distribuție. Prezența clorului în apa potabilă oferâ un grad de protecție împotriva germenilor patogeni care ar putea ajunge ocazional în rețea și de aici  spre paharul consumatorilor.</w:t>
      </w:r>
    </w:p>
    <w:p w:rsidR="00A91E9C" w:rsidRPr="00745ACE" w:rsidRDefault="00A91E9C" w:rsidP="00A91E9C">
      <w:pPr>
        <w:jc w:val="both"/>
        <w:rPr>
          <w:rFonts w:ascii="Trebuchet MS" w:hAnsi="Trebuchet MS"/>
          <w:b/>
          <w:sz w:val="22"/>
          <w:szCs w:val="22"/>
        </w:rPr>
      </w:pPr>
      <w:r w:rsidRPr="00745ACE">
        <w:rPr>
          <w:rFonts w:ascii="Trebuchet MS" w:hAnsi="Trebuchet MS"/>
          <w:sz w:val="22"/>
          <w:szCs w:val="22"/>
        </w:rPr>
        <w:tab/>
        <w:t xml:space="preserve">S-a urmarit de asemenea modificarea parametrilor bacteriologici, chimici și indicatori. </w:t>
      </w:r>
      <w:r w:rsidRPr="00745ACE">
        <w:rPr>
          <w:rFonts w:ascii="Trebuchet MS" w:hAnsi="Trebuchet MS"/>
          <w:sz w:val="22"/>
          <w:szCs w:val="22"/>
        </w:rPr>
        <w:tab/>
      </w:r>
    </w:p>
    <w:p w:rsidR="00A91E9C" w:rsidRPr="00745ACE" w:rsidRDefault="00A91E9C" w:rsidP="00A91E9C">
      <w:pPr>
        <w:ind w:right="42" w:firstLine="567"/>
        <w:jc w:val="both"/>
        <w:rPr>
          <w:rFonts w:ascii="Trebuchet MS" w:hAnsi="Trebuchet MS"/>
          <w:b/>
          <w:i/>
          <w:sz w:val="22"/>
          <w:szCs w:val="22"/>
          <w:lang w:val="fr-FR"/>
        </w:rPr>
      </w:pPr>
      <w:r w:rsidRPr="00745ACE">
        <w:rPr>
          <w:rFonts w:ascii="Trebuchet MS" w:hAnsi="Trebuchet MS"/>
          <w:b/>
          <w:i/>
          <w:sz w:val="22"/>
          <w:szCs w:val="22"/>
          <w:lang w:val="fr-FR"/>
        </w:rPr>
        <w:t xml:space="preserve">Probele de apă recoltate în anul 2023 de la cele 3 stațiile de tratare și din punctele fixe ale rețelei publice ( 6 zone de aprovizionare : sector 1, sector 2, sector 3, sector 4, sector 5, sector 6) au demonstrat potabilitatea apei distribuite populației de către SC APA NOVA BUCUREȘTI SA. </w:t>
      </w:r>
    </w:p>
    <w:p w:rsidR="00A91E9C" w:rsidRPr="00745ACE" w:rsidRDefault="00A91E9C" w:rsidP="00A91E9C">
      <w:pPr>
        <w:ind w:right="42" w:firstLine="567"/>
        <w:jc w:val="both"/>
        <w:rPr>
          <w:rFonts w:ascii="Trebuchet MS" w:hAnsi="Trebuchet MS"/>
          <w:b/>
          <w:i/>
          <w:sz w:val="22"/>
          <w:szCs w:val="22"/>
          <w:lang w:val="fr-FR"/>
        </w:rPr>
      </w:pPr>
    </w:p>
    <w:p w:rsidR="00A91E9C" w:rsidRPr="00745ACE" w:rsidRDefault="00A91E9C" w:rsidP="00A91E9C">
      <w:pPr>
        <w:ind w:right="42" w:firstLine="567"/>
        <w:jc w:val="both"/>
        <w:rPr>
          <w:rFonts w:ascii="Trebuchet MS" w:hAnsi="Trebuchet MS"/>
          <w:b/>
          <w:i/>
          <w:sz w:val="22"/>
          <w:szCs w:val="22"/>
          <w:lang w:val="fr-FR"/>
        </w:rPr>
      </w:pPr>
    </w:p>
    <w:p w:rsidR="00A91E9C" w:rsidRPr="00745ACE" w:rsidRDefault="00A91E9C" w:rsidP="00A91E9C">
      <w:pPr>
        <w:pStyle w:val="NoSpacing"/>
        <w:jc w:val="both"/>
        <w:rPr>
          <w:rFonts w:ascii="Trebuchet MS" w:hAnsi="Trebuchet MS"/>
          <w:b/>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8"/>
        <w:gridCol w:w="1620"/>
        <w:gridCol w:w="1620"/>
        <w:gridCol w:w="2250"/>
      </w:tblGrid>
      <w:tr w:rsidR="00A91E9C" w:rsidRPr="00745ACE" w:rsidTr="00913BC5">
        <w:trPr>
          <w:trHeight w:val="1070"/>
        </w:trPr>
        <w:tc>
          <w:tcPr>
            <w:tcW w:w="3258" w:type="dxa"/>
            <w:vAlign w:val="center"/>
          </w:tcPr>
          <w:p w:rsidR="00A91E9C" w:rsidRPr="00745ACE" w:rsidRDefault="00A91E9C" w:rsidP="00913BC5">
            <w:pPr>
              <w:jc w:val="both"/>
              <w:rPr>
                <w:rFonts w:ascii="Trebuchet MS" w:hAnsi="Trebuchet MS"/>
                <w:b/>
                <w:sz w:val="22"/>
                <w:szCs w:val="22"/>
              </w:rPr>
            </w:pPr>
            <w:r w:rsidRPr="00745ACE">
              <w:rPr>
                <w:rFonts w:ascii="Trebuchet MS" w:hAnsi="Trebuchet MS"/>
                <w:b/>
                <w:sz w:val="22"/>
                <w:szCs w:val="22"/>
              </w:rPr>
              <w:t>Parametrul</w:t>
            </w:r>
          </w:p>
        </w:tc>
        <w:tc>
          <w:tcPr>
            <w:tcW w:w="1620" w:type="dxa"/>
            <w:vAlign w:val="center"/>
          </w:tcPr>
          <w:p w:rsidR="00A91E9C" w:rsidRPr="00745ACE" w:rsidRDefault="00A91E9C" w:rsidP="00913BC5">
            <w:pPr>
              <w:jc w:val="both"/>
              <w:rPr>
                <w:rFonts w:ascii="Trebuchet MS" w:hAnsi="Trebuchet MS"/>
                <w:b/>
                <w:sz w:val="22"/>
                <w:szCs w:val="22"/>
              </w:rPr>
            </w:pPr>
            <w:r w:rsidRPr="00745ACE">
              <w:rPr>
                <w:rFonts w:ascii="Trebuchet MS" w:hAnsi="Trebuchet MS"/>
                <w:b/>
                <w:sz w:val="22"/>
                <w:szCs w:val="22"/>
              </w:rPr>
              <w:t>Numar total ZAP mari monitorizate</w:t>
            </w:r>
          </w:p>
        </w:tc>
        <w:tc>
          <w:tcPr>
            <w:tcW w:w="1620" w:type="dxa"/>
            <w:vAlign w:val="center"/>
          </w:tcPr>
          <w:p w:rsidR="00A91E9C" w:rsidRPr="00745ACE" w:rsidRDefault="00A91E9C" w:rsidP="00913BC5">
            <w:pPr>
              <w:jc w:val="both"/>
              <w:rPr>
                <w:rFonts w:ascii="Trebuchet MS" w:hAnsi="Trebuchet MS"/>
                <w:b/>
                <w:sz w:val="22"/>
                <w:szCs w:val="22"/>
              </w:rPr>
            </w:pPr>
            <w:r w:rsidRPr="00745ACE">
              <w:rPr>
                <w:rFonts w:ascii="Trebuchet MS" w:hAnsi="Trebuchet MS"/>
                <w:b/>
                <w:sz w:val="22"/>
                <w:szCs w:val="22"/>
              </w:rPr>
              <w:t>Numar total ZAP mari monitorizate neconforme</w:t>
            </w:r>
          </w:p>
        </w:tc>
        <w:tc>
          <w:tcPr>
            <w:tcW w:w="2250" w:type="dxa"/>
            <w:vAlign w:val="center"/>
          </w:tcPr>
          <w:p w:rsidR="00A91E9C" w:rsidRPr="00745ACE" w:rsidRDefault="00A91E9C" w:rsidP="00913BC5">
            <w:pPr>
              <w:jc w:val="both"/>
              <w:rPr>
                <w:rFonts w:ascii="Trebuchet MS" w:hAnsi="Trebuchet MS"/>
                <w:b/>
                <w:sz w:val="22"/>
                <w:szCs w:val="22"/>
              </w:rPr>
            </w:pPr>
            <w:r w:rsidRPr="00745ACE">
              <w:rPr>
                <w:rFonts w:ascii="Trebuchet MS" w:hAnsi="Trebuchet MS"/>
                <w:b/>
                <w:sz w:val="22"/>
                <w:szCs w:val="22"/>
              </w:rPr>
              <w:t>Nr.total analize ef. DSP- Monit. Audit (MA)</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Escherichia coli (E.coli)</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1778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Enterococci</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1778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Bor</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Cadmiu</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89</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Crom total</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89</w:t>
            </w:r>
          </w:p>
        </w:tc>
      </w:tr>
      <w:tr w:rsidR="00A91E9C" w:rsidRPr="00745ACE" w:rsidTr="00913BC5">
        <w:trPr>
          <w:trHeight w:val="350"/>
        </w:trPr>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Cupru</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89</w:t>
            </w:r>
          </w:p>
        </w:tc>
      </w:tr>
      <w:tr w:rsidR="00A91E9C" w:rsidRPr="00745ACE" w:rsidTr="00913BC5">
        <w:trPr>
          <w:trHeight w:val="350"/>
        </w:trPr>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Nichel</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rPr>
          <w:trHeight w:val="350"/>
        </w:trPr>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Aluminiu</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47</w:t>
            </w:r>
          </w:p>
        </w:tc>
      </w:tr>
      <w:tr w:rsidR="00A91E9C" w:rsidRPr="00745ACE" w:rsidTr="00913BC5">
        <w:trPr>
          <w:trHeight w:val="350"/>
        </w:trPr>
        <w:tc>
          <w:tcPr>
            <w:tcW w:w="3258" w:type="dxa"/>
            <w:vAlign w:val="center"/>
          </w:tcPr>
          <w:p w:rsidR="00A91E9C" w:rsidRPr="00745ACE" w:rsidRDefault="00A91E9C" w:rsidP="00913BC5">
            <w:pPr>
              <w:jc w:val="both"/>
              <w:rPr>
                <w:rFonts w:ascii="Trebuchet MS" w:hAnsi="Trebuchet MS"/>
                <w:sz w:val="22"/>
                <w:szCs w:val="22"/>
                <w:lang w:val="en-US"/>
              </w:rPr>
            </w:pPr>
            <w:r w:rsidRPr="00745ACE">
              <w:rPr>
                <w:rFonts w:ascii="Trebuchet MS" w:hAnsi="Trebuchet MS"/>
                <w:sz w:val="22"/>
                <w:szCs w:val="22"/>
                <w:lang w:val="en-US"/>
              </w:rPr>
              <w:t>HAP</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rPr>
          <w:trHeight w:val="350"/>
        </w:trPr>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Benzpiren</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1,2-dicloretan</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Fluoruri</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Plumb</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89</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Nitrati</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Nitriti la iesire din statia de tratare</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42</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Nitriti in reteaua de distributie</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49</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Nitrati/nitriti formula</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 </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 </w:t>
            </w:r>
          </w:p>
        </w:tc>
        <w:tc>
          <w:tcPr>
            <w:tcW w:w="2250" w:type="dxa"/>
            <w:vAlign w:val="center"/>
          </w:tcPr>
          <w:p w:rsidR="00A91E9C" w:rsidRPr="00745ACE" w:rsidRDefault="00A91E9C" w:rsidP="00913BC5">
            <w:pPr>
              <w:jc w:val="both"/>
              <w:rPr>
                <w:rFonts w:ascii="Trebuchet MS" w:hAnsi="Trebuchet MS"/>
                <w:sz w:val="22"/>
                <w:szCs w:val="22"/>
              </w:rPr>
            </w:pP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Pesticide – Total</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Tetracloretena si Tricloretena</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Trihalometani – Total</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Amoniu</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Cloruri</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Clor rezidual liber la capăt de reţea</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1780</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Alt parametru reprezentativ pentru procesul de dezinfecţie (clor rezidual total)</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1780</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Clostridium perfringens(specia,inclusiv sporii)</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87</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Conductivitate</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pH</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Fier</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89</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Mangan</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89</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Bacterii Coliforme</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1778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Doza efectivă totală de referinţă</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74</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Doza efectivă anuală calculată (Ra</w:t>
            </w:r>
            <w:r w:rsidRPr="00745ACE">
              <w:rPr>
                <w:rFonts w:ascii="Trebuchet MS" w:hAnsi="Trebuchet MS"/>
                <w:sz w:val="22"/>
                <w:szCs w:val="22"/>
                <w:vertAlign w:val="subscript"/>
              </w:rPr>
              <w:t xml:space="preserve">226, </w:t>
            </w:r>
            <w:r w:rsidRPr="00745ACE">
              <w:rPr>
                <w:rFonts w:ascii="Trebuchet MS" w:hAnsi="Trebuchet MS"/>
                <w:sz w:val="22"/>
                <w:szCs w:val="22"/>
              </w:rPr>
              <w:t>Po210, Sr90, Cs137)</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3</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Culoare</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 xml:space="preserve">Număr de colonii la 22grd.C </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87</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 xml:space="preserve">Număr de colonii la 37grd.C </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87</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Carbon Organic Total (COT)</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Turbiditate</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Activitatea Alfa Globală</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74</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Activitatea Beta Globală</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74</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 xml:space="preserve">Radon </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Duritate totală</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91</w:t>
            </w:r>
          </w:p>
        </w:tc>
      </w:tr>
      <w:tr w:rsidR="00A91E9C" w:rsidRPr="00745ACE" w:rsidTr="00913BC5">
        <w:tc>
          <w:tcPr>
            <w:tcW w:w="3258"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Sulfat</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6</w:t>
            </w:r>
          </w:p>
        </w:tc>
        <w:tc>
          <w:tcPr>
            <w:tcW w:w="162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0</w:t>
            </w:r>
          </w:p>
        </w:tc>
        <w:tc>
          <w:tcPr>
            <w:tcW w:w="2250" w:type="dxa"/>
            <w:vAlign w:val="center"/>
          </w:tcPr>
          <w:p w:rsidR="00A91E9C" w:rsidRPr="00745ACE" w:rsidRDefault="00A91E9C" w:rsidP="00913BC5">
            <w:pPr>
              <w:jc w:val="both"/>
              <w:rPr>
                <w:rFonts w:ascii="Trebuchet MS" w:hAnsi="Trebuchet MS"/>
                <w:sz w:val="22"/>
                <w:szCs w:val="22"/>
              </w:rPr>
            </w:pPr>
            <w:r w:rsidRPr="00745ACE">
              <w:rPr>
                <w:rFonts w:ascii="Trebuchet MS" w:hAnsi="Trebuchet MS"/>
                <w:sz w:val="22"/>
                <w:szCs w:val="22"/>
              </w:rPr>
              <w:t>88</w:t>
            </w:r>
          </w:p>
        </w:tc>
      </w:tr>
    </w:tbl>
    <w:p w:rsidR="00A91E9C" w:rsidRPr="00745ACE" w:rsidRDefault="00A91E9C" w:rsidP="00A91E9C">
      <w:pPr>
        <w:pStyle w:val="NoSpacing"/>
        <w:ind w:left="360"/>
        <w:jc w:val="both"/>
        <w:rPr>
          <w:rFonts w:ascii="Trebuchet MS" w:hAnsi="Trebuchet MS"/>
          <w:i/>
        </w:rPr>
      </w:pPr>
    </w:p>
    <w:p w:rsidR="00A91E9C" w:rsidRPr="00745ACE" w:rsidRDefault="00A91E9C" w:rsidP="00A91E9C">
      <w:pPr>
        <w:pStyle w:val="NoSpacing"/>
        <w:ind w:left="360"/>
        <w:jc w:val="both"/>
        <w:rPr>
          <w:rFonts w:ascii="Trebuchet MS" w:hAnsi="Trebuchet MS"/>
          <w:i/>
        </w:rPr>
      </w:pPr>
    </w:p>
    <w:p w:rsidR="00A91E9C" w:rsidRPr="00745ACE" w:rsidRDefault="00A91E9C" w:rsidP="00A91E9C">
      <w:pPr>
        <w:ind w:right="42" w:firstLine="567"/>
        <w:jc w:val="both"/>
        <w:rPr>
          <w:rFonts w:ascii="Trebuchet MS" w:hAnsi="Trebuchet MS"/>
          <w:sz w:val="22"/>
          <w:szCs w:val="22"/>
          <w:lang w:val="fr-FR"/>
        </w:rPr>
      </w:pPr>
      <w:r w:rsidRPr="00745ACE">
        <w:rPr>
          <w:rFonts w:ascii="Trebuchet MS" w:hAnsi="Trebuchet MS"/>
          <w:b/>
          <w:sz w:val="22"/>
          <w:szCs w:val="22"/>
        </w:rPr>
        <w:t>Procentajul probelor neconforme recoltate de la nivelul statiilor de tratare</w:t>
      </w:r>
    </w:p>
    <w:tbl>
      <w:tblPr>
        <w:tblW w:w="93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410"/>
        <w:gridCol w:w="2242"/>
        <w:gridCol w:w="2856"/>
        <w:gridCol w:w="2800"/>
      </w:tblGrid>
      <w:tr w:rsidR="00A91E9C" w:rsidRPr="00745ACE" w:rsidTr="00913BC5">
        <w:tc>
          <w:tcPr>
            <w:tcW w:w="1410" w:type="dxa"/>
            <w:shd w:val="clear" w:color="auto" w:fill="auto"/>
          </w:tcPr>
          <w:p w:rsidR="00A91E9C" w:rsidRPr="00745ACE" w:rsidRDefault="00A91E9C" w:rsidP="00913BC5">
            <w:pPr>
              <w:ind w:right="42" w:firstLine="567"/>
              <w:jc w:val="both"/>
              <w:rPr>
                <w:rFonts w:ascii="Trebuchet MS" w:hAnsi="Trebuchet MS"/>
                <w:sz w:val="22"/>
                <w:szCs w:val="22"/>
              </w:rPr>
            </w:pPr>
            <w:r w:rsidRPr="00745ACE">
              <w:rPr>
                <w:rFonts w:ascii="Trebuchet MS" w:hAnsi="Trebuchet MS"/>
                <w:sz w:val="22"/>
                <w:szCs w:val="22"/>
              </w:rPr>
              <w:t>Anul</w:t>
            </w:r>
          </w:p>
        </w:tc>
        <w:tc>
          <w:tcPr>
            <w:tcW w:w="2242" w:type="dxa"/>
            <w:shd w:val="clear" w:color="auto" w:fill="auto"/>
          </w:tcPr>
          <w:p w:rsidR="00A91E9C" w:rsidRPr="00745ACE" w:rsidRDefault="00A91E9C" w:rsidP="00913BC5">
            <w:pPr>
              <w:ind w:right="42" w:firstLine="567"/>
              <w:jc w:val="both"/>
              <w:rPr>
                <w:rFonts w:ascii="Trebuchet MS" w:hAnsi="Trebuchet MS"/>
                <w:sz w:val="22"/>
                <w:szCs w:val="22"/>
              </w:rPr>
            </w:pPr>
            <w:r w:rsidRPr="00745ACE">
              <w:rPr>
                <w:rFonts w:ascii="Trebuchet MS" w:hAnsi="Trebuchet MS"/>
                <w:sz w:val="22"/>
                <w:szCs w:val="22"/>
              </w:rPr>
              <w:t>Nr. total probe   recoltate</w:t>
            </w:r>
          </w:p>
        </w:tc>
        <w:tc>
          <w:tcPr>
            <w:tcW w:w="2856" w:type="dxa"/>
            <w:shd w:val="clear" w:color="auto" w:fill="auto"/>
          </w:tcPr>
          <w:p w:rsidR="00A91E9C" w:rsidRPr="00745ACE" w:rsidRDefault="00A91E9C" w:rsidP="00913BC5">
            <w:pPr>
              <w:ind w:right="42" w:firstLine="567"/>
              <w:jc w:val="both"/>
              <w:rPr>
                <w:rFonts w:ascii="Trebuchet MS" w:hAnsi="Trebuchet MS"/>
                <w:sz w:val="22"/>
                <w:szCs w:val="22"/>
              </w:rPr>
            </w:pPr>
            <w:r w:rsidRPr="00745ACE">
              <w:rPr>
                <w:rFonts w:ascii="Trebuchet MS" w:hAnsi="Trebuchet MS"/>
                <w:sz w:val="22"/>
                <w:szCs w:val="22"/>
              </w:rPr>
              <w:t>Necorespunzatoare chimic și indicatori(%)</w:t>
            </w:r>
          </w:p>
          <w:p w:rsidR="00A91E9C" w:rsidRPr="00745ACE" w:rsidRDefault="00A91E9C" w:rsidP="00913BC5">
            <w:pPr>
              <w:ind w:right="42" w:firstLine="567"/>
              <w:jc w:val="both"/>
              <w:rPr>
                <w:rFonts w:ascii="Trebuchet MS" w:hAnsi="Trebuchet MS"/>
                <w:sz w:val="22"/>
                <w:szCs w:val="22"/>
              </w:rPr>
            </w:pPr>
          </w:p>
        </w:tc>
        <w:tc>
          <w:tcPr>
            <w:tcW w:w="2800" w:type="dxa"/>
            <w:shd w:val="clear" w:color="auto" w:fill="auto"/>
          </w:tcPr>
          <w:p w:rsidR="00A91E9C" w:rsidRPr="00745ACE" w:rsidRDefault="00A91E9C" w:rsidP="00913BC5">
            <w:pPr>
              <w:ind w:right="42" w:firstLine="567"/>
              <w:jc w:val="both"/>
              <w:rPr>
                <w:rFonts w:ascii="Trebuchet MS" w:hAnsi="Trebuchet MS"/>
                <w:sz w:val="22"/>
                <w:szCs w:val="22"/>
              </w:rPr>
            </w:pPr>
            <w:r w:rsidRPr="00745ACE">
              <w:rPr>
                <w:rFonts w:ascii="Trebuchet MS" w:hAnsi="Trebuchet MS"/>
                <w:sz w:val="22"/>
                <w:szCs w:val="22"/>
              </w:rPr>
              <w:t>Necorespunzatoare      bacteriologic (%)</w:t>
            </w:r>
          </w:p>
        </w:tc>
      </w:tr>
      <w:tr w:rsidR="00A91E9C" w:rsidRPr="00745ACE" w:rsidTr="00913BC5">
        <w:trPr>
          <w:trHeight w:val="360"/>
        </w:trPr>
        <w:tc>
          <w:tcPr>
            <w:tcW w:w="141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2018</w:t>
            </w:r>
          </w:p>
        </w:tc>
        <w:tc>
          <w:tcPr>
            <w:tcW w:w="224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134</w:t>
            </w:r>
          </w:p>
        </w:tc>
        <w:tc>
          <w:tcPr>
            <w:tcW w:w="2856"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80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360"/>
        </w:trPr>
        <w:tc>
          <w:tcPr>
            <w:tcW w:w="141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2019</w:t>
            </w:r>
          </w:p>
        </w:tc>
        <w:tc>
          <w:tcPr>
            <w:tcW w:w="224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162</w:t>
            </w:r>
          </w:p>
        </w:tc>
        <w:tc>
          <w:tcPr>
            <w:tcW w:w="2856"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80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360"/>
        </w:trPr>
        <w:tc>
          <w:tcPr>
            <w:tcW w:w="141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2020</w:t>
            </w:r>
          </w:p>
        </w:tc>
        <w:tc>
          <w:tcPr>
            <w:tcW w:w="224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182</w:t>
            </w:r>
          </w:p>
        </w:tc>
        <w:tc>
          <w:tcPr>
            <w:tcW w:w="2856"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80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360"/>
        </w:trPr>
        <w:tc>
          <w:tcPr>
            <w:tcW w:w="141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2021</w:t>
            </w:r>
          </w:p>
        </w:tc>
        <w:tc>
          <w:tcPr>
            <w:tcW w:w="224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154</w:t>
            </w:r>
          </w:p>
        </w:tc>
        <w:tc>
          <w:tcPr>
            <w:tcW w:w="2856"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80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360"/>
        </w:trPr>
        <w:tc>
          <w:tcPr>
            <w:tcW w:w="141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2022</w:t>
            </w:r>
          </w:p>
        </w:tc>
        <w:tc>
          <w:tcPr>
            <w:tcW w:w="224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141</w:t>
            </w:r>
          </w:p>
        </w:tc>
        <w:tc>
          <w:tcPr>
            <w:tcW w:w="2856"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80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360"/>
        </w:trPr>
        <w:tc>
          <w:tcPr>
            <w:tcW w:w="141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2023</w:t>
            </w:r>
          </w:p>
        </w:tc>
        <w:tc>
          <w:tcPr>
            <w:tcW w:w="224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117</w:t>
            </w:r>
          </w:p>
        </w:tc>
        <w:tc>
          <w:tcPr>
            <w:tcW w:w="2856"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800"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bl>
    <w:p w:rsidR="00A91E9C" w:rsidRPr="00745ACE" w:rsidRDefault="00A91E9C" w:rsidP="00A91E9C">
      <w:pPr>
        <w:ind w:right="42" w:firstLine="567"/>
        <w:jc w:val="both"/>
        <w:rPr>
          <w:rFonts w:ascii="Trebuchet MS" w:hAnsi="Trebuchet MS"/>
          <w:sz w:val="22"/>
          <w:szCs w:val="22"/>
        </w:rPr>
      </w:pPr>
    </w:p>
    <w:p w:rsidR="00A91E9C" w:rsidRPr="00745ACE" w:rsidRDefault="00A91E9C" w:rsidP="00A91E9C">
      <w:pPr>
        <w:ind w:right="42" w:firstLine="567"/>
        <w:jc w:val="both"/>
        <w:rPr>
          <w:rFonts w:ascii="Trebuchet MS" w:hAnsi="Trebuchet MS"/>
          <w:sz w:val="22"/>
          <w:szCs w:val="22"/>
        </w:rPr>
      </w:pPr>
      <w:r w:rsidRPr="00745ACE">
        <w:rPr>
          <w:rFonts w:ascii="Trebuchet MS" w:hAnsi="Trebuchet MS"/>
          <w:sz w:val="22"/>
          <w:szCs w:val="22"/>
        </w:rPr>
        <w:t>Conform Ordonanței 7/2023.</w:t>
      </w:r>
    </w:p>
    <w:p w:rsidR="00A91E9C" w:rsidRPr="00745ACE" w:rsidRDefault="00A91E9C" w:rsidP="00A91E9C">
      <w:pPr>
        <w:ind w:right="42" w:firstLine="567"/>
        <w:jc w:val="both"/>
        <w:rPr>
          <w:rFonts w:ascii="Trebuchet MS" w:hAnsi="Trebuchet MS"/>
          <w:b/>
          <w:sz w:val="22"/>
          <w:szCs w:val="22"/>
        </w:rPr>
      </w:pPr>
    </w:p>
    <w:p w:rsidR="00A91E9C" w:rsidRPr="00745ACE" w:rsidRDefault="00A91E9C" w:rsidP="00A91E9C">
      <w:pPr>
        <w:ind w:right="42" w:firstLine="567"/>
        <w:jc w:val="both"/>
        <w:rPr>
          <w:rFonts w:ascii="Trebuchet MS" w:hAnsi="Trebuchet MS"/>
          <w:b/>
          <w:sz w:val="22"/>
          <w:szCs w:val="22"/>
        </w:rPr>
      </w:pPr>
      <w:r w:rsidRPr="00745ACE">
        <w:rPr>
          <w:rFonts w:ascii="Trebuchet MS" w:hAnsi="Trebuchet MS"/>
          <w:b/>
          <w:sz w:val="22"/>
          <w:szCs w:val="22"/>
        </w:rPr>
        <w:t xml:space="preserve">Procentajul probelor necorespunzatoare  recoltate din punctele fixe ale rețelei </w:t>
      </w:r>
    </w:p>
    <w:p w:rsidR="00A91E9C" w:rsidRPr="00745ACE" w:rsidRDefault="00A91E9C" w:rsidP="00A91E9C">
      <w:pPr>
        <w:ind w:right="42" w:firstLine="567"/>
        <w:jc w:val="both"/>
        <w:rPr>
          <w:rFonts w:ascii="Trebuchet MS" w:hAnsi="Trebuchet MS"/>
          <w:b/>
          <w:sz w:val="22"/>
          <w:szCs w:val="22"/>
        </w:rPr>
      </w:pPr>
    </w:p>
    <w:tbl>
      <w:tblPr>
        <w:tblW w:w="957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402"/>
        <w:gridCol w:w="2347"/>
        <w:gridCol w:w="3063"/>
        <w:gridCol w:w="2764"/>
      </w:tblGrid>
      <w:tr w:rsidR="00A91E9C" w:rsidRPr="00745ACE" w:rsidTr="00913BC5">
        <w:tc>
          <w:tcPr>
            <w:tcW w:w="1402" w:type="dxa"/>
            <w:shd w:val="clear" w:color="auto" w:fill="auto"/>
          </w:tcPr>
          <w:p w:rsidR="00A91E9C" w:rsidRPr="00745ACE" w:rsidRDefault="00A91E9C" w:rsidP="00913BC5">
            <w:pPr>
              <w:ind w:right="42" w:firstLine="567"/>
              <w:jc w:val="both"/>
              <w:rPr>
                <w:rFonts w:ascii="Trebuchet MS" w:hAnsi="Trebuchet MS"/>
                <w:sz w:val="22"/>
                <w:szCs w:val="22"/>
              </w:rPr>
            </w:pPr>
            <w:r w:rsidRPr="00745ACE">
              <w:rPr>
                <w:rFonts w:ascii="Trebuchet MS" w:hAnsi="Trebuchet MS"/>
                <w:sz w:val="22"/>
                <w:szCs w:val="22"/>
              </w:rPr>
              <w:t>Anul</w:t>
            </w:r>
          </w:p>
        </w:tc>
        <w:tc>
          <w:tcPr>
            <w:tcW w:w="2347"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Nr. total probe recoltate</w:t>
            </w:r>
          </w:p>
        </w:tc>
        <w:tc>
          <w:tcPr>
            <w:tcW w:w="3063" w:type="dxa"/>
            <w:shd w:val="clear" w:color="auto" w:fill="auto"/>
          </w:tcPr>
          <w:p w:rsidR="00A91E9C" w:rsidRPr="00745ACE" w:rsidRDefault="00A91E9C" w:rsidP="00913BC5">
            <w:pPr>
              <w:ind w:right="42" w:firstLine="567"/>
              <w:jc w:val="both"/>
              <w:rPr>
                <w:rFonts w:ascii="Trebuchet MS" w:hAnsi="Trebuchet MS"/>
                <w:sz w:val="22"/>
                <w:szCs w:val="22"/>
              </w:rPr>
            </w:pPr>
            <w:r w:rsidRPr="00745ACE">
              <w:rPr>
                <w:rFonts w:ascii="Trebuchet MS" w:hAnsi="Trebuchet MS"/>
                <w:sz w:val="22"/>
                <w:szCs w:val="22"/>
              </w:rPr>
              <w:t>Necorespunzatoare chimic  și indicatori(%)*</w:t>
            </w:r>
          </w:p>
        </w:tc>
        <w:tc>
          <w:tcPr>
            <w:tcW w:w="2764" w:type="dxa"/>
            <w:shd w:val="clear" w:color="auto" w:fill="auto"/>
          </w:tcPr>
          <w:p w:rsidR="00A91E9C" w:rsidRPr="00745ACE" w:rsidRDefault="00A91E9C" w:rsidP="00913BC5">
            <w:pPr>
              <w:ind w:right="42" w:firstLine="567"/>
              <w:jc w:val="both"/>
              <w:rPr>
                <w:rFonts w:ascii="Trebuchet MS" w:hAnsi="Trebuchet MS"/>
                <w:sz w:val="22"/>
                <w:szCs w:val="22"/>
              </w:rPr>
            </w:pPr>
            <w:r w:rsidRPr="00745ACE">
              <w:rPr>
                <w:rFonts w:ascii="Trebuchet MS" w:hAnsi="Trebuchet MS"/>
                <w:sz w:val="22"/>
                <w:szCs w:val="22"/>
              </w:rPr>
              <w:t>Necorespunzatoare bacteriologic (%)</w:t>
            </w:r>
          </w:p>
        </w:tc>
      </w:tr>
      <w:tr w:rsidR="00A91E9C" w:rsidRPr="00745ACE" w:rsidTr="00913BC5">
        <w:trPr>
          <w:trHeight w:val="705"/>
        </w:trPr>
        <w:tc>
          <w:tcPr>
            <w:tcW w:w="140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2018</w:t>
            </w:r>
          </w:p>
        </w:tc>
        <w:tc>
          <w:tcPr>
            <w:tcW w:w="2347"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1996</w:t>
            </w:r>
          </w:p>
        </w:tc>
        <w:tc>
          <w:tcPr>
            <w:tcW w:w="3063"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764"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705"/>
        </w:trPr>
        <w:tc>
          <w:tcPr>
            <w:tcW w:w="140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2019</w:t>
            </w:r>
          </w:p>
        </w:tc>
        <w:tc>
          <w:tcPr>
            <w:tcW w:w="2347"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1915</w:t>
            </w:r>
          </w:p>
        </w:tc>
        <w:tc>
          <w:tcPr>
            <w:tcW w:w="3063"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764"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705"/>
        </w:trPr>
        <w:tc>
          <w:tcPr>
            <w:tcW w:w="140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2020</w:t>
            </w:r>
          </w:p>
        </w:tc>
        <w:tc>
          <w:tcPr>
            <w:tcW w:w="2347"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1867</w:t>
            </w:r>
          </w:p>
        </w:tc>
        <w:tc>
          <w:tcPr>
            <w:tcW w:w="3063"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764"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705"/>
        </w:trPr>
        <w:tc>
          <w:tcPr>
            <w:tcW w:w="140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2021</w:t>
            </w:r>
          </w:p>
        </w:tc>
        <w:tc>
          <w:tcPr>
            <w:tcW w:w="2347"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1873</w:t>
            </w:r>
          </w:p>
        </w:tc>
        <w:tc>
          <w:tcPr>
            <w:tcW w:w="3063"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764"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678"/>
        </w:trPr>
        <w:tc>
          <w:tcPr>
            <w:tcW w:w="140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2022</w:t>
            </w:r>
          </w:p>
        </w:tc>
        <w:tc>
          <w:tcPr>
            <w:tcW w:w="2347"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2067</w:t>
            </w:r>
          </w:p>
        </w:tc>
        <w:tc>
          <w:tcPr>
            <w:tcW w:w="3063"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764"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r w:rsidR="00A91E9C" w:rsidRPr="00745ACE" w:rsidTr="00913BC5">
        <w:trPr>
          <w:trHeight w:val="705"/>
        </w:trPr>
        <w:tc>
          <w:tcPr>
            <w:tcW w:w="1402"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2023</w:t>
            </w:r>
          </w:p>
        </w:tc>
        <w:tc>
          <w:tcPr>
            <w:tcW w:w="2347"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1780</w:t>
            </w:r>
          </w:p>
        </w:tc>
        <w:tc>
          <w:tcPr>
            <w:tcW w:w="3063" w:type="dxa"/>
            <w:shd w:val="clear" w:color="auto" w:fill="auto"/>
          </w:tcPr>
          <w:p w:rsidR="00A91E9C" w:rsidRPr="00745ACE" w:rsidRDefault="00A91E9C" w:rsidP="00913BC5">
            <w:pPr>
              <w:ind w:right="42"/>
              <w:jc w:val="center"/>
              <w:rPr>
                <w:rFonts w:ascii="Trebuchet MS" w:hAnsi="Trebuchet MS"/>
                <w:sz w:val="22"/>
                <w:szCs w:val="22"/>
              </w:rPr>
            </w:pPr>
            <w:r w:rsidRPr="00745ACE">
              <w:rPr>
                <w:rFonts w:ascii="Trebuchet MS" w:hAnsi="Trebuchet MS"/>
                <w:sz w:val="22"/>
                <w:szCs w:val="22"/>
              </w:rPr>
              <w:t>0</w:t>
            </w:r>
          </w:p>
        </w:tc>
        <w:tc>
          <w:tcPr>
            <w:tcW w:w="2764" w:type="dxa"/>
            <w:shd w:val="clear" w:color="auto" w:fill="auto"/>
          </w:tcPr>
          <w:p w:rsidR="00A91E9C" w:rsidRPr="00745ACE" w:rsidRDefault="00A91E9C" w:rsidP="00913BC5">
            <w:pPr>
              <w:ind w:right="42" w:firstLine="567"/>
              <w:jc w:val="center"/>
              <w:rPr>
                <w:rFonts w:ascii="Trebuchet MS" w:hAnsi="Trebuchet MS"/>
                <w:sz w:val="22"/>
                <w:szCs w:val="22"/>
              </w:rPr>
            </w:pPr>
            <w:r w:rsidRPr="00745ACE">
              <w:rPr>
                <w:rFonts w:ascii="Trebuchet MS" w:hAnsi="Trebuchet MS"/>
                <w:sz w:val="22"/>
                <w:szCs w:val="22"/>
              </w:rPr>
              <w:t>0</w:t>
            </w:r>
          </w:p>
        </w:tc>
      </w:tr>
    </w:tbl>
    <w:p w:rsidR="00A91E9C" w:rsidRPr="00745ACE" w:rsidRDefault="00A91E9C" w:rsidP="00A91E9C">
      <w:pPr>
        <w:ind w:right="42" w:firstLine="567"/>
        <w:jc w:val="both"/>
        <w:rPr>
          <w:rFonts w:ascii="Trebuchet MS" w:hAnsi="Trebuchet MS"/>
          <w:sz w:val="22"/>
          <w:szCs w:val="22"/>
        </w:rPr>
      </w:pPr>
    </w:p>
    <w:p w:rsidR="00A91E9C" w:rsidRPr="00745ACE" w:rsidRDefault="00A91E9C" w:rsidP="00A91E9C">
      <w:pPr>
        <w:ind w:right="42" w:firstLine="567"/>
        <w:jc w:val="both"/>
        <w:rPr>
          <w:rFonts w:ascii="Trebuchet MS" w:hAnsi="Trebuchet MS"/>
          <w:sz w:val="22"/>
          <w:szCs w:val="22"/>
        </w:rPr>
      </w:pPr>
      <w:r w:rsidRPr="00745ACE">
        <w:rPr>
          <w:rFonts w:ascii="Trebuchet MS" w:hAnsi="Trebuchet MS"/>
          <w:sz w:val="22"/>
          <w:szCs w:val="22"/>
        </w:rPr>
        <w:t xml:space="preserve">* cu exceptia clorului rezidual liber </w:t>
      </w:r>
    </w:p>
    <w:p w:rsidR="00A91E9C" w:rsidRPr="00745ACE" w:rsidRDefault="00A91E9C" w:rsidP="00A91E9C">
      <w:pPr>
        <w:ind w:right="42" w:firstLine="567"/>
        <w:jc w:val="both"/>
        <w:rPr>
          <w:rFonts w:ascii="Trebuchet MS" w:hAnsi="Trebuchet MS"/>
          <w:sz w:val="22"/>
          <w:szCs w:val="22"/>
        </w:rPr>
      </w:pPr>
    </w:p>
    <w:p w:rsidR="00A91E9C" w:rsidRPr="00745ACE" w:rsidRDefault="00A91E9C" w:rsidP="00A91E9C">
      <w:pPr>
        <w:ind w:right="42" w:firstLine="567"/>
        <w:jc w:val="both"/>
        <w:rPr>
          <w:rFonts w:ascii="Trebuchet MS" w:hAnsi="Trebuchet MS"/>
          <w:sz w:val="22"/>
          <w:szCs w:val="22"/>
        </w:rPr>
      </w:pPr>
    </w:p>
    <w:p w:rsidR="00A91E9C" w:rsidRPr="00745ACE" w:rsidRDefault="00A91E9C" w:rsidP="00A91E9C">
      <w:pPr>
        <w:ind w:right="42"/>
        <w:jc w:val="both"/>
        <w:rPr>
          <w:rFonts w:ascii="Trebuchet MS" w:hAnsi="Trebuchet MS"/>
          <w:sz w:val="22"/>
          <w:szCs w:val="22"/>
        </w:rPr>
      </w:pPr>
      <w:r w:rsidRPr="00745ACE">
        <w:rPr>
          <w:rFonts w:ascii="Trebuchet MS" w:hAnsi="Trebuchet MS"/>
          <w:b/>
          <w:sz w:val="22"/>
          <w:szCs w:val="22"/>
        </w:rPr>
        <w:t xml:space="preserve">              Situația clorului rezidual liber în apa recoltată din punctele fixe ale rețelei</w:t>
      </w:r>
    </w:p>
    <w:p w:rsidR="00A91E9C" w:rsidRPr="00745ACE" w:rsidRDefault="00A91E9C" w:rsidP="00A91E9C">
      <w:pPr>
        <w:pStyle w:val="NoSpacing"/>
        <w:jc w:val="both"/>
        <w:rPr>
          <w:rFonts w:ascii="Trebuchet MS" w:hAnsi="Trebuchet MS"/>
        </w:rPr>
      </w:pPr>
    </w:p>
    <w:p w:rsidR="00A91E9C" w:rsidRPr="00745ACE" w:rsidRDefault="00A91E9C" w:rsidP="00A91E9C">
      <w:pPr>
        <w:pStyle w:val="NoSpacing"/>
        <w:rPr>
          <w:rFonts w:ascii="Trebuchet MS" w:hAnsi="Trebuchet MS"/>
          <w:bCs/>
        </w:rPr>
      </w:pPr>
      <w:r w:rsidRPr="00745ACE">
        <w:rPr>
          <w:rFonts w:ascii="Trebuchet MS" w:hAnsi="Trebuchet MS"/>
          <w:bCs/>
        </w:rPr>
        <w:t>Nr. total de analize neconforme/ parametru – 221 determinări (neconformitățile nu au impact asupra stării de sănătate a populației):</w:t>
      </w:r>
    </w:p>
    <w:p w:rsidR="00A91E9C" w:rsidRPr="00745ACE" w:rsidRDefault="00A91E9C" w:rsidP="00A91E9C">
      <w:pPr>
        <w:pStyle w:val="NoSpacing"/>
        <w:rPr>
          <w:rFonts w:ascii="Trebuchet MS" w:hAnsi="Trebuchet MS"/>
          <w:bCs/>
        </w:rPr>
      </w:pPr>
      <w:r w:rsidRPr="00745ACE">
        <w:rPr>
          <w:rFonts w:ascii="Trebuchet MS" w:hAnsi="Trebuchet MS"/>
          <w:bCs/>
        </w:rPr>
        <w:t xml:space="preserve">- clor rezidual liber cu valori mai mari de 50%  din valoarea parametrului ( limita de 0,50)  s-au înregistrat </w:t>
      </w:r>
      <w:r w:rsidRPr="00745ACE">
        <w:rPr>
          <w:rFonts w:ascii="Trebuchet MS" w:hAnsi="Trebuchet MS"/>
          <w:b/>
          <w:bCs/>
        </w:rPr>
        <w:t>2 determinări</w:t>
      </w:r>
      <w:r w:rsidRPr="00745ACE">
        <w:rPr>
          <w:rFonts w:ascii="Trebuchet MS" w:hAnsi="Trebuchet MS"/>
          <w:bCs/>
        </w:rPr>
        <w:t xml:space="preserve"> (0,11% din numărul total de analize efectuate/parametru)</w:t>
      </w:r>
    </w:p>
    <w:p w:rsidR="00A91E9C" w:rsidRPr="00745ACE" w:rsidRDefault="00A91E9C" w:rsidP="00A91E9C">
      <w:pPr>
        <w:pStyle w:val="NoSpacing"/>
        <w:rPr>
          <w:rFonts w:ascii="Trebuchet MS" w:hAnsi="Trebuchet MS"/>
          <w:bCs/>
        </w:rPr>
      </w:pPr>
      <w:r w:rsidRPr="00745ACE">
        <w:rPr>
          <w:rFonts w:ascii="Trebuchet MS" w:hAnsi="Trebuchet MS"/>
          <w:bCs/>
        </w:rPr>
        <w:t xml:space="preserve">- clor rezidual liber cu valori&lt;0,05  s-au înregistrat  </w:t>
      </w:r>
      <w:r w:rsidRPr="00745ACE">
        <w:rPr>
          <w:rFonts w:ascii="Trebuchet MS" w:hAnsi="Trebuchet MS"/>
          <w:b/>
          <w:bCs/>
        </w:rPr>
        <w:t>219 determinări</w:t>
      </w:r>
      <w:r w:rsidRPr="00745ACE">
        <w:rPr>
          <w:rFonts w:ascii="Trebuchet MS" w:hAnsi="Trebuchet MS"/>
          <w:bCs/>
        </w:rPr>
        <w:t xml:space="preserve"> (12,30% din numărul total de analize efectuate/parametru)</w:t>
      </w:r>
    </w:p>
    <w:p w:rsidR="00A91E9C" w:rsidRPr="00745ACE" w:rsidRDefault="00A91E9C" w:rsidP="00A91E9C">
      <w:pPr>
        <w:pStyle w:val="NoSpacing"/>
        <w:jc w:val="both"/>
        <w:rPr>
          <w:rFonts w:ascii="Trebuchet MS" w:hAnsi="Trebuchet MS"/>
        </w:rPr>
      </w:pPr>
    </w:p>
    <w:p w:rsidR="00A91E9C" w:rsidRPr="00745ACE" w:rsidRDefault="00A91E9C" w:rsidP="00A91E9C">
      <w:pPr>
        <w:rPr>
          <w:rFonts w:ascii="Trebuchet MS" w:hAnsi="Trebuchet MS"/>
          <w:sz w:val="22"/>
          <w:szCs w:val="22"/>
        </w:rPr>
      </w:pPr>
    </w:p>
    <w:p w:rsidR="00436BA3" w:rsidRPr="00745ACE" w:rsidRDefault="00436BA3" w:rsidP="00D6236C">
      <w:pPr>
        <w:ind w:firstLine="720"/>
        <w:jc w:val="both"/>
        <w:rPr>
          <w:rFonts w:ascii="Trebuchet MS" w:hAnsi="Trebuchet MS"/>
          <w:sz w:val="22"/>
          <w:szCs w:val="22"/>
        </w:rPr>
      </w:pPr>
    </w:p>
    <w:p w:rsidR="00394FFC" w:rsidRPr="00745ACE" w:rsidRDefault="00394FFC">
      <w:pPr>
        <w:rPr>
          <w:rFonts w:ascii="Trebuchet MS" w:hAnsi="Trebuchet MS" w:cs="Arial"/>
          <w:b/>
          <w:sz w:val="22"/>
          <w:szCs w:val="22"/>
          <w:lang w:val="ro-RO"/>
        </w:rPr>
      </w:pPr>
    </w:p>
    <w:p w:rsidR="00394FFC" w:rsidRDefault="00394FFC">
      <w:pPr>
        <w:rPr>
          <w:rFonts w:ascii="Arial" w:hAnsi="Arial" w:cs="Arial"/>
          <w:b/>
          <w:lang w:val="ro-RO"/>
        </w:rPr>
      </w:pPr>
    </w:p>
    <w:p w:rsidR="00745ACE" w:rsidRDefault="00745ACE">
      <w:pPr>
        <w:rPr>
          <w:rFonts w:ascii="Arial" w:hAnsi="Arial" w:cs="Arial"/>
          <w:b/>
          <w:lang w:val="ro-RO"/>
        </w:rPr>
      </w:pPr>
    </w:p>
    <w:p w:rsidR="00745ACE" w:rsidRDefault="00745ACE">
      <w:pPr>
        <w:rPr>
          <w:rFonts w:ascii="Arial" w:hAnsi="Arial" w:cs="Arial"/>
          <w:b/>
          <w:lang w:val="ro-RO"/>
        </w:rPr>
      </w:pPr>
    </w:p>
    <w:p w:rsidR="00745ACE" w:rsidRDefault="00745ACE">
      <w:pPr>
        <w:rPr>
          <w:rFonts w:ascii="Arial" w:hAnsi="Arial" w:cs="Arial"/>
          <w:b/>
          <w:lang w:val="ro-RO"/>
        </w:rPr>
      </w:pPr>
    </w:p>
    <w:p w:rsidR="00745ACE" w:rsidRDefault="00745ACE">
      <w:pPr>
        <w:rPr>
          <w:rFonts w:ascii="Arial" w:hAnsi="Arial" w:cs="Arial"/>
          <w:b/>
          <w:lang w:val="ro-RO"/>
        </w:rPr>
      </w:pPr>
    </w:p>
    <w:p w:rsidR="00745ACE" w:rsidRDefault="00745ACE">
      <w:pPr>
        <w:rPr>
          <w:rFonts w:ascii="Arial" w:hAnsi="Arial" w:cs="Arial"/>
          <w:b/>
          <w:lang w:val="ro-RO"/>
        </w:rPr>
      </w:pPr>
    </w:p>
    <w:p w:rsidR="00EB3691" w:rsidRPr="00745ACE" w:rsidRDefault="00362C67" w:rsidP="00EB3691">
      <w:pPr>
        <w:rPr>
          <w:rFonts w:ascii="Trebuchet MS" w:hAnsi="Trebuchet MS" w:cs="Arial"/>
          <w:b/>
          <w:lang w:val="it-IT"/>
        </w:rPr>
      </w:pPr>
      <w:r w:rsidRPr="00745ACE">
        <w:rPr>
          <w:rFonts w:ascii="Trebuchet MS" w:hAnsi="Trebuchet MS" w:cs="Arial"/>
          <w:b/>
          <w:lang w:val="ro-RO"/>
        </w:rPr>
        <w:t>VIII</w:t>
      </w:r>
      <w:r w:rsidR="00EB3691" w:rsidRPr="00745ACE">
        <w:rPr>
          <w:rFonts w:ascii="Trebuchet MS" w:hAnsi="Trebuchet MS" w:cs="Arial"/>
          <w:b/>
          <w:lang w:val="ro-RO"/>
        </w:rPr>
        <w:t>.1.4 Spaţiile verzi şi efectele asupra sănătăţii şi calităţii vieţii</w:t>
      </w:r>
      <w:r w:rsidR="00EB3691" w:rsidRPr="00745ACE">
        <w:rPr>
          <w:rFonts w:ascii="Trebuchet MS" w:hAnsi="Trebuchet MS" w:cs="Arial"/>
          <w:b/>
          <w:lang w:val="it-IT"/>
        </w:rPr>
        <w:t xml:space="preserve"> </w:t>
      </w:r>
    </w:p>
    <w:p w:rsidR="00EB3691" w:rsidRPr="00745ACE" w:rsidRDefault="00362C67" w:rsidP="00EB3691">
      <w:pPr>
        <w:rPr>
          <w:rFonts w:ascii="Trebuchet MS" w:hAnsi="Trebuchet MS"/>
          <w:sz w:val="20"/>
          <w:szCs w:val="26"/>
          <w:lang w:val="ro-RO"/>
        </w:rPr>
      </w:pPr>
      <w:r w:rsidRPr="00745ACE">
        <w:rPr>
          <w:rFonts w:ascii="Trebuchet MS" w:hAnsi="Trebuchet MS" w:cs="Arial"/>
          <w:b/>
          <w:lang w:val="it-IT"/>
        </w:rPr>
        <w:t>VIII</w:t>
      </w:r>
      <w:r w:rsidR="00EB3691" w:rsidRPr="00745ACE">
        <w:rPr>
          <w:rFonts w:ascii="Trebuchet MS" w:hAnsi="Trebuchet MS" w:cs="Arial"/>
          <w:b/>
          <w:lang w:val="it-IT"/>
        </w:rPr>
        <w:t xml:space="preserve">.1.4.1 </w:t>
      </w:r>
      <w:r w:rsidR="00EB3691" w:rsidRPr="00745ACE">
        <w:rPr>
          <w:rFonts w:ascii="Trebuchet MS" w:hAnsi="Trebuchet MS" w:cs="Arial"/>
          <w:b/>
          <w:lang w:val="ro-RO"/>
        </w:rPr>
        <w:t>Suprafaţa ocupată de spaţiile verzi în aglomerările urbane</w:t>
      </w:r>
      <w:r w:rsidR="00EB3691" w:rsidRPr="00745ACE">
        <w:rPr>
          <w:rFonts w:ascii="Trebuchet MS" w:hAnsi="Trebuchet MS"/>
          <w:sz w:val="20"/>
          <w:szCs w:val="26"/>
          <w:lang w:val="ro-RO"/>
        </w:rPr>
        <w:t xml:space="preserve"> </w:t>
      </w:r>
    </w:p>
    <w:p w:rsidR="00EB3691" w:rsidRPr="00745ACE" w:rsidRDefault="00EB3691" w:rsidP="004F134E">
      <w:pPr>
        <w:pStyle w:val="ListParagraph"/>
        <w:numPr>
          <w:ilvl w:val="0"/>
          <w:numId w:val="45"/>
        </w:numPr>
        <w:jc w:val="both"/>
        <w:rPr>
          <w:rFonts w:ascii="Trebuchet MS" w:hAnsi="Trebuchet MS" w:cs="Arial"/>
          <w:b/>
          <w:sz w:val="22"/>
          <w:szCs w:val="22"/>
          <w:lang w:val="it-IT"/>
        </w:rPr>
      </w:pPr>
      <w:r w:rsidRPr="00745ACE">
        <w:rPr>
          <w:rFonts w:ascii="Trebuchet MS" w:hAnsi="Trebuchet MS" w:cs="Arial"/>
          <w:b/>
          <w:sz w:val="22"/>
          <w:szCs w:val="22"/>
          <w:lang w:val="it-IT"/>
        </w:rPr>
        <w:t>Indicatori specifici</w:t>
      </w:r>
    </w:p>
    <w:p w:rsidR="00EB3691" w:rsidRPr="00745ACE" w:rsidRDefault="00EB3691" w:rsidP="00EB3691">
      <w:pPr>
        <w:pStyle w:val="ListParagraph"/>
        <w:jc w:val="both"/>
        <w:rPr>
          <w:rFonts w:ascii="Trebuchet MS" w:hAnsi="Trebuchet MS" w:cs="Arial"/>
          <w:b/>
          <w:sz w:val="22"/>
          <w:szCs w:val="22"/>
          <w:lang w:val="it-IT"/>
        </w:rPr>
      </w:pPr>
      <w:r w:rsidRPr="00745ACE">
        <w:rPr>
          <w:rFonts w:ascii="Trebuchet MS" w:hAnsi="Trebuchet MS" w:cs="Arial"/>
          <w:b/>
          <w:sz w:val="22"/>
          <w:szCs w:val="22"/>
          <w:lang w:val="it-IT"/>
        </w:rPr>
        <w:t>Nu este cazul</w:t>
      </w:r>
    </w:p>
    <w:p w:rsidR="00EB3691" w:rsidRPr="00745ACE" w:rsidRDefault="00EB3691" w:rsidP="00EB3691">
      <w:pPr>
        <w:jc w:val="both"/>
        <w:rPr>
          <w:rFonts w:ascii="Trebuchet MS" w:hAnsi="Trebuchet MS" w:cs="Arial"/>
          <w:b/>
          <w:sz w:val="22"/>
          <w:szCs w:val="22"/>
          <w:lang w:val="it-IT"/>
        </w:rPr>
      </w:pPr>
    </w:p>
    <w:p w:rsidR="00EB3691" w:rsidRPr="00745ACE" w:rsidRDefault="00EB3691" w:rsidP="004F134E">
      <w:pPr>
        <w:pStyle w:val="ListParagraph"/>
        <w:numPr>
          <w:ilvl w:val="0"/>
          <w:numId w:val="45"/>
        </w:numPr>
        <w:jc w:val="both"/>
        <w:rPr>
          <w:rFonts w:ascii="Trebuchet MS" w:hAnsi="Trebuchet MS" w:cs="Arial"/>
          <w:b/>
          <w:sz w:val="22"/>
          <w:szCs w:val="22"/>
          <w:lang w:val="it-IT"/>
        </w:rPr>
      </w:pPr>
      <w:r w:rsidRPr="00745ACE">
        <w:rPr>
          <w:rFonts w:ascii="Trebuchet MS" w:hAnsi="Trebuchet MS" w:cs="Arial"/>
          <w:b/>
          <w:sz w:val="22"/>
          <w:szCs w:val="22"/>
          <w:lang w:val="it-IT"/>
        </w:rPr>
        <w:t>Alte date şi informaţii specifice</w:t>
      </w:r>
    </w:p>
    <w:p w:rsidR="00EB3691" w:rsidRPr="00745ACE" w:rsidRDefault="00EB3691" w:rsidP="00EB3691">
      <w:pPr>
        <w:rPr>
          <w:rFonts w:ascii="Trebuchet MS" w:hAnsi="Trebuchet MS" w:cs="Arial"/>
          <w:b/>
          <w:sz w:val="22"/>
          <w:szCs w:val="22"/>
          <w:lang w:val="it-IT"/>
        </w:rPr>
      </w:pPr>
    </w:p>
    <w:p w:rsidR="00EB3691" w:rsidRPr="00745ACE" w:rsidRDefault="00EB3691" w:rsidP="00EB3691">
      <w:pPr>
        <w:shd w:val="clear" w:color="auto" w:fill="FFFFFF"/>
        <w:ind w:firstLine="708"/>
        <w:jc w:val="both"/>
        <w:rPr>
          <w:rStyle w:val="Strong"/>
          <w:rFonts w:ascii="Trebuchet MS" w:hAnsi="Trebuchet MS" w:cs="Arial"/>
          <w:b w:val="0"/>
          <w:sz w:val="22"/>
          <w:szCs w:val="22"/>
          <w:lang w:val="it-IT"/>
        </w:rPr>
      </w:pPr>
      <w:r w:rsidRPr="00745ACE">
        <w:rPr>
          <w:rStyle w:val="Strong"/>
          <w:rFonts w:ascii="Trebuchet MS" w:hAnsi="Trebuchet MS" w:cs="Arial"/>
          <w:b w:val="0"/>
          <w:sz w:val="22"/>
          <w:szCs w:val="22"/>
          <w:lang w:val="it-IT"/>
        </w:rPr>
        <w:t xml:space="preserve">Primăria Capitalei a finalizat în anul 2011 cadastrul verde al Municipiului Bucureşti. Conform documentului, capitala are 23,21 metri pătraţi de spaţiu verde pe cap de locuitor, iar cea mai mare suprafaţă de spaţii verzi este în sectorul 1 - 77,19 mp/cap de locuitor. </w:t>
      </w:r>
    </w:p>
    <w:p w:rsidR="00EB3691" w:rsidRPr="00745ACE" w:rsidRDefault="00EB3691" w:rsidP="00EB3691">
      <w:pPr>
        <w:shd w:val="clear" w:color="auto" w:fill="FFFFFF"/>
        <w:ind w:firstLine="708"/>
        <w:jc w:val="both"/>
        <w:rPr>
          <w:rFonts w:ascii="Trebuchet MS" w:hAnsi="Trebuchet MS" w:cs="Arial"/>
          <w:sz w:val="22"/>
          <w:szCs w:val="22"/>
          <w:lang w:val="pt-BR"/>
        </w:rPr>
      </w:pPr>
      <w:r w:rsidRPr="00745ACE">
        <w:rPr>
          <w:rFonts w:ascii="Trebuchet MS" w:hAnsi="Trebuchet MS" w:cs="Arial"/>
          <w:sz w:val="22"/>
          <w:szCs w:val="22"/>
          <w:lang w:val="it-IT"/>
        </w:rPr>
        <w:t>Cadastrul verde a presupus inventarierea tuturor arborilor şi a spaţiilor verzi</w:t>
      </w:r>
      <w:r w:rsidRPr="00745ACE">
        <w:rPr>
          <w:rFonts w:ascii="Trebuchet MS" w:hAnsi="Trebuchet MS" w:cs="Arial"/>
          <w:b/>
          <w:sz w:val="22"/>
          <w:szCs w:val="22"/>
          <w:lang w:val="it-IT"/>
        </w:rPr>
        <w:t xml:space="preserve"> </w:t>
      </w:r>
      <w:r w:rsidRPr="00745ACE">
        <w:rPr>
          <w:rStyle w:val="Strong"/>
          <w:rFonts w:ascii="Trebuchet MS" w:hAnsi="Trebuchet MS" w:cs="Arial"/>
          <w:b w:val="0"/>
          <w:sz w:val="22"/>
          <w:szCs w:val="22"/>
          <w:lang w:val="it-IT"/>
        </w:rPr>
        <w:t>de pe domeniul public</w:t>
      </w:r>
      <w:r w:rsidRPr="00745ACE">
        <w:rPr>
          <w:rFonts w:ascii="Trebuchet MS" w:hAnsi="Trebuchet MS" w:cs="Arial"/>
          <w:b/>
          <w:sz w:val="22"/>
          <w:szCs w:val="22"/>
          <w:lang w:val="it-IT"/>
        </w:rPr>
        <w:t xml:space="preserve">. </w:t>
      </w:r>
      <w:r w:rsidRPr="00745ACE">
        <w:rPr>
          <w:rFonts w:ascii="Trebuchet MS" w:hAnsi="Trebuchet MS" w:cs="Arial"/>
          <w:sz w:val="22"/>
          <w:szCs w:val="22"/>
          <w:lang w:val="it-IT"/>
        </w:rPr>
        <w:t xml:space="preserve">Au fost considerate spaţii verzi arborii, iarba şi </w:t>
      </w:r>
      <w:r w:rsidRPr="00745ACE">
        <w:rPr>
          <w:rStyle w:val="Strong"/>
          <w:rFonts w:ascii="Trebuchet MS" w:hAnsi="Trebuchet MS" w:cs="Arial"/>
          <w:b w:val="0"/>
          <w:sz w:val="22"/>
          <w:szCs w:val="22"/>
          <w:lang w:val="it-IT"/>
        </w:rPr>
        <w:t>cimitirele</w:t>
      </w:r>
      <w:r w:rsidRPr="00745ACE">
        <w:rPr>
          <w:rFonts w:ascii="Trebuchet MS" w:hAnsi="Trebuchet MS" w:cs="Arial"/>
          <w:sz w:val="22"/>
          <w:szCs w:val="22"/>
          <w:lang w:val="it-IT"/>
        </w:rPr>
        <w:t>, parcuri, scuaruri, plantaţii de aliniament etc, urmând a fi inventariat şi spaţiul verde de pe proprietăţile particulare.</w:t>
      </w:r>
      <w:r w:rsidRPr="00745ACE">
        <w:rPr>
          <w:rFonts w:ascii="Trebuchet MS" w:hAnsi="Trebuchet MS" w:cs="Arial"/>
          <w:sz w:val="22"/>
          <w:szCs w:val="22"/>
          <w:lang w:val="it-IT"/>
        </w:rPr>
        <w:br/>
      </w:r>
      <w:r w:rsidRPr="00745ACE">
        <w:rPr>
          <w:rFonts w:ascii="Trebuchet MS" w:hAnsi="Trebuchet MS" w:cs="Arial"/>
          <w:sz w:val="22"/>
          <w:szCs w:val="22"/>
          <w:lang w:val="it-IT"/>
        </w:rPr>
        <w:tab/>
      </w:r>
      <w:r w:rsidRPr="00745ACE">
        <w:rPr>
          <w:rFonts w:ascii="Trebuchet MS" w:hAnsi="Trebuchet MS" w:cs="Arial"/>
          <w:sz w:val="22"/>
          <w:szCs w:val="22"/>
          <w:lang w:val="pt-BR"/>
        </w:rPr>
        <w:t>Până la actualizarea cadastrului verde, aceste valori rămân actuale, din 2011 până în prezent, de aceea nu se poate face o analiză a evoluţiei suprafeţelor de spaţiu verde pe ultimii 5 ani.</w:t>
      </w:r>
    </w:p>
    <w:p w:rsidR="00EB3691" w:rsidRPr="00745ACE" w:rsidRDefault="00EB3691" w:rsidP="00EB3691">
      <w:pPr>
        <w:jc w:val="both"/>
        <w:rPr>
          <w:rFonts w:ascii="Trebuchet MS" w:hAnsi="Trebuchet MS" w:cs="Arial"/>
          <w:sz w:val="22"/>
          <w:szCs w:val="22"/>
          <w:lang w:val="pt-BR"/>
        </w:rPr>
      </w:pPr>
      <w:r w:rsidRPr="00745ACE">
        <w:rPr>
          <w:rFonts w:ascii="Trebuchet MS" w:hAnsi="Trebuchet MS" w:cs="Arial"/>
          <w:b/>
          <w:sz w:val="22"/>
          <w:szCs w:val="22"/>
          <w:lang w:val="pt-BR"/>
        </w:rPr>
        <w:tab/>
      </w:r>
      <w:r w:rsidRPr="00745ACE">
        <w:rPr>
          <w:rFonts w:ascii="Trebuchet MS" w:hAnsi="Trebuchet MS" w:cs="Arial"/>
          <w:sz w:val="22"/>
          <w:szCs w:val="22"/>
          <w:lang w:val="pt-BR"/>
        </w:rPr>
        <w:t xml:space="preserve"> Spaţiul verde este de 4506 ha, din totalul suprafeţei Bucureştiului de 23800 ha, rezultând un procent al spațiului verde de 18.9%. </w:t>
      </w:r>
    </w:p>
    <w:p w:rsidR="00AE762B" w:rsidRPr="0059186B" w:rsidRDefault="00AE762B">
      <w:pPr>
        <w:rPr>
          <w:rFonts w:ascii="Arial" w:hAnsi="Arial" w:cs="Arial"/>
          <w:lang w:val="pt-BR"/>
        </w:rPr>
      </w:pPr>
      <w:r w:rsidRPr="00745ACE">
        <w:rPr>
          <w:rFonts w:ascii="Trebuchet MS" w:hAnsi="Trebuchet MS" w:cs="Arial"/>
          <w:sz w:val="22"/>
          <w:szCs w:val="22"/>
          <w:lang w:val="pt-BR"/>
        </w:rPr>
        <w:br w:type="page"/>
      </w:r>
    </w:p>
    <w:p w:rsidR="00AE762B" w:rsidRPr="00745ACE" w:rsidRDefault="00362C67" w:rsidP="006A1C32">
      <w:pPr>
        <w:jc w:val="both"/>
        <w:rPr>
          <w:rFonts w:ascii="Trebuchet MS" w:hAnsi="Trebuchet MS" w:cs="Arial"/>
          <w:b/>
          <w:lang w:val="pt-BR"/>
        </w:rPr>
      </w:pPr>
      <w:r w:rsidRPr="00745ACE">
        <w:rPr>
          <w:rFonts w:ascii="Trebuchet MS" w:hAnsi="Trebuchet MS" w:cs="Arial"/>
          <w:b/>
          <w:lang w:val="ro-RO"/>
        </w:rPr>
        <w:t>VIII</w:t>
      </w:r>
      <w:r w:rsidR="00AE762B" w:rsidRPr="00745ACE">
        <w:rPr>
          <w:rFonts w:ascii="Trebuchet MS" w:hAnsi="Trebuchet MS" w:cs="Arial"/>
          <w:b/>
          <w:lang w:val="ro-RO"/>
        </w:rPr>
        <w:t>.1.5 Schimbările climatice şi efectele asupra mediului urban, sănătăţii şi calităţii vieţii</w:t>
      </w:r>
    </w:p>
    <w:p w:rsidR="00AE762B" w:rsidRPr="00745ACE" w:rsidRDefault="00AE762B" w:rsidP="0016205E">
      <w:pPr>
        <w:tabs>
          <w:tab w:val="left" w:leader="dot" w:pos="9356"/>
        </w:tabs>
        <w:rPr>
          <w:rFonts w:ascii="Trebuchet MS" w:hAnsi="Trebuchet MS" w:cs="Arial"/>
          <w:b/>
          <w:lang w:val="pt-BR"/>
        </w:rPr>
      </w:pPr>
    </w:p>
    <w:p w:rsidR="00AE762B" w:rsidRPr="00745ACE" w:rsidRDefault="00362C67" w:rsidP="0016205E">
      <w:pPr>
        <w:tabs>
          <w:tab w:val="left" w:leader="dot" w:pos="9356"/>
        </w:tabs>
        <w:rPr>
          <w:rFonts w:ascii="Trebuchet MS" w:hAnsi="Trebuchet MS" w:cs="Arial"/>
          <w:b/>
          <w:lang w:val="ro-RO"/>
        </w:rPr>
      </w:pPr>
      <w:r w:rsidRPr="00745ACE">
        <w:rPr>
          <w:rFonts w:ascii="Trebuchet MS" w:hAnsi="Trebuchet MS" w:cs="Arial"/>
          <w:b/>
          <w:lang w:val="pt-BR"/>
        </w:rPr>
        <w:t>VIII</w:t>
      </w:r>
      <w:r w:rsidR="00AE762B" w:rsidRPr="00745ACE">
        <w:rPr>
          <w:rFonts w:ascii="Trebuchet MS" w:hAnsi="Trebuchet MS" w:cs="Arial"/>
          <w:b/>
          <w:lang w:val="pt-BR"/>
        </w:rPr>
        <w:t xml:space="preserve">.1.5.1 </w:t>
      </w:r>
      <w:r w:rsidR="00AE762B" w:rsidRPr="00745ACE">
        <w:rPr>
          <w:rFonts w:ascii="Trebuchet MS" w:hAnsi="Trebuchet MS" w:cs="Arial"/>
          <w:b/>
          <w:lang w:val="ro-RO"/>
        </w:rPr>
        <w:t>Rata de mortalitate în aglomerările urbane ca urmare a  temperaturilor extreme în perioada de vară</w:t>
      </w:r>
    </w:p>
    <w:p w:rsidR="00AE762B" w:rsidRDefault="00AE762B" w:rsidP="0016205E">
      <w:pPr>
        <w:tabs>
          <w:tab w:val="left" w:leader="dot" w:pos="9356"/>
        </w:tabs>
        <w:rPr>
          <w:rFonts w:ascii="Arial" w:hAnsi="Arial" w:cs="Arial"/>
          <w:b/>
          <w:lang w:val="ro-RO"/>
        </w:rPr>
      </w:pPr>
    </w:p>
    <w:p w:rsidR="00AE762B" w:rsidRPr="00745ACE" w:rsidRDefault="00AE762B" w:rsidP="0016205E">
      <w:pPr>
        <w:tabs>
          <w:tab w:val="left" w:leader="dot" w:pos="9356"/>
        </w:tabs>
        <w:rPr>
          <w:rFonts w:ascii="Trebuchet MS" w:hAnsi="Trebuchet MS" w:cs="Arial"/>
          <w:b/>
          <w:lang w:val="ro-RO"/>
        </w:rPr>
      </w:pPr>
      <w:r w:rsidRPr="00745ACE">
        <w:rPr>
          <w:rFonts w:ascii="Trebuchet MS" w:hAnsi="Trebuchet MS" w:cs="Arial"/>
          <w:b/>
          <w:lang w:val="ro-RO"/>
        </w:rPr>
        <w:t>Nu deţinem date</w:t>
      </w:r>
    </w:p>
    <w:p w:rsidR="00AE762B" w:rsidRPr="00745ACE" w:rsidRDefault="00AE762B" w:rsidP="0016205E">
      <w:pPr>
        <w:tabs>
          <w:tab w:val="left" w:leader="dot" w:pos="9356"/>
        </w:tabs>
        <w:rPr>
          <w:rFonts w:ascii="Trebuchet MS" w:hAnsi="Trebuchet MS" w:cs="Arial"/>
          <w:b/>
          <w:lang w:val="ro-RO"/>
        </w:rPr>
      </w:pPr>
    </w:p>
    <w:p w:rsidR="00AE762B" w:rsidRPr="00745ACE" w:rsidRDefault="00362C67" w:rsidP="0016205E">
      <w:pPr>
        <w:tabs>
          <w:tab w:val="left" w:leader="dot" w:pos="9356"/>
        </w:tabs>
        <w:rPr>
          <w:rFonts w:ascii="Trebuchet MS" w:hAnsi="Trebuchet MS" w:cs="Arial"/>
          <w:b/>
          <w:lang w:val="pt-BR"/>
        </w:rPr>
      </w:pPr>
      <w:r w:rsidRPr="00745ACE">
        <w:rPr>
          <w:rFonts w:ascii="Trebuchet MS" w:hAnsi="Trebuchet MS" w:cs="Arial"/>
          <w:b/>
          <w:lang w:val="ro-RO"/>
        </w:rPr>
        <w:t>VIII</w:t>
      </w:r>
      <w:r w:rsidR="00AE762B" w:rsidRPr="00745ACE">
        <w:rPr>
          <w:rFonts w:ascii="Trebuchet MS" w:hAnsi="Trebuchet MS" w:cs="Arial"/>
          <w:b/>
          <w:lang w:val="ro-RO"/>
        </w:rPr>
        <w:t>.1.5.2  Expunerea populaţiei din aglomerările urbane la riscul de inundaţii</w:t>
      </w:r>
    </w:p>
    <w:p w:rsidR="000554BF" w:rsidRDefault="000554BF" w:rsidP="00BF2681">
      <w:pPr>
        <w:spacing w:before="120" w:after="120"/>
        <w:jc w:val="center"/>
        <w:rPr>
          <w:rFonts w:ascii="Arial" w:eastAsia="Calibri" w:hAnsi="Arial" w:cs="Arial"/>
          <w:b/>
        </w:rPr>
      </w:pPr>
    </w:p>
    <w:p w:rsidR="00D620AA" w:rsidRPr="0019711A" w:rsidRDefault="00D620AA" w:rsidP="00D620AA">
      <w:pPr>
        <w:spacing w:before="120" w:after="120"/>
        <w:jc w:val="center"/>
        <w:rPr>
          <w:rFonts w:ascii="Trebuchet MS" w:hAnsi="Trebuchet MS" w:cs="Arial"/>
          <w:b/>
        </w:rPr>
      </w:pPr>
      <w:r w:rsidRPr="0019711A">
        <w:rPr>
          <w:rFonts w:ascii="Trebuchet MS" w:hAnsi="Trebuchet MS" w:cs="Arial"/>
          <w:b/>
          <w:highlight w:val="green"/>
        </w:rPr>
        <w:t>Indicator CLIM 46. Inundaţiile şi Sănătatea RO 61</w:t>
      </w:r>
    </w:p>
    <w:p w:rsidR="00D620AA" w:rsidRPr="0019711A" w:rsidRDefault="00D620AA" w:rsidP="00D620AA">
      <w:pPr>
        <w:spacing w:line="300" w:lineRule="auto"/>
        <w:jc w:val="both"/>
        <w:rPr>
          <w:rFonts w:ascii="Trebuchet MS" w:hAnsi="Trebuchet MS" w:cs="Arial"/>
        </w:rPr>
      </w:pPr>
    </w:p>
    <w:p w:rsidR="00D620AA" w:rsidRPr="00745ACE" w:rsidRDefault="00D620AA" w:rsidP="00D620AA">
      <w:pPr>
        <w:spacing w:line="300" w:lineRule="auto"/>
        <w:ind w:firstLine="720"/>
        <w:jc w:val="both"/>
        <w:rPr>
          <w:rFonts w:ascii="Trebuchet MS" w:hAnsi="Trebuchet MS" w:cs="Arial"/>
          <w:sz w:val="22"/>
          <w:szCs w:val="22"/>
        </w:rPr>
      </w:pPr>
      <w:r w:rsidRPr="00745ACE">
        <w:rPr>
          <w:rFonts w:ascii="Trebuchet MS" w:hAnsi="Trebuchet MS" w:cs="Arial"/>
          <w:sz w:val="22"/>
          <w:szCs w:val="22"/>
        </w:rPr>
        <w:t>În ultimele decenii</w:t>
      </w:r>
      <w:r w:rsidRPr="00745ACE">
        <w:rPr>
          <w:rFonts w:ascii="Trebuchet MS" w:hAnsi="Trebuchet MS" w:cs="Arial"/>
          <w:color w:val="000000"/>
          <w:sz w:val="22"/>
          <w:szCs w:val="22"/>
        </w:rPr>
        <w:t>,</w:t>
      </w:r>
      <w:r w:rsidRPr="00745ACE">
        <w:rPr>
          <w:rFonts w:ascii="Trebuchet MS" w:hAnsi="Trebuchet MS" w:cs="Arial"/>
          <w:sz w:val="22"/>
          <w:szCs w:val="22"/>
        </w:rPr>
        <w:t xml:space="preserve"> ca urmare a schimbărilor climatice și a intervențiilor antropice asupra mediului înconjurător s-au înregistrat intensificări ale fenomenelor de inundații.</w:t>
      </w:r>
    </w:p>
    <w:p w:rsidR="00D620AA" w:rsidRPr="00745ACE" w:rsidRDefault="00D620AA" w:rsidP="00D620AA">
      <w:pPr>
        <w:spacing w:line="300" w:lineRule="auto"/>
        <w:ind w:firstLine="720"/>
        <w:jc w:val="both"/>
        <w:rPr>
          <w:rFonts w:ascii="Trebuchet MS" w:hAnsi="Trebuchet MS" w:cs="Arial"/>
          <w:sz w:val="22"/>
          <w:szCs w:val="22"/>
        </w:rPr>
      </w:pPr>
      <w:r w:rsidRPr="00745ACE">
        <w:rPr>
          <w:rFonts w:ascii="Trebuchet MS" w:hAnsi="Trebuchet MS" w:cs="Arial"/>
          <w:sz w:val="22"/>
          <w:szCs w:val="22"/>
        </w:rPr>
        <w:t>În sprijinul Statelor Membre afectate de inundații, Uniunea Europeană a elaborat Directiva 2007/60/CE privind evaluarea şi managementul riscului la inundații, cunoscută sub denumirea generică de Directiva Inundații 2007/60/CE.</w:t>
      </w:r>
    </w:p>
    <w:p w:rsidR="00D620AA" w:rsidRPr="00745ACE" w:rsidRDefault="00D620AA" w:rsidP="00D620AA">
      <w:pPr>
        <w:spacing w:line="300" w:lineRule="auto"/>
        <w:ind w:firstLine="720"/>
        <w:jc w:val="both"/>
        <w:rPr>
          <w:rFonts w:ascii="Trebuchet MS" w:hAnsi="Trebuchet MS" w:cs="Arial"/>
          <w:sz w:val="22"/>
          <w:szCs w:val="22"/>
        </w:rPr>
      </w:pPr>
      <w:r w:rsidRPr="00745ACE">
        <w:rPr>
          <w:rFonts w:ascii="Trebuchet MS" w:hAnsi="Trebuchet MS" w:cs="Arial"/>
          <w:sz w:val="22"/>
          <w:szCs w:val="22"/>
        </w:rPr>
        <w:t xml:space="preserve">Directiva Inundații, are ca </w:t>
      </w:r>
      <w:r w:rsidRPr="00745ACE">
        <w:rPr>
          <w:rFonts w:ascii="Trebuchet MS" w:hAnsi="Trebuchet MS" w:cs="Arial"/>
          <w:b/>
          <w:sz w:val="22"/>
          <w:szCs w:val="22"/>
        </w:rPr>
        <w:t>obiectiv general</w:t>
      </w:r>
      <w:r w:rsidRPr="00745ACE">
        <w:rPr>
          <w:rFonts w:ascii="Trebuchet MS" w:hAnsi="Trebuchet MS" w:cs="Arial"/>
          <w:sz w:val="22"/>
          <w:szCs w:val="22"/>
        </w:rPr>
        <w:t xml:space="preserve"> stabilirea unui cadru pentru evaluarea şi managementul riscului la inundaţii în scopul reducerii consecinţelor negative asupra sănătăţii umane, mediului, patrimoniului cultural şi ale activităţilor economice. </w:t>
      </w:r>
    </w:p>
    <w:p w:rsidR="00D620AA" w:rsidRPr="00745ACE" w:rsidRDefault="00D620AA" w:rsidP="00D620AA">
      <w:pPr>
        <w:pStyle w:val="1text"/>
        <w:spacing w:before="0" w:after="0" w:line="300" w:lineRule="auto"/>
        <w:rPr>
          <w:rFonts w:ascii="Trebuchet MS" w:eastAsia="Calibri" w:hAnsi="Trebuchet MS"/>
          <w:sz w:val="22"/>
          <w:szCs w:val="22"/>
        </w:rPr>
      </w:pPr>
      <w:r w:rsidRPr="00745ACE">
        <w:rPr>
          <w:rFonts w:ascii="Trebuchet MS" w:hAnsi="Trebuchet MS"/>
          <w:sz w:val="22"/>
          <w:szCs w:val="22"/>
        </w:rPr>
        <w:t xml:space="preserve">Directiva asigură coordonarea acţiunilor din cadrul unui bazin/district hidrografic pentru implementarea a 3 etape principale, acesta fiind un proces </w:t>
      </w:r>
      <w:r w:rsidRPr="00745ACE">
        <w:rPr>
          <w:rFonts w:ascii="Trebuchet MS" w:eastAsia="Calibri" w:hAnsi="Trebuchet MS"/>
          <w:sz w:val="22"/>
          <w:szCs w:val="22"/>
        </w:rPr>
        <w:t>ciclic cu repetabilitate la 6 ani. Fiecare ciclu cuprinde 3 etape, respectiv Evaluarea preliminară a riscului la inundații - etapa 1, Realizarea hărților de hazard și de risc la inundații - etapa 2, Realizarea Planurilor de Management al Riscului la Inundații - etapa 3. Ciclul I de implementare a fost finalizat în 22 martie 2016.</w:t>
      </w:r>
    </w:p>
    <w:p w:rsidR="00D620AA" w:rsidRPr="00745ACE" w:rsidRDefault="00D620AA" w:rsidP="00D620AA">
      <w:pPr>
        <w:spacing w:line="300" w:lineRule="auto"/>
        <w:ind w:firstLine="720"/>
        <w:jc w:val="both"/>
        <w:rPr>
          <w:rFonts w:ascii="Trebuchet MS" w:hAnsi="Trebuchet MS" w:cs="Arial"/>
          <w:sz w:val="22"/>
          <w:szCs w:val="22"/>
        </w:rPr>
      </w:pPr>
      <w:r w:rsidRPr="00745ACE">
        <w:rPr>
          <w:rFonts w:ascii="Trebuchet MS" w:hAnsi="Trebuchet MS" w:cs="Arial"/>
          <w:sz w:val="22"/>
          <w:szCs w:val="22"/>
        </w:rPr>
        <w:t>Informațiile prezentate în acest capitol sunt rezultate în urma procesului de implementare al Directivei 2007/60/CE privind evaluarea şi managementul riscului la inundații, ciclul II.</w:t>
      </w:r>
    </w:p>
    <w:p w:rsidR="00D620AA" w:rsidRPr="00745ACE" w:rsidRDefault="00D620AA" w:rsidP="00D620AA">
      <w:pPr>
        <w:spacing w:line="300" w:lineRule="auto"/>
        <w:ind w:firstLine="720"/>
        <w:jc w:val="both"/>
        <w:rPr>
          <w:rFonts w:ascii="Trebuchet MS" w:hAnsi="Trebuchet MS" w:cs="Arial"/>
          <w:sz w:val="22"/>
          <w:szCs w:val="22"/>
        </w:rPr>
      </w:pPr>
      <w:r w:rsidRPr="00745ACE">
        <w:rPr>
          <w:rFonts w:ascii="Trebuchet MS" w:hAnsi="Trebuchet MS" w:cs="Arial"/>
          <w:sz w:val="22"/>
          <w:szCs w:val="22"/>
        </w:rPr>
        <w:t>Implementarea ciclului II al Directivei Inundaţii implică completarea, îmbunătăţirea şi revizuirea datelor şi informaţiilor obţinute în ciclul I, în conformitate cu evaluările realizate la nivelul Comisiei Europene pentru toate Statele Membre.</w:t>
      </w:r>
    </w:p>
    <w:p w:rsidR="00D620AA" w:rsidRPr="00745ACE" w:rsidRDefault="00D620AA" w:rsidP="00D620AA">
      <w:pPr>
        <w:pStyle w:val="1text"/>
        <w:spacing w:before="0" w:after="0" w:line="300" w:lineRule="auto"/>
        <w:rPr>
          <w:rStyle w:val="apple-converted-space"/>
          <w:rFonts w:ascii="Trebuchet MS" w:hAnsi="Trebuchet MS"/>
          <w:sz w:val="22"/>
          <w:szCs w:val="22"/>
        </w:rPr>
      </w:pPr>
      <w:r w:rsidRPr="00745ACE">
        <w:rPr>
          <w:rStyle w:val="apple-converted-space"/>
          <w:rFonts w:ascii="Trebuchet MS" w:hAnsi="Trebuchet MS"/>
          <w:sz w:val="22"/>
          <w:szCs w:val="22"/>
        </w:rPr>
        <w:t xml:space="preserve">Evaluarea preliminară a riscului la inundații presupune identificarea inundațiilor istorice semnificative care au avut consecințe semnificative asupra a patru categorii de consecințe: sănătății umane, mediului, patrimoniului cultural și activității economice, dar și delimitarea zonelor cu risc potențial semnificativ la inundații - A.P.S.F.R. (Areas with Potential Significant Flood Risk). </w:t>
      </w:r>
    </w:p>
    <w:p w:rsidR="00D620AA" w:rsidRPr="00745ACE" w:rsidRDefault="00D620AA" w:rsidP="00D620AA">
      <w:pPr>
        <w:pStyle w:val="1text"/>
        <w:spacing w:before="0" w:after="0" w:line="300" w:lineRule="auto"/>
        <w:rPr>
          <w:rFonts w:ascii="Trebuchet MS" w:hAnsi="Trebuchet MS"/>
          <w:sz w:val="22"/>
          <w:szCs w:val="22"/>
        </w:rPr>
      </w:pPr>
      <w:r w:rsidRPr="00745ACE">
        <w:rPr>
          <w:rFonts w:ascii="Trebuchet MS" w:hAnsi="Trebuchet MS"/>
          <w:sz w:val="22"/>
          <w:szCs w:val="22"/>
        </w:rPr>
        <w:t>Inundațiile istorice semnificative au fost selectate în urma aplicării unor criterii hidrologice şi a unor criterii privind efectele negative ale inundaţiei asupra celor patru categorii de consecinţe menționate anterior.</w:t>
      </w:r>
    </w:p>
    <w:p w:rsidR="00D620AA" w:rsidRPr="00745ACE" w:rsidRDefault="00D620AA" w:rsidP="00D620AA">
      <w:pPr>
        <w:pStyle w:val="1textMeto"/>
        <w:spacing w:before="0" w:after="0" w:line="300" w:lineRule="auto"/>
        <w:rPr>
          <w:rFonts w:ascii="Trebuchet MS" w:hAnsi="Trebuchet MS"/>
          <w:sz w:val="22"/>
          <w:szCs w:val="22"/>
        </w:rPr>
      </w:pPr>
      <w:r w:rsidRPr="00745ACE">
        <w:rPr>
          <w:rFonts w:ascii="Trebuchet MS" w:hAnsi="Trebuchet MS"/>
          <w:sz w:val="22"/>
          <w:szCs w:val="22"/>
        </w:rPr>
        <w:t>Spre deosebire de ciclul I, când au fost analizate inundațiile istorice petrecute într-o perioadă mult mai îndepărtată (1970-2010) față de momentul prezent, pentru care nu au fost deținute informații foarte detaliate în legătură cu consecințele negative produse de acestea, în ciclul II informațiile referitoare la pagubele produse în perioada analizată, respectiv 2010 - 2016, sunt mult mai bine documentate. Acest fapt a permis o analiză mai amănunțită cu privire la consecințele negative semnificative produse de inundațiile istorice.</w:t>
      </w:r>
    </w:p>
    <w:p w:rsidR="00D620AA" w:rsidRPr="00745ACE" w:rsidRDefault="00D620AA" w:rsidP="00D620AA">
      <w:pPr>
        <w:pStyle w:val="1text"/>
        <w:spacing w:before="0" w:after="0" w:line="300" w:lineRule="auto"/>
        <w:rPr>
          <w:rFonts w:ascii="Trebuchet MS" w:hAnsi="Trebuchet MS"/>
          <w:sz w:val="22"/>
          <w:szCs w:val="22"/>
        </w:rPr>
      </w:pPr>
      <w:r w:rsidRPr="00745ACE">
        <w:rPr>
          <w:rFonts w:ascii="Trebuchet MS" w:hAnsi="Trebuchet MS"/>
          <w:sz w:val="22"/>
          <w:szCs w:val="22"/>
        </w:rPr>
        <w:t>Astfel, în ciclu II, ulterior aplicării criteriilor hidrologice şi criteriilor privind efectele negative ale inundaţiei, s-a realizat o analiză la un grad de detaliu mai mare, urmărindu-se localităţile şi sectoarele / tronsoanele de râu / afluenții afectați de evenimentul semnificativ național / regional considerat.</w:t>
      </w:r>
    </w:p>
    <w:p w:rsidR="00D620AA" w:rsidRPr="00745ACE" w:rsidRDefault="00D620AA" w:rsidP="00D620AA">
      <w:pPr>
        <w:pStyle w:val="1text"/>
        <w:spacing w:before="0" w:after="0" w:line="300" w:lineRule="auto"/>
        <w:rPr>
          <w:rFonts w:ascii="Trebuchet MS" w:hAnsi="Trebuchet MS"/>
          <w:bCs/>
          <w:sz w:val="22"/>
          <w:szCs w:val="22"/>
        </w:rPr>
      </w:pPr>
      <w:r w:rsidRPr="00745ACE">
        <w:rPr>
          <w:rFonts w:ascii="Trebuchet MS" w:hAnsi="Trebuchet MS"/>
          <w:bCs/>
          <w:sz w:val="22"/>
          <w:szCs w:val="22"/>
        </w:rPr>
        <w:t xml:space="preserve">Pentru perioada 2010 - 2016 la nivelul celor 11 </w:t>
      </w:r>
      <w:r w:rsidRPr="00745ACE">
        <w:rPr>
          <w:rFonts w:ascii="Trebuchet MS" w:hAnsi="Trebuchet MS"/>
          <w:sz w:val="22"/>
          <w:szCs w:val="22"/>
        </w:rPr>
        <w:t>Administrații Bazinale de Apă și Fluviul Dunărea</w:t>
      </w:r>
      <w:r w:rsidRPr="00745ACE">
        <w:rPr>
          <w:rFonts w:ascii="Trebuchet MS" w:hAnsi="Trebuchet MS"/>
          <w:bCs/>
          <w:sz w:val="22"/>
          <w:szCs w:val="22"/>
        </w:rPr>
        <w:t xml:space="preserve"> au fost desemnate 54 evenimente istorice semnificative de inundații prezentate în figura </w:t>
      </w:r>
      <w:r w:rsidRPr="00745ACE">
        <w:rPr>
          <w:rFonts w:ascii="Trebuchet MS" w:hAnsi="Trebuchet MS"/>
          <w:i/>
          <w:sz w:val="22"/>
          <w:szCs w:val="22"/>
        </w:rPr>
        <w:t>IX.1.5.2.1.</w:t>
      </w:r>
    </w:p>
    <w:p w:rsidR="00D620AA" w:rsidRPr="0019711A" w:rsidRDefault="00D620AA" w:rsidP="00D620AA">
      <w:pPr>
        <w:pStyle w:val="1text"/>
        <w:spacing w:before="0" w:after="0" w:line="300" w:lineRule="auto"/>
        <w:ind w:firstLine="0"/>
        <w:jc w:val="center"/>
        <w:rPr>
          <w:rFonts w:ascii="Trebuchet MS" w:hAnsi="Trebuchet MS"/>
          <w:iCs/>
          <w:sz w:val="22"/>
          <w:szCs w:val="22"/>
        </w:rPr>
      </w:pPr>
      <w:r w:rsidRPr="0019711A">
        <w:rPr>
          <w:rFonts w:ascii="Trebuchet MS" w:hAnsi="Trebuchet MS"/>
          <w:noProof/>
          <w:sz w:val="22"/>
          <w:szCs w:val="22"/>
          <w:lang w:val="en-US"/>
        </w:rPr>
        <w:drawing>
          <wp:inline distT="0" distB="0" distL="0" distR="0" wp14:anchorId="1BC8FF6A" wp14:editId="08FB3F82">
            <wp:extent cx="5958840" cy="3225800"/>
            <wp:effectExtent l="0" t="0" r="0" b="0"/>
            <wp:docPr id="1408664686"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D620AA" w:rsidRPr="0019711A" w:rsidRDefault="00D620AA" w:rsidP="00D620AA">
      <w:pPr>
        <w:pStyle w:val="1text"/>
        <w:spacing w:before="0" w:after="0" w:line="300" w:lineRule="auto"/>
        <w:ind w:firstLine="0"/>
        <w:jc w:val="center"/>
        <w:rPr>
          <w:rFonts w:ascii="Trebuchet MS" w:hAnsi="Trebuchet MS"/>
          <w:i/>
          <w:sz w:val="22"/>
          <w:szCs w:val="22"/>
        </w:rPr>
      </w:pPr>
      <w:r w:rsidRPr="0019711A">
        <w:rPr>
          <w:rFonts w:ascii="Trebuchet MS" w:hAnsi="Trebuchet MS"/>
          <w:i/>
          <w:sz w:val="22"/>
          <w:szCs w:val="22"/>
        </w:rPr>
        <w:t xml:space="preserve">Figura </w:t>
      </w:r>
      <w:r>
        <w:rPr>
          <w:rFonts w:ascii="Trebuchet MS" w:hAnsi="Trebuchet MS"/>
          <w:i/>
          <w:sz w:val="22"/>
          <w:szCs w:val="22"/>
        </w:rPr>
        <w:t>IX</w:t>
      </w:r>
      <w:r w:rsidRPr="0019711A">
        <w:rPr>
          <w:rFonts w:ascii="Trebuchet MS" w:hAnsi="Trebuchet MS"/>
          <w:i/>
          <w:sz w:val="22"/>
          <w:szCs w:val="22"/>
        </w:rPr>
        <w:t>.</w:t>
      </w:r>
      <w:r>
        <w:rPr>
          <w:rFonts w:ascii="Trebuchet MS" w:hAnsi="Trebuchet MS"/>
          <w:i/>
          <w:sz w:val="22"/>
          <w:szCs w:val="22"/>
        </w:rPr>
        <w:t>1.5.2.1</w:t>
      </w:r>
      <w:r w:rsidRPr="0019711A">
        <w:rPr>
          <w:rFonts w:ascii="Trebuchet MS" w:hAnsi="Trebuchet MS"/>
          <w:i/>
          <w:sz w:val="22"/>
          <w:szCs w:val="22"/>
        </w:rPr>
        <w:t xml:space="preserve"> Evenimente istorice semnificative de inundații la nivel de Administrație Bazinală de Apă și Fluviul Dunărea pentru perioada 2010 – 2016</w:t>
      </w:r>
    </w:p>
    <w:p w:rsidR="00D620AA" w:rsidRPr="0019711A" w:rsidRDefault="00D620AA" w:rsidP="00D620AA">
      <w:pPr>
        <w:pStyle w:val="1text"/>
        <w:spacing w:before="0" w:after="0" w:line="300" w:lineRule="auto"/>
        <w:ind w:firstLine="0"/>
        <w:jc w:val="center"/>
        <w:rPr>
          <w:rFonts w:ascii="Trebuchet MS" w:hAnsi="Trebuchet MS"/>
          <w:iCs/>
          <w:sz w:val="22"/>
          <w:szCs w:val="22"/>
        </w:rPr>
      </w:pPr>
    </w:p>
    <w:p w:rsidR="00D620AA" w:rsidRPr="00745ACE" w:rsidRDefault="00D620AA" w:rsidP="00D620AA">
      <w:pPr>
        <w:pStyle w:val="1text"/>
        <w:spacing w:before="0" w:after="0" w:line="300" w:lineRule="auto"/>
        <w:rPr>
          <w:rStyle w:val="apple-converted-space"/>
          <w:rFonts w:ascii="Trebuchet MS" w:hAnsi="Trebuchet MS"/>
          <w:sz w:val="22"/>
          <w:szCs w:val="22"/>
        </w:rPr>
      </w:pPr>
      <w:r w:rsidRPr="00745ACE">
        <w:rPr>
          <w:rStyle w:val="apple-converted-space"/>
          <w:rFonts w:ascii="Trebuchet MS" w:hAnsi="Trebuchet MS"/>
          <w:sz w:val="22"/>
          <w:szCs w:val="22"/>
        </w:rPr>
        <w:t xml:space="preserve">Pe baza metodologiei de desemnare a zonelor cu risc potențial semnificativ la inundații, în ciclul II de implementare al </w:t>
      </w:r>
      <w:r w:rsidRPr="00745ACE">
        <w:rPr>
          <w:rFonts w:ascii="Trebuchet MS" w:hAnsi="Trebuchet MS"/>
          <w:sz w:val="22"/>
          <w:szCs w:val="22"/>
        </w:rPr>
        <w:t xml:space="preserve">Directivei Inundații 2007/60/CE </w:t>
      </w:r>
      <w:r w:rsidRPr="00745ACE">
        <w:rPr>
          <w:rStyle w:val="apple-converted-space"/>
          <w:rFonts w:ascii="Trebuchet MS" w:hAnsi="Trebuchet MS"/>
          <w:sz w:val="22"/>
          <w:szCs w:val="22"/>
        </w:rPr>
        <w:t xml:space="preserve">au fost stabilite zone noi cu risc potențial semnificativ la inundații. La nivelul anului 2019 au fost raportate Comisiei Europene 529 zone cu risc potențial semnificativ la inundații stabilite la nivel național, din care 509 din sursă fluvială, 17 din sursă pluvială și 3 inundații costiere (prezentate în figura </w:t>
      </w:r>
      <w:r w:rsidRPr="00745ACE">
        <w:rPr>
          <w:rFonts w:ascii="Trebuchet MS" w:hAnsi="Trebuchet MS"/>
          <w:bCs/>
          <w:sz w:val="22"/>
          <w:szCs w:val="22"/>
        </w:rPr>
        <w:t>22</w:t>
      </w:r>
      <w:r w:rsidRPr="00745ACE">
        <w:rPr>
          <w:rStyle w:val="apple-converted-space"/>
          <w:rFonts w:ascii="Trebuchet MS" w:hAnsi="Trebuchet MS"/>
          <w:sz w:val="22"/>
          <w:szCs w:val="22"/>
        </w:rPr>
        <w:t>). În octombrie 2022 au fost raportate Comisiei Europene hărțile de hazard și hărțile de risc la inundații pentru cele 529 zone cu risc potențial semnificativ la inundații (</w:t>
      </w:r>
      <w:hyperlink r:id="rId181" w:history="1">
        <w:r w:rsidRPr="00745ACE">
          <w:rPr>
            <w:rStyle w:val="Hyperlink"/>
            <w:rFonts w:ascii="Trebuchet MS" w:hAnsi="Trebuchet MS"/>
            <w:sz w:val="22"/>
            <w:szCs w:val="22"/>
          </w:rPr>
          <w:t>https://harticiclul2.inundatii.ro/map@45.9891990,23.4491860,7z</w:t>
        </w:r>
      </w:hyperlink>
      <w:r w:rsidRPr="00745ACE">
        <w:rPr>
          <w:rStyle w:val="apple-converted-space"/>
          <w:rFonts w:ascii="Trebuchet MS" w:hAnsi="Trebuchet MS"/>
          <w:sz w:val="22"/>
          <w:szCs w:val="22"/>
        </w:rPr>
        <w:t xml:space="preserve"> ).</w:t>
      </w:r>
    </w:p>
    <w:p w:rsidR="00D620AA" w:rsidRPr="0019711A" w:rsidRDefault="00D620AA" w:rsidP="00D620AA">
      <w:pPr>
        <w:pStyle w:val="1text"/>
        <w:spacing w:before="0" w:after="0" w:line="300" w:lineRule="auto"/>
        <w:ind w:firstLine="0"/>
        <w:rPr>
          <w:rStyle w:val="apple-converted-space"/>
          <w:rFonts w:ascii="Trebuchet MS" w:hAnsi="Trebuchet MS"/>
          <w:sz w:val="22"/>
          <w:szCs w:val="22"/>
        </w:rPr>
      </w:pPr>
      <w:r w:rsidRPr="0019711A">
        <w:rPr>
          <w:rFonts w:ascii="Trebuchet MS" w:hAnsi="Trebuchet MS"/>
          <w:noProof/>
          <w:sz w:val="22"/>
          <w:szCs w:val="22"/>
          <w:lang w:val="en-US"/>
        </w:rPr>
        <w:drawing>
          <wp:inline distT="0" distB="0" distL="0" distR="0" wp14:anchorId="29C001F8" wp14:editId="46185339">
            <wp:extent cx="5742940" cy="3123565"/>
            <wp:effectExtent l="0" t="0" r="0" b="0"/>
            <wp:docPr id="17149013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D620AA" w:rsidRPr="0019711A" w:rsidRDefault="00D620AA" w:rsidP="00D620AA">
      <w:pPr>
        <w:pStyle w:val="1text"/>
        <w:spacing w:before="0" w:after="0" w:line="300" w:lineRule="auto"/>
        <w:ind w:firstLine="0"/>
        <w:jc w:val="center"/>
        <w:rPr>
          <w:rFonts w:ascii="Trebuchet MS" w:hAnsi="Trebuchet MS"/>
          <w:i/>
          <w:sz w:val="22"/>
          <w:szCs w:val="22"/>
        </w:rPr>
      </w:pPr>
      <w:r w:rsidRPr="0019711A">
        <w:rPr>
          <w:rFonts w:ascii="Trebuchet MS" w:hAnsi="Trebuchet MS"/>
          <w:i/>
          <w:sz w:val="22"/>
          <w:szCs w:val="22"/>
        </w:rPr>
        <w:t xml:space="preserve">Figura </w:t>
      </w:r>
      <w:r>
        <w:rPr>
          <w:rFonts w:ascii="Trebuchet MS" w:hAnsi="Trebuchet MS"/>
          <w:i/>
          <w:sz w:val="22"/>
          <w:szCs w:val="22"/>
        </w:rPr>
        <w:t>IX</w:t>
      </w:r>
      <w:r w:rsidRPr="0019711A">
        <w:rPr>
          <w:rFonts w:ascii="Trebuchet MS" w:hAnsi="Trebuchet MS"/>
          <w:i/>
          <w:sz w:val="22"/>
          <w:szCs w:val="22"/>
        </w:rPr>
        <w:t>.</w:t>
      </w:r>
      <w:r>
        <w:rPr>
          <w:rFonts w:ascii="Trebuchet MS" w:hAnsi="Trebuchet MS"/>
          <w:i/>
          <w:sz w:val="22"/>
          <w:szCs w:val="22"/>
        </w:rPr>
        <w:t>1.5.2.2</w:t>
      </w:r>
      <w:r w:rsidRPr="0019711A">
        <w:rPr>
          <w:rFonts w:ascii="Trebuchet MS" w:hAnsi="Trebuchet MS"/>
          <w:i/>
          <w:sz w:val="22"/>
          <w:szCs w:val="22"/>
        </w:rPr>
        <w:t xml:space="preserve">  Zone cu risc potențial semnificativ la inundații la nivel de Administrație Bazinală de Apă și Fluviul Dunărea pentru perioada 2010 – 2016</w:t>
      </w:r>
    </w:p>
    <w:p w:rsidR="00D620AA" w:rsidRPr="0019711A" w:rsidRDefault="00D620AA" w:rsidP="00D620AA">
      <w:pPr>
        <w:pStyle w:val="1text"/>
        <w:spacing w:before="0" w:after="0" w:line="300" w:lineRule="auto"/>
        <w:ind w:firstLine="0"/>
        <w:rPr>
          <w:rStyle w:val="apple-converted-space"/>
          <w:rFonts w:ascii="Trebuchet MS" w:hAnsi="Trebuchet MS"/>
          <w:sz w:val="22"/>
          <w:szCs w:val="22"/>
        </w:rPr>
      </w:pPr>
    </w:p>
    <w:p w:rsidR="00D620AA" w:rsidRPr="00745ACE" w:rsidRDefault="00D620AA" w:rsidP="00D620AA">
      <w:pPr>
        <w:pStyle w:val="1text"/>
        <w:spacing w:before="0" w:after="0" w:line="300" w:lineRule="auto"/>
        <w:rPr>
          <w:rStyle w:val="apple-converted-space"/>
          <w:rFonts w:ascii="Trebuchet MS" w:hAnsi="Trebuchet MS"/>
          <w:sz w:val="22"/>
          <w:szCs w:val="22"/>
        </w:rPr>
      </w:pPr>
      <w:r w:rsidRPr="00745ACE">
        <w:rPr>
          <w:rStyle w:val="apple-converted-space"/>
          <w:rFonts w:ascii="Trebuchet MS" w:hAnsi="Trebuchet MS"/>
          <w:sz w:val="22"/>
          <w:szCs w:val="22"/>
        </w:rPr>
        <w:t xml:space="preserve">Ciclul al II-lea de implementare a </w:t>
      </w:r>
      <w:r w:rsidRPr="00745ACE">
        <w:rPr>
          <w:rFonts w:ascii="Trebuchet MS" w:hAnsi="Trebuchet MS"/>
          <w:sz w:val="22"/>
          <w:szCs w:val="22"/>
        </w:rPr>
        <w:t>Directivei Inundații 2007/60/CE s-a încheiat cu etapa a 3-a, respectiv cu Elaborarea Planurilor de Management al Riscului la Inundații actualizate pentru cele 11 Administrații Bazinale de Apă și fluviul Dunărea, raportate la Comisia Europeană în luna septembrie 2023 și aprobate prin HG 886/2023 (</w:t>
      </w:r>
      <w:hyperlink r:id="rId183" w:history="1">
        <w:r w:rsidRPr="00745ACE">
          <w:rPr>
            <w:rStyle w:val="Hyperlink"/>
            <w:rFonts w:ascii="Trebuchet MS" w:hAnsi="Trebuchet MS"/>
            <w:sz w:val="22"/>
            <w:szCs w:val="22"/>
          </w:rPr>
          <w:t>https://inundatii.ro/resurse/</w:t>
        </w:r>
      </w:hyperlink>
      <w:r w:rsidRPr="00745ACE">
        <w:rPr>
          <w:rFonts w:ascii="Trebuchet MS" w:hAnsi="Trebuchet MS"/>
          <w:sz w:val="22"/>
          <w:szCs w:val="22"/>
        </w:rPr>
        <w:t xml:space="preserve"> ). Aceste planuri propun măsuri concrete la nivelul zonelor cu risc potențial semnificativ la inundații </w:t>
      </w:r>
      <w:r w:rsidRPr="00745ACE">
        <w:rPr>
          <w:rStyle w:val="apple-converted-space"/>
          <w:rFonts w:ascii="Trebuchet MS" w:hAnsi="Trebuchet MS"/>
          <w:sz w:val="22"/>
          <w:szCs w:val="22"/>
        </w:rPr>
        <w:t xml:space="preserve">pentru protejarea populației și a bunurilor </w:t>
      </w:r>
      <w:r w:rsidRPr="00745ACE">
        <w:rPr>
          <w:rFonts w:ascii="Trebuchet MS" w:hAnsi="Trebuchet MS"/>
          <w:sz w:val="22"/>
          <w:szCs w:val="22"/>
        </w:rPr>
        <w:t xml:space="preserve">și necesită implicarea mai multor instituții, autorități locale, județene, bazinale, mai mulți „actori”, dintre care, cel mai important este chiar populația. Planurile de Management al Riscului la Inundații sprijină procesul decizional și contribuie la creșterea gradului de conștientizare și înțelegere a riscului la inundații, în special în zonele cu risc potențial semnificativ la inundații. </w:t>
      </w:r>
      <w:r w:rsidRPr="00745ACE">
        <w:rPr>
          <w:rStyle w:val="apple-converted-space"/>
          <w:rFonts w:ascii="Trebuchet MS" w:hAnsi="Trebuchet MS"/>
          <w:sz w:val="22"/>
          <w:szCs w:val="22"/>
          <w:lang w:val="fr-FR"/>
        </w:rPr>
        <w:t>După implementarea măsurilor propuse se va reduce riscul de producere de astfel de evenimente nedorite.</w:t>
      </w:r>
    </w:p>
    <w:p w:rsidR="00D620AA" w:rsidRPr="00745ACE" w:rsidRDefault="00D620AA" w:rsidP="00D620AA">
      <w:pPr>
        <w:spacing w:line="300" w:lineRule="auto"/>
        <w:ind w:firstLine="708"/>
        <w:jc w:val="both"/>
        <w:rPr>
          <w:rFonts w:ascii="Trebuchet MS" w:eastAsia="Times New Roman" w:hAnsi="Trebuchet MS" w:cs="Arial"/>
          <w:sz w:val="22"/>
          <w:szCs w:val="22"/>
        </w:rPr>
      </w:pPr>
      <w:r w:rsidRPr="00745ACE">
        <w:rPr>
          <w:rFonts w:ascii="Trebuchet MS" w:eastAsia="Times New Roman" w:hAnsi="Trebuchet MS" w:cs="Arial"/>
          <w:sz w:val="22"/>
          <w:szCs w:val="22"/>
        </w:rPr>
        <w:t>În cursul anului 2023 au fost afectate de inundaţii un număr de 178 localităţi urbane (</w:t>
      </w:r>
      <w:r w:rsidRPr="00745ACE">
        <w:rPr>
          <w:rFonts w:ascii="Trebuchet MS" w:hAnsi="Trebuchet MS" w:cs="Arial"/>
          <w:sz w:val="22"/>
          <w:szCs w:val="22"/>
        </w:rPr>
        <w:t>Tabelul nr. IX.1.5.2.1)</w:t>
      </w:r>
      <w:r w:rsidRPr="00745ACE">
        <w:rPr>
          <w:rFonts w:ascii="Trebuchet MS" w:eastAsia="Times New Roman" w:hAnsi="Trebuchet MS" w:cs="Arial"/>
          <w:sz w:val="22"/>
          <w:szCs w:val="22"/>
        </w:rPr>
        <w:t>, a doua cea mai mare valoare înregistrată în ultimii cinci ani şi din perioada 2011-2023.</w:t>
      </w:r>
    </w:p>
    <w:p w:rsidR="00D620AA" w:rsidRPr="00745ACE" w:rsidRDefault="00D620AA" w:rsidP="00D620AA">
      <w:pPr>
        <w:spacing w:line="300" w:lineRule="auto"/>
        <w:jc w:val="both"/>
        <w:rPr>
          <w:rFonts w:ascii="Trebuchet MS" w:eastAsia="Times New Roman" w:hAnsi="Trebuchet MS" w:cs="Arial"/>
          <w:sz w:val="22"/>
          <w:szCs w:val="22"/>
        </w:rPr>
      </w:pPr>
      <w:r w:rsidRPr="00745ACE">
        <w:rPr>
          <w:rFonts w:ascii="Trebuchet MS" w:eastAsia="Times New Roman" w:hAnsi="Trebuchet MS" w:cs="Arial"/>
          <w:sz w:val="22"/>
          <w:szCs w:val="22"/>
        </w:rPr>
        <w:t>Cele mai multe localităţi urbane au fost afectate în judeţul Suceava 32 localităţi, urmează apoi judeţul Vâlcea cu 19 localități, judeţul Maramureş cu 16 localităţi urbane, județul Alba cu 14 localităţi urbane. În judeţele Prahova şi Buzău avem 7 localităţi urbane afectate, iar la Bistriţa-Năsăud, Caraş-Severin şi Gorj avem 6 localităţi urbane afectate, în judeţul Bacău şi Botoşani sunt 5 localităţi urbane afectate, iar cu 4 localităţi urbane afectate sunt judeţele: Dâmboviţa, Galaţi şi Hunedoara. În judeţul Iaşi au fost afectate 3 localităţi urbane iar în judeţele Harghita şi Timiş au fost afectate două localitaţi urbane. În judeţele Alba, Argeş, Braşov, Covasna, Dolj, Ialomiţa, Ilfov, Mures, Neamţ, Sălaj, şi Vrancea a fost afectată o localitate urbană. În judeţele Arad,Cluj, Constanţa, Mehedinţi, Olt, Satu Mare, Sibiu, Teleorman, Tulcea şi Vaslui nu au fost afectate localitati urbane. În judeţele Braila, Călăraşi şi Giurgiu, nu s-au înregistrat evenimente hidrometeorologice periculoase.</w:t>
      </w:r>
    </w:p>
    <w:p w:rsidR="00BB679E" w:rsidRPr="00745ACE" w:rsidRDefault="00BB679E" w:rsidP="00BF2681">
      <w:pPr>
        <w:jc w:val="both"/>
        <w:rPr>
          <w:rFonts w:ascii="Trebuchet MS" w:hAnsi="Trebuchet MS" w:cs="Arial"/>
          <w:sz w:val="22"/>
          <w:szCs w:val="22"/>
        </w:rPr>
      </w:pPr>
    </w:p>
    <w:p w:rsidR="00BF2681" w:rsidRPr="00745ACE" w:rsidRDefault="00BF2681" w:rsidP="00BF2681">
      <w:pPr>
        <w:jc w:val="both"/>
        <w:rPr>
          <w:rFonts w:ascii="Trebuchet MS" w:hAnsi="Trebuchet MS" w:cs="Arial"/>
          <w:i/>
          <w:sz w:val="22"/>
          <w:szCs w:val="22"/>
        </w:rPr>
      </w:pPr>
      <w:r w:rsidRPr="00745ACE">
        <w:rPr>
          <w:rFonts w:ascii="Trebuchet MS" w:hAnsi="Trebuchet MS" w:cs="Arial"/>
          <w:sz w:val="22"/>
          <w:szCs w:val="22"/>
        </w:rPr>
        <w:t>Tabelul nr.</w:t>
      </w:r>
      <w:r w:rsidR="00362C67" w:rsidRPr="00745ACE">
        <w:rPr>
          <w:rFonts w:ascii="Trebuchet MS" w:hAnsi="Trebuchet MS" w:cs="Arial"/>
          <w:sz w:val="22"/>
          <w:szCs w:val="22"/>
        </w:rPr>
        <w:t>VIII</w:t>
      </w:r>
      <w:r w:rsidRPr="00745ACE">
        <w:rPr>
          <w:rFonts w:ascii="Trebuchet MS" w:hAnsi="Trebuchet MS" w:cs="Arial"/>
          <w:sz w:val="22"/>
          <w:szCs w:val="22"/>
        </w:rPr>
        <w:t>.1.5.2.1.</w:t>
      </w:r>
      <w:r w:rsidRPr="00745ACE">
        <w:rPr>
          <w:rFonts w:ascii="Trebuchet MS" w:hAnsi="Trebuchet MS" w:cs="Arial"/>
          <w:b/>
          <w:sz w:val="22"/>
          <w:szCs w:val="22"/>
        </w:rPr>
        <w:t xml:space="preserve"> </w:t>
      </w:r>
      <w:r w:rsidRPr="00745ACE">
        <w:rPr>
          <w:rFonts w:ascii="Trebuchet MS" w:hAnsi="Trebuchet MS" w:cs="Arial"/>
          <w:i/>
          <w:sz w:val="22"/>
          <w:szCs w:val="22"/>
        </w:rPr>
        <w:t>Perioadele și descrierea sumară a cauzelor i</w:t>
      </w:r>
      <w:r w:rsidR="00877643" w:rsidRPr="00745ACE">
        <w:rPr>
          <w:rFonts w:ascii="Trebuchet MS" w:hAnsi="Trebuchet MS" w:cs="Arial"/>
          <w:i/>
          <w:sz w:val="22"/>
          <w:szCs w:val="22"/>
        </w:rPr>
        <w:t>nundațiilor produse în an</w:t>
      </w:r>
      <w:r w:rsidR="006C0433" w:rsidRPr="00745ACE">
        <w:rPr>
          <w:rFonts w:ascii="Trebuchet MS" w:hAnsi="Trebuchet MS" w:cs="Arial"/>
          <w:i/>
          <w:sz w:val="22"/>
          <w:szCs w:val="22"/>
        </w:rPr>
        <w:t>ul 202</w:t>
      </w:r>
      <w:r w:rsidR="00BB679E" w:rsidRPr="00745ACE">
        <w:rPr>
          <w:rFonts w:ascii="Trebuchet MS" w:hAnsi="Trebuchet MS" w:cs="Arial"/>
          <w:i/>
          <w:sz w:val="22"/>
          <w:szCs w:val="22"/>
        </w:rPr>
        <w:t>3</w:t>
      </w:r>
      <w:r w:rsidRPr="00745ACE">
        <w:rPr>
          <w:rFonts w:ascii="Trebuchet MS" w:hAnsi="Trebuchet MS" w:cs="Arial"/>
          <w:i/>
          <w:sz w:val="22"/>
          <w:szCs w:val="22"/>
        </w:rPr>
        <w:t xml:space="preserve"> și localitățile afectate </w:t>
      </w:r>
    </w:p>
    <w:tbl>
      <w:tblPr>
        <w:tblW w:w="9526" w:type="dxa"/>
        <w:tblInd w:w="108" w:type="dxa"/>
        <w:tblLayout w:type="fixed"/>
        <w:tblLook w:val="0000" w:firstRow="0" w:lastRow="0" w:firstColumn="0" w:lastColumn="0" w:noHBand="0" w:noVBand="0"/>
      </w:tblPr>
      <w:tblGrid>
        <w:gridCol w:w="709"/>
        <w:gridCol w:w="3969"/>
        <w:gridCol w:w="4848"/>
      </w:tblGrid>
      <w:tr w:rsidR="00BF2681" w:rsidRPr="00745ACE" w:rsidTr="00261663">
        <w:tc>
          <w:tcPr>
            <w:tcW w:w="709" w:type="dxa"/>
            <w:tcBorders>
              <w:top w:val="single" w:sz="4" w:space="0" w:color="000000"/>
              <w:left w:val="single" w:sz="4" w:space="0" w:color="000000"/>
              <w:bottom w:val="single" w:sz="4" w:space="0" w:color="000000"/>
            </w:tcBorders>
            <w:shd w:val="clear" w:color="auto" w:fill="auto"/>
            <w:vAlign w:val="center"/>
          </w:tcPr>
          <w:p w:rsidR="00BF2681" w:rsidRPr="00745ACE" w:rsidRDefault="00BF2681" w:rsidP="00261663">
            <w:pPr>
              <w:jc w:val="center"/>
              <w:rPr>
                <w:rFonts w:ascii="Trebuchet MS" w:hAnsi="Trebuchet MS" w:cs="Arial"/>
                <w:b/>
                <w:sz w:val="22"/>
                <w:szCs w:val="22"/>
              </w:rPr>
            </w:pPr>
            <w:r w:rsidRPr="00745ACE">
              <w:rPr>
                <w:rFonts w:ascii="Trebuchet MS" w:hAnsi="Trebuchet MS" w:cs="Arial"/>
                <w:b/>
                <w:sz w:val="22"/>
                <w:szCs w:val="22"/>
              </w:rPr>
              <w:t>Nr.</w:t>
            </w:r>
          </w:p>
          <w:p w:rsidR="00BF2681" w:rsidRPr="00745ACE" w:rsidRDefault="00BF2681" w:rsidP="00261663">
            <w:pPr>
              <w:jc w:val="center"/>
              <w:rPr>
                <w:rFonts w:ascii="Trebuchet MS" w:hAnsi="Trebuchet MS" w:cs="Arial"/>
                <w:b/>
                <w:sz w:val="22"/>
                <w:szCs w:val="22"/>
              </w:rPr>
            </w:pPr>
            <w:r w:rsidRPr="00745ACE">
              <w:rPr>
                <w:rFonts w:ascii="Trebuchet MS" w:hAnsi="Trebuchet MS" w:cs="Arial"/>
                <w:b/>
                <w:sz w:val="22"/>
                <w:szCs w:val="22"/>
              </w:rPr>
              <w:t>crt.</w:t>
            </w:r>
          </w:p>
        </w:tc>
        <w:tc>
          <w:tcPr>
            <w:tcW w:w="3969" w:type="dxa"/>
            <w:tcBorders>
              <w:top w:val="single" w:sz="4" w:space="0" w:color="000000"/>
              <w:left w:val="single" w:sz="4" w:space="0" w:color="000000"/>
              <w:bottom w:val="single" w:sz="4" w:space="0" w:color="000000"/>
            </w:tcBorders>
            <w:shd w:val="clear" w:color="auto" w:fill="auto"/>
            <w:vAlign w:val="center"/>
          </w:tcPr>
          <w:p w:rsidR="00BF2681" w:rsidRPr="00745ACE" w:rsidRDefault="00BF2681" w:rsidP="00261663">
            <w:pPr>
              <w:jc w:val="center"/>
              <w:rPr>
                <w:rFonts w:ascii="Trebuchet MS" w:hAnsi="Trebuchet MS" w:cs="Arial"/>
                <w:b/>
                <w:sz w:val="22"/>
                <w:szCs w:val="22"/>
              </w:rPr>
            </w:pPr>
            <w:r w:rsidRPr="00745ACE">
              <w:rPr>
                <w:rFonts w:ascii="Trebuchet MS" w:hAnsi="Trebuchet MS" w:cs="Arial"/>
                <w:b/>
                <w:sz w:val="22"/>
                <w:szCs w:val="22"/>
              </w:rPr>
              <w:t>JUDEŢUL</w:t>
            </w:r>
          </w:p>
          <w:p w:rsidR="00BF2681" w:rsidRPr="00745ACE" w:rsidRDefault="00BF2681" w:rsidP="00261663">
            <w:pPr>
              <w:jc w:val="center"/>
              <w:rPr>
                <w:rFonts w:ascii="Trebuchet MS" w:hAnsi="Trebuchet MS" w:cs="Arial"/>
                <w:b/>
                <w:sz w:val="22"/>
                <w:szCs w:val="22"/>
              </w:rPr>
            </w:pPr>
            <w:r w:rsidRPr="00745ACE">
              <w:rPr>
                <w:rFonts w:ascii="Trebuchet MS" w:hAnsi="Trebuchet MS" w:cs="Arial"/>
                <w:b/>
                <w:sz w:val="22"/>
                <w:szCs w:val="22"/>
              </w:rPr>
              <w:t>(localităţi afectate)</w:t>
            </w:r>
          </w:p>
        </w:tc>
        <w:tc>
          <w:tcPr>
            <w:tcW w:w="4848" w:type="dxa"/>
            <w:tcBorders>
              <w:top w:val="single" w:sz="4" w:space="0" w:color="000000"/>
              <w:left w:val="single" w:sz="4" w:space="0" w:color="000000"/>
              <w:bottom w:val="single" w:sz="4" w:space="0" w:color="000000"/>
              <w:right w:val="single" w:sz="4" w:space="0" w:color="auto"/>
            </w:tcBorders>
            <w:shd w:val="clear" w:color="auto" w:fill="auto"/>
            <w:vAlign w:val="center"/>
          </w:tcPr>
          <w:p w:rsidR="00BF2681" w:rsidRPr="00745ACE" w:rsidRDefault="00BF2681" w:rsidP="00261663">
            <w:pPr>
              <w:jc w:val="center"/>
              <w:rPr>
                <w:rFonts w:ascii="Trebuchet MS" w:hAnsi="Trebuchet MS" w:cs="Arial"/>
                <w:b/>
                <w:sz w:val="22"/>
                <w:szCs w:val="22"/>
              </w:rPr>
            </w:pPr>
            <w:r w:rsidRPr="00745ACE">
              <w:rPr>
                <w:rFonts w:ascii="Trebuchet MS" w:hAnsi="Trebuchet MS" w:cs="Arial"/>
                <w:b/>
                <w:sz w:val="22"/>
                <w:szCs w:val="22"/>
              </w:rPr>
              <w:t>PERIOADA</w:t>
            </w:r>
          </w:p>
          <w:p w:rsidR="00BF2681" w:rsidRPr="00745ACE" w:rsidRDefault="00BF2681" w:rsidP="00261663">
            <w:pPr>
              <w:jc w:val="center"/>
              <w:rPr>
                <w:rFonts w:ascii="Trebuchet MS" w:hAnsi="Trebuchet MS" w:cs="Arial"/>
                <w:b/>
                <w:sz w:val="22"/>
                <w:szCs w:val="22"/>
              </w:rPr>
            </w:pPr>
            <w:r w:rsidRPr="00745ACE">
              <w:rPr>
                <w:rFonts w:ascii="Trebuchet MS" w:hAnsi="Trebuchet MS" w:cs="Arial"/>
                <w:b/>
                <w:sz w:val="22"/>
                <w:szCs w:val="22"/>
              </w:rPr>
              <w:t>(fenomenul produs)</w:t>
            </w:r>
          </w:p>
        </w:tc>
      </w:tr>
      <w:tr w:rsidR="00BF2681" w:rsidRPr="00745ACE" w:rsidTr="00261663">
        <w:tc>
          <w:tcPr>
            <w:tcW w:w="709" w:type="dxa"/>
            <w:tcBorders>
              <w:top w:val="single" w:sz="4" w:space="0" w:color="000000"/>
              <w:left w:val="single" w:sz="4" w:space="0" w:color="000000"/>
              <w:bottom w:val="single" w:sz="4" w:space="0" w:color="000000"/>
            </w:tcBorders>
            <w:shd w:val="clear" w:color="auto" w:fill="auto"/>
            <w:vAlign w:val="center"/>
          </w:tcPr>
          <w:p w:rsidR="00BF2681" w:rsidRPr="00745ACE" w:rsidRDefault="00BF2681" w:rsidP="00261663">
            <w:pPr>
              <w:jc w:val="center"/>
              <w:rPr>
                <w:rFonts w:ascii="Trebuchet MS" w:hAnsi="Trebuchet MS" w:cs="Arial"/>
                <w:b/>
                <w:sz w:val="22"/>
                <w:szCs w:val="22"/>
              </w:rPr>
            </w:pPr>
          </w:p>
        </w:tc>
        <w:tc>
          <w:tcPr>
            <w:tcW w:w="3969" w:type="dxa"/>
            <w:tcBorders>
              <w:top w:val="single" w:sz="4" w:space="0" w:color="000000"/>
              <w:left w:val="single" w:sz="4" w:space="0" w:color="000000"/>
              <w:bottom w:val="single" w:sz="4" w:space="0" w:color="000000"/>
            </w:tcBorders>
            <w:shd w:val="clear" w:color="auto" w:fill="auto"/>
          </w:tcPr>
          <w:p w:rsidR="00BF2681" w:rsidRPr="00745ACE" w:rsidRDefault="00BF2681" w:rsidP="00261663">
            <w:pPr>
              <w:jc w:val="center"/>
              <w:rPr>
                <w:rFonts w:ascii="Trebuchet MS" w:hAnsi="Trebuchet MS" w:cs="Arial"/>
                <w:b/>
                <w:sz w:val="22"/>
                <w:szCs w:val="22"/>
                <w:u w:val="single"/>
              </w:rPr>
            </w:pPr>
            <w:r w:rsidRPr="00745ACE">
              <w:rPr>
                <w:rFonts w:ascii="Trebuchet MS" w:hAnsi="Trebuchet MS" w:cs="Arial"/>
                <w:b/>
                <w:sz w:val="22"/>
                <w:szCs w:val="22"/>
                <w:u w:val="single"/>
              </w:rPr>
              <w:t>BUCUREŞTI</w:t>
            </w:r>
          </w:p>
          <w:p w:rsidR="00877643" w:rsidRPr="00745ACE" w:rsidRDefault="00BF2681" w:rsidP="00877643">
            <w:pPr>
              <w:jc w:val="center"/>
              <w:rPr>
                <w:rFonts w:ascii="Trebuchet MS" w:hAnsi="Trebuchet MS" w:cs="Arial"/>
                <w:sz w:val="22"/>
                <w:szCs w:val="22"/>
              </w:rPr>
            </w:pPr>
            <w:r w:rsidRPr="00745ACE">
              <w:rPr>
                <w:rFonts w:ascii="Trebuchet MS" w:hAnsi="Trebuchet MS" w:cs="Arial"/>
                <w:sz w:val="22"/>
                <w:szCs w:val="22"/>
              </w:rPr>
              <w:t xml:space="preserve"> </w:t>
            </w:r>
          </w:p>
          <w:p w:rsidR="00BF2681" w:rsidRPr="00745ACE" w:rsidRDefault="00BF2681" w:rsidP="00261663">
            <w:pPr>
              <w:jc w:val="center"/>
              <w:rPr>
                <w:rFonts w:ascii="Trebuchet MS" w:hAnsi="Trebuchet MS" w:cs="Arial"/>
                <w:sz w:val="22"/>
                <w:szCs w:val="22"/>
              </w:rPr>
            </w:pPr>
          </w:p>
        </w:tc>
        <w:tc>
          <w:tcPr>
            <w:tcW w:w="4848" w:type="dxa"/>
            <w:tcBorders>
              <w:top w:val="single" w:sz="4" w:space="0" w:color="000000"/>
              <w:left w:val="single" w:sz="4" w:space="0" w:color="000000"/>
              <w:bottom w:val="single" w:sz="4" w:space="0" w:color="000000"/>
              <w:right w:val="single" w:sz="4" w:space="0" w:color="auto"/>
            </w:tcBorders>
            <w:shd w:val="clear" w:color="auto" w:fill="auto"/>
          </w:tcPr>
          <w:p w:rsidR="00BF2681" w:rsidRPr="00745ACE" w:rsidRDefault="00877643" w:rsidP="006F438E">
            <w:pPr>
              <w:rPr>
                <w:rFonts w:ascii="Trebuchet MS" w:hAnsi="Trebuchet MS" w:cs="Arial"/>
                <w:sz w:val="22"/>
                <w:szCs w:val="22"/>
              </w:rPr>
            </w:pPr>
            <w:r w:rsidRPr="00745ACE">
              <w:rPr>
                <w:rFonts w:ascii="Trebuchet MS" w:hAnsi="Trebuchet MS" w:cs="Arial"/>
                <w:b/>
                <w:sz w:val="22"/>
                <w:szCs w:val="22"/>
                <w:u w:val="single"/>
              </w:rPr>
              <w:t>NU au fost inundatii in anul 20</w:t>
            </w:r>
            <w:r w:rsidR="00C4762D" w:rsidRPr="00745ACE">
              <w:rPr>
                <w:rFonts w:ascii="Trebuchet MS" w:hAnsi="Trebuchet MS" w:cs="Arial"/>
                <w:b/>
                <w:sz w:val="22"/>
                <w:szCs w:val="22"/>
                <w:u w:val="single"/>
              </w:rPr>
              <w:t>2</w:t>
            </w:r>
            <w:r w:rsidR="006F438E" w:rsidRPr="00745ACE">
              <w:rPr>
                <w:rFonts w:ascii="Trebuchet MS" w:hAnsi="Trebuchet MS" w:cs="Arial"/>
                <w:b/>
                <w:sz w:val="22"/>
                <w:szCs w:val="22"/>
                <w:u w:val="single"/>
              </w:rPr>
              <w:t>3</w:t>
            </w:r>
          </w:p>
        </w:tc>
      </w:tr>
    </w:tbl>
    <w:p w:rsidR="00AE762B" w:rsidRPr="00745ACE" w:rsidRDefault="00AE762B" w:rsidP="00C83216">
      <w:pPr>
        <w:jc w:val="center"/>
        <w:rPr>
          <w:rFonts w:ascii="Trebuchet MS" w:hAnsi="Trebuchet MS" w:cs="Arial"/>
          <w:b/>
          <w:sz w:val="32"/>
          <w:szCs w:val="32"/>
          <w:lang w:val="it-IT"/>
        </w:rPr>
      </w:pPr>
      <w:r>
        <w:rPr>
          <w:lang w:val="it-IT"/>
        </w:rPr>
        <w:br w:type="page"/>
      </w:r>
      <w:r w:rsidRPr="00745ACE">
        <w:rPr>
          <w:rFonts w:ascii="Trebuchet MS" w:hAnsi="Trebuchet MS" w:cs="Arial"/>
          <w:b/>
          <w:sz w:val="32"/>
          <w:szCs w:val="32"/>
          <w:lang w:val="it-IT"/>
        </w:rPr>
        <w:t xml:space="preserve">CAPITOLUL </w:t>
      </w:r>
      <w:r w:rsidR="00362C67" w:rsidRPr="00745ACE">
        <w:rPr>
          <w:rFonts w:ascii="Trebuchet MS" w:hAnsi="Trebuchet MS" w:cs="Arial"/>
          <w:b/>
          <w:sz w:val="32"/>
          <w:szCs w:val="32"/>
          <w:lang w:val="it-IT"/>
        </w:rPr>
        <w:t>I</w:t>
      </w:r>
      <w:r w:rsidRPr="00745ACE">
        <w:rPr>
          <w:rFonts w:ascii="Trebuchet MS" w:hAnsi="Trebuchet MS" w:cs="Arial"/>
          <w:b/>
          <w:sz w:val="32"/>
          <w:szCs w:val="32"/>
          <w:lang w:val="it-IT"/>
        </w:rPr>
        <w:t>X</w:t>
      </w:r>
    </w:p>
    <w:p w:rsidR="00AE762B" w:rsidRPr="00745ACE" w:rsidRDefault="00AE762B" w:rsidP="002B7BAF">
      <w:pPr>
        <w:jc w:val="center"/>
        <w:rPr>
          <w:rFonts w:ascii="Trebuchet MS" w:hAnsi="Trebuchet MS" w:cs="Arial"/>
          <w:b/>
          <w:sz w:val="32"/>
          <w:szCs w:val="32"/>
          <w:lang w:val="it-IT"/>
        </w:rPr>
      </w:pPr>
      <w:r w:rsidRPr="00745ACE">
        <w:rPr>
          <w:rFonts w:ascii="Trebuchet MS" w:hAnsi="Trebuchet MS" w:cs="Arial"/>
          <w:b/>
          <w:sz w:val="32"/>
          <w:szCs w:val="32"/>
          <w:lang w:val="it-IT"/>
        </w:rPr>
        <w:t>RADIOACTIVITATEA MEDIULUI</w:t>
      </w:r>
    </w:p>
    <w:p w:rsidR="00AE762B" w:rsidRPr="00745ACE" w:rsidRDefault="00AE762B" w:rsidP="002B7BAF">
      <w:pPr>
        <w:jc w:val="center"/>
        <w:rPr>
          <w:rFonts w:ascii="Trebuchet MS" w:hAnsi="Trebuchet MS" w:cs="Arial"/>
          <w:b/>
          <w:sz w:val="32"/>
          <w:szCs w:val="32"/>
          <w:lang w:val="it-IT"/>
        </w:rPr>
      </w:pPr>
    </w:p>
    <w:p w:rsidR="00AE762B" w:rsidRPr="00745ACE" w:rsidRDefault="00362C67" w:rsidP="002B7BAF">
      <w:pPr>
        <w:jc w:val="both"/>
        <w:rPr>
          <w:rFonts w:ascii="Trebuchet MS" w:hAnsi="Trebuchet MS" w:cs="Arial"/>
          <w:b/>
          <w:lang w:val="pt-BR"/>
        </w:rPr>
      </w:pPr>
      <w:r w:rsidRPr="00745ACE">
        <w:rPr>
          <w:rFonts w:ascii="Trebuchet MS" w:hAnsi="Trebuchet MS" w:cs="Arial"/>
          <w:b/>
          <w:lang w:val="pt-BR"/>
        </w:rPr>
        <w:t>I</w:t>
      </w:r>
      <w:r w:rsidR="00AE762B" w:rsidRPr="00745ACE">
        <w:rPr>
          <w:rFonts w:ascii="Trebuchet MS" w:hAnsi="Trebuchet MS" w:cs="Arial"/>
          <w:b/>
          <w:lang w:val="pt-BR"/>
        </w:rPr>
        <w:t>X.1 Monitorizarea radioactivităţii factorilor de mediu</w:t>
      </w:r>
    </w:p>
    <w:p w:rsidR="00AE762B" w:rsidRPr="0059186B" w:rsidRDefault="00AE762B" w:rsidP="002B7BAF">
      <w:pPr>
        <w:jc w:val="both"/>
        <w:rPr>
          <w:rFonts w:ascii="Arial" w:hAnsi="Arial" w:cs="Arial"/>
          <w:b/>
          <w:lang w:val="pt-BR"/>
        </w:rPr>
      </w:pPr>
    </w:p>
    <w:p w:rsidR="00AE762B" w:rsidRPr="00745ACE" w:rsidRDefault="00AE762B" w:rsidP="004F134E">
      <w:pPr>
        <w:pStyle w:val="ListParagraph"/>
        <w:numPr>
          <w:ilvl w:val="0"/>
          <w:numId w:val="90"/>
        </w:numPr>
        <w:jc w:val="both"/>
        <w:rPr>
          <w:rFonts w:ascii="Trebuchet MS" w:hAnsi="Trebuchet MS" w:cs="Arial"/>
          <w:b/>
          <w:sz w:val="22"/>
          <w:szCs w:val="22"/>
        </w:rPr>
      </w:pPr>
      <w:r w:rsidRPr="00745ACE">
        <w:rPr>
          <w:rFonts w:ascii="Trebuchet MS" w:hAnsi="Trebuchet MS" w:cs="Arial"/>
          <w:b/>
          <w:sz w:val="22"/>
          <w:szCs w:val="22"/>
        </w:rPr>
        <w:t>Indicatori specifici</w:t>
      </w:r>
    </w:p>
    <w:p w:rsidR="00AE762B" w:rsidRPr="00745ACE" w:rsidRDefault="00AE762B" w:rsidP="006271A4">
      <w:pPr>
        <w:pStyle w:val="ListParagraph"/>
        <w:jc w:val="both"/>
        <w:rPr>
          <w:rFonts w:ascii="Trebuchet MS" w:hAnsi="Trebuchet MS" w:cs="Arial"/>
          <w:b/>
          <w:sz w:val="22"/>
          <w:szCs w:val="22"/>
        </w:rPr>
      </w:pPr>
      <w:r w:rsidRPr="00745ACE">
        <w:rPr>
          <w:rFonts w:ascii="Trebuchet MS" w:hAnsi="Trebuchet MS" w:cs="Arial"/>
          <w:b/>
          <w:sz w:val="22"/>
          <w:szCs w:val="22"/>
        </w:rPr>
        <w:t>Nu este cazul</w:t>
      </w:r>
    </w:p>
    <w:p w:rsidR="00AE762B" w:rsidRPr="00745ACE" w:rsidRDefault="00AE762B" w:rsidP="004F134E">
      <w:pPr>
        <w:pStyle w:val="ListParagraph"/>
        <w:numPr>
          <w:ilvl w:val="0"/>
          <w:numId w:val="90"/>
        </w:numPr>
        <w:jc w:val="both"/>
        <w:rPr>
          <w:rFonts w:ascii="Trebuchet MS" w:hAnsi="Trebuchet MS" w:cs="Arial"/>
          <w:b/>
          <w:sz w:val="22"/>
          <w:szCs w:val="22"/>
        </w:rPr>
      </w:pPr>
      <w:r w:rsidRPr="00745ACE">
        <w:rPr>
          <w:rFonts w:ascii="Trebuchet MS" w:hAnsi="Trebuchet MS" w:cs="Arial"/>
          <w:b/>
          <w:sz w:val="22"/>
          <w:szCs w:val="22"/>
        </w:rPr>
        <w:t>Alte date şi informaţii specifice</w:t>
      </w:r>
    </w:p>
    <w:p w:rsidR="00AE762B" w:rsidRPr="00745ACE" w:rsidRDefault="00AE762B" w:rsidP="006271A4">
      <w:pPr>
        <w:pStyle w:val="ListParagraph"/>
        <w:jc w:val="both"/>
        <w:rPr>
          <w:rFonts w:ascii="Trebuchet MS" w:hAnsi="Trebuchet MS" w:cs="Arial"/>
          <w:b/>
          <w:sz w:val="22"/>
          <w:szCs w:val="22"/>
        </w:rPr>
      </w:pPr>
    </w:p>
    <w:p w:rsidR="00261663" w:rsidRPr="00745ACE" w:rsidRDefault="00261663" w:rsidP="00261663">
      <w:pPr>
        <w:pStyle w:val="NormalWeb"/>
        <w:spacing w:after="0"/>
        <w:ind w:firstLine="720"/>
        <w:jc w:val="both"/>
        <w:rPr>
          <w:rFonts w:ascii="Trebuchet MS" w:hAnsi="Trebuchet MS" w:cs="Arial"/>
          <w:sz w:val="22"/>
          <w:szCs w:val="22"/>
        </w:rPr>
      </w:pPr>
      <w:r w:rsidRPr="00745ACE">
        <w:rPr>
          <w:rFonts w:ascii="Trebuchet MS" w:hAnsi="Trebuchet MS" w:cs="Arial"/>
          <w:sz w:val="22"/>
          <w:szCs w:val="22"/>
        </w:rPr>
        <w:t>Radioactivitatea este proprietatea unor elemente chimice de a emite prin dezintegrare spontană radiaţii corpusculare şi/sau electromagnetice. Aceasta este un fenomen natural ce se manifestă în mediu.</w:t>
      </w:r>
    </w:p>
    <w:p w:rsidR="00261663" w:rsidRPr="00745ACE" w:rsidRDefault="00261663" w:rsidP="00261663">
      <w:pPr>
        <w:pStyle w:val="NormalWeb"/>
        <w:spacing w:after="0"/>
        <w:jc w:val="both"/>
        <w:rPr>
          <w:rFonts w:ascii="Trebuchet MS" w:hAnsi="Trebuchet MS" w:cs="Arial"/>
          <w:sz w:val="22"/>
          <w:szCs w:val="22"/>
        </w:rPr>
      </w:pPr>
      <w:r w:rsidRPr="00745ACE">
        <w:rPr>
          <w:rFonts w:ascii="Trebuchet MS" w:hAnsi="Trebuchet MS" w:cs="Arial"/>
          <w:sz w:val="22"/>
          <w:szCs w:val="22"/>
        </w:rPr>
        <w:t xml:space="preserve">Radioactivitatea naturală este determinată de substanţele radioactive (radionuclizi) de origine terestră (precum U-238, U-235, Th-232, Ac-228 etc.), la care se adaugă substanţele radioactive de origine cosmogenă (H-3, Be-7, C-14 etc) şi radiaţia cosmică. Substanţele radioactive de origine terestră există în natură din cele mai vechi timpuri, iar abundenţa lor este dependentă de conformaţia geologică a diferitelor zone, variind de la un loc la altul. Componenta extraterestră a radioactivităţii naturale este constituită din radiaţiile de origine cosmică provenite din spaţiul cosmic şi de la Soare. Substanţele radioactive de origine cosmogenă se formează în straturile înalte ale atmosferei, prin interacţia radiaţiei cosmice cu elemente stabile. </w:t>
      </w:r>
    </w:p>
    <w:p w:rsidR="00261663" w:rsidRPr="00745ACE" w:rsidRDefault="00261663" w:rsidP="00261663">
      <w:pPr>
        <w:pStyle w:val="NormalWeb"/>
        <w:spacing w:after="0"/>
        <w:jc w:val="both"/>
        <w:rPr>
          <w:rFonts w:ascii="Trebuchet MS" w:hAnsi="Trebuchet MS" w:cs="Arial"/>
          <w:sz w:val="22"/>
          <w:szCs w:val="22"/>
        </w:rPr>
      </w:pPr>
      <w:r w:rsidRPr="00745ACE">
        <w:rPr>
          <w:rFonts w:ascii="Trebuchet MS" w:hAnsi="Trebuchet MS" w:cs="Arial"/>
          <w:sz w:val="22"/>
          <w:szCs w:val="22"/>
        </w:rPr>
        <w:t>Toate radiaţiile ionizante, de origine terestră sau cosmică, constituie fondul natural de radiaţii care acţionează asupra organismelor vii.</w:t>
      </w:r>
    </w:p>
    <w:p w:rsidR="00261663" w:rsidRPr="00745ACE" w:rsidRDefault="00261663" w:rsidP="00261663">
      <w:pPr>
        <w:pStyle w:val="NormalWeb"/>
        <w:spacing w:after="0"/>
        <w:jc w:val="both"/>
        <w:rPr>
          <w:rFonts w:ascii="Trebuchet MS" w:hAnsi="Trebuchet MS" w:cs="Arial"/>
          <w:i/>
          <w:iCs/>
          <w:sz w:val="22"/>
          <w:szCs w:val="22"/>
        </w:rPr>
      </w:pPr>
      <w:r w:rsidRPr="00745ACE">
        <w:rPr>
          <w:rFonts w:ascii="Trebuchet MS" w:hAnsi="Trebuchet MS" w:cs="Arial"/>
          <w:sz w:val="22"/>
          <w:szCs w:val="22"/>
        </w:rPr>
        <w:t>Alături de radionuclizii naturali se găsesc radionuclizii artificiali care au pătruns în mediu pe diferite căi: intenţionat, în urma testelor nucleare şi prin deversări de la diverse instalaţii nucleare (centrale nuclear-electrice, reactoare de cercetare, etc.) şi accidental, în urma unor defecţiuni la instalaţiile nucleare (ex. accidentul nuclear de la Cernobîl).</w:t>
      </w:r>
    </w:p>
    <w:p w:rsidR="00261663" w:rsidRPr="00745ACE" w:rsidRDefault="00261663" w:rsidP="002B104F">
      <w:pPr>
        <w:ind w:firstLine="360"/>
        <w:jc w:val="both"/>
        <w:rPr>
          <w:rFonts w:ascii="Trebuchet MS" w:hAnsi="Trebuchet MS" w:cs="Arial"/>
          <w:sz w:val="22"/>
          <w:szCs w:val="22"/>
        </w:rPr>
      </w:pPr>
    </w:p>
    <w:p w:rsidR="002B104F" w:rsidRPr="00745ACE" w:rsidRDefault="002B104F" w:rsidP="002B104F">
      <w:pPr>
        <w:ind w:firstLine="360"/>
        <w:jc w:val="both"/>
        <w:rPr>
          <w:rFonts w:ascii="Trebuchet MS" w:hAnsi="Trebuchet MS" w:cs="Arial"/>
          <w:sz w:val="22"/>
          <w:szCs w:val="22"/>
        </w:rPr>
      </w:pPr>
      <w:r w:rsidRPr="00745ACE">
        <w:rPr>
          <w:rFonts w:ascii="Trebuchet MS" w:hAnsi="Trebuchet MS" w:cs="Arial"/>
          <w:sz w:val="22"/>
          <w:szCs w:val="22"/>
        </w:rPr>
        <w:t xml:space="preserve">Reţeaua Naţională de Supraveghere a Radioactivităţii Mediului (RNSRM) face parte din Sistemul Integrat de Supraveghere a Poluării Mediului pe teritoriul României, din cadrul Ministerului Mediului. </w:t>
      </w:r>
    </w:p>
    <w:p w:rsidR="002B104F" w:rsidRPr="00745ACE" w:rsidRDefault="002B104F" w:rsidP="002B104F">
      <w:pPr>
        <w:jc w:val="both"/>
        <w:rPr>
          <w:rFonts w:ascii="Trebuchet MS" w:hAnsi="Trebuchet MS" w:cs="Arial"/>
          <w:sz w:val="22"/>
          <w:szCs w:val="22"/>
        </w:rPr>
      </w:pPr>
      <w:r w:rsidRPr="00745ACE">
        <w:rPr>
          <w:rFonts w:ascii="Trebuchet MS" w:hAnsi="Trebuchet MS" w:cs="Arial"/>
          <w:sz w:val="22"/>
          <w:szCs w:val="22"/>
        </w:rPr>
        <w:t xml:space="preserve">         Coordonarea ştiinţifică, tehnică şi metodologică a RNSRM este asigurată de Laboratorul Naţional de Referinţă pentru Radioactivitate (LR) din cadrul Agenţiei Naţionale pentru Protecţia Mediului.</w:t>
      </w:r>
    </w:p>
    <w:p w:rsidR="002B104F" w:rsidRPr="00745ACE" w:rsidRDefault="002B104F" w:rsidP="002B104F">
      <w:pPr>
        <w:jc w:val="both"/>
        <w:rPr>
          <w:rFonts w:ascii="Trebuchet MS" w:hAnsi="Trebuchet MS" w:cs="Arial"/>
          <w:sz w:val="22"/>
          <w:szCs w:val="22"/>
          <w:lang w:val="it-IT"/>
        </w:rPr>
      </w:pPr>
      <w:r w:rsidRPr="00745ACE">
        <w:rPr>
          <w:rFonts w:ascii="Trebuchet MS" w:hAnsi="Trebuchet MS" w:cs="Arial"/>
          <w:sz w:val="22"/>
          <w:szCs w:val="22"/>
        </w:rPr>
        <w:t xml:space="preserve">         </w:t>
      </w:r>
      <w:r w:rsidRPr="00745ACE">
        <w:rPr>
          <w:rFonts w:ascii="Trebuchet MS" w:hAnsi="Trebuchet MS" w:cs="Arial"/>
          <w:sz w:val="22"/>
          <w:szCs w:val="22"/>
          <w:lang w:val="it-IT"/>
        </w:rPr>
        <w:t xml:space="preserve">Analizele efectuate pentru factorii de mediu monitorizaţi (aer, prin aerosoli, depuneri atmosferice umede şi uscate, ape, prin ape de suprafaţă, freatice şi potabile, sol, necultivat şi cultivat, vegetaţie spontană şi cultivată) sunt realizate de Staţiile de Supraveghere a Radioactivităţii Mediului (SSRM), laboratoare aflate în structura organizatorică şi administrativă a Agenţiilor judeţene pentru Protecţia Mediului, precum şi de staţiile automate de monitorizare a debitului dozei gama absorbită în aer. </w:t>
      </w:r>
    </w:p>
    <w:p w:rsidR="002B104F" w:rsidRPr="00745ACE" w:rsidRDefault="002B104F" w:rsidP="002B104F">
      <w:pPr>
        <w:jc w:val="both"/>
        <w:rPr>
          <w:rFonts w:ascii="Trebuchet MS" w:hAnsi="Trebuchet MS" w:cs="Arial"/>
          <w:sz w:val="22"/>
          <w:szCs w:val="22"/>
          <w:lang w:val="it-IT"/>
        </w:rPr>
      </w:pPr>
      <w:r w:rsidRPr="00745ACE">
        <w:rPr>
          <w:rFonts w:ascii="Trebuchet MS" w:hAnsi="Trebuchet MS" w:cs="Arial"/>
          <w:sz w:val="22"/>
          <w:szCs w:val="22"/>
          <w:lang w:val="it-IT"/>
        </w:rPr>
        <w:t xml:space="preserve">       Obiectivele activităţii de monitorizare a radioactivităţii mediului sunt:</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detectarea rapidă a oricăror creşteri cu semnificaţie radiologică ale nivelurilor de radioactivitate a mediului pe teritoriul naţional;</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notificarea rapidă a factorilor de decizie în situaţie de urgenţă radiologică şi susţinerea cu date din teren a deciziilor de implementare a măsurilor de protecţie în timp real;</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controlul funcţionării surselor de poluare radioactivă cu impact asupra mediului în acord cu cerinţele legale şi limitele autorizate la nivel naţional;</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evaluarea dozelor încasate de populaţie ca urmare a expunerii suplimentare la radiaţii datorate practicilor sau accidentelor radiologice;</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urmărirea continuă a nivelurilor de radioactivitate naturală, importante în evaluarea consecinţelor unei situaţii de urgenţă radiologică;</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furnizarea de informaţii către public.</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În situaţii de rutină frecvenţa raportărilor este zilnică, iar în situaţii de urgenţă schimbul de date se realizează orar.</w:t>
      </w:r>
    </w:p>
    <w:p w:rsidR="002B104F" w:rsidRPr="00745ACE" w:rsidRDefault="002B104F" w:rsidP="00C83216">
      <w:pPr>
        <w:outlineLvl w:val="1"/>
        <w:rPr>
          <w:rFonts w:ascii="Trebuchet MS" w:hAnsi="Trebuchet MS" w:cs="Arial"/>
          <w:sz w:val="22"/>
          <w:szCs w:val="22"/>
          <w:lang w:val="it-IT"/>
        </w:rPr>
      </w:pPr>
      <w:r w:rsidRPr="00745ACE">
        <w:rPr>
          <w:rFonts w:ascii="Trebuchet MS" w:hAnsi="Trebuchet MS" w:cs="Arial"/>
          <w:b/>
          <w:sz w:val="22"/>
          <w:szCs w:val="22"/>
          <w:lang w:val="it-IT"/>
        </w:rPr>
        <w:tab/>
      </w:r>
    </w:p>
    <w:p w:rsidR="002B104F" w:rsidRPr="00745ACE" w:rsidRDefault="007B2E6D"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În cursul anului 202</w:t>
      </w:r>
      <w:r w:rsidR="00A30A22" w:rsidRPr="00745ACE">
        <w:rPr>
          <w:rFonts w:ascii="Trebuchet MS" w:hAnsi="Trebuchet MS" w:cs="Arial"/>
          <w:sz w:val="22"/>
          <w:szCs w:val="22"/>
          <w:lang w:val="it-IT"/>
        </w:rPr>
        <w:t>3</w:t>
      </w:r>
      <w:r w:rsidR="002B104F" w:rsidRPr="00745ACE">
        <w:rPr>
          <w:rFonts w:ascii="Trebuchet MS" w:hAnsi="Trebuchet MS" w:cs="Arial"/>
          <w:sz w:val="22"/>
          <w:szCs w:val="22"/>
          <w:lang w:val="it-IT"/>
        </w:rPr>
        <w:t xml:space="preserve"> Staţia de Supraveghere a Radioactivităţii Mediului (SSRM) Bucureşti  a derulat un program standard de activitate monitorizare a radioactivitaţii factorilor de mediu  de 11 ore din 24, prin măsurarea:</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activităţii beta globale a probelor de: - aer</w:t>
      </w:r>
    </w:p>
    <w:p w:rsidR="002B104F" w:rsidRPr="00745ACE" w:rsidRDefault="002B104F" w:rsidP="00C83216">
      <w:pPr>
        <w:ind w:left="3600"/>
        <w:jc w:val="both"/>
        <w:rPr>
          <w:rFonts w:ascii="Trebuchet MS" w:hAnsi="Trebuchet MS" w:cs="Arial"/>
          <w:sz w:val="22"/>
          <w:szCs w:val="22"/>
          <w:lang w:val="it-IT"/>
        </w:rPr>
      </w:pPr>
      <w:r w:rsidRPr="00745ACE">
        <w:rPr>
          <w:rFonts w:ascii="Trebuchet MS" w:hAnsi="Trebuchet MS" w:cs="Arial"/>
          <w:sz w:val="22"/>
          <w:szCs w:val="22"/>
          <w:lang w:val="it-IT"/>
        </w:rPr>
        <w:t xml:space="preserve">           - depuneri atmosferice</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w:t>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t>- ape</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w:t>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t>- vegetaţie</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w:t>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r>
      <w:r w:rsidRPr="00745ACE">
        <w:rPr>
          <w:rFonts w:ascii="Trebuchet MS" w:hAnsi="Trebuchet MS" w:cs="Arial"/>
          <w:sz w:val="22"/>
          <w:szCs w:val="22"/>
          <w:lang w:val="it-IT"/>
        </w:rPr>
        <w:tab/>
        <w:t xml:space="preserve">- sol  </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 măsurarea debitului dozei gamma absorbite în aer  în situaţii normale şi de urgenţă radiologică şi transmiterea acestor date către Serviciul Laborator Radioactivitate (Direcţia Laboratoare Naţionale de Referinţă – ANPM ) care este coordonatorul din punct de vedere tehnic şi ştiinţific al Reţelei Naţionale de Supraveghere a Radioactivităţii Mediului (R.N.S.R.M.). </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Activitatea staţiei se desfăşoară conform OM 1978/2010, care cuprinde procedurile de lucru la Staţiile de Supraveghere a Radioactiviţii Mediului în situaţii normale şi în situaţii de urgenţă radiologică şi în baza Normativelor de dotare şi a specificaţiilor tehnice pentru echipamente stabilite de Serviciul Laborator Radioactivitate-Direcţia Laboratoare Naţionale de Referinţă – ANPM, în conformitate cu ROF-ANPM în vigoare.</w:t>
      </w: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Fluxul de date atât în situaţii normale, cât şi în situaţii de urgenţă, este asigurat de către SSRM Bucureşti prin raportări zilnice, lunare şi anuale către LRM-ANPM, datele fiind introduse în Baza Naţională de date de radioactivitate a mediului din România, ce este conectată la sistemul informaţional al Uniunii Europene, realizându-se un transfer bidirecţional de date între România şi reţelele de supraveghere din UE, pe platfoma EURDEP (European Data Exchange Platform). </w:t>
      </w:r>
    </w:p>
    <w:p w:rsidR="00ED26C6" w:rsidRPr="00745ACE" w:rsidRDefault="00ED26C6" w:rsidP="00C83216">
      <w:pPr>
        <w:pStyle w:val="NormalWeb"/>
        <w:spacing w:before="0" w:beforeAutospacing="0" w:after="0" w:afterAutospacing="0"/>
        <w:ind w:firstLine="720"/>
        <w:jc w:val="both"/>
        <w:rPr>
          <w:rFonts w:ascii="Trebuchet MS" w:hAnsi="Trebuchet MS" w:cs="Arial"/>
          <w:sz w:val="22"/>
          <w:szCs w:val="22"/>
        </w:rPr>
      </w:pPr>
      <w:r w:rsidRPr="00745ACE">
        <w:rPr>
          <w:rFonts w:ascii="Trebuchet MS" w:hAnsi="Trebuchet MS" w:cs="Arial"/>
          <w:sz w:val="22"/>
          <w:szCs w:val="22"/>
        </w:rPr>
        <w:t>Numărul total al analizelor be</w:t>
      </w:r>
      <w:r w:rsidR="00DA5502" w:rsidRPr="00745ACE">
        <w:rPr>
          <w:rFonts w:ascii="Trebuchet MS" w:hAnsi="Trebuchet MS" w:cs="Arial"/>
          <w:sz w:val="22"/>
          <w:szCs w:val="22"/>
        </w:rPr>
        <w:t>t</w:t>
      </w:r>
      <w:r w:rsidR="00A30A22" w:rsidRPr="00745ACE">
        <w:rPr>
          <w:rFonts w:ascii="Trebuchet MS" w:hAnsi="Trebuchet MS" w:cs="Arial"/>
          <w:sz w:val="22"/>
          <w:szCs w:val="22"/>
        </w:rPr>
        <w:t>a globale efectuate în anul 2023</w:t>
      </w:r>
      <w:r w:rsidR="00261663" w:rsidRPr="00745ACE">
        <w:rPr>
          <w:rFonts w:ascii="Trebuchet MS" w:hAnsi="Trebuchet MS" w:cs="Arial"/>
          <w:sz w:val="22"/>
          <w:szCs w:val="22"/>
        </w:rPr>
        <w:t xml:space="preserve"> </w:t>
      </w:r>
      <w:r w:rsidRPr="00745ACE">
        <w:rPr>
          <w:rFonts w:ascii="Trebuchet MS" w:hAnsi="Trebuchet MS" w:cs="Arial"/>
          <w:sz w:val="22"/>
          <w:szCs w:val="22"/>
        </w:rPr>
        <w:t xml:space="preserve"> în cadrul SSRM Bucureşti a fost de </w:t>
      </w:r>
      <w:r w:rsidR="00A30A22" w:rsidRPr="00745ACE">
        <w:rPr>
          <w:rFonts w:ascii="Trebuchet MS" w:hAnsi="Trebuchet MS" w:cs="Arial"/>
          <w:b/>
          <w:bCs/>
          <w:sz w:val="22"/>
          <w:szCs w:val="22"/>
        </w:rPr>
        <w:t>5484.</w:t>
      </w:r>
    </w:p>
    <w:p w:rsidR="00ED26C6" w:rsidRPr="00745ACE" w:rsidRDefault="00ED26C6" w:rsidP="00C83216">
      <w:pPr>
        <w:jc w:val="both"/>
        <w:rPr>
          <w:rFonts w:ascii="Trebuchet MS" w:hAnsi="Trebuchet MS" w:cs="Arial"/>
          <w:sz w:val="22"/>
          <w:szCs w:val="22"/>
          <w:lang w:val="it-IT"/>
        </w:rPr>
      </w:pPr>
    </w:p>
    <w:p w:rsidR="002B104F" w:rsidRPr="00745ACE" w:rsidRDefault="002B104F" w:rsidP="00C83216">
      <w:pPr>
        <w:jc w:val="both"/>
        <w:rPr>
          <w:rFonts w:ascii="Trebuchet MS" w:hAnsi="Trebuchet MS" w:cs="Arial"/>
          <w:sz w:val="22"/>
          <w:szCs w:val="22"/>
          <w:lang w:val="it-IT"/>
        </w:rPr>
      </w:pPr>
      <w:r w:rsidRPr="00745ACE">
        <w:rPr>
          <w:rFonts w:ascii="Trebuchet MS" w:hAnsi="Trebuchet MS" w:cs="Arial"/>
          <w:sz w:val="22"/>
          <w:szCs w:val="22"/>
          <w:lang w:val="it-IT"/>
        </w:rPr>
        <w:t xml:space="preserve">         Analizele de radioactivitate efectuate asupra probelor de mediu prelevate în cadrul Programului standard de monitorizare a radioactivităţii factorilor de</w:t>
      </w:r>
      <w:r w:rsidR="00DA5502" w:rsidRPr="00745ACE">
        <w:rPr>
          <w:rFonts w:ascii="Trebuchet MS" w:hAnsi="Trebuchet MS" w:cs="Arial"/>
          <w:sz w:val="22"/>
          <w:szCs w:val="22"/>
          <w:lang w:val="it-IT"/>
        </w:rPr>
        <w:t xml:space="preserve"> mediu, pe parcursul anului 202</w:t>
      </w:r>
      <w:r w:rsidR="008C037D" w:rsidRPr="00745ACE">
        <w:rPr>
          <w:rFonts w:ascii="Trebuchet MS" w:hAnsi="Trebuchet MS" w:cs="Arial"/>
          <w:sz w:val="22"/>
          <w:szCs w:val="22"/>
          <w:lang w:val="it-IT"/>
        </w:rPr>
        <w:t>3</w:t>
      </w:r>
      <w:r w:rsidRPr="00745ACE">
        <w:rPr>
          <w:rFonts w:ascii="Trebuchet MS" w:hAnsi="Trebuchet MS" w:cs="Arial"/>
          <w:sz w:val="22"/>
          <w:szCs w:val="22"/>
          <w:lang w:val="it-IT"/>
        </w:rPr>
        <w:t xml:space="preserve">, nu au indicat depăşiri ale limitelor operaţionale de avertizare/alarmare ale factorilor de mediu urmăriţi. De </w:t>
      </w:r>
      <w:r w:rsidR="00DA5502" w:rsidRPr="00745ACE">
        <w:rPr>
          <w:rFonts w:ascii="Trebuchet MS" w:hAnsi="Trebuchet MS" w:cs="Arial"/>
          <w:sz w:val="22"/>
          <w:szCs w:val="22"/>
          <w:lang w:val="it-IT"/>
        </w:rPr>
        <w:t>asemenea, la nivelul anului 202</w:t>
      </w:r>
      <w:r w:rsidR="00A30A22" w:rsidRPr="00745ACE">
        <w:rPr>
          <w:rFonts w:ascii="Trebuchet MS" w:hAnsi="Trebuchet MS" w:cs="Arial"/>
          <w:sz w:val="22"/>
          <w:szCs w:val="22"/>
          <w:lang w:val="it-IT"/>
        </w:rPr>
        <w:t>3</w:t>
      </w:r>
      <w:r w:rsidRPr="00745ACE">
        <w:rPr>
          <w:rFonts w:ascii="Trebuchet MS" w:hAnsi="Trebuchet MS" w:cs="Arial"/>
          <w:sz w:val="22"/>
          <w:szCs w:val="22"/>
          <w:lang w:val="it-IT"/>
        </w:rPr>
        <w:t xml:space="preserve"> nu s-au înregistrat evenimente de contaminare radioactivă a mediului (conform valorilor de avertizare stabilite prin OM 338/ 2002). </w:t>
      </w:r>
    </w:p>
    <w:p w:rsidR="002B104F" w:rsidRPr="00745ACE" w:rsidRDefault="002B104F" w:rsidP="002B104F">
      <w:pPr>
        <w:jc w:val="both"/>
        <w:rPr>
          <w:rFonts w:ascii="Trebuchet MS" w:hAnsi="Trebuchet MS" w:cs="Arial"/>
          <w:sz w:val="22"/>
          <w:szCs w:val="22"/>
          <w:lang w:val="it-IT"/>
        </w:rPr>
      </w:pPr>
      <w:r w:rsidRPr="00745ACE">
        <w:rPr>
          <w:rFonts w:ascii="Trebuchet MS" w:hAnsi="Trebuchet MS" w:cs="Arial"/>
          <w:sz w:val="22"/>
          <w:szCs w:val="22"/>
          <w:lang w:val="it-IT"/>
        </w:rPr>
        <w:t xml:space="preserve">         Probele prelevate de către SSRM Bucureşti sunt retransmise către ANPM pentru analizele gama spectrometrice.</w:t>
      </w:r>
    </w:p>
    <w:p w:rsidR="008C037D" w:rsidRPr="00745ACE" w:rsidRDefault="008C037D" w:rsidP="002B104F">
      <w:pPr>
        <w:jc w:val="both"/>
        <w:rPr>
          <w:rFonts w:ascii="Trebuchet MS" w:hAnsi="Trebuchet MS" w:cs="Arial"/>
          <w:sz w:val="22"/>
          <w:szCs w:val="22"/>
          <w:lang w:val="it-IT"/>
        </w:rPr>
      </w:pPr>
    </w:p>
    <w:p w:rsidR="008C037D" w:rsidRPr="00745ACE" w:rsidRDefault="008C037D" w:rsidP="002B104F">
      <w:pPr>
        <w:jc w:val="both"/>
        <w:rPr>
          <w:rFonts w:ascii="Trebuchet MS" w:hAnsi="Trebuchet MS" w:cs="Arial"/>
          <w:b/>
          <w:sz w:val="22"/>
          <w:szCs w:val="22"/>
          <w:lang w:val="it-IT"/>
        </w:rPr>
      </w:pPr>
      <w:r w:rsidRPr="00745ACE">
        <w:rPr>
          <w:rFonts w:ascii="Trebuchet MS" w:hAnsi="Trebuchet MS" w:cs="Arial"/>
          <w:sz w:val="22"/>
          <w:szCs w:val="22"/>
          <w:lang w:val="it-IT"/>
        </w:rPr>
        <w:tab/>
      </w:r>
      <w:r w:rsidRPr="00745ACE">
        <w:rPr>
          <w:rFonts w:ascii="Trebuchet MS" w:hAnsi="Trebuchet MS" w:cs="Arial"/>
          <w:b/>
          <w:sz w:val="22"/>
          <w:szCs w:val="22"/>
          <w:lang w:val="it-IT"/>
        </w:rPr>
        <w:t>Începând cu luna martie 2023 SSRM București și-a mutat locația (din sediul statiei meteorologice Afumați la sediul APM București) , modificându-se corespunzător și locația punctelor de prelevare/măsurare. De aceeea statisticile privind evoluția pe perioadă de 5 ani nu sunt concludente, creșterile sau scăderile valorilor medii anuale pentru parametrii monitorizați in anul 2023 putând fi determinate doar de mutarea locației punctelor de prelevare.</w:t>
      </w:r>
    </w:p>
    <w:p w:rsidR="00AE762B" w:rsidRPr="00745ACE" w:rsidRDefault="00AE762B" w:rsidP="006271A4">
      <w:pPr>
        <w:pStyle w:val="Default"/>
        <w:jc w:val="center"/>
        <w:rPr>
          <w:rFonts w:ascii="Trebuchet MS" w:hAnsi="Trebuchet MS"/>
          <w:sz w:val="22"/>
          <w:szCs w:val="22"/>
          <w:lang w:val="pt-BR"/>
        </w:rPr>
      </w:pPr>
    </w:p>
    <w:p w:rsidR="005D2073" w:rsidRDefault="005D2073" w:rsidP="00EE6FB5">
      <w:pPr>
        <w:pStyle w:val="Default"/>
        <w:jc w:val="both"/>
        <w:rPr>
          <w:rFonts w:ascii="Trebuchet MS" w:hAnsi="Trebuchet MS"/>
          <w:b/>
          <w:sz w:val="22"/>
          <w:szCs w:val="22"/>
          <w:lang w:val="pt-BR"/>
        </w:rPr>
      </w:pPr>
    </w:p>
    <w:p w:rsidR="00745ACE" w:rsidRDefault="00745ACE" w:rsidP="00EE6FB5">
      <w:pPr>
        <w:pStyle w:val="Default"/>
        <w:jc w:val="both"/>
        <w:rPr>
          <w:rFonts w:ascii="Trebuchet MS" w:hAnsi="Trebuchet MS"/>
          <w:b/>
          <w:sz w:val="22"/>
          <w:szCs w:val="22"/>
          <w:lang w:val="pt-BR"/>
        </w:rPr>
      </w:pPr>
    </w:p>
    <w:p w:rsidR="00745ACE" w:rsidRDefault="00745ACE" w:rsidP="00EE6FB5">
      <w:pPr>
        <w:pStyle w:val="Default"/>
        <w:jc w:val="both"/>
        <w:rPr>
          <w:rFonts w:ascii="Trebuchet MS" w:hAnsi="Trebuchet MS"/>
          <w:b/>
          <w:sz w:val="22"/>
          <w:szCs w:val="22"/>
          <w:lang w:val="pt-BR"/>
        </w:rPr>
      </w:pPr>
    </w:p>
    <w:p w:rsidR="00745ACE" w:rsidRDefault="00745ACE" w:rsidP="00EE6FB5">
      <w:pPr>
        <w:pStyle w:val="Default"/>
        <w:jc w:val="both"/>
        <w:rPr>
          <w:rFonts w:ascii="Trebuchet MS" w:hAnsi="Trebuchet MS"/>
          <w:b/>
          <w:sz w:val="22"/>
          <w:szCs w:val="22"/>
          <w:lang w:val="pt-BR"/>
        </w:rPr>
      </w:pPr>
    </w:p>
    <w:p w:rsidR="00745ACE" w:rsidRPr="00745ACE" w:rsidRDefault="00745ACE" w:rsidP="00EE6FB5">
      <w:pPr>
        <w:pStyle w:val="Default"/>
        <w:jc w:val="both"/>
        <w:rPr>
          <w:rFonts w:ascii="Trebuchet MS" w:hAnsi="Trebuchet MS"/>
          <w:b/>
          <w:sz w:val="22"/>
          <w:szCs w:val="22"/>
          <w:lang w:val="pt-BR"/>
        </w:rPr>
      </w:pPr>
    </w:p>
    <w:p w:rsidR="00AE762B" w:rsidRPr="00745ACE" w:rsidRDefault="00362C67" w:rsidP="00EE6FB5">
      <w:pPr>
        <w:pStyle w:val="Default"/>
        <w:jc w:val="both"/>
        <w:rPr>
          <w:rFonts w:ascii="Trebuchet MS" w:hAnsi="Trebuchet MS"/>
          <w:b/>
          <w:lang w:val="pt-BR"/>
        </w:rPr>
      </w:pPr>
      <w:r w:rsidRPr="00745ACE">
        <w:rPr>
          <w:rFonts w:ascii="Trebuchet MS" w:hAnsi="Trebuchet MS"/>
          <w:b/>
          <w:lang w:val="pt-BR"/>
        </w:rPr>
        <w:t>I</w:t>
      </w:r>
      <w:r w:rsidR="00AE762B" w:rsidRPr="00745ACE">
        <w:rPr>
          <w:rFonts w:ascii="Trebuchet MS" w:hAnsi="Trebuchet MS"/>
          <w:b/>
          <w:lang w:val="pt-BR"/>
        </w:rPr>
        <w:t>X.1.1. Radioactivitatea aerului</w:t>
      </w:r>
    </w:p>
    <w:p w:rsidR="00AE762B" w:rsidRPr="0059186B" w:rsidRDefault="00AE762B" w:rsidP="00EE6FB5">
      <w:pPr>
        <w:pStyle w:val="Default"/>
        <w:jc w:val="both"/>
        <w:rPr>
          <w:lang w:val="pt-BR"/>
        </w:rPr>
      </w:pPr>
    </w:p>
    <w:p w:rsidR="00AE762B" w:rsidRPr="00745ACE" w:rsidRDefault="00AE762B" w:rsidP="004F134E">
      <w:pPr>
        <w:pStyle w:val="ListParagraph"/>
        <w:numPr>
          <w:ilvl w:val="0"/>
          <w:numId w:val="23"/>
        </w:numPr>
        <w:jc w:val="both"/>
        <w:rPr>
          <w:rFonts w:ascii="Trebuchet MS" w:hAnsi="Trebuchet MS" w:cs="Arial"/>
          <w:b/>
          <w:sz w:val="22"/>
          <w:szCs w:val="22"/>
        </w:rPr>
      </w:pPr>
      <w:r w:rsidRPr="00745ACE">
        <w:rPr>
          <w:rFonts w:ascii="Trebuchet MS" w:hAnsi="Trebuchet MS" w:cs="Arial"/>
          <w:b/>
          <w:sz w:val="22"/>
          <w:szCs w:val="22"/>
        </w:rPr>
        <w:t>Indicatori specifici</w:t>
      </w:r>
    </w:p>
    <w:p w:rsidR="00AE762B" w:rsidRPr="00745ACE" w:rsidRDefault="00AE762B" w:rsidP="00EE6FB5">
      <w:pPr>
        <w:pStyle w:val="ListParagraph"/>
        <w:jc w:val="both"/>
        <w:rPr>
          <w:rFonts w:ascii="Trebuchet MS" w:hAnsi="Trebuchet MS" w:cs="Arial"/>
          <w:b/>
          <w:sz w:val="22"/>
          <w:szCs w:val="22"/>
        </w:rPr>
      </w:pPr>
      <w:r w:rsidRPr="00745ACE">
        <w:rPr>
          <w:rFonts w:ascii="Trebuchet MS" w:hAnsi="Trebuchet MS" w:cs="Arial"/>
          <w:b/>
          <w:sz w:val="22"/>
          <w:szCs w:val="22"/>
        </w:rPr>
        <w:t>Nu este cazul</w:t>
      </w:r>
    </w:p>
    <w:p w:rsidR="00AE762B" w:rsidRPr="00745ACE" w:rsidRDefault="00AE762B" w:rsidP="004F134E">
      <w:pPr>
        <w:pStyle w:val="ListParagraph"/>
        <w:numPr>
          <w:ilvl w:val="0"/>
          <w:numId w:val="23"/>
        </w:numPr>
        <w:jc w:val="both"/>
        <w:rPr>
          <w:rFonts w:ascii="Trebuchet MS" w:hAnsi="Trebuchet MS" w:cs="Arial"/>
          <w:b/>
          <w:sz w:val="22"/>
          <w:szCs w:val="22"/>
        </w:rPr>
      </w:pPr>
      <w:r w:rsidRPr="00745ACE">
        <w:rPr>
          <w:rFonts w:ascii="Trebuchet MS" w:hAnsi="Trebuchet MS" w:cs="Arial"/>
          <w:b/>
          <w:sz w:val="22"/>
          <w:szCs w:val="22"/>
        </w:rPr>
        <w:t>Alte date şi informaţii specifice</w:t>
      </w:r>
    </w:p>
    <w:p w:rsidR="00B97C7F" w:rsidRPr="00745ACE" w:rsidRDefault="00B97C7F" w:rsidP="00B97C7F">
      <w:pPr>
        <w:ind w:firstLine="360"/>
        <w:jc w:val="both"/>
        <w:rPr>
          <w:rFonts w:ascii="Trebuchet MS" w:hAnsi="Trebuchet MS" w:cs="Arial"/>
          <w:sz w:val="22"/>
          <w:szCs w:val="22"/>
          <w:lang w:val="it-IT"/>
        </w:rPr>
      </w:pPr>
      <w:r w:rsidRPr="00745ACE">
        <w:rPr>
          <w:rFonts w:ascii="Trebuchet MS" w:hAnsi="Trebuchet MS" w:cs="Arial"/>
          <w:sz w:val="22"/>
          <w:szCs w:val="22"/>
          <w:lang w:val="it-IT"/>
        </w:rPr>
        <w:t xml:space="preserve">Prelevarea aerosolilor atmosferici se realizează în cadrul programului de lucru specific Staţiei de Suprevegere a Radioactivităţii Bucureşti, cu un program de lucru standard de 11 h efectuând 2 aspiraţii, de noapte şi de zi , respectiv: </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02 – 07; 08 – 13.</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 xml:space="preserve">         Probele de aerosoli atmosferici sunt prelevate prin aspirare, timp de 5 ore, prin filtre, care apoi sunt analizate beta global.</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 xml:space="preserve">         Filtrele prelevate sunt analizate beta global după 3 minute de la încetarea aspiraţiei, determinându-se activitatea beta globală imediată a aerosolilor. Măsurarea are ca scop detectarea imediată a oricărei creşteri semnificative a radioactivităţii mediului. </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 xml:space="preserve">         Filtrele sunt apoi remăsurate după 20 ore, determinându-se nivelul radioactivităţii naturale a descendenţilor radonului şi toronului – gaze radioactive inerte (datorate emanaţiilor de scoarţa terestră în mod natural).</w:t>
      </w:r>
    </w:p>
    <w:p w:rsidR="00B97C7F" w:rsidRPr="00745ACE" w:rsidRDefault="00B97C7F" w:rsidP="00B97C7F">
      <w:pPr>
        <w:pStyle w:val="Default"/>
        <w:jc w:val="both"/>
        <w:rPr>
          <w:rFonts w:ascii="Trebuchet MS" w:hAnsi="Trebuchet MS"/>
          <w:sz w:val="22"/>
          <w:szCs w:val="22"/>
          <w:lang w:val="it-IT"/>
        </w:rPr>
      </w:pPr>
      <w:r w:rsidRPr="00745ACE">
        <w:rPr>
          <w:rFonts w:ascii="Trebuchet MS" w:hAnsi="Trebuchet MS"/>
          <w:sz w:val="22"/>
          <w:szCs w:val="22"/>
          <w:lang w:val="it-IT"/>
        </w:rPr>
        <w:t xml:space="preserve">         Ultima remăsurare a filtrelor se face după 5 zile de la prelevare, determinând-se nivelul global al radioactivităţii artificiale a mediului</w:t>
      </w:r>
    </w:p>
    <w:p w:rsidR="002448D4" w:rsidRPr="00745ACE" w:rsidRDefault="00B97C7F" w:rsidP="006902C8">
      <w:pPr>
        <w:pStyle w:val="Default"/>
        <w:jc w:val="both"/>
        <w:rPr>
          <w:rFonts w:ascii="Trebuchet MS" w:hAnsi="Trebuchet MS"/>
          <w:sz w:val="22"/>
          <w:szCs w:val="22"/>
          <w:lang w:val="it-IT"/>
        </w:rPr>
      </w:pPr>
      <w:r w:rsidRPr="00745ACE">
        <w:rPr>
          <w:rFonts w:ascii="Trebuchet MS" w:hAnsi="Trebuchet MS"/>
          <w:i/>
          <w:iCs/>
          <w:sz w:val="22"/>
          <w:szCs w:val="22"/>
          <w:lang w:val="it-IT"/>
        </w:rPr>
        <w:t xml:space="preserve">Debitul dozei gama absorbite în aer: </w:t>
      </w:r>
      <w:r w:rsidRPr="00745ACE">
        <w:rPr>
          <w:rFonts w:ascii="Trebuchet MS" w:hAnsi="Trebuchet MS"/>
          <w:sz w:val="22"/>
          <w:szCs w:val="22"/>
          <w:lang w:val="it-IT"/>
        </w:rPr>
        <w:t>variaţia mediilor şi maximelor anuale ale debitului dozei gama (exprimat în µSv/h)</w:t>
      </w:r>
    </w:p>
    <w:p w:rsidR="002448D4" w:rsidRPr="00745ACE" w:rsidRDefault="002448D4" w:rsidP="002448D4">
      <w:pPr>
        <w:jc w:val="center"/>
        <w:rPr>
          <w:rFonts w:ascii="Trebuchet MS" w:hAnsi="Trebuchet MS" w:cs="Arial"/>
          <w:sz w:val="22"/>
          <w:szCs w:val="22"/>
          <w:lang w:val="it-IT"/>
        </w:rPr>
      </w:pPr>
      <w:r w:rsidRPr="00745ACE">
        <w:rPr>
          <w:rFonts w:ascii="Trebuchet MS" w:hAnsi="Trebuchet MS" w:cs="Arial"/>
          <w:b/>
          <w:bCs/>
          <w:sz w:val="22"/>
          <w:szCs w:val="22"/>
          <w:lang w:val="it-IT"/>
        </w:rPr>
        <w:t xml:space="preserve">Figura </w:t>
      </w:r>
      <w:r w:rsidR="00362C67" w:rsidRPr="00745ACE">
        <w:rPr>
          <w:rFonts w:ascii="Trebuchet MS" w:hAnsi="Trebuchet MS" w:cs="Arial"/>
          <w:b/>
          <w:bCs/>
          <w:sz w:val="22"/>
          <w:szCs w:val="22"/>
          <w:lang w:val="it-IT"/>
        </w:rPr>
        <w:t>I</w:t>
      </w:r>
      <w:r w:rsidRPr="00745ACE">
        <w:rPr>
          <w:rFonts w:ascii="Trebuchet MS" w:hAnsi="Trebuchet MS" w:cs="Arial"/>
          <w:b/>
          <w:bCs/>
          <w:sz w:val="22"/>
          <w:szCs w:val="22"/>
          <w:lang w:val="it-IT"/>
        </w:rPr>
        <w:t>X.1.1.1 Variaţia mediilor şi maximelor anuale ale debitului dozei gama</w:t>
      </w:r>
    </w:p>
    <w:p w:rsidR="002448D4" w:rsidRDefault="000946BE" w:rsidP="002448D4">
      <w:pPr>
        <w:jc w:val="center"/>
      </w:pPr>
      <w:r>
        <w:rPr>
          <w:noProof/>
          <w:lang w:val="en-US"/>
        </w:rPr>
        <w:drawing>
          <wp:inline distT="0" distB="0" distL="0" distR="0" wp14:anchorId="099FFD98" wp14:editId="59D06771">
            <wp:extent cx="5886450" cy="3248025"/>
            <wp:effectExtent l="0" t="0" r="0" b="0"/>
            <wp:docPr id="131" name="Object 1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8C037D" w:rsidRPr="00745ACE" w:rsidRDefault="008C037D" w:rsidP="008C037D">
      <w:pPr>
        <w:pStyle w:val="NormalWeb"/>
        <w:spacing w:after="0"/>
        <w:rPr>
          <w:rFonts w:ascii="Trebuchet MS" w:hAnsi="Trebuchet MS" w:cs="Arial"/>
          <w:color w:val="000000"/>
          <w:sz w:val="22"/>
          <w:szCs w:val="22"/>
        </w:rPr>
      </w:pPr>
      <w:r w:rsidRPr="00745ACE">
        <w:rPr>
          <w:rFonts w:ascii="Trebuchet MS" w:hAnsi="Trebuchet MS" w:cs="Arial"/>
          <w:sz w:val="22"/>
          <w:szCs w:val="22"/>
        </w:rPr>
        <w:t xml:space="preserve">Debitul dozei gama absorbită în aer este înregistrat din oră în oră, efectuându-se medii zilnice pe durata programului de lucru. Au fost efectuate un număr total de </w:t>
      </w:r>
      <w:r w:rsidRPr="00745ACE">
        <w:rPr>
          <w:rFonts w:ascii="Trebuchet MS" w:hAnsi="Trebuchet MS" w:cs="Arial"/>
          <w:b/>
          <w:bCs/>
          <w:sz w:val="22"/>
          <w:szCs w:val="22"/>
        </w:rPr>
        <w:t xml:space="preserve">4306 </w:t>
      </w:r>
      <w:r w:rsidRPr="00745ACE">
        <w:rPr>
          <w:rFonts w:ascii="Trebuchet MS" w:hAnsi="Trebuchet MS" w:cs="Arial"/>
          <w:sz w:val="22"/>
          <w:szCs w:val="22"/>
        </w:rPr>
        <w:t>măsuratori de debit de doză</w:t>
      </w:r>
      <w:r w:rsidRPr="00745ACE">
        <w:rPr>
          <w:rFonts w:ascii="Trebuchet MS" w:hAnsi="Trebuchet MS" w:cs="Arial"/>
          <w:color w:val="C00000"/>
          <w:sz w:val="22"/>
          <w:szCs w:val="22"/>
        </w:rPr>
        <w:t xml:space="preserve">. </w:t>
      </w:r>
      <w:r w:rsidRPr="00745ACE">
        <w:rPr>
          <w:rFonts w:ascii="Trebuchet MS" w:hAnsi="Trebuchet MS" w:cs="Arial"/>
          <w:b/>
          <w:sz w:val="22"/>
          <w:szCs w:val="22"/>
        </w:rPr>
        <w:t>Începând cu luna iunie debitul de doz</w:t>
      </w:r>
      <w:r w:rsidRPr="00745ACE">
        <w:rPr>
          <w:rFonts w:ascii="Trebuchet MS" w:hAnsi="Trebuchet MS" w:cs="Arial"/>
          <w:b/>
          <w:sz w:val="22"/>
          <w:szCs w:val="22"/>
          <w:lang w:val="ro-RO"/>
        </w:rPr>
        <w:t xml:space="preserve">ă </w:t>
      </w:r>
      <w:r w:rsidRPr="00745ACE">
        <w:rPr>
          <w:rFonts w:ascii="Trebuchet MS" w:hAnsi="Trebuchet MS" w:cs="Arial"/>
          <w:b/>
          <w:sz w:val="22"/>
          <w:szCs w:val="22"/>
        </w:rPr>
        <w:t>gama se preia de la stația automată de monitorizare</w:t>
      </w:r>
      <w:r w:rsidR="00C55BA9" w:rsidRPr="00745ACE">
        <w:rPr>
          <w:rFonts w:ascii="Trebuchet MS" w:hAnsi="Trebuchet MS" w:cs="Arial"/>
          <w:b/>
          <w:sz w:val="22"/>
          <w:szCs w:val="22"/>
        </w:rPr>
        <w:t xml:space="preserve"> aflată la sediul APM București</w:t>
      </w:r>
      <w:r w:rsidRPr="00745ACE">
        <w:rPr>
          <w:rFonts w:ascii="Trebuchet MS" w:hAnsi="Trebuchet MS" w:cs="Arial"/>
          <w:b/>
          <w:sz w:val="22"/>
          <w:szCs w:val="22"/>
        </w:rPr>
        <w:t>.</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 xml:space="preserve">Valorile inregistrate sunt sub valorile de atenţionare/avertizare/alarmare </w:t>
      </w:r>
    </w:p>
    <w:p w:rsidR="00B97C7F" w:rsidRPr="00745ACE" w:rsidRDefault="00B97C7F" w:rsidP="00B97C7F">
      <w:pPr>
        <w:rPr>
          <w:rFonts w:ascii="Trebuchet MS" w:hAnsi="Trebuchet MS" w:cs="Arial"/>
          <w:sz w:val="22"/>
          <w:szCs w:val="22"/>
          <w:lang w:val="it-IT"/>
        </w:rPr>
      </w:pPr>
      <w:r w:rsidRPr="00745ACE">
        <w:rPr>
          <w:rFonts w:ascii="Trebuchet MS" w:hAnsi="Trebuchet MS" w:cs="Arial"/>
          <w:sz w:val="22"/>
          <w:szCs w:val="22"/>
          <w:lang w:val="it-IT"/>
        </w:rPr>
        <w:t xml:space="preserve">Limita atentionare:  </w:t>
      </w:r>
      <w:r w:rsidRPr="00745ACE">
        <w:rPr>
          <w:rFonts w:ascii="Trebuchet MS" w:hAnsi="Trebuchet MS" w:cs="Arial"/>
          <w:b/>
          <w:bCs/>
          <w:sz w:val="22"/>
          <w:szCs w:val="22"/>
          <w:lang w:val="it-IT"/>
        </w:rPr>
        <w:t>0.250</w:t>
      </w:r>
      <w:r w:rsidRPr="00745ACE">
        <w:rPr>
          <w:rFonts w:ascii="Trebuchet MS" w:hAnsi="Trebuchet MS" w:cs="Arial"/>
          <w:sz w:val="22"/>
          <w:szCs w:val="22"/>
          <w:lang w:val="it-IT"/>
        </w:rPr>
        <w:t xml:space="preserve"> microGy h</w:t>
      </w:r>
      <w:r w:rsidRPr="00745ACE">
        <w:rPr>
          <w:rFonts w:ascii="Trebuchet MS" w:hAnsi="Trebuchet MS" w:cs="Arial"/>
          <w:sz w:val="22"/>
          <w:szCs w:val="22"/>
          <w:vertAlign w:val="superscript"/>
          <w:lang w:val="it-IT"/>
        </w:rPr>
        <w:t>-1</w:t>
      </w:r>
    </w:p>
    <w:p w:rsidR="00B97C7F" w:rsidRPr="00745ACE" w:rsidRDefault="00B97C7F" w:rsidP="00B97C7F">
      <w:pPr>
        <w:rPr>
          <w:rFonts w:ascii="Trebuchet MS" w:hAnsi="Trebuchet MS" w:cs="Arial"/>
          <w:sz w:val="22"/>
          <w:szCs w:val="22"/>
          <w:lang w:val="it-IT"/>
        </w:rPr>
      </w:pPr>
      <w:r w:rsidRPr="00745ACE">
        <w:rPr>
          <w:rFonts w:ascii="Trebuchet MS" w:hAnsi="Trebuchet MS" w:cs="Arial"/>
          <w:sz w:val="22"/>
          <w:szCs w:val="22"/>
          <w:lang w:val="it-IT"/>
        </w:rPr>
        <w:t xml:space="preserve">Limita avertizare:    </w:t>
      </w:r>
      <w:r w:rsidRPr="00745ACE">
        <w:rPr>
          <w:rFonts w:ascii="Trebuchet MS" w:hAnsi="Trebuchet MS" w:cs="Arial"/>
          <w:b/>
          <w:bCs/>
          <w:sz w:val="22"/>
          <w:szCs w:val="22"/>
          <w:lang w:val="it-IT"/>
        </w:rPr>
        <w:t xml:space="preserve">1.0 </w:t>
      </w:r>
      <w:r w:rsidRPr="00745ACE">
        <w:rPr>
          <w:rFonts w:ascii="Trebuchet MS" w:hAnsi="Trebuchet MS" w:cs="Arial"/>
          <w:sz w:val="22"/>
          <w:szCs w:val="22"/>
          <w:lang w:val="it-IT"/>
        </w:rPr>
        <w:t xml:space="preserve">  microGy h</w:t>
      </w:r>
      <w:r w:rsidRPr="00745ACE">
        <w:rPr>
          <w:rFonts w:ascii="Trebuchet MS" w:hAnsi="Trebuchet MS" w:cs="Arial"/>
          <w:sz w:val="22"/>
          <w:szCs w:val="22"/>
          <w:vertAlign w:val="superscript"/>
          <w:lang w:val="it-IT"/>
        </w:rPr>
        <w:t>-1</w:t>
      </w:r>
      <w:r w:rsidRPr="00745ACE">
        <w:rPr>
          <w:rFonts w:ascii="Trebuchet MS" w:hAnsi="Trebuchet MS" w:cs="Arial"/>
          <w:sz w:val="22"/>
          <w:szCs w:val="22"/>
          <w:lang w:val="it-IT"/>
        </w:rPr>
        <w:t>.</w:t>
      </w:r>
    </w:p>
    <w:p w:rsidR="00B97C7F" w:rsidRPr="00745ACE" w:rsidRDefault="00B97C7F" w:rsidP="00B97C7F">
      <w:pPr>
        <w:rPr>
          <w:rFonts w:ascii="Trebuchet MS" w:hAnsi="Trebuchet MS" w:cs="Arial"/>
          <w:sz w:val="22"/>
          <w:szCs w:val="22"/>
          <w:vertAlign w:val="superscript"/>
          <w:lang w:val="it-IT"/>
        </w:rPr>
      </w:pPr>
      <w:r w:rsidRPr="00745ACE">
        <w:rPr>
          <w:rFonts w:ascii="Trebuchet MS" w:hAnsi="Trebuchet MS" w:cs="Arial"/>
          <w:sz w:val="22"/>
          <w:szCs w:val="22"/>
          <w:lang w:val="it-IT"/>
        </w:rPr>
        <w:t xml:space="preserve">Limita alarmare:     </w:t>
      </w:r>
      <w:r w:rsidRPr="00745ACE">
        <w:rPr>
          <w:rFonts w:ascii="Trebuchet MS" w:hAnsi="Trebuchet MS" w:cs="Arial"/>
          <w:b/>
          <w:bCs/>
          <w:sz w:val="22"/>
          <w:szCs w:val="22"/>
          <w:lang w:val="it-IT"/>
        </w:rPr>
        <w:t>10</w:t>
      </w:r>
      <w:r w:rsidRPr="00745ACE">
        <w:rPr>
          <w:rFonts w:ascii="Trebuchet MS" w:hAnsi="Trebuchet MS" w:cs="Arial"/>
          <w:sz w:val="22"/>
          <w:szCs w:val="22"/>
          <w:vertAlign w:val="superscript"/>
          <w:lang w:val="it-IT"/>
        </w:rPr>
        <w:t xml:space="preserve"> </w:t>
      </w:r>
      <w:r w:rsidRPr="00745ACE">
        <w:rPr>
          <w:rFonts w:ascii="Trebuchet MS" w:hAnsi="Trebuchet MS" w:cs="Arial"/>
          <w:sz w:val="22"/>
          <w:szCs w:val="22"/>
          <w:lang w:val="it-IT"/>
        </w:rPr>
        <w:t>microGy h</w:t>
      </w:r>
      <w:r w:rsidRPr="00745ACE">
        <w:rPr>
          <w:rFonts w:ascii="Trebuchet MS" w:hAnsi="Trebuchet MS" w:cs="Arial"/>
          <w:sz w:val="22"/>
          <w:szCs w:val="22"/>
          <w:vertAlign w:val="superscript"/>
          <w:lang w:val="it-IT"/>
        </w:rPr>
        <w:t>-1</w:t>
      </w:r>
    </w:p>
    <w:p w:rsidR="00C55BA9" w:rsidRPr="00745ACE" w:rsidRDefault="00C55BA9" w:rsidP="002448D4">
      <w:pPr>
        <w:rPr>
          <w:rFonts w:ascii="Trebuchet MS" w:hAnsi="Trebuchet MS" w:cs="Arial"/>
          <w:b/>
          <w:bCs/>
          <w:sz w:val="22"/>
          <w:szCs w:val="22"/>
          <w:lang w:val="it-IT"/>
        </w:rPr>
      </w:pPr>
    </w:p>
    <w:p w:rsidR="002448D4" w:rsidRPr="00745ACE" w:rsidRDefault="002448D4" w:rsidP="002448D4">
      <w:pPr>
        <w:rPr>
          <w:rFonts w:ascii="Trebuchet MS" w:hAnsi="Trebuchet MS" w:cs="Arial"/>
          <w:b/>
          <w:bCs/>
          <w:sz w:val="22"/>
          <w:szCs w:val="22"/>
          <w:lang w:val="en-US"/>
        </w:rPr>
      </w:pPr>
      <w:r w:rsidRPr="00745ACE">
        <w:rPr>
          <w:rFonts w:ascii="Trebuchet MS" w:hAnsi="Trebuchet MS" w:cs="Arial"/>
          <w:b/>
          <w:bCs/>
          <w:sz w:val="22"/>
          <w:szCs w:val="22"/>
          <w:lang w:val="it-IT"/>
        </w:rPr>
        <w:t xml:space="preserve">Figura </w:t>
      </w:r>
      <w:r w:rsidR="00362C67" w:rsidRPr="00745ACE">
        <w:rPr>
          <w:rFonts w:ascii="Trebuchet MS" w:hAnsi="Trebuchet MS" w:cs="Arial"/>
          <w:b/>
          <w:bCs/>
          <w:sz w:val="22"/>
          <w:szCs w:val="22"/>
          <w:lang w:val="it-IT"/>
        </w:rPr>
        <w:t>I</w:t>
      </w:r>
      <w:r w:rsidRPr="00745ACE">
        <w:rPr>
          <w:rFonts w:ascii="Trebuchet MS" w:hAnsi="Trebuchet MS" w:cs="Arial"/>
          <w:b/>
          <w:bCs/>
          <w:sz w:val="22"/>
          <w:szCs w:val="22"/>
          <w:lang w:val="it-IT"/>
        </w:rPr>
        <w:t xml:space="preserve">X.1.1.2 </w:t>
      </w:r>
      <w:r w:rsidRPr="00745ACE">
        <w:rPr>
          <w:rFonts w:ascii="Trebuchet MS" w:hAnsi="Trebuchet MS" w:cs="Arial"/>
          <w:b/>
          <w:bCs/>
          <w:sz w:val="22"/>
          <w:szCs w:val="22"/>
          <w:lang w:val="vi-VN"/>
        </w:rPr>
        <w:t>Variaţia medie anuală a activităţii beta globală imediată a aerosolilor atmosferici în funcţie de variaţia diurnă şi de altitudine</w:t>
      </w:r>
    </w:p>
    <w:p w:rsidR="00C83216" w:rsidRPr="00745ACE" w:rsidRDefault="00C83216" w:rsidP="002448D4">
      <w:pPr>
        <w:rPr>
          <w:rFonts w:ascii="Trebuchet MS" w:hAnsi="Trebuchet MS" w:cs="Arial"/>
          <w:b/>
          <w:bCs/>
          <w:sz w:val="22"/>
          <w:szCs w:val="22"/>
          <w:lang w:val="en-US"/>
        </w:rPr>
      </w:pPr>
    </w:p>
    <w:p w:rsidR="007C2798" w:rsidRPr="007C2798" w:rsidRDefault="000946BE" w:rsidP="002448D4">
      <w:pPr>
        <w:rPr>
          <w:rFonts w:ascii="Arial" w:hAnsi="Arial" w:cs="Arial"/>
          <w:b/>
          <w:bCs/>
          <w:lang w:val="en-US"/>
        </w:rPr>
      </w:pPr>
      <w:bookmarkStart w:id="144" w:name="_MON_1690190160"/>
      <w:bookmarkStart w:id="145" w:name="_MON_1690190463"/>
      <w:bookmarkStart w:id="146" w:name="_MON_1595403368"/>
      <w:bookmarkStart w:id="147" w:name="_MON_1722152478"/>
      <w:bookmarkEnd w:id="144"/>
      <w:bookmarkEnd w:id="145"/>
      <w:bookmarkEnd w:id="146"/>
      <w:bookmarkEnd w:id="147"/>
      <w:r>
        <w:rPr>
          <w:noProof/>
          <w:lang w:val="en-US"/>
        </w:rPr>
        <w:drawing>
          <wp:inline distT="0" distB="0" distL="0" distR="0" wp14:anchorId="2B1D2EDF" wp14:editId="199BEC2B">
            <wp:extent cx="5734050" cy="3248025"/>
            <wp:effectExtent l="0" t="0" r="0" b="0"/>
            <wp:docPr id="132" name="Object 1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C83216" w:rsidRDefault="00C83216" w:rsidP="002448D4">
      <w:pPr>
        <w:jc w:val="both"/>
        <w:rPr>
          <w:rFonts w:ascii="Arial" w:hAnsi="Arial" w:cs="Arial"/>
          <w:b/>
          <w:bCs/>
          <w:lang w:val="it-IT"/>
        </w:rPr>
      </w:pPr>
    </w:p>
    <w:p w:rsidR="00C83216" w:rsidRDefault="00C83216" w:rsidP="002448D4">
      <w:pPr>
        <w:jc w:val="both"/>
        <w:rPr>
          <w:rFonts w:ascii="Arial" w:hAnsi="Arial" w:cs="Arial"/>
          <w:b/>
          <w:bCs/>
          <w:lang w:val="it-IT"/>
        </w:rPr>
      </w:pPr>
    </w:p>
    <w:p w:rsidR="002448D4" w:rsidRPr="00745ACE" w:rsidRDefault="002448D4" w:rsidP="002448D4">
      <w:pPr>
        <w:jc w:val="both"/>
        <w:rPr>
          <w:rFonts w:ascii="Trebuchet MS" w:hAnsi="Trebuchet MS"/>
          <w:sz w:val="22"/>
          <w:szCs w:val="22"/>
          <w:lang w:val="it-IT"/>
        </w:rPr>
      </w:pPr>
      <w:r w:rsidRPr="00745ACE">
        <w:rPr>
          <w:rFonts w:ascii="Trebuchet MS" w:hAnsi="Trebuchet MS" w:cs="Arial"/>
          <w:b/>
          <w:bCs/>
          <w:sz w:val="22"/>
          <w:szCs w:val="22"/>
          <w:lang w:val="it-IT"/>
        </w:rPr>
        <w:t xml:space="preserve">Figura </w:t>
      </w:r>
      <w:r w:rsidR="00362C67" w:rsidRPr="00745ACE">
        <w:rPr>
          <w:rFonts w:ascii="Trebuchet MS" w:hAnsi="Trebuchet MS" w:cs="Arial"/>
          <w:b/>
          <w:bCs/>
          <w:sz w:val="22"/>
          <w:szCs w:val="22"/>
          <w:lang w:val="it-IT"/>
        </w:rPr>
        <w:t>I</w:t>
      </w:r>
      <w:r w:rsidRPr="00745ACE">
        <w:rPr>
          <w:rFonts w:ascii="Trebuchet MS" w:hAnsi="Trebuchet MS" w:cs="Arial"/>
          <w:b/>
          <w:bCs/>
          <w:sz w:val="22"/>
          <w:szCs w:val="22"/>
          <w:lang w:val="it-IT"/>
        </w:rPr>
        <w:t xml:space="preserve">X.1.1.3 </w:t>
      </w:r>
      <w:r w:rsidRPr="00745ACE">
        <w:rPr>
          <w:rFonts w:ascii="Trebuchet MS" w:hAnsi="Trebuchet MS" w:cs="Arial"/>
          <w:b/>
          <w:bCs/>
          <w:sz w:val="22"/>
          <w:szCs w:val="22"/>
          <w:lang w:val="vi-VN"/>
        </w:rPr>
        <w:t>Variaţia mediilor şi maximelor anuale ale activităţii beta globale imediată a aerosolilor atmosferici</w:t>
      </w:r>
    </w:p>
    <w:p w:rsidR="002448D4" w:rsidRDefault="000946BE" w:rsidP="002448D4">
      <w:pPr>
        <w:jc w:val="center"/>
      </w:pPr>
      <w:bookmarkStart w:id="148" w:name="_MON_1722152588"/>
      <w:bookmarkEnd w:id="148"/>
      <w:r>
        <w:rPr>
          <w:noProof/>
          <w:lang w:val="en-US"/>
        </w:rPr>
        <w:drawing>
          <wp:inline distT="0" distB="0" distL="0" distR="0" wp14:anchorId="0DBFE838" wp14:editId="163C6179">
            <wp:extent cx="5905500" cy="3429000"/>
            <wp:effectExtent l="0" t="0" r="0" b="0"/>
            <wp:docPr id="133" name="Object 1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2448D4" w:rsidRDefault="002448D4" w:rsidP="002448D4">
      <w:pPr>
        <w:jc w:val="center"/>
      </w:pPr>
    </w:p>
    <w:p w:rsidR="00B97C7F" w:rsidRPr="00745ACE" w:rsidRDefault="00B97C7F" w:rsidP="00B97C7F">
      <w:pPr>
        <w:jc w:val="both"/>
        <w:rPr>
          <w:rFonts w:ascii="Trebuchet MS" w:hAnsi="Trebuchet MS"/>
          <w:sz w:val="22"/>
          <w:szCs w:val="22"/>
          <w:lang w:val="ro-RO"/>
        </w:rPr>
      </w:pPr>
      <w:r w:rsidRPr="00745ACE">
        <w:rPr>
          <w:rFonts w:ascii="Trebuchet MS" w:hAnsi="Trebuchet MS"/>
          <w:sz w:val="22"/>
          <w:szCs w:val="22"/>
          <w:lang w:val="it-IT"/>
        </w:rPr>
        <w:t>Mediile si maximele anuale ale activit</w:t>
      </w:r>
      <w:r w:rsidRPr="00745ACE">
        <w:rPr>
          <w:rFonts w:ascii="Trebuchet MS" w:hAnsi="Trebuchet MS"/>
          <w:sz w:val="22"/>
          <w:szCs w:val="22"/>
          <w:lang w:val="ro-RO"/>
        </w:rPr>
        <w:t>ăţii beta globale a aerosolilor atmosferici nu prezintă variaţii deosebite pe parcursul celor 5 ani</w:t>
      </w:r>
    </w:p>
    <w:p w:rsidR="00B97C7F" w:rsidRPr="003722F6" w:rsidRDefault="00B97C7F" w:rsidP="00B97C7F">
      <w:pPr>
        <w:jc w:val="both"/>
        <w:rPr>
          <w:lang w:val="ro-RO"/>
        </w:rPr>
      </w:pPr>
    </w:p>
    <w:p w:rsidR="00B97C7F" w:rsidRPr="00745ACE" w:rsidRDefault="00B97C7F" w:rsidP="00B97C7F">
      <w:pPr>
        <w:jc w:val="both"/>
        <w:rPr>
          <w:rFonts w:ascii="Trebuchet MS" w:hAnsi="Trebuchet MS" w:cs="Arial"/>
          <w:b/>
          <w:bCs/>
          <w:sz w:val="22"/>
          <w:szCs w:val="22"/>
          <w:lang w:val="it-IT"/>
        </w:rPr>
      </w:pPr>
      <w:r w:rsidRPr="00745ACE">
        <w:rPr>
          <w:rFonts w:ascii="Trebuchet MS" w:hAnsi="Trebuchet MS" w:cs="Arial"/>
          <w:b/>
          <w:bCs/>
          <w:sz w:val="22"/>
          <w:szCs w:val="22"/>
          <w:lang w:val="it-IT"/>
        </w:rPr>
        <w:t xml:space="preserve">Figura </w:t>
      </w:r>
      <w:r w:rsidR="00362C67" w:rsidRPr="00745ACE">
        <w:rPr>
          <w:rFonts w:ascii="Trebuchet MS" w:hAnsi="Trebuchet MS" w:cs="Arial"/>
          <w:b/>
          <w:bCs/>
          <w:sz w:val="22"/>
          <w:szCs w:val="22"/>
          <w:lang w:val="it-IT"/>
        </w:rPr>
        <w:t>I</w:t>
      </w:r>
      <w:r w:rsidRPr="00745ACE">
        <w:rPr>
          <w:rFonts w:ascii="Trebuchet MS" w:hAnsi="Trebuchet MS" w:cs="Arial"/>
          <w:b/>
          <w:bCs/>
          <w:sz w:val="22"/>
          <w:szCs w:val="22"/>
          <w:lang w:val="it-IT"/>
        </w:rPr>
        <w:t xml:space="preserve">X.1.1.4 </w:t>
      </w:r>
      <w:r w:rsidRPr="00745ACE">
        <w:rPr>
          <w:rFonts w:ascii="Trebuchet MS" w:hAnsi="Trebuchet MS" w:cs="Arial"/>
          <w:b/>
          <w:bCs/>
          <w:sz w:val="22"/>
          <w:szCs w:val="22"/>
          <w:lang w:val="vi-VN"/>
        </w:rPr>
        <w:t>Variaţia activităţii specifice medie anuală a radonului din atmosferă în funcţie de variaţia diurnă</w:t>
      </w:r>
    </w:p>
    <w:p w:rsidR="00B97C7F" w:rsidRDefault="000946BE" w:rsidP="00B97C7F">
      <w:pPr>
        <w:jc w:val="center"/>
      </w:pPr>
      <w:bookmarkStart w:id="149" w:name="_MON_1595404610"/>
      <w:bookmarkStart w:id="150" w:name="_MON_1722152879"/>
      <w:bookmarkEnd w:id="149"/>
      <w:bookmarkEnd w:id="150"/>
      <w:r>
        <w:rPr>
          <w:noProof/>
          <w:lang w:val="en-US"/>
        </w:rPr>
        <w:drawing>
          <wp:inline distT="0" distB="0" distL="0" distR="0" wp14:anchorId="25740A1E" wp14:editId="6FB4EC59">
            <wp:extent cx="4886325" cy="3409950"/>
            <wp:effectExtent l="0" t="0" r="0" b="0"/>
            <wp:docPr id="134" name="Object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B97C7F" w:rsidRDefault="00B97C7F" w:rsidP="00B97C7F">
      <w:pPr>
        <w:jc w:val="center"/>
      </w:pPr>
    </w:p>
    <w:p w:rsidR="00B97C7F" w:rsidRPr="00745ACE" w:rsidRDefault="00B97C7F" w:rsidP="00B97C7F">
      <w:pPr>
        <w:jc w:val="both"/>
        <w:rPr>
          <w:rFonts w:ascii="Trebuchet MS" w:hAnsi="Trebuchet MS" w:cs="Arial"/>
          <w:b/>
          <w:bCs/>
          <w:sz w:val="22"/>
          <w:szCs w:val="22"/>
          <w:lang w:val="it-IT"/>
        </w:rPr>
      </w:pPr>
      <w:r w:rsidRPr="00745ACE">
        <w:rPr>
          <w:rFonts w:ascii="Trebuchet MS" w:hAnsi="Trebuchet MS" w:cs="Arial"/>
          <w:b/>
          <w:bCs/>
          <w:sz w:val="22"/>
          <w:szCs w:val="22"/>
          <w:lang w:val="it-IT"/>
        </w:rPr>
        <w:t xml:space="preserve">Figura </w:t>
      </w:r>
      <w:r w:rsidR="00362C67" w:rsidRPr="00745ACE">
        <w:rPr>
          <w:rFonts w:ascii="Trebuchet MS" w:hAnsi="Trebuchet MS" w:cs="Arial"/>
          <w:b/>
          <w:bCs/>
          <w:sz w:val="22"/>
          <w:szCs w:val="22"/>
          <w:lang w:val="it-IT"/>
        </w:rPr>
        <w:t>I</w:t>
      </w:r>
      <w:r w:rsidRPr="00745ACE">
        <w:rPr>
          <w:rFonts w:ascii="Trebuchet MS" w:hAnsi="Trebuchet MS" w:cs="Arial"/>
          <w:b/>
          <w:bCs/>
          <w:sz w:val="22"/>
          <w:szCs w:val="22"/>
          <w:lang w:val="it-IT"/>
        </w:rPr>
        <w:t xml:space="preserve">X.1.1.5 </w:t>
      </w:r>
      <w:r w:rsidRPr="00745ACE">
        <w:rPr>
          <w:rFonts w:ascii="Trebuchet MS" w:hAnsi="Trebuchet MS" w:cs="Arial"/>
          <w:b/>
          <w:bCs/>
          <w:sz w:val="22"/>
          <w:szCs w:val="22"/>
          <w:lang w:val="vi-VN"/>
        </w:rPr>
        <w:t xml:space="preserve">Variaţia activităţii specifice medie anuală a </w:t>
      </w:r>
      <w:r w:rsidRPr="00745ACE">
        <w:rPr>
          <w:rFonts w:ascii="Trebuchet MS" w:hAnsi="Trebuchet MS" w:cs="Arial"/>
          <w:b/>
          <w:bCs/>
          <w:sz w:val="22"/>
          <w:szCs w:val="22"/>
          <w:lang w:val="ro-RO"/>
        </w:rPr>
        <w:t>tor</w:t>
      </w:r>
      <w:r w:rsidRPr="00745ACE">
        <w:rPr>
          <w:rFonts w:ascii="Trebuchet MS" w:hAnsi="Trebuchet MS" w:cs="Arial"/>
          <w:b/>
          <w:bCs/>
          <w:sz w:val="22"/>
          <w:szCs w:val="22"/>
          <w:lang w:val="vi-VN"/>
        </w:rPr>
        <w:t>onului din atmosferă în funcţie de variaţia diurnă</w:t>
      </w:r>
    </w:p>
    <w:p w:rsidR="00B97C7F" w:rsidRPr="00745ACE" w:rsidRDefault="00B97C7F" w:rsidP="00B97C7F">
      <w:pPr>
        <w:jc w:val="center"/>
        <w:rPr>
          <w:rFonts w:ascii="Trebuchet MS" w:hAnsi="Trebuchet MS"/>
          <w:sz w:val="22"/>
          <w:szCs w:val="22"/>
          <w:lang w:val="it-IT"/>
        </w:rPr>
      </w:pPr>
    </w:p>
    <w:p w:rsidR="00B97C7F" w:rsidRPr="00571EAD" w:rsidRDefault="00B97C7F" w:rsidP="00B97C7F">
      <w:pPr>
        <w:jc w:val="center"/>
        <w:rPr>
          <w:lang w:val="it-IT"/>
        </w:rPr>
      </w:pPr>
    </w:p>
    <w:p w:rsidR="00B97C7F" w:rsidRDefault="000946BE" w:rsidP="00B97C7F">
      <w:pPr>
        <w:pStyle w:val="1text"/>
      </w:pPr>
      <w:bookmarkStart w:id="151" w:name="_MON_1595404900"/>
      <w:bookmarkStart w:id="152" w:name="_MON_1722153099"/>
      <w:bookmarkEnd w:id="151"/>
      <w:bookmarkEnd w:id="152"/>
      <w:r>
        <w:rPr>
          <w:noProof/>
          <w:lang w:val="en-US"/>
        </w:rPr>
        <w:drawing>
          <wp:inline distT="0" distB="0" distL="0" distR="0" wp14:anchorId="0ADC0F2B" wp14:editId="373E8943">
            <wp:extent cx="4886325" cy="3409950"/>
            <wp:effectExtent l="0" t="0" r="0" b="0"/>
            <wp:docPr id="135" name="Object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B97C7F" w:rsidRDefault="00B97C7F" w:rsidP="006902C8"/>
    <w:p w:rsidR="00B97C7F" w:rsidRPr="00745ACE" w:rsidRDefault="00B97C7F" w:rsidP="00B97C7F">
      <w:pPr>
        <w:jc w:val="both"/>
        <w:rPr>
          <w:rFonts w:ascii="Trebuchet MS" w:hAnsi="Trebuchet MS" w:cs="Arial"/>
          <w:b/>
          <w:bCs/>
          <w:sz w:val="22"/>
          <w:szCs w:val="22"/>
          <w:lang w:val="it-IT"/>
        </w:rPr>
      </w:pPr>
      <w:r w:rsidRPr="00745ACE">
        <w:rPr>
          <w:rFonts w:ascii="Trebuchet MS" w:hAnsi="Trebuchet MS" w:cs="Arial"/>
          <w:b/>
          <w:bCs/>
          <w:sz w:val="22"/>
          <w:szCs w:val="22"/>
          <w:lang w:val="it-IT"/>
        </w:rPr>
        <w:t xml:space="preserve">Figura </w:t>
      </w:r>
      <w:r w:rsidR="00362C67" w:rsidRPr="00745ACE">
        <w:rPr>
          <w:rFonts w:ascii="Trebuchet MS" w:hAnsi="Trebuchet MS" w:cs="Arial"/>
          <w:b/>
          <w:bCs/>
          <w:sz w:val="22"/>
          <w:szCs w:val="22"/>
          <w:lang w:val="it-IT"/>
        </w:rPr>
        <w:t>I</w:t>
      </w:r>
      <w:r w:rsidRPr="00745ACE">
        <w:rPr>
          <w:rFonts w:ascii="Trebuchet MS" w:hAnsi="Trebuchet MS" w:cs="Arial"/>
          <w:b/>
          <w:bCs/>
          <w:sz w:val="22"/>
          <w:szCs w:val="22"/>
          <w:lang w:val="it-IT"/>
        </w:rPr>
        <w:t xml:space="preserve">X.1.1.6 </w:t>
      </w:r>
      <w:r w:rsidRPr="00745ACE">
        <w:rPr>
          <w:rFonts w:ascii="Trebuchet MS" w:hAnsi="Trebuchet MS" w:cs="Arial"/>
          <w:b/>
          <w:bCs/>
          <w:sz w:val="22"/>
          <w:szCs w:val="22"/>
          <w:lang w:val="vi-VN"/>
        </w:rPr>
        <w:t>Variaţia medie anuală a activităţii beta globale a aerosolilor atmosferici – măsurare la 5 zile</w:t>
      </w:r>
    </w:p>
    <w:p w:rsidR="00B97C7F" w:rsidRPr="00571EAD" w:rsidRDefault="00B97C7F" w:rsidP="00B97C7F">
      <w:pPr>
        <w:jc w:val="both"/>
        <w:rPr>
          <w:lang w:val="it-IT"/>
        </w:rPr>
      </w:pPr>
    </w:p>
    <w:p w:rsidR="00B97C7F" w:rsidRDefault="000946BE" w:rsidP="00B97C7F">
      <w:pPr>
        <w:jc w:val="center"/>
      </w:pPr>
      <w:bookmarkStart w:id="153" w:name="_MON_1595407139"/>
      <w:bookmarkStart w:id="154" w:name="_MON_1722153303"/>
      <w:bookmarkEnd w:id="153"/>
      <w:bookmarkEnd w:id="154"/>
      <w:r>
        <w:rPr>
          <w:noProof/>
          <w:lang w:val="en-US"/>
        </w:rPr>
        <w:drawing>
          <wp:inline distT="0" distB="0" distL="0" distR="0" wp14:anchorId="7524A25C" wp14:editId="19758727">
            <wp:extent cx="4886325" cy="3409950"/>
            <wp:effectExtent l="0" t="0" r="0" b="0"/>
            <wp:docPr id="136" name="Object 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B97C7F" w:rsidRDefault="00B97C7F" w:rsidP="00B97C7F">
      <w:pPr>
        <w:jc w:val="center"/>
      </w:pPr>
    </w:p>
    <w:p w:rsidR="00B97C7F" w:rsidRPr="00745ACE" w:rsidRDefault="00B97C7F" w:rsidP="004F134E">
      <w:pPr>
        <w:pStyle w:val="Default"/>
        <w:numPr>
          <w:ilvl w:val="1"/>
          <w:numId w:val="24"/>
        </w:numPr>
        <w:rPr>
          <w:rFonts w:ascii="Trebuchet MS" w:hAnsi="Trebuchet MS"/>
          <w:sz w:val="22"/>
          <w:szCs w:val="22"/>
          <w:lang w:val="it-IT"/>
        </w:rPr>
      </w:pPr>
      <w:r w:rsidRPr="00745ACE">
        <w:rPr>
          <w:rFonts w:ascii="Trebuchet MS" w:hAnsi="Trebuchet MS"/>
          <w:i/>
          <w:iCs/>
          <w:sz w:val="22"/>
          <w:szCs w:val="22"/>
          <w:lang w:val="it-IT"/>
        </w:rPr>
        <w:t>Analiza gama spectrometrică pentru aerosoli atmosferici: se face la nivelul ANPM</w:t>
      </w:r>
    </w:p>
    <w:p w:rsidR="00B97C7F" w:rsidRPr="00745ACE" w:rsidRDefault="00B97C7F" w:rsidP="004F134E">
      <w:pPr>
        <w:pStyle w:val="ListParagraph"/>
        <w:numPr>
          <w:ilvl w:val="0"/>
          <w:numId w:val="24"/>
        </w:numPr>
        <w:autoSpaceDE w:val="0"/>
        <w:autoSpaceDN w:val="0"/>
        <w:adjustRightInd w:val="0"/>
        <w:rPr>
          <w:rFonts w:ascii="Trebuchet MS" w:hAnsi="Trebuchet MS" w:cs="Arial,Bold"/>
          <w:sz w:val="22"/>
          <w:szCs w:val="22"/>
          <w:lang w:val="it-IT"/>
        </w:rPr>
      </w:pPr>
    </w:p>
    <w:p w:rsidR="00B97C7F" w:rsidRPr="00745ACE" w:rsidRDefault="00B97C7F" w:rsidP="004F134E">
      <w:pPr>
        <w:pStyle w:val="ListParagraph"/>
        <w:numPr>
          <w:ilvl w:val="0"/>
          <w:numId w:val="24"/>
        </w:numPr>
        <w:autoSpaceDE w:val="0"/>
        <w:autoSpaceDN w:val="0"/>
        <w:adjustRightInd w:val="0"/>
        <w:ind w:left="0"/>
        <w:rPr>
          <w:rFonts w:ascii="Trebuchet MS" w:hAnsi="Trebuchet MS" w:cs="Arial"/>
          <w:b/>
          <w:sz w:val="22"/>
          <w:szCs w:val="22"/>
        </w:rPr>
      </w:pPr>
      <w:r w:rsidRPr="00745ACE">
        <w:rPr>
          <w:rFonts w:ascii="Trebuchet MS" w:hAnsi="Trebuchet MS" w:cs="Arial"/>
          <w:b/>
          <w:sz w:val="22"/>
          <w:szCs w:val="22"/>
        </w:rPr>
        <w:t>Depuneri atmosferice totale şi precipitaţii</w:t>
      </w:r>
    </w:p>
    <w:p w:rsidR="003067CD" w:rsidRPr="00745ACE" w:rsidRDefault="003067CD" w:rsidP="004F134E">
      <w:pPr>
        <w:pStyle w:val="NormalWeb"/>
        <w:numPr>
          <w:ilvl w:val="0"/>
          <w:numId w:val="24"/>
        </w:numPr>
        <w:spacing w:after="0"/>
        <w:rPr>
          <w:rFonts w:ascii="Trebuchet MS" w:hAnsi="Trebuchet MS" w:cs="Arial"/>
          <w:b/>
          <w:bCs/>
          <w:sz w:val="22"/>
          <w:szCs w:val="22"/>
        </w:rPr>
      </w:pPr>
    </w:p>
    <w:p w:rsidR="003067CD" w:rsidRPr="00745ACE" w:rsidRDefault="003067CD" w:rsidP="004F134E">
      <w:pPr>
        <w:pStyle w:val="NormalWeb"/>
        <w:numPr>
          <w:ilvl w:val="0"/>
          <w:numId w:val="24"/>
        </w:numPr>
        <w:spacing w:after="0"/>
        <w:rPr>
          <w:rFonts w:ascii="Trebuchet MS" w:hAnsi="Trebuchet MS" w:cs="Arial"/>
          <w:b/>
          <w:bCs/>
          <w:sz w:val="22"/>
          <w:szCs w:val="22"/>
        </w:rPr>
      </w:pPr>
      <w:r w:rsidRPr="00745ACE">
        <w:rPr>
          <w:rFonts w:ascii="Trebuchet MS" w:hAnsi="Trebuchet MS" w:cs="Arial"/>
          <w:sz w:val="22"/>
          <w:szCs w:val="22"/>
        </w:rPr>
        <w:t>Probele de depuneri atmosferice se obţin prin prelevarea zilnică, de pe o suprafaţă de 0,3 m</w:t>
      </w:r>
      <w:r w:rsidRPr="00745ACE">
        <w:rPr>
          <w:rFonts w:ascii="Trebuchet MS" w:hAnsi="Trebuchet MS" w:cs="Arial"/>
          <w:sz w:val="22"/>
          <w:szCs w:val="22"/>
          <w:vertAlign w:val="superscript"/>
        </w:rPr>
        <w:t>2</w:t>
      </w:r>
      <w:r w:rsidRPr="00745ACE">
        <w:rPr>
          <w:rFonts w:ascii="Trebuchet MS" w:hAnsi="Trebuchet MS" w:cs="Arial"/>
          <w:sz w:val="22"/>
          <w:szCs w:val="22"/>
        </w:rPr>
        <w:t>, a pulberilor sedimentabile şi a precipitaţiilor atmosferice. După prelevare şi pregătire,probele de depuneri totale sunt măsurate pentru determinarea activităţii beta globale imediate şi după 5 zile de la prelevare. Depuneri atmosferice, activităţi beta globale imediate (Bq/m</w:t>
      </w:r>
      <w:r w:rsidRPr="00745ACE">
        <w:rPr>
          <w:rFonts w:ascii="Trebuchet MS" w:hAnsi="Trebuchet MS" w:cs="Arial"/>
          <w:sz w:val="22"/>
          <w:szCs w:val="22"/>
          <w:vertAlign w:val="superscript"/>
        </w:rPr>
        <w:t>2</w:t>
      </w:r>
      <w:r w:rsidRPr="00745ACE">
        <w:rPr>
          <w:rFonts w:ascii="Trebuchet MS" w:hAnsi="Trebuchet MS" w:cs="Arial"/>
          <w:sz w:val="22"/>
          <w:szCs w:val="22"/>
        </w:rPr>
        <w:t xml:space="preserve">/zi), în perioada ianuarie-februarie au fost recoltate de pe Platforma Meteo Afumați și începând cu luna martie de pe Platforma SSRM Bucuresti </w:t>
      </w:r>
    </w:p>
    <w:p w:rsidR="003067CD" w:rsidRDefault="003067CD"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Default="00745ACE" w:rsidP="00745ACE">
      <w:pPr>
        <w:autoSpaceDE w:val="0"/>
        <w:autoSpaceDN w:val="0"/>
        <w:adjustRightInd w:val="0"/>
        <w:rPr>
          <w:rFonts w:ascii="Trebuchet MS" w:hAnsi="Trebuchet MS" w:cs="Arial"/>
          <w:b/>
          <w:sz w:val="22"/>
          <w:szCs w:val="22"/>
        </w:rPr>
      </w:pPr>
    </w:p>
    <w:p w:rsidR="00745ACE" w:rsidRPr="00745ACE" w:rsidRDefault="00745ACE" w:rsidP="00745ACE">
      <w:pPr>
        <w:autoSpaceDE w:val="0"/>
        <w:autoSpaceDN w:val="0"/>
        <w:adjustRightInd w:val="0"/>
        <w:rPr>
          <w:rFonts w:ascii="Trebuchet MS" w:hAnsi="Trebuchet MS" w:cs="Arial"/>
          <w:b/>
          <w:sz w:val="22"/>
          <w:szCs w:val="22"/>
        </w:rPr>
      </w:pPr>
    </w:p>
    <w:p w:rsidR="00B97C7F" w:rsidRPr="00745ACE" w:rsidRDefault="00B97C7F" w:rsidP="00B97C7F">
      <w:pPr>
        <w:pStyle w:val="Default"/>
        <w:rPr>
          <w:rFonts w:ascii="Trebuchet MS" w:hAnsi="Trebuchet MS"/>
          <w:sz w:val="22"/>
          <w:szCs w:val="22"/>
        </w:rPr>
      </w:pPr>
    </w:p>
    <w:p w:rsidR="00634F5F" w:rsidRPr="00745ACE" w:rsidRDefault="00634F5F" w:rsidP="00634F5F">
      <w:pPr>
        <w:pStyle w:val="Default"/>
        <w:rPr>
          <w:rFonts w:ascii="Trebuchet MS" w:hAnsi="Trebuchet MS"/>
          <w:b/>
          <w:bCs/>
          <w:sz w:val="22"/>
          <w:szCs w:val="22"/>
        </w:rPr>
      </w:pPr>
      <w:r w:rsidRPr="00745ACE">
        <w:rPr>
          <w:rFonts w:ascii="Trebuchet MS" w:hAnsi="Trebuchet MS"/>
          <w:b/>
          <w:bCs/>
          <w:sz w:val="22"/>
          <w:szCs w:val="22"/>
        </w:rPr>
        <w:t xml:space="preserve">Figura </w:t>
      </w:r>
      <w:r w:rsidR="00362C67" w:rsidRPr="00745ACE">
        <w:rPr>
          <w:rFonts w:ascii="Trebuchet MS" w:hAnsi="Trebuchet MS"/>
          <w:b/>
          <w:bCs/>
          <w:sz w:val="22"/>
          <w:szCs w:val="22"/>
          <w:lang w:val="it-IT"/>
        </w:rPr>
        <w:t>I</w:t>
      </w:r>
      <w:r w:rsidRPr="00745ACE">
        <w:rPr>
          <w:rFonts w:ascii="Trebuchet MS" w:hAnsi="Trebuchet MS"/>
          <w:b/>
          <w:bCs/>
          <w:sz w:val="22"/>
          <w:szCs w:val="22"/>
        </w:rPr>
        <w:t xml:space="preserve">X.1.1.7 </w:t>
      </w:r>
      <w:r w:rsidRPr="00745ACE">
        <w:rPr>
          <w:rFonts w:ascii="Trebuchet MS" w:hAnsi="Trebuchet MS"/>
          <w:b/>
          <w:bCs/>
          <w:sz w:val="22"/>
          <w:szCs w:val="22"/>
          <w:lang w:val="vi-VN"/>
        </w:rPr>
        <w:t>Variaţia mediilor şi maximelor anuale ale activităţii beta globale a</w:t>
      </w:r>
      <w:r w:rsidRPr="00745ACE">
        <w:rPr>
          <w:rFonts w:ascii="Trebuchet MS" w:hAnsi="Trebuchet MS"/>
          <w:b/>
          <w:bCs/>
          <w:sz w:val="22"/>
          <w:szCs w:val="22"/>
          <w:lang w:val="vi-VN"/>
        </w:rPr>
        <w:br/>
        <w:t>depunerilor atmosferice totale</w:t>
      </w:r>
    </w:p>
    <w:p w:rsidR="00634F5F" w:rsidRDefault="000946BE" w:rsidP="00634F5F">
      <w:pPr>
        <w:jc w:val="center"/>
      </w:pPr>
      <w:bookmarkStart w:id="155" w:name="_MON_1658909472"/>
      <w:bookmarkStart w:id="156" w:name="_MON_1722153479"/>
      <w:bookmarkEnd w:id="155"/>
      <w:bookmarkEnd w:id="156"/>
      <w:r>
        <w:rPr>
          <w:noProof/>
          <w:lang w:val="en-US"/>
        </w:rPr>
        <w:drawing>
          <wp:inline distT="0" distB="0" distL="0" distR="0" wp14:anchorId="4CCEB404" wp14:editId="30DCD6EB">
            <wp:extent cx="4886325" cy="3409950"/>
            <wp:effectExtent l="0" t="0" r="0" b="0"/>
            <wp:docPr id="137" name="Object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E63505" w:rsidRDefault="00E63505" w:rsidP="00634F5F">
      <w:pPr>
        <w:jc w:val="center"/>
      </w:pPr>
    </w:p>
    <w:p w:rsidR="00E63505" w:rsidRPr="00745ACE" w:rsidRDefault="00E63505" w:rsidP="00B97C7F">
      <w:pPr>
        <w:jc w:val="both"/>
        <w:rPr>
          <w:rFonts w:ascii="Trebuchet MS" w:hAnsi="Trebuchet MS" w:cs="Arial"/>
          <w:sz w:val="22"/>
          <w:szCs w:val="22"/>
          <w:lang w:val="it-IT"/>
        </w:rPr>
      </w:pPr>
      <w:r w:rsidRPr="00745ACE">
        <w:rPr>
          <w:rFonts w:ascii="Trebuchet MS" w:hAnsi="Trebuchet MS" w:cs="Arial"/>
          <w:sz w:val="22"/>
          <w:szCs w:val="22"/>
          <w:lang w:val="it-IT"/>
        </w:rPr>
        <w:t>Se observa o crestere în ultimii 2 ani  a mediei anuale a activității beta globale a depunerilor atmosferice, valorile maxime fiind insă  mult sub limitele de atențioare sau avertizare.</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 xml:space="preserve">Limita atentionare:  </w:t>
      </w:r>
      <w:r w:rsidRPr="00745ACE">
        <w:rPr>
          <w:rFonts w:ascii="Trebuchet MS" w:hAnsi="Trebuchet MS" w:cs="Arial"/>
          <w:b/>
          <w:bCs/>
          <w:sz w:val="22"/>
          <w:szCs w:val="22"/>
          <w:lang w:val="it-IT"/>
        </w:rPr>
        <w:t>200</w:t>
      </w:r>
      <w:r w:rsidRPr="00745ACE">
        <w:rPr>
          <w:rFonts w:ascii="Trebuchet MS" w:hAnsi="Trebuchet MS" w:cs="Arial"/>
          <w:sz w:val="22"/>
          <w:szCs w:val="22"/>
          <w:lang w:val="it-IT"/>
        </w:rPr>
        <w:t xml:space="preserve"> Bq m</w:t>
      </w:r>
      <w:r w:rsidRPr="00745ACE">
        <w:rPr>
          <w:rFonts w:ascii="Trebuchet MS" w:hAnsi="Trebuchet MS" w:cs="Arial"/>
          <w:sz w:val="22"/>
          <w:szCs w:val="22"/>
          <w:vertAlign w:val="superscript"/>
          <w:lang w:val="it-IT"/>
        </w:rPr>
        <w:t>-2</w:t>
      </w:r>
      <w:r w:rsidRPr="00745ACE">
        <w:rPr>
          <w:rFonts w:ascii="Trebuchet MS" w:hAnsi="Trebuchet MS" w:cs="Arial"/>
          <w:sz w:val="22"/>
          <w:szCs w:val="22"/>
          <w:lang w:val="it-IT"/>
        </w:rPr>
        <w:t>zi</w:t>
      </w:r>
      <w:r w:rsidRPr="00745ACE">
        <w:rPr>
          <w:rFonts w:ascii="Trebuchet MS" w:hAnsi="Trebuchet MS" w:cs="Arial"/>
          <w:sz w:val="22"/>
          <w:szCs w:val="22"/>
          <w:vertAlign w:val="superscript"/>
          <w:lang w:val="it-IT"/>
        </w:rPr>
        <w:t>-1</w:t>
      </w:r>
      <w:r w:rsidRPr="00745ACE">
        <w:rPr>
          <w:rFonts w:ascii="Trebuchet MS" w:hAnsi="Trebuchet MS" w:cs="Arial"/>
          <w:sz w:val="22"/>
          <w:szCs w:val="22"/>
          <w:lang w:val="it-IT"/>
        </w:rPr>
        <w:t xml:space="preserve"> la masurarea imediata</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 xml:space="preserve">Limita avertizare:   </w:t>
      </w:r>
      <w:r w:rsidRPr="00745ACE">
        <w:rPr>
          <w:rFonts w:ascii="Trebuchet MS" w:hAnsi="Trebuchet MS" w:cs="Arial"/>
          <w:b/>
          <w:bCs/>
          <w:sz w:val="22"/>
          <w:szCs w:val="22"/>
          <w:lang w:val="it-IT"/>
        </w:rPr>
        <w:t xml:space="preserve">1000 </w:t>
      </w:r>
      <w:r w:rsidRPr="00745ACE">
        <w:rPr>
          <w:rFonts w:ascii="Trebuchet MS" w:hAnsi="Trebuchet MS" w:cs="Arial"/>
          <w:sz w:val="22"/>
          <w:szCs w:val="22"/>
          <w:lang w:val="it-IT"/>
        </w:rPr>
        <w:t>Bq m</w:t>
      </w:r>
      <w:r w:rsidRPr="00745ACE">
        <w:rPr>
          <w:rFonts w:ascii="Trebuchet MS" w:hAnsi="Trebuchet MS" w:cs="Arial"/>
          <w:sz w:val="22"/>
          <w:szCs w:val="22"/>
          <w:vertAlign w:val="superscript"/>
          <w:lang w:val="it-IT"/>
        </w:rPr>
        <w:t>-2</w:t>
      </w:r>
      <w:r w:rsidRPr="00745ACE">
        <w:rPr>
          <w:rFonts w:ascii="Trebuchet MS" w:hAnsi="Trebuchet MS" w:cs="Arial"/>
          <w:sz w:val="22"/>
          <w:szCs w:val="22"/>
          <w:lang w:val="it-IT"/>
        </w:rPr>
        <w:t>zi</w:t>
      </w:r>
      <w:r w:rsidRPr="00745ACE">
        <w:rPr>
          <w:rFonts w:ascii="Trebuchet MS" w:hAnsi="Trebuchet MS" w:cs="Arial"/>
          <w:sz w:val="22"/>
          <w:szCs w:val="22"/>
          <w:vertAlign w:val="superscript"/>
          <w:lang w:val="it-IT"/>
        </w:rPr>
        <w:t>-1</w:t>
      </w:r>
      <w:r w:rsidRPr="00745ACE">
        <w:rPr>
          <w:rFonts w:ascii="Trebuchet MS" w:hAnsi="Trebuchet MS" w:cs="Arial"/>
          <w:sz w:val="22"/>
          <w:szCs w:val="22"/>
          <w:lang w:val="it-IT"/>
        </w:rPr>
        <w:t xml:space="preserve"> la masurarea imediata</w:t>
      </w:r>
    </w:p>
    <w:p w:rsidR="00B97C7F" w:rsidRPr="00745ACE" w:rsidRDefault="00B97C7F" w:rsidP="00B97C7F">
      <w:pPr>
        <w:jc w:val="both"/>
        <w:rPr>
          <w:rFonts w:ascii="Trebuchet MS" w:hAnsi="Trebuchet MS" w:cs="Arial"/>
          <w:sz w:val="22"/>
          <w:szCs w:val="22"/>
          <w:lang w:val="it-IT"/>
        </w:rPr>
      </w:pPr>
      <w:r w:rsidRPr="00745ACE">
        <w:rPr>
          <w:rFonts w:ascii="Trebuchet MS" w:hAnsi="Trebuchet MS" w:cs="Arial"/>
          <w:sz w:val="22"/>
          <w:szCs w:val="22"/>
          <w:lang w:val="it-IT"/>
        </w:rPr>
        <w:t xml:space="preserve">Limita alarmare:     </w:t>
      </w:r>
      <w:r w:rsidRPr="00745ACE">
        <w:rPr>
          <w:rFonts w:ascii="Trebuchet MS" w:hAnsi="Trebuchet MS" w:cs="Arial"/>
          <w:b/>
          <w:bCs/>
          <w:sz w:val="22"/>
          <w:szCs w:val="22"/>
          <w:lang w:val="it-IT"/>
        </w:rPr>
        <w:t>2000</w:t>
      </w:r>
      <w:r w:rsidRPr="00745ACE">
        <w:rPr>
          <w:rFonts w:ascii="Trebuchet MS" w:hAnsi="Trebuchet MS" w:cs="Arial"/>
          <w:sz w:val="22"/>
          <w:szCs w:val="22"/>
          <w:lang w:val="it-IT"/>
        </w:rPr>
        <w:t xml:space="preserve"> Bq m</w:t>
      </w:r>
      <w:r w:rsidRPr="00745ACE">
        <w:rPr>
          <w:rFonts w:ascii="Trebuchet MS" w:hAnsi="Trebuchet MS" w:cs="Arial"/>
          <w:sz w:val="22"/>
          <w:szCs w:val="22"/>
          <w:vertAlign w:val="superscript"/>
          <w:lang w:val="it-IT"/>
        </w:rPr>
        <w:t>-2</w:t>
      </w:r>
      <w:r w:rsidRPr="00745ACE">
        <w:rPr>
          <w:rFonts w:ascii="Trebuchet MS" w:hAnsi="Trebuchet MS" w:cs="Arial"/>
          <w:sz w:val="22"/>
          <w:szCs w:val="22"/>
          <w:lang w:val="it-IT"/>
        </w:rPr>
        <w:t>zi</w:t>
      </w:r>
      <w:r w:rsidRPr="00745ACE">
        <w:rPr>
          <w:rFonts w:ascii="Trebuchet MS" w:hAnsi="Trebuchet MS" w:cs="Arial"/>
          <w:sz w:val="22"/>
          <w:szCs w:val="22"/>
          <w:vertAlign w:val="superscript"/>
          <w:lang w:val="it-IT"/>
        </w:rPr>
        <w:t>-1</w:t>
      </w:r>
      <w:r w:rsidRPr="00745ACE">
        <w:rPr>
          <w:rFonts w:ascii="Trebuchet MS" w:hAnsi="Trebuchet MS" w:cs="Arial"/>
          <w:sz w:val="22"/>
          <w:szCs w:val="22"/>
          <w:lang w:val="it-IT"/>
        </w:rPr>
        <w:t xml:space="preserve"> la masurarea imediata.</w:t>
      </w:r>
    </w:p>
    <w:p w:rsidR="00B97C7F" w:rsidRPr="00745ACE" w:rsidRDefault="00B97C7F" w:rsidP="00B97C7F">
      <w:pPr>
        <w:autoSpaceDE w:val="0"/>
        <w:autoSpaceDN w:val="0"/>
        <w:adjustRightInd w:val="0"/>
        <w:rPr>
          <w:rFonts w:ascii="Trebuchet MS" w:eastAsia="Times New Roman" w:hAnsi="Trebuchet MS" w:cs="Arial"/>
          <w:i/>
          <w:iCs/>
          <w:sz w:val="22"/>
          <w:szCs w:val="22"/>
          <w:lang w:val="it-IT"/>
        </w:rPr>
      </w:pPr>
    </w:p>
    <w:p w:rsidR="00B97C7F" w:rsidRPr="00745ACE" w:rsidRDefault="00B97C7F" w:rsidP="00B97C7F">
      <w:pPr>
        <w:autoSpaceDE w:val="0"/>
        <w:autoSpaceDN w:val="0"/>
        <w:adjustRightInd w:val="0"/>
        <w:rPr>
          <w:rFonts w:ascii="Trebuchet MS" w:eastAsia="Times New Roman" w:hAnsi="Trebuchet MS" w:cs="Arial"/>
          <w:sz w:val="22"/>
          <w:szCs w:val="22"/>
          <w:lang w:val="it-IT"/>
        </w:rPr>
      </w:pPr>
      <w:r w:rsidRPr="00745ACE">
        <w:rPr>
          <w:rFonts w:ascii="Trebuchet MS" w:eastAsia="Times New Roman" w:hAnsi="Trebuchet MS" w:cs="Arial"/>
          <w:i/>
          <w:iCs/>
          <w:sz w:val="22"/>
          <w:szCs w:val="22"/>
          <w:lang w:val="it-IT"/>
        </w:rPr>
        <w:t>Analiza gama spectrometrică pentru depuneri atmosferice totale: se face la ANPM</w:t>
      </w:r>
    </w:p>
    <w:p w:rsidR="00AE762B" w:rsidRPr="00745ACE" w:rsidRDefault="00AE762B" w:rsidP="006F11A5">
      <w:pPr>
        <w:jc w:val="both"/>
        <w:rPr>
          <w:rFonts w:ascii="Trebuchet MS" w:hAnsi="Trebuchet MS"/>
          <w:sz w:val="22"/>
          <w:szCs w:val="22"/>
        </w:rPr>
      </w:pPr>
    </w:p>
    <w:p w:rsidR="00AE762B" w:rsidRPr="00745ACE" w:rsidRDefault="00AE762B" w:rsidP="00D3446D">
      <w:pPr>
        <w:pStyle w:val="Default"/>
        <w:jc w:val="both"/>
        <w:rPr>
          <w:rFonts w:ascii="Trebuchet MS" w:hAnsi="Trebuchet MS"/>
          <w:sz w:val="22"/>
          <w:szCs w:val="22"/>
        </w:rPr>
      </w:pPr>
    </w:p>
    <w:p w:rsidR="00AE762B" w:rsidRPr="00745ACE" w:rsidRDefault="00AE762B" w:rsidP="00D3446D">
      <w:pPr>
        <w:pStyle w:val="Default"/>
        <w:jc w:val="both"/>
        <w:rPr>
          <w:rFonts w:ascii="Trebuchet MS" w:hAnsi="Trebuchet MS"/>
          <w:sz w:val="22"/>
          <w:szCs w:val="22"/>
        </w:rPr>
      </w:pPr>
    </w:p>
    <w:p w:rsidR="00AE762B" w:rsidRDefault="00AE762B" w:rsidP="00D3446D">
      <w:pPr>
        <w:pStyle w:val="Default"/>
        <w:jc w:val="both"/>
      </w:pPr>
    </w:p>
    <w:p w:rsidR="00AE762B" w:rsidRDefault="00AE762B">
      <w:pPr>
        <w:rPr>
          <w:rFonts w:ascii="Arial" w:hAnsi="Arial" w:cs="Arial"/>
          <w:b/>
          <w:color w:val="000000"/>
          <w:lang w:val="en-US"/>
        </w:rPr>
      </w:pPr>
      <w:r>
        <w:rPr>
          <w:b/>
        </w:rPr>
        <w:br w:type="page"/>
      </w:r>
    </w:p>
    <w:p w:rsidR="00AE762B" w:rsidRPr="00745ACE" w:rsidRDefault="00362C67" w:rsidP="00D3446D">
      <w:pPr>
        <w:pStyle w:val="Default"/>
        <w:jc w:val="both"/>
        <w:rPr>
          <w:rFonts w:ascii="Trebuchet MS" w:hAnsi="Trebuchet MS"/>
          <w:b/>
        </w:rPr>
      </w:pPr>
      <w:r w:rsidRPr="00745ACE">
        <w:rPr>
          <w:rFonts w:ascii="Trebuchet MS" w:hAnsi="Trebuchet MS"/>
          <w:b/>
          <w:bCs/>
          <w:lang w:val="it-IT"/>
        </w:rPr>
        <w:t>I</w:t>
      </w:r>
      <w:r w:rsidR="00AE762B" w:rsidRPr="00745ACE">
        <w:rPr>
          <w:rFonts w:ascii="Trebuchet MS" w:hAnsi="Trebuchet MS"/>
          <w:b/>
        </w:rPr>
        <w:t>X.1.2. Radioactivitatea apelor</w:t>
      </w:r>
    </w:p>
    <w:p w:rsidR="00AE762B" w:rsidRDefault="00AE762B" w:rsidP="00D3446D">
      <w:pPr>
        <w:pStyle w:val="Default"/>
        <w:jc w:val="both"/>
      </w:pPr>
    </w:p>
    <w:p w:rsidR="00AE762B" w:rsidRPr="00C85F52" w:rsidRDefault="00AE762B" w:rsidP="004F134E">
      <w:pPr>
        <w:pStyle w:val="ListParagraph"/>
        <w:numPr>
          <w:ilvl w:val="0"/>
          <w:numId w:val="25"/>
        </w:numPr>
        <w:jc w:val="both"/>
        <w:rPr>
          <w:rFonts w:ascii="Trebuchet MS" w:hAnsi="Trebuchet MS" w:cs="Arial"/>
          <w:b/>
          <w:sz w:val="22"/>
          <w:szCs w:val="22"/>
        </w:rPr>
      </w:pPr>
      <w:r w:rsidRPr="00C85F52">
        <w:rPr>
          <w:rFonts w:ascii="Trebuchet MS" w:hAnsi="Trebuchet MS" w:cs="Arial"/>
          <w:b/>
          <w:sz w:val="22"/>
          <w:szCs w:val="22"/>
        </w:rPr>
        <w:t>Indicatori specifici</w:t>
      </w:r>
    </w:p>
    <w:p w:rsidR="00AE762B" w:rsidRPr="00C85F52" w:rsidRDefault="00AE762B" w:rsidP="00D3446D">
      <w:pPr>
        <w:pStyle w:val="ListParagraph"/>
        <w:jc w:val="both"/>
        <w:rPr>
          <w:rFonts w:ascii="Trebuchet MS" w:hAnsi="Trebuchet MS" w:cs="Arial"/>
          <w:b/>
          <w:sz w:val="22"/>
          <w:szCs w:val="22"/>
        </w:rPr>
      </w:pPr>
      <w:r w:rsidRPr="00C85F52">
        <w:rPr>
          <w:rFonts w:ascii="Trebuchet MS" w:hAnsi="Trebuchet MS" w:cs="Arial"/>
          <w:b/>
          <w:sz w:val="22"/>
          <w:szCs w:val="22"/>
        </w:rPr>
        <w:t>Nu este cazul</w:t>
      </w:r>
    </w:p>
    <w:p w:rsidR="00AE762B" w:rsidRPr="00C85F52" w:rsidRDefault="00AE762B" w:rsidP="004F134E">
      <w:pPr>
        <w:pStyle w:val="ListParagraph"/>
        <w:numPr>
          <w:ilvl w:val="0"/>
          <w:numId w:val="25"/>
        </w:numPr>
        <w:jc w:val="both"/>
        <w:rPr>
          <w:rFonts w:ascii="Trebuchet MS" w:hAnsi="Trebuchet MS" w:cs="Arial"/>
          <w:b/>
          <w:sz w:val="22"/>
          <w:szCs w:val="22"/>
        </w:rPr>
      </w:pPr>
      <w:r w:rsidRPr="00C85F52">
        <w:rPr>
          <w:rFonts w:ascii="Trebuchet MS" w:hAnsi="Trebuchet MS" w:cs="Arial"/>
          <w:b/>
          <w:sz w:val="22"/>
          <w:szCs w:val="22"/>
        </w:rPr>
        <w:t>Alte date şi informaţii specifice</w:t>
      </w:r>
    </w:p>
    <w:p w:rsidR="00AE762B" w:rsidRPr="00C85F52" w:rsidRDefault="00AE762B" w:rsidP="006271A4">
      <w:pPr>
        <w:jc w:val="center"/>
        <w:rPr>
          <w:rFonts w:ascii="Trebuchet MS" w:hAnsi="Trebuchet MS"/>
          <w:sz w:val="22"/>
          <w:szCs w:val="22"/>
        </w:rPr>
      </w:pPr>
    </w:p>
    <w:p w:rsidR="003067CD" w:rsidRPr="00C85F52" w:rsidRDefault="003067CD" w:rsidP="003067CD">
      <w:pPr>
        <w:pStyle w:val="NormalWeb"/>
        <w:spacing w:after="0"/>
        <w:rPr>
          <w:rFonts w:ascii="Trebuchet MS" w:hAnsi="Trebuchet MS" w:cs="Arial"/>
          <w:sz w:val="22"/>
          <w:szCs w:val="22"/>
        </w:rPr>
      </w:pPr>
      <w:r w:rsidRPr="00C85F52">
        <w:rPr>
          <w:rFonts w:ascii="Trebuchet MS" w:hAnsi="Trebuchet MS" w:cs="Arial"/>
          <w:sz w:val="22"/>
          <w:szCs w:val="22"/>
        </w:rPr>
        <w:t>In lunile ianuarie si februarie 2023 SSRM Bucureşti a efectuat  analize de radioactivitate pentru probe de apă de suprafaţă prelevate din Lacul Colentina. Din martie 2023  probele de apă de suprafață sunt prelevate din Râul Dâmbovița. Prelevarea probelor se efectuează cu frecvenţă zilnică. Probele prelevate sunt pregătite pentru analiză şi se efectuează măsurări ale activităţii beta globale imediate şi după 5 zile. Probele cumulate lunar sunt transmise spre analiză gama spectrometrică.</w:t>
      </w:r>
    </w:p>
    <w:p w:rsidR="002D1BA2" w:rsidRPr="00C85F52" w:rsidRDefault="002D1BA2" w:rsidP="002D1BA2">
      <w:pPr>
        <w:ind w:firstLine="360"/>
        <w:jc w:val="both"/>
        <w:rPr>
          <w:rFonts w:ascii="Trebuchet MS" w:hAnsi="Trebuchet MS" w:cs="Arial"/>
          <w:sz w:val="22"/>
          <w:szCs w:val="22"/>
          <w:lang w:val="it-IT"/>
        </w:rPr>
      </w:pPr>
    </w:p>
    <w:p w:rsidR="002D1BA2" w:rsidRPr="00C85F52" w:rsidRDefault="002D1BA2" w:rsidP="002D1BA2">
      <w:pPr>
        <w:ind w:firstLine="360"/>
        <w:jc w:val="both"/>
        <w:rPr>
          <w:rFonts w:ascii="Trebuchet MS" w:hAnsi="Trebuchet MS" w:cs="Arial"/>
          <w:sz w:val="22"/>
          <w:szCs w:val="22"/>
          <w:lang w:val="it-IT"/>
        </w:rPr>
      </w:pPr>
    </w:p>
    <w:p w:rsidR="00A30E4B" w:rsidRPr="00571EAD" w:rsidRDefault="00A30E4B" w:rsidP="00A30E4B">
      <w:pPr>
        <w:ind w:firstLine="360"/>
        <w:jc w:val="both"/>
        <w:rPr>
          <w:rFonts w:ascii="Arial" w:hAnsi="Arial" w:cs="Arial"/>
          <w:lang w:val="it-IT"/>
        </w:rPr>
      </w:pPr>
      <w:r w:rsidRPr="00C85F52">
        <w:rPr>
          <w:rFonts w:ascii="Trebuchet MS" w:hAnsi="Trebuchet MS" w:cs="Arial"/>
          <w:sz w:val="22"/>
          <w:szCs w:val="22"/>
          <w:lang w:val="it-IT"/>
        </w:rPr>
        <w:t xml:space="preserve">Figura </w:t>
      </w:r>
      <w:r w:rsidR="00362C67" w:rsidRPr="00C85F52">
        <w:rPr>
          <w:rFonts w:ascii="Trebuchet MS" w:hAnsi="Trebuchet MS" w:cs="Arial"/>
          <w:sz w:val="22"/>
          <w:szCs w:val="22"/>
          <w:lang w:val="it-IT"/>
        </w:rPr>
        <w:t>I</w:t>
      </w:r>
      <w:r w:rsidRPr="00C85F52">
        <w:rPr>
          <w:rFonts w:ascii="Trebuchet MS" w:hAnsi="Trebuchet MS" w:cs="Arial"/>
          <w:sz w:val="22"/>
          <w:szCs w:val="22"/>
          <w:lang w:val="it-IT"/>
        </w:rPr>
        <w:t xml:space="preserve">X.1.2.1 </w:t>
      </w:r>
      <w:r w:rsidRPr="00C85F52">
        <w:rPr>
          <w:rFonts w:ascii="Trebuchet MS" w:hAnsi="Trebuchet MS" w:cs="Arial"/>
          <w:bCs/>
          <w:sz w:val="22"/>
          <w:szCs w:val="22"/>
          <w:lang w:val="vi-VN"/>
        </w:rPr>
        <w:t>Variaţia mediilor şi maximelor anuale ale activităţii beta globale a râurilor</w:t>
      </w:r>
    </w:p>
    <w:p w:rsidR="00A30E4B" w:rsidRDefault="000946BE" w:rsidP="00A30E4B">
      <w:pPr>
        <w:jc w:val="center"/>
      </w:pPr>
      <w:bookmarkStart w:id="157" w:name="_MON_1690191108"/>
      <w:bookmarkStart w:id="158" w:name="_MON_1722153680"/>
      <w:bookmarkStart w:id="159" w:name="_MON_1722154362"/>
      <w:bookmarkEnd w:id="157"/>
      <w:bookmarkEnd w:id="158"/>
      <w:bookmarkEnd w:id="159"/>
      <w:r>
        <w:rPr>
          <w:noProof/>
          <w:lang w:val="en-US"/>
        </w:rPr>
        <w:drawing>
          <wp:inline distT="0" distB="0" distL="0" distR="0" wp14:anchorId="232DCA91" wp14:editId="2EC0E44F">
            <wp:extent cx="4924425" cy="3409950"/>
            <wp:effectExtent l="0" t="0" r="0" b="0"/>
            <wp:docPr id="138" name="Object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A30E4B" w:rsidRDefault="00A30E4B" w:rsidP="00A30E4B">
      <w:pPr>
        <w:jc w:val="center"/>
      </w:pPr>
    </w:p>
    <w:p w:rsidR="002D1BA2" w:rsidRPr="007B10AF" w:rsidRDefault="002D1BA2" w:rsidP="002D1BA2">
      <w:pPr>
        <w:jc w:val="both"/>
        <w:rPr>
          <w:rFonts w:ascii="Trebuchet MS" w:hAnsi="Trebuchet MS"/>
          <w:sz w:val="22"/>
          <w:szCs w:val="22"/>
          <w:lang w:val="it-IT"/>
        </w:rPr>
      </w:pPr>
      <w:r w:rsidRPr="007B10AF">
        <w:rPr>
          <w:rFonts w:ascii="Trebuchet MS" w:hAnsi="Trebuchet MS"/>
          <w:sz w:val="22"/>
          <w:szCs w:val="22"/>
          <w:lang w:val="it-IT"/>
        </w:rPr>
        <w:t xml:space="preserve">Nu au fost depăşite limitele de atenţionare/avertizare/alarmare. Se observa o medie anuala aproximativ constantă </w:t>
      </w:r>
      <w:r w:rsidR="00EC2687" w:rsidRPr="007B10AF">
        <w:rPr>
          <w:rFonts w:ascii="Trebuchet MS" w:hAnsi="Trebuchet MS"/>
          <w:sz w:val="22"/>
          <w:szCs w:val="22"/>
          <w:lang w:val="it-IT"/>
        </w:rPr>
        <w:t>in anii 2019</w:t>
      </w:r>
      <w:r w:rsidR="003E3C60" w:rsidRPr="007B10AF">
        <w:rPr>
          <w:rFonts w:ascii="Trebuchet MS" w:hAnsi="Trebuchet MS"/>
          <w:sz w:val="22"/>
          <w:szCs w:val="22"/>
          <w:lang w:val="it-IT"/>
        </w:rPr>
        <w:t xml:space="preserve">-2021 si o crestere în </w:t>
      </w:r>
      <w:r w:rsidR="00EC2687" w:rsidRPr="007B10AF">
        <w:rPr>
          <w:rFonts w:ascii="Trebuchet MS" w:hAnsi="Trebuchet MS"/>
          <w:sz w:val="22"/>
          <w:szCs w:val="22"/>
          <w:lang w:val="it-IT"/>
        </w:rPr>
        <w:t>anii 2022-2023</w:t>
      </w:r>
      <w:r w:rsidR="003E3C60" w:rsidRPr="007B10AF">
        <w:rPr>
          <w:rFonts w:ascii="Trebuchet MS" w:hAnsi="Trebuchet MS"/>
          <w:sz w:val="22"/>
          <w:szCs w:val="22"/>
          <w:lang w:val="it-IT"/>
        </w:rPr>
        <w:t>.</w:t>
      </w:r>
      <w:r w:rsidRPr="007B10AF">
        <w:rPr>
          <w:rFonts w:ascii="Trebuchet MS" w:hAnsi="Trebuchet MS"/>
          <w:sz w:val="22"/>
          <w:szCs w:val="22"/>
          <w:lang w:val="it-IT"/>
        </w:rPr>
        <w:t xml:space="preserve"> </w:t>
      </w:r>
    </w:p>
    <w:p w:rsidR="002D1BA2" w:rsidRPr="007B10AF" w:rsidRDefault="002D1BA2" w:rsidP="002D1BA2">
      <w:pPr>
        <w:jc w:val="both"/>
        <w:rPr>
          <w:rFonts w:ascii="Trebuchet MS" w:hAnsi="Trebuchet MS" w:cs="Arial"/>
          <w:sz w:val="22"/>
          <w:szCs w:val="22"/>
          <w:lang w:val="it-IT"/>
        </w:rPr>
      </w:pPr>
      <w:r w:rsidRPr="007B10AF">
        <w:rPr>
          <w:rFonts w:ascii="Trebuchet MS" w:hAnsi="Trebuchet MS" w:cs="Arial"/>
          <w:sz w:val="22"/>
          <w:szCs w:val="22"/>
          <w:lang w:val="it-IT"/>
        </w:rPr>
        <w:t xml:space="preserve">Limita atentionare:  </w:t>
      </w:r>
      <w:r w:rsidRPr="007B10AF">
        <w:rPr>
          <w:rFonts w:ascii="Trebuchet MS" w:hAnsi="Trebuchet MS" w:cs="Arial"/>
          <w:b/>
          <w:bCs/>
          <w:sz w:val="22"/>
          <w:szCs w:val="22"/>
          <w:lang w:val="it-IT"/>
        </w:rPr>
        <w:t>2000</w:t>
      </w:r>
      <w:r w:rsidRPr="007B10AF">
        <w:rPr>
          <w:rFonts w:ascii="Trebuchet MS" w:hAnsi="Trebuchet MS" w:cs="Arial"/>
          <w:sz w:val="22"/>
          <w:szCs w:val="22"/>
          <w:lang w:val="it-IT"/>
        </w:rPr>
        <w:t xml:space="preserve"> Bq m</w:t>
      </w:r>
      <w:r w:rsidRPr="007B10AF">
        <w:rPr>
          <w:rFonts w:ascii="Trebuchet MS" w:hAnsi="Trebuchet MS" w:cs="Arial"/>
          <w:sz w:val="22"/>
          <w:szCs w:val="22"/>
          <w:vertAlign w:val="superscript"/>
          <w:lang w:val="it-IT"/>
        </w:rPr>
        <w:t>-3</w:t>
      </w:r>
      <w:r w:rsidRPr="007B10AF">
        <w:rPr>
          <w:rFonts w:ascii="Trebuchet MS" w:hAnsi="Trebuchet MS" w:cs="Arial"/>
          <w:sz w:val="22"/>
          <w:szCs w:val="22"/>
          <w:lang w:val="it-IT"/>
        </w:rPr>
        <w:t xml:space="preserve"> la masurarea imediata</w:t>
      </w:r>
    </w:p>
    <w:p w:rsidR="002D1BA2" w:rsidRPr="007B10AF" w:rsidRDefault="002D1BA2" w:rsidP="002D1BA2">
      <w:pPr>
        <w:jc w:val="both"/>
        <w:rPr>
          <w:rFonts w:ascii="Trebuchet MS" w:hAnsi="Trebuchet MS" w:cs="Arial"/>
          <w:sz w:val="22"/>
          <w:szCs w:val="22"/>
          <w:lang w:val="it-IT"/>
        </w:rPr>
      </w:pPr>
      <w:r w:rsidRPr="007B10AF">
        <w:rPr>
          <w:rFonts w:ascii="Trebuchet MS" w:hAnsi="Trebuchet MS" w:cs="Arial"/>
          <w:sz w:val="22"/>
          <w:szCs w:val="22"/>
          <w:lang w:val="it-IT"/>
        </w:rPr>
        <w:t xml:space="preserve">Limita avertizare:    </w:t>
      </w:r>
      <w:r w:rsidRPr="007B10AF">
        <w:rPr>
          <w:rFonts w:ascii="Trebuchet MS" w:hAnsi="Trebuchet MS" w:cs="Arial"/>
          <w:b/>
          <w:sz w:val="22"/>
          <w:szCs w:val="22"/>
          <w:lang w:val="it-IT"/>
        </w:rPr>
        <w:t>5</w:t>
      </w:r>
      <w:r w:rsidRPr="007B10AF">
        <w:rPr>
          <w:rFonts w:ascii="Trebuchet MS" w:hAnsi="Trebuchet MS" w:cs="Arial"/>
          <w:b/>
          <w:bCs/>
          <w:sz w:val="22"/>
          <w:szCs w:val="22"/>
          <w:lang w:val="it-IT"/>
        </w:rPr>
        <w:t xml:space="preserve">000 </w:t>
      </w:r>
      <w:r w:rsidRPr="007B10AF">
        <w:rPr>
          <w:rFonts w:ascii="Trebuchet MS" w:hAnsi="Trebuchet MS" w:cs="Arial"/>
          <w:sz w:val="22"/>
          <w:szCs w:val="22"/>
          <w:lang w:val="it-IT"/>
        </w:rPr>
        <w:t>Bq m</w:t>
      </w:r>
      <w:r w:rsidRPr="007B10AF">
        <w:rPr>
          <w:rFonts w:ascii="Trebuchet MS" w:hAnsi="Trebuchet MS" w:cs="Arial"/>
          <w:sz w:val="22"/>
          <w:szCs w:val="22"/>
          <w:vertAlign w:val="superscript"/>
          <w:lang w:val="it-IT"/>
        </w:rPr>
        <w:t>-3</w:t>
      </w:r>
      <w:r w:rsidRPr="007B10AF">
        <w:rPr>
          <w:rFonts w:ascii="Trebuchet MS" w:hAnsi="Trebuchet MS" w:cs="Arial"/>
          <w:sz w:val="22"/>
          <w:szCs w:val="22"/>
          <w:lang w:val="it-IT"/>
        </w:rPr>
        <w:t xml:space="preserve"> la masurarea imediata.</w:t>
      </w:r>
    </w:p>
    <w:p w:rsidR="002D1BA2" w:rsidRPr="007B10AF" w:rsidRDefault="002D1BA2" w:rsidP="002D1BA2">
      <w:pPr>
        <w:jc w:val="both"/>
        <w:rPr>
          <w:rFonts w:ascii="Trebuchet MS" w:hAnsi="Trebuchet MS" w:cs="Arial"/>
          <w:sz w:val="22"/>
          <w:szCs w:val="22"/>
          <w:lang w:val="it-IT"/>
        </w:rPr>
      </w:pPr>
      <w:r w:rsidRPr="007B10AF">
        <w:rPr>
          <w:rFonts w:ascii="Trebuchet MS" w:hAnsi="Trebuchet MS" w:cs="Arial"/>
          <w:sz w:val="22"/>
          <w:szCs w:val="22"/>
          <w:lang w:val="it-IT"/>
        </w:rPr>
        <w:t xml:space="preserve">Limita alarmare:     </w:t>
      </w:r>
      <w:r w:rsidRPr="007B10AF">
        <w:rPr>
          <w:rFonts w:ascii="Trebuchet MS" w:hAnsi="Trebuchet MS" w:cs="Arial"/>
          <w:b/>
          <w:bCs/>
          <w:sz w:val="22"/>
          <w:szCs w:val="22"/>
          <w:lang w:val="it-IT"/>
        </w:rPr>
        <w:t>2x10</w:t>
      </w:r>
      <w:r w:rsidRPr="007B10AF">
        <w:rPr>
          <w:rFonts w:ascii="Trebuchet MS" w:hAnsi="Trebuchet MS" w:cs="Arial"/>
          <w:b/>
          <w:bCs/>
          <w:sz w:val="22"/>
          <w:szCs w:val="22"/>
          <w:vertAlign w:val="superscript"/>
          <w:lang w:val="it-IT"/>
        </w:rPr>
        <w:t>4</w:t>
      </w:r>
      <w:r w:rsidRPr="007B10AF">
        <w:rPr>
          <w:rFonts w:ascii="Trebuchet MS" w:hAnsi="Trebuchet MS" w:cs="Arial"/>
          <w:sz w:val="22"/>
          <w:szCs w:val="22"/>
          <w:vertAlign w:val="superscript"/>
          <w:lang w:val="it-IT"/>
        </w:rPr>
        <w:t xml:space="preserve"> </w:t>
      </w:r>
      <w:r w:rsidRPr="007B10AF">
        <w:rPr>
          <w:rFonts w:ascii="Trebuchet MS" w:hAnsi="Trebuchet MS" w:cs="Arial"/>
          <w:sz w:val="22"/>
          <w:szCs w:val="22"/>
          <w:lang w:val="it-IT"/>
        </w:rPr>
        <w:t>Bq m</w:t>
      </w:r>
      <w:r w:rsidRPr="007B10AF">
        <w:rPr>
          <w:rFonts w:ascii="Trebuchet MS" w:hAnsi="Trebuchet MS" w:cs="Arial"/>
          <w:sz w:val="22"/>
          <w:szCs w:val="22"/>
          <w:vertAlign w:val="superscript"/>
          <w:lang w:val="it-IT"/>
        </w:rPr>
        <w:t>-3</w:t>
      </w:r>
      <w:r w:rsidRPr="007B10AF">
        <w:rPr>
          <w:rFonts w:ascii="Trebuchet MS" w:hAnsi="Trebuchet MS" w:cs="Arial"/>
          <w:sz w:val="22"/>
          <w:szCs w:val="22"/>
          <w:lang w:val="it-IT"/>
        </w:rPr>
        <w:t xml:space="preserve"> la masurarea imediata.</w:t>
      </w:r>
    </w:p>
    <w:p w:rsidR="002D1BA2" w:rsidRPr="007B10AF" w:rsidRDefault="002D1BA2" w:rsidP="002D1BA2">
      <w:pPr>
        <w:jc w:val="both"/>
        <w:rPr>
          <w:rFonts w:ascii="Trebuchet MS" w:hAnsi="Trebuchet MS"/>
          <w:b/>
          <w:bCs/>
          <w:sz w:val="22"/>
          <w:szCs w:val="22"/>
          <w:lang w:val="it-IT"/>
        </w:rPr>
      </w:pPr>
      <w:r w:rsidRPr="007B10AF">
        <w:rPr>
          <w:rFonts w:ascii="Trebuchet MS" w:hAnsi="Trebuchet MS"/>
          <w:b/>
          <w:bCs/>
          <w:sz w:val="22"/>
          <w:szCs w:val="22"/>
          <w:lang w:val="it-IT"/>
        </w:rPr>
        <w:br w:type="page"/>
      </w:r>
    </w:p>
    <w:p w:rsidR="002D1BA2" w:rsidRPr="00571EAD" w:rsidRDefault="002D1BA2" w:rsidP="002D1BA2">
      <w:pPr>
        <w:jc w:val="center"/>
        <w:rPr>
          <w:b/>
          <w:bCs/>
          <w:sz w:val="18"/>
          <w:szCs w:val="18"/>
          <w:lang w:val="it-IT"/>
        </w:rPr>
      </w:pPr>
    </w:p>
    <w:p w:rsidR="002D1BA2" w:rsidRPr="007B10AF" w:rsidRDefault="00362C67" w:rsidP="002D1BA2">
      <w:pPr>
        <w:pStyle w:val="Default"/>
        <w:jc w:val="both"/>
        <w:rPr>
          <w:rFonts w:ascii="Trebuchet MS" w:hAnsi="Trebuchet MS"/>
          <w:b/>
        </w:rPr>
      </w:pPr>
      <w:r w:rsidRPr="007B10AF">
        <w:rPr>
          <w:rFonts w:ascii="Trebuchet MS" w:hAnsi="Trebuchet MS"/>
          <w:b/>
        </w:rPr>
        <w:t>I</w:t>
      </w:r>
      <w:r w:rsidR="002D1BA2" w:rsidRPr="007B10AF">
        <w:rPr>
          <w:rFonts w:ascii="Trebuchet MS" w:hAnsi="Trebuchet MS"/>
          <w:b/>
        </w:rPr>
        <w:t>X.1.3. Radioactivitatea solului</w:t>
      </w:r>
    </w:p>
    <w:p w:rsidR="002D1BA2" w:rsidRPr="007B10AF" w:rsidRDefault="002D1BA2" w:rsidP="002D1BA2">
      <w:pPr>
        <w:pStyle w:val="Default"/>
        <w:jc w:val="both"/>
        <w:rPr>
          <w:rFonts w:ascii="Trebuchet MS" w:hAnsi="Trebuchet MS"/>
          <w:sz w:val="22"/>
          <w:szCs w:val="22"/>
        </w:rPr>
      </w:pPr>
    </w:p>
    <w:p w:rsidR="002D1BA2" w:rsidRPr="007B10AF" w:rsidRDefault="002D1BA2" w:rsidP="004F134E">
      <w:pPr>
        <w:pStyle w:val="ListParagraph"/>
        <w:numPr>
          <w:ilvl w:val="0"/>
          <w:numId w:val="26"/>
        </w:numPr>
        <w:jc w:val="both"/>
        <w:rPr>
          <w:rFonts w:ascii="Trebuchet MS" w:hAnsi="Trebuchet MS" w:cs="Arial"/>
          <w:b/>
          <w:sz w:val="22"/>
          <w:szCs w:val="22"/>
        </w:rPr>
      </w:pPr>
      <w:r w:rsidRPr="007B10AF">
        <w:rPr>
          <w:rFonts w:ascii="Trebuchet MS" w:hAnsi="Trebuchet MS" w:cs="Arial"/>
          <w:b/>
          <w:sz w:val="22"/>
          <w:szCs w:val="22"/>
        </w:rPr>
        <w:t>Indicatori specifici</w:t>
      </w:r>
    </w:p>
    <w:p w:rsidR="002D1BA2" w:rsidRPr="007B10AF" w:rsidRDefault="002D1BA2" w:rsidP="002D1BA2">
      <w:pPr>
        <w:pStyle w:val="ListParagraph"/>
        <w:jc w:val="both"/>
        <w:rPr>
          <w:rFonts w:ascii="Trebuchet MS" w:hAnsi="Trebuchet MS" w:cs="Arial"/>
          <w:b/>
          <w:sz w:val="22"/>
          <w:szCs w:val="22"/>
        </w:rPr>
      </w:pPr>
      <w:r w:rsidRPr="007B10AF">
        <w:rPr>
          <w:rFonts w:ascii="Trebuchet MS" w:hAnsi="Trebuchet MS" w:cs="Arial"/>
          <w:b/>
          <w:sz w:val="22"/>
          <w:szCs w:val="22"/>
        </w:rPr>
        <w:t>Nu este cazul</w:t>
      </w:r>
    </w:p>
    <w:p w:rsidR="002D1BA2" w:rsidRPr="007B10AF" w:rsidRDefault="002D1BA2" w:rsidP="004F134E">
      <w:pPr>
        <w:pStyle w:val="ListParagraph"/>
        <w:numPr>
          <w:ilvl w:val="0"/>
          <w:numId w:val="26"/>
        </w:numPr>
        <w:jc w:val="both"/>
        <w:rPr>
          <w:rFonts w:ascii="Trebuchet MS" w:hAnsi="Trebuchet MS" w:cs="Arial"/>
          <w:b/>
          <w:sz w:val="22"/>
          <w:szCs w:val="22"/>
        </w:rPr>
      </w:pPr>
      <w:r w:rsidRPr="007B10AF">
        <w:rPr>
          <w:rFonts w:ascii="Trebuchet MS" w:hAnsi="Trebuchet MS" w:cs="Arial"/>
          <w:b/>
          <w:sz w:val="22"/>
          <w:szCs w:val="22"/>
        </w:rPr>
        <w:t>Alte date şi informaţii specifice</w:t>
      </w:r>
    </w:p>
    <w:p w:rsidR="002D1BA2" w:rsidRPr="007B10AF" w:rsidRDefault="002D1BA2" w:rsidP="002D1BA2">
      <w:pPr>
        <w:jc w:val="center"/>
        <w:rPr>
          <w:rFonts w:ascii="Trebuchet MS" w:hAnsi="Trebuchet MS"/>
          <w:b/>
          <w:bCs/>
          <w:sz w:val="22"/>
          <w:szCs w:val="22"/>
        </w:rPr>
      </w:pPr>
    </w:p>
    <w:p w:rsidR="002D1BA2" w:rsidRPr="007B10AF" w:rsidRDefault="002D1BA2" w:rsidP="002D1BA2">
      <w:pPr>
        <w:jc w:val="center"/>
        <w:rPr>
          <w:rFonts w:ascii="Trebuchet MS" w:hAnsi="Trebuchet MS"/>
          <w:b/>
          <w:bCs/>
          <w:sz w:val="22"/>
          <w:szCs w:val="22"/>
        </w:rPr>
      </w:pPr>
    </w:p>
    <w:p w:rsidR="00345AF2" w:rsidRPr="007B10AF" w:rsidRDefault="00345AF2" w:rsidP="00345AF2">
      <w:pPr>
        <w:pStyle w:val="NormalWeb"/>
        <w:spacing w:after="0"/>
        <w:rPr>
          <w:rFonts w:ascii="Trebuchet MS" w:hAnsi="Trebuchet MS" w:cs="Arial"/>
          <w:sz w:val="22"/>
          <w:szCs w:val="22"/>
        </w:rPr>
      </w:pPr>
      <w:r w:rsidRPr="007B10AF">
        <w:rPr>
          <w:rFonts w:ascii="Trebuchet MS" w:hAnsi="Trebuchet MS" w:cs="Arial"/>
          <w:sz w:val="22"/>
          <w:szCs w:val="22"/>
        </w:rPr>
        <w:t>Probele de sol sunt recoltate din zone necultivate de cel puţin 10 ani. Prelevarea probelor de sol se efectuează săptămânal, iar măsurarea beta globală a probelor se face după 5 zile. Sol necultivat, activități beta globale (Bq/kg) în perioada ianuarie-februarie a fost recoltat de pe Platforma Meteo Afumați iar din martie de pe Platforma SSRM București.</w:t>
      </w:r>
    </w:p>
    <w:p w:rsidR="00345AF2" w:rsidRPr="007B10AF" w:rsidRDefault="00345AF2" w:rsidP="00345AF2">
      <w:pPr>
        <w:pStyle w:val="NormalWeb"/>
        <w:spacing w:after="0"/>
        <w:rPr>
          <w:rFonts w:ascii="Trebuchet MS" w:hAnsi="Trebuchet MS" w:cs="Arial"/>
          <w:sz w:val="22"/>
          <w:szCs w:val="22"/>
        </w:rPr>
      </w:pPr>
      <w:r w:rsidRPr="007B10AF">
        <w:rPr>
          <w:rFonts w:ascii="Trebuchet MS" w:hAnsi="Trebuchet MS" w:cs="Arial"/>
          <w:sz w:val="22"/>
          <w:szCs w:val="22"/>
        </w:rPr>
        <w:t>Valorile prezentate reprezintă nivelul radioactivităţii ce corespunde unui kilogram de masă uscată (m.u.).</w:t>
      </w:r>
    </w:p>
    <w:p w:rsidR="002D1BA2" w:rsidRPr="007B10AF" w:rsidRDefault="002D1BA2" w:rsidP="002D1BA2">
      <w:pPr>
        <w:jc w:val="both"/>
        <w:rPr>
          <w:rFonts w:ascii="Trebuchet MS" w:hAnsi="Trebuchet MS"/>
          <w:b/>
          <w:bCs/>
          <w:sz w:val="22"/>
          <w:szCs w:val="22"/>
          <w:lang w:val="it-IT"/>
        </w:rPr>
      </w:pPr>
    </w:p>
    <w:p w:rsidR="0052483C" w:rsidRPr="007B10AF" w:rsidRDefault="0052483C" w:rsidP="0052483C">
      <w:pPr>
        <w:jc w:val="both"/>
        <w:rPr>
          <w:rFonts w:ascii="Trebuchet MS" w:hAnsi="Trebuchet MS" w:cs="Arial"/>
          <w:sz w:val="22"/>
          <w:szCs w:val="22"/>
          <w:lang w:val="it-IT"/>
        </w:rPr>
      </w:pPr>
      <w:r w:rsidRPr="007B10AF">
        <w:rPr>
          <w:rFonts w:ascii="Trebuchet MS" w:hAnsi="Trebuchet MS" w:cs="Arial"/>
          <w:sz w:val="22"/>
          <w:szCs w:val="22"/>
          <w:lang w:val="it-IT"/>
        </w:rPr>
        <w:t xml:space="preserve">Figura </w:t>
      </w:r>
      <w:r w:rsidR="00362C67" w:rsidRPr="007B10AF">
        <w:rPr>
          <w:rFonts w:ascii="Trebuchet MS" w:hAnsi="Trebuchet MS" w:cs="Arial"/>
          <w:sz w:val="22"/>
          <w:szCs w:val="22"/>
          <w:lang w:val="it-IT"/>
        </w:rPr>
        <w:t>I</w:t>
      </w:r>
      <w:r w:rsidRPr="007B10AF">
        <w:rPr>
          <w:rFonts w:ascii="Trebuchet MS" w:hAnsi="Trebuchet MS" w:cs="Arial"/>
          <w:sz w:val="22"/>
          <w:szCs w:val="22"/>
          <w:lang w:val="it-IT"/>
        </w:rPr>
        <w:t xml:space="preserve">X.1.3.1 </w:t>
      </w:r>
      <w:r w:rsidRPr="007B10AF">
        <w:rPr>
          <w:rFonts w:ascii="Trebuchet MS" w:hAnsi="Trebuchet MS" w:cs="Arial"/>
          <w:bCs/>
          <w:sz w:val="22"/>
          <w:szCs w:val="22"/>
          <w:lang w:val="vi-VN"/>
        </w:rPr>
        <w:t>Variaţia medie anuală a activităţii beta globale a solului</w:t>
      </w:r>
    </w:p>
    <w:p w:rsidR="0052483C" w:rsidRPr="007B10AF" w:rsidRDefault="0052483C" w:rsidP="0052483C">
      <w:pPr>
        <w:jc w:val="both"/>
        <w:rPr>
          <w:rFonts w:ascii="Trebuchet MS" w:hAnsi="Trebuchet MS"/>
          <w:b/>
          <w:bCs/>
          <w:sz w:val="22"/>
          <w:szCs w:val="22"/>
          <w:lang w:val="it-IT"/>
        </w:rPr>
      </w:pPr>
    </w:p>
    <w:p w:rsidR="0052483C" w:rsidRPr="007B10AF" w:rsidRDefault="0052483C" w:rsidP="0052483C">
      <w:pPr>
        <w:rPr>
          <w:rFonts w:ascii="Trebuchet MS" w:hAnsi="Trebuchet MS"/>
          <w:b/>
          <w:bCs/>
          <w:sz w:val="22"/>
          <w:szCs w:val="22"/>
          <w:lang w:val="it-IT"/>
        </w:rPr>
      </w:pPr>
    </w:p>
    <w:p w:rsidR="0052483C" w:rsidRDefault="000946BE" w:rsidP="0052483C">
      <w:pPr>
        <w:jc w:val="center"/>
      </w:pPr>
      <w:bookmarkStart w:id="160" w:name="_MON_1722153862"/>
      <w:bookmarkStart w:id="161" w:name="_MON_1722154511"/>
      <w:bookmarkEnd w:id="160"/>
      <w:bookmarkEnd w:id="161"/>
      <w:r>
        <w:rPr>
          <w:noProof/>
          <w:lang w:val="en-US"/>
        </w:rPr>
        <w:drawing>
          <wp:inline distT="0" distB="0" distL="0" distR="0" wp14:anchorId="3903770D" wp14:editId="54FB0B15">
            <wp:extent cx="4886325" cy="3409950"/>
            <wp:effectExtent l="0" t="0" r="0" b="0"/>
            <wp:docPr id="139" name="Object 1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2D1BA2" w:rsidRDefault="002D1BA2" w:rsidP="002D1BA2">
      <w:pPr>
        <w:jc w:val="center"/>
      </w:pPr>
    </w:p>
    <w:p w:rsidR="002D1BA2" w:rsidRPr="007B10AF" w:rsidRDefault="004E6B38" w:rsidP="002D1BA2">
      <w:pPr>
        <w:rPr>
          <w:rFonts w:ascii="Trebuchet MS" w:hAnsi="Trebuchet MS"/>
          <w:sz w:val="22"/>
          <w:szCs w:val="22"/>
          <w:lang w:val="it-IT"/>
        </w:rPr>
      </w:pPr>
      <w:r w:rsidRPr="007B10AF">
        <w:rPr>
          <w:rFonts w:ascii="Trebuchet MS" w:hAnsi="Trebuchet MS"/>
          <w:sz w:val="22"/>
          <w:szCs w:val="22"/>
          <w:lang w:val="it-IT"/>
        </w:rPr>
        <w:t>S</w:t>
      </w:r>
      <w:r w:rsidR="002D1BA2" w:rsidRPr="007B10AF">
        <w:rPr>
          <w:rFonts w:ascii="Trebuchet MS" w:hAnsi="Trebuchet MS"/>
          <w:sz w:val="22"/>
          <w:szCs w:val="22"/>
          <w:lang w:val="it-IT"/>
        </w:rPr>
        <w:t xml:space="preserve">e observa ca valorile medii anuale </w:t>
      </w:r>
      <w:r w:rsidR="00F920F3" w:rsidRPr="007B10AF">
        <w:rPr>
          <w:rFonts w:ascii="Trebuchet MS" w:hAnsi="Trebuchet MS"/>
          <w:sz w:val="22"/>
          <w:szCs w:val="22"/>
          <w:lang w:val="it-IT"/>
        </w:rPr>
        <w:t>sunt în ușoară creștere in anii 2022-2023.</w:t>
      </w:r>
      <w:r w:rsidR="002D1BA2" w:rsidRPr="007B10AF">
        <w:rPr>
          <w:rFonts w:ascii="Trebuchet MS" w:hAnsi="Trebuchet MS"/>
          <w:sz w:val="22"/>
          <w:szCs w:val="22"/>
          <w:lang w:val="it-IT"/>
        </w:rPr>
        <w:br w:type="page"/>
      </w:r>
    </w:p>
    <w:p w:rsidR="002D1BA2" w:rsidRPr="007B10AF" w:rsidRDefault="00362C67" w:rsidP="002D1BA2">
      <w:pPr>
        <w:pStyle w:val="Default"/>
        <w:jc w:val="both"/>
        <w:rPr>
          <w:rFonts w:ascii="Trebuchet MS" w:hAnsi="Trebuchet MS"/>
          <w:b/>
        </w:rPr>
      </w:pPr>
      <w:r w:rsidRPr="007B10AF">
        <w:rPr>
          <w:rFonts w:ascii="Trebuchet MS" w:hAnsi="Trebuchet MS"/>
          <w:b/>
          <w:bCs/>
          <w:lang w:val="it-IT"/>
        </w:rPr>
        <w:t>I</w:t>
      </w:r>
      <w:r w:rsidR="002D1BA2" w:rsidRPr="007B10AF">
        <w:rPr>
          <w:rFonts w:ascii="Trebuchet MS" w:hAnsi="Trebuchet MS"/>
          <w:b/>
        </w:rPr>
        <w:t xml:space="preserve">X.1.4. Radioactivitatea </w:t>
      </w:r>
      <w:r w:rsidR="00C256EC" w:rsidRPr="007B10AF">
        <w:rPr>
          <w:rFonts w:ascii="Trebuchet MS" w:hAnsi="Trebuchet MS"/>
          <w:b/>
        </w:rPr>
        <w:t>vegetaț</w:t>
      </w:r>
      <w:r w:rsidR="002D1BA2" w:rsidRPr="007B10AF">
        <w:rPr>
          <w:rFonts w:ascii="Trebuchet MS" w:hAnsi="Trebuchet MS"/>
          <w:b/>
        </w:rPr>
        <w:t>iei</w:t>
      </w:r>
    </w:p>
    <w:p w:rsidR="002D1BA2" w:rsidRPr="007B10AF" w:rsidRDefault="002D1BA2" w:rsidP="002D1BA2">
      <w:pPr>
        <w:pStyle w:val="Default"/>
        <w:jc w:val="both"/>
        <w:rPr>
          <w:rFonts w:ascii="Trebuchet MS" w:hAnsi="Trebuchet MS"/>
          <w:sz w:val="22"/>
          <w:szCs w:val="22"/>
        </w:rPr>
      </w:pPr>
    </w:p>
    <w:p w:rsidR="002D1BA2" w:rsidRPr="007B10AF" w:rsidRDefault="002D1BA2" w:rsidP="004F134E">
      <w:pPr>
        <w:pStyle w:val="ListParagraph"/>
        <w:numPr>
          <w:ilvl w:val="0"/>
          <w:numId w:val="27"/>
        </w:numPr>
        <w:jc w:val="both"/>
        <w:rPr>
          <w:rFonts w:ascii="Trebuchet MS" w:hAnsi="Trebuchet MS" w:cs="Arial"/>
          <w:b/>
          <w:sz w:val="22"/>
          <w:szCs w:val="22"/>
        </w:rPr>
      </w:pPr>
      <w:r w:rsidRPr="007B10AF">
        <w:rPr>
          <w:rFonts w:ascii="Trebuchet MS" w:hAnsi="Trebuchet MS" w:cs="Arial"/>
          <w:b/>
          <w:sz w:val="22"/>
          <w:szCs w:val="22"/>
        </w:rPr>
        <w:t>Indicatori specifici</w:t>
      </w:r>
    </w:p>
    <w:p w:rsidR="002D1BA2" w:rsidRPr="007B10AF" w:rsidRDefault="002D1BA2" w:rsidP="002D1BA2">
      <w:pPr>
        <w:pStyle w:val="ListParagraph"/>
        <w:jc w:val="both"/>
        <w:rPr>
          <w:rFonts w:ascii="Trebuchet MS" w:hAnsi="Trebuchet MS" w:cs="Arial"/>
          <w:b/>
          <w:sz w:val="22"/>
          <w:szCs w:val="22"/>
        </w:rPr>
      </w:pPr>
      <w:r w:rsidRPr="007B10AF">
        <w:rPr>
          <w:rFonts w:ascii="Trebuchet MS" w:hAnsi="Trebuchet MS" w:cs="Arial"/>
          <w:b/>
          <w:sz w:val="22"/>
          <w:szCs w:val="22"/>
        </w:rPr>
        <w:t>Nu este cazul</w:t>
      </w:r>
    </w:p>
    <w:p w:rsidR="002D1BA2" w:rsidRPr="007B10AF" w:rsidRDefault="002D1BA2" w:rsidP="004F134E">
      <w:pPr>
        <w:pStyle w:val="ListParagraph"/>
        <w:numPr>
          <w:ilvl w:val="0"/>
          <w:numId w:val="27"/>
        </w:numPr>
        <w:jc w:val="both"/>
        <w:rPr>
          <w:rFonts w:ascii="Trebuchet MS" w:hAnsi="Trebuchet MS" w:cs="Arial"/>
          <w:b/>
          <w:sz w:val="22"/>
          <w:szCs w:val="22"/>
        </w:rPr>
      </w:pPr>
      <w:r w:rsidRPr="007B10AF">
        <w:rPr>
          <w:rFonts w:ascii="Trebuchet MS" w:hAnsi="Trebuchet MS" w:cs="Arial"/>
          <w:b/>
          <w:sz w:val="22"/>
          <w:szCs w:val="22"/>
        </w:rPr>
        <w:t>Alte date şi informaţii specifice</w:t>
      </w:r>
    </w:p>
    <w:p w:rsidR="002D1BA2" w:rsidRPr="007B10AF" w:rsidRDefault="002D1BA2" w:rsidP="002D1BA2">
      <w:pPr>
        <w:jc w:val="center"/>
        <w:rPr>
          <w:rFonts w:ascii="Trebuchet MS" w:hAnsi="Trebuchet MS"/>
          <w:sz w:val="22"/>
          <w:szCs w:val="22"/>
        </w:rPr>
      </w:pPr>
    </w:p>
    <w:p w:rsidR="002D1BA2" w:rsidRPr="007B10AF" w:rsidRDefault="002D1BA2" w:rsidP="002D1BA2">
      <w:pPr>
        <w:ind w:firstLine="360"/>
        <w:jc w:val="both"/>
        <w:outlineLvl w:val="2"/>
        <w:rPr>
          <w:rFonts w:ascii="Trebuchet MS" w:hAnsi="Trebuchet MS" w:cs="Arial"/>
          <w:sz w:val="22"/>
          <w:szCs w:val="22"/>
          <w:lang w:val="it-IT"/>
        </w:rPr>
      </w:pPr>
      <w:r w:rsidRPr="007B10AF">
        <w:rPr>
          <w:rFonts w:ascii="Trebuchet MS" w:hAnsi="Trebuchet MS" w:cs="Arial"/>
          <w:sz w:val="22"/>
          <w:szCs w:val="22"/>
          <w:lang w:val="it-IT"/>
        </w:rPr>
        <w:t>Probele de vegetaţie spontană sunt prelevate săptămânal, masurarea beta globală a probelor efectuându-se la 5 zile de la recoltare. Perioada de prelevare a probelor de vegetaţie spontană este aprilie – octombrie. Valorile prezentate reprezintă nivelul radioactivităţii  ce corespunde unui kilogram de masa verde (m.v.).</w:t>
      </w:r>
    </w:p>
    <w:p w:rsidR="002D1BA2" w:rsidRPr="007B10AF" w:rsidRDefault="002D1BA2" w:rsidP="002D1BA2">
      <w:pPr>
        <w:ind w:firstLine="360"/>
        <w:jc w:val="both"/>
        <w:outlineLvl w:val="2"/>
        <w:rPr>
          <w:rFonts w:ascii="Trebuchet MS" w:hAnsi="Trebuchet MS" w:cs="Arial"/>
          <w:sz w:val="22"/>
          <w:szCs w:val="22"/>
          <w:lang w:val="it-IT"/>
        </w:rPr>
      </w:pPr>
    </w:p>
    <w:p w:rsidR="0079509D" w:rsidRPr="007B10AF" w:rsidRDefault="0079509D" w:rsidP="0079509D">
      <w:pPr>
        <w:ind w:firstLine="360"/>
        <w:jc w:val="both"/>
        <w:outlineLvl w:val="2"/>
        <w:rPr>
          <w:rFonts w:ascii="Trebuchet MS" w:hAnsi="Trebuchet MS" w:cs="Arial"/>
          <w:sz w:val="22"/>
          <w:szCs w:val="22"/>
          <w:lang w:val="it-IT"/>
        </w:rPr>
      </w:pPr>
      <w:r w:rsidRPr="007B10AF">
        <w:rPr>
          <w:rFonts w:ascii="Trebuchet MS" w:hAnsi="Trebuchet MS" w:cs="Arial"/>
          <w:sz w:val="22"/>
          <w:szCs w:val="22"/>
          <w:lang w:val="it-IT"/>
        </w:rPr>
        <w:t xml:space="preserve">Figura </w:t>
      </w:r>
      <w:r w:rsidR="00362C67" w:rsidRPr="007B10AF">
        <w:rPr>
          <w:rFonts w:ascii="Trebuchet MS" w:hAnsi="Trebuchet MS" w:cs="Arial"/>
          <w:sz w:val="22"/>
          <w:szCs w:val="22"/>
          <w:lang w:val="it-IT"/>
        </w:rPr>
        <w:t>I</w:t>
      </w:r>
      <w:r w:rsidRPr="007B10AF">
        <w:rPr>
          <w:rFonts w:ascii="Trebuchet MS" w:hAnsi="Trebuchet MS" w:cs="Arial"/>
          <w:sz w:val="22"/>
          <w:szCs w:val="22"/>
          <w:lang w:val="it-IT"/>
        </w:rPr>
        <w:t xml:space="preserve">X.1.4.1 </w:t>
      </w:r>
      <w:r w:rsidRPr="007B10AF">
        <w:rPr>
          <w:rFonts w:ascii="Trebuchet MS" w:hAnsi="Trebuchet MS" w:cs="Arial"/>
          <w:bCs/>
          <w:sz w:val="22"/>
          <w:szCs w:val="22"/>
          <w:lang w:val="vi-VN"/>
        </w:rPr>
        <w:t>Variaţia medie anuală a activităţii beta globale a vegetaţiei spontane</w:t>
      </w:r>
    </w:p>
    <w:p w:rsidR="0079509D" w:rsidRDefault="000946BE" w:rsidP="0079509D">
      <w:pPr>
        <w:jc w:val="center"/>
      </w:pPr>
      <w:bookmarkStart w:id="162" w:name="_MON_1722155574"/>
      <w:bookmarkEnd w:id="162"/>
      <w:r>
        <w:rPr>
          <w:noProof/>
          <w:lang w:val="en-US"/>
        </w:rPr>
        <w:drawing>
          <wp:inline distT="0" distB="0" distL="0" distR="0" wp14:anchorId="3DE50AE8" wp14:editId="16E03DCD">
            <wp:extent cx="4886325" cy="3409950"/>
            <wp:effectExtent l="0" t="0" r="0" b="0"/>
            <wp:docPr id="140" name="Object 1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79509D" w:rsidRPr="007B10AF" w:rsidRDefault="0079509D" w:rsidP="0079509D">
      <w:pPr>
        <w:pStyle w:val="ListParagraph"/>
        <w:jc w:val="both"/>
        <w:rPr>
          <w:rFonts w:ascii="Trebuchet MS" w:hAnsi="Trebuchet MS" w:cs="Arial"/>
          <w:b/>
          <w:sz w:val="22"/>
          <w:szCs w:val="22"/>
        </w:rPr>
      </w:pPr>
    </w:p>
    <w:p w:rsidR="0079509D" w:rsidRPr="007B10AF" w:rsidRDefault="008C60ED" w:rsidP="0079509D">
      <w:pPr>
        <w:jc w:val="both"/>
        <w:rPr>
          <w:rFonts w:ascii="Trebuchet MS" w:hAnsi="Trebuchet MS"/>
          <w:sz w:val="22"/>
          <w:szCs w:val="22"/>
          <w:lang w:val="it-IT"/>
        </w:rPr>
      </w:pPr>
      <w:r w:rsidRPr="007B10AF">
        <w:rPr>
          <w:rFonts w:ascii="Trebuchet MS" w:hAnsi="Trebuchet MS"/>
          <w:sz w:val="22"/>
          <w:szCs w:val="22"/>
          <w:lang w:val="it-IT"/>
        </w:rPr>
        <w:t xml:space="preserve">În ultimii ani media anuală a activității beta globale a vegetației spontane se află </w:t>
      </w:r>
      <w:r w:rsidR="004027AE" w:rsidRPr="007B10AF">
        <w:rPr>
          <w:rFonts w:ascii="Trebuchet MS" w:hAnsi="Trebuchet MS"/>
          <w:sz w:val="22"/>
          <w:szCs w:val="22"/>
          <w:lang w:val="it-IT"/>
        </w:rPr>
        <w:t>la un nivel aproximativ constant.</w:t>
      </w:r>
    </w:p>
    <w:p w:rsidR="00445848" w:rsidRPr="007B10AF" w:rsidRDefault="00445848" w:rsidP="002D1BA2">
      <w:pPr>
        <w:jc w:val="both"/>
        <w:rPr>
          <w:rFonts w:ascii="Trebuchet MS" w:hAnsi="Trebuchet MS"/>
          <w:sz w:val="22"/>
          <w:szCs w:val="22"/>
          <w:lang w:val="it-IT"/>
        </w:rPr>
      </w:pPr>
    </w:p>
    <w:p w:rsidR="00AE762B" w:rsidRPr="007B10AF" w:rsidRDefault="00AE762B" w:rsidP="003722F6">
      <w:pPr>
        <w:jc w:val="both"/>
        <w:rPr>
          <w:rFonts w:ascii="Trebuchet MS" w:hAnsi="Trebuchet MS"/>
          <w:b/>
          <w:bCs/>
          <w:sz w:val="22"/>
          <w:szCs w:val="22"/>
          <w:lang w:val="it-IT"/>
        </w:rPr>
      </w:pPr>
    </w:p>
    <w:p w:rsidR="00AE762B" w:rsidRPr="007B10AF" w:rsidRDefault="00AE762B" w:rsidP="006271A4">
      <w:pPr>
        <w:jc w:val="center"/>
        <w:rPr>
          <w:rFonts w:ascii="Trebuchet MS" w:hAnsi="Trebuchet MS"/>
          <w:b/>
          <w:bCs/>
          <w:sz w:val="22"/>
          <w:szCs w:val="22"/>
          <w:lang w:val="it-IT"/>
        </w:rPr>
      </w:pPr>
    </w:p>
    <w:p w:rsidR="00AE762B" w:rsidRPr="009F6330" w:rsidRDefault="00AE762B">
      <w:pPr>
        <w:rPr>
          <w:color w:val="FF0000"/>
        </w:rPr>
      </w:pPr>
      <w:r w:rsidRPr="007B10AF">
        <w:rPr>
          <w:rFonts w:ascii="Trebuchet MS" w:hAnsi="Trebuchet MS"/>
          <w:sz w:val="22"/>
          <w:szCs w:val="22"/>
        </w:rPr>
        <w:br w:type="page"/>
      </w:r>
    </w:p>
    <w:p w:rsidR="00AE762B" w:rsidRPr="007B10AF" w:rsidRDefault="006B15D6" w:rsidP="00096D38">
      <w:pPr>
        <w:jc w:val="center"/>
        <w:rPr>
          <w:rFonts w:ascii="Trebuchet MS" w:hAnsi="Trebuchet MS" w:cs="Arial"/>
          <w:b/>
          <w:sz w:val="32"/>
          <w:szCs w:val="32"/>
        </w:rPr>
      </w:pPr>
      <w:r w:rsidRPr="007B10AF">
        <w:rPr>
          <w:rFonts w:ascii="Trebuchet MS" w:hAnsi="Trebuchet MS" w:cs="Arial"/>
          <w:b/>
          <w:sz w:val="32"/>
          <w:szCs w:val="32"/>
        </w:rPr>
        <w:t>CAPITOLUL X</w:t>
      </w:r>
    </w:p>
    <w:p w:rsidR="00AE762B" w:rsidRPr="007B10AF" w:rsidRDefault="00AE762B" w:rsidP="00096D38">
      <w:pPr>
        <w:jc w:val="center"/>
        <w:rPr>
          <w:rFonts w:ascii="Trebuchet MS" w:hAnsi="Trebuchet MS" w:cs="Arial"/>
          <w:b/>
          <w:sz w:val="32"/>
          <w:szCs w:val="32"/>
        </w:rPr>
      </w:pPr>
      <w:r w:rsidRPr="007B10AF">
        <w:rPr>
          <w:rFonts w:ascii="Trebuchet MS" w:hAnsi="Trebuchet MS" w:cs="Arial"/>
          <w:b/>
          <w:sz w:val="32"/>
          <w:szCs w:val="32"/>
        </w:rPr>
        <w:t>CONSUMUL ŞI MEDIUL ÎNCONJURĂTOR</w:t>
      </w:r>
    </w:p>
    <w:p w:rsidR="00AE762B" w:rsidRPr="007B10AF" w:rsidRDefault="00AE762B" w:rsidP="00096D38">
      <w:pPr>
        <w:jc w:val="center"/>
        <w:rPr>
          <w:rFonts w:ascii="Trebuchet MS" w:hAnsi="Trebuchet MS" w:cs="Arial"/>
          <w:b/>
        </w:rPr>
      </w:pPr>
    </w:p>
    <w:p w:rsidR="00AE762B" w:rsidRPr="007B10AF" w:rsidRDefault="00AE762B" w:rsidP="00096D38">
      <w:pPr>
        <w:jc w:val="both"/>
        <w:rPr>
          <w:rFonts w:ascii="Trebuchet MS" w:hAnsi="Trebuchet MS" w:cs="Arial"/>
          <w:b/>
        </w:rPr>
      </w:pPr>
    </w:p>
    <w:p w:rsidR="00AE762B" w:rsidRPr="007B10AF" w:rsidRDefault="006B15D6" w:rsidP="00096D38">
      <w:pPr>
        <w:jc w:val="both"/>
        <w:rPr>
          <w:rFonts w:ascii="Trebuchet MS" w:hAnsi="Trebuchet MS" w:cs="Arial"/>
          <w:b/>
        </w:rPr>
      </w:pPr>
      <w:r w:rsidRPr="007B10AF">
        <w:rPr>
          <w:rFonts w:ascii="Trebuchet MS" w:hAnsi="Trebuchet MS" w:cs="Arial"/>
          <w:b/>
        </w:rPr>
        <w:t>X</w:t>
      </w:r>
      <w:r w:rsidR="00AE762B" w:rsidRPr="007B10AF">
        <w:rPr>
          <w:rFonts w:ascii="Trebuchet MS" w:hAnsi="Trebuchet MS" w:cs="Arial"/>
          <w:b/>
        </w:rPr>
        <w:t>.1 Tendinţe în consum</w:t>
      </w:r>
    </w:p>
    <w:p w:rsidR="00AE762B" w:rsidRDefault="00AE762B" w:rsidP="00075F93">
      <w:pPr>
        <w:pStyle w:val="Default"/>
        <w:jc w:val="both"/>
      </w:pPr>
    </w:p>
    <w:p w:rsidR="00AE762B" w:rsidRPr="007B10AF" w:rsidRDefault="00AE762B" w:rsidP="004F134E">
      <w:pPr>
        <w:pStyle w:val="ListParagraph"/>
        <w:numPr>
          <w:ilvl w:val="0"/>
          <w:numId w:val="28"/>
        </w:numPr>
        <w:jc w:val="both"/>
        <w:rPr>
          <w:rFonts w:ascii="Trebuchet MS" w:hAnsi="Trebuchet MS" w:cs="Arial"/>
          <w:b/>
          <w:sz w:val="22"/>
          <w:szCs w:val="22"/>
        </w:rPr>
      </w:pPr>
      <w:r w:rsidRPr="007B10AF">
        <w:rPr>
          <w:rFonts w:ascii="Trebuchet MS" w:hAnsi="Trebuchet MS" w:cs="Arial"/>
          <w:b/>
          <w:sz w:val="22"/>
          <w:szCs w:val="22"/>
        </w:rPr>
        <w:t>Indicatori specifici</w:t>
      </w:r>
    </w:p>
    <w:p w:rsidR="00AE762B" w:rsidRPr="007B10AF" w:rsidRDefault="00AE762B" w:rsidP="00075F93">
      <w:pPr>
        <w:pStyle w:val="ListParagraph"/>
        <w:jc w:val="both"/>
        <w:rPr>
          <w:rFonts w:ascii="Trebuchet MS" w:hAnsi="Trebuchet MS" w:cs="Arial"/>
          <w:b/>
          <w:sz w:val="22"/>
          <w:szCs w:val="22"/>
        </w:rPr>
      </w:pPr>
      <w:r w:rsidRPr="007B10AF">
        <w:rPr>
          <w:rFonts w:ascii="Trebuchet MS" w:hAnsi="Trebuchet MS" w:cs="Arial"/>
          <w:b/>
          <w:sz w:val="22"/>
          <w:szCs w:val="22"/>
        </w:rPr>
        <w:t>Nu este cazul</w:t>
      </w:r>
    </w:p>
    <w:p w:rsidR="00AE762B" w:rsidRPr="007B10AF" w:rsidRDefault="00AE762B" w:rsidP="004F134E">
      <w:pPr>
        <w:pStyle w:val="ListParagraph"/>
        <w:numPr>
          <w:ilvl w:val="0"/>
          <w:numId w:val="28"/>
        </w:numPr>
        <w:jc w:val="both"/>
        <w:rPr>
          <w:rFonts w:ascii="Trebuchet MS" w:hAnsi="Trebuchet MS" w:cs="Arial"/>
          <w:b/>
          <w:sz w:val="22"/>
          <w:szCs w:val="22"/>
        </w:rPr>
      </w:pPr>
      <w:r w:rsidRPr="007B10AF">
        <w:rPr>
          <w:rFonts w:ascii="Trebuchet MS" w:hAnsi="Trebuchet MS" w:cs="Arial"/>
          <w:b/>
          <w:sz w:val="22"/>
          <w:szCs w:val="22"/>
        </w:rPr>
        <w:t>Alte date şi informaţii specifice</w:t>
      </w:r>
    </w:p>
    <w:p w:rsidR="00AE762B" w:rsidRPr="007B10AF" w:rsidRDefault="00AE762B" w:rsidP="00096D38">
      <w:pPr>
        <w:jc w:val="both"/>
        <w:rPr>
          <w:rFonts w:ascii="Trebuchet MS" w:hAnsi="Trebuchet MS" w:cs="Arial"/>
          <w:b/>
          <w:color w:val="FF0000"/>
          <w:sz w:val="22"/>
          <w:szCs w:val="22"/>
        </w:rPr>
      </w:pPr>
    </w:p>
    <w:p w:rsidR="00AE762B" w:rsidRPr="007B10AF" w:rsidRDefault="00AE762B" w:rsidP="00075F93">
      <w:pPr>
        <w:rPr>
          <w:rFonts w:ascii="Trebuchet MS" w:hAnsi="Trebuchet MS" w:cs="Arial"/>
          <w:b/>
          <w:sz w:val="22"/>
          <w:szCs w:val="22"/>
        </w:rPr>
      </w:pPr>
      <w:r w:rsidRPr="007B10AF">
        <w:rPr>
          <w:rFonts w:ascii="Trebuchet MS" w:hAnsi="Trebuchet MS" w:cs="Arial"/>
          <w:b/>
          <w:sz w:val="22"/>
          <w:szCs w:val="22"/>
        </w:rPr>
        <w:t>Figura XI.1.a  Evoluţia amprentei ecologice şi a biocapacităţii</w:t>
      </w:r>
    </w:p>
    <w:p w:rsidR="00AE762B" w:rsidRPr="007B10AF" w:rsidRDefault="00AE762B" w:rsidP="004565FD">
      <w:pPr>
        <w:pStyle w:val="Heading1"/>
        <w:shd w:val="clear" w:color="auto" w:fill="FFFFFF"/>
        <w:spacing w:before="0" w:after="150"/>
        <w:textAlignment w:val="baseline"/>
        <w:rPr>
          <w:rFonts w:ascii="Trebuchet MS" w:hAnsi="Trebuchet MS"/>
          <w:b w:val="0"/>
          <w:bCs w:val="0"/>
          <w:spacing w:val="6"/>
          <w:sz w:val="22"/>
          <w:szCs w:val="22"/>
        </w:rPr>
      </w:pPr>
      <w:r w:rsidRPr="007B10AF">
        <w:rPr>
          <w:rFonts w:ascii="Trebuchet MS" w:hAnsi="Trebuchet MS"/>
          <w:b w:val="0"/>
          <w:bCs w:val="0"/>
          <w:spacing w:val="6"/>
          <w:sz w:val="22"/>
          <w:szCs w:val="22"/>
        </w:rPr>
        <w:t>Romania</w:t>
      </w:r>
    </w:p>
    <w:p w:rsidR="00A6167C" w:rsidRPr="007B10AF" w:rsidRDefault="00A6167C" w:rsidP="00A6167C">
      <w:pPr>
        <w:rPr>
          <w:rFonts w:ascii="Trebuchet MS" w:hAnsi="Trebuchet MS"/>
          <w:color w:val="FF0000"/>
          <w:sz w:val="22"/>
          <w:szCs w:val="22"/>
          <w:lang w:val="en-US"/>
        </w:rPr>
      </w:pPr>
    </w:p>
    <w:p w:rsidR="00AE762B" w:rsidRPr="00C0327E" w:rsidRDefault="00AE762B" w:rsidP="004565FD">
      <w:pPr>
        <w:shd w:val="clear" w:color="auto" w:fill="FFFFFF"/>
        <w:spacing w:line="165" w:lineRule="atLeast"/>
        <w:jc w:val="center"/>
        <w:textAlignment w:val="baseline"/>
        <w:rPr>
          <w:rFonts w:ascii="Verdana" w:hAnsi="Verdana"/>
          <w:color w:val="FF0000"/>
          <w:sz w:val="17"/>
          <w:szCs w:val="17"/>
        </w:rPr>
      </w:pPr>
    </w:p>
    <w:p w:rsidR="00AE762B" w:rsidRPr="00C0327E" w:rsidRDefault="000946BE" w:rsidP="004565FD">
      <w:pPr>
        <w:rPr>
          <w:color w:val="FF0000"/>
        </w:rPr>
      </w:pPr>
      <w:r w:rsidRPr="00C0327E">
        <w:rPr>
          <w:noProof/>
          <w:color w:val="FF0000"/>
          <w:lang w:val="en-US"/>
        </w:rPr>
        <mc:AlternateContent>
          <mc:Choice Requires="wps">
            <w:drawing>
              <wp:anchor distT="0" distB="0" distL="114300" distR="114300" simplePos="0" relativeHeight="251650560" behindDoc="0" locked="0" layoutInCell="1" allowOverlap="1" wp14:anchorId="33AF9AF2" wp14:editId="72D7F59A">
                <wp:simplePos x="0" y="0"/>
                <wp:positionH relativeFrom="column">
                  <wp:posOffset>5116195</wp:posOffset>
                </wp:positionH>
                <wp:positionV relativeFrom="paragraph">
                  <wp:posOffset>510540</wp:posOffset>
                </wp:positionV>
                <wp:extent cx="1350010" cy="1347470"/>
                <wp:effectExtent l="1270" t="0" r="1270" b="0"/>
                <wp:wrapNone/>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010" cy="1347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D46ED" w:rsidRDefault="00DD46ED" w:rsidP="00A8538E">
                            <w:pPr>
                              <w:rPr>
                                <w:rFonts w:ascii="Arial" w:hAnsi="Arial" w:cs="Arial"/>
                                <w:b/>
                                <w:sz w:val="20"/>
                                <w:szCs w:val="20"/>
                              </w:rPr>
                            </w:pPr>
                            <w:r w:rsidRPr="00A8538E">
                              <w:rPr>
                                <w:rFonts w:ascii="Arial" w:hAnsi="Arial" w:cs="Arial"/>
                                <w:b/>
                                <w:color w:val="FF0000"/>
                                <w:sz w:val="28"/>
                                <w:szCs w:val="28"/>
                              </w:rPr>
                              <w:t xml:space="preserve">- </w:t>
                            </w:r>
                            <w:r w:rsidRPr="00A8538E">
                              <w:rPr>
                                <w:rFonts w:ascii="Arial" w:hAnsi="Arial" w:cs="Arial"/>
                                <w:b/>
                                <w:sz w:val="28"/>
                                <w:szCs w:val="28"/>
                              </w:rPr>
                              <w:t xml:space="preserve"> </w:t>
                            </w:r>
                            <w:r w:rsidRPr="00A8538E">
                              <w:rPr>
                                <w:rFonts w:ascii="Arial" w:hAnsi="Arial" w:cs="Arial"/>
                                <w:b/>
                                <w:sz w:val="20"/>
                                <w:szCs w:val="20"/>
                              </w:rPr>
                              <w:t>Amprenta  ecologică</w:t>
                            </w:r>
                          </w:p>
                          <w:p w:rsidR="00DD46ED" w:rsidRPr="00A8538E" w:rsidRDefault="00DD46ED" w:rsidP="00A8538E">
                            <w:pPr>
                              <w:rPr>
                                <w:rFonts w:ascii="Arial" w:hAnsi="Arial" w:cs="Arial"/>
                                <w:b/>
                                <w:sz w:val="20"/>
                                <w:szCs w:val="20"/>
                              </w:rPr>
                            </w:pPr>
                          </w:p>
                          <w:p w:rsidR="00DD46ED" w:rsidRPr="00BB7988" w:rsidRDefault="00DD46ED" w:rsidP="00075F93">
                            <w:pPr>
                              <w:rPr>
                                <w:rFonts w:ascii="Arial" w:hAnsi="Arial" w:cs="Arial"/>
                                <w:b/>
                                <w:sz w:val="20"/>
                                <w:szCs w:val="20"/>
                              </w:rPr>
                            </w:pPr>
                            <w:r w:rsidRPr="003A771C">
                              <w:rPr>
                                <w:rFonts w:ascii="Arial" w:hAnsi="Arial" w:cs="Arial"/>
                                <w:b/>
                                <w:color w:val="9BBB59"/>
                                <w:sz w:val="28"/>
                                <w:szCs w:val="28"/>
                              </w:rPr>
                              <w:t>-</w:t>
                            </w:r>
                            <w:r>
                              <w:rPr>
                                <w:rFonts w:ascii="Arial" w:hAnsi="Arial" w:cs="Arial"/>
                                <w:b/>
                                <w:sz w:val="20"/>
                                <w:szCs w:val="20"/>
                              </w:rPr>
                              <w:t xml:space="preserve"> B</w:t>
                            </w:r>
                            <w:r w:rsidRPr="00BB7988">
                              <w:rPr>
                                <w:rFonts w:ascii="Arial" w:hAnsi="Arial" w:cs="Arial"/>
                                <w:b/>
                                <w:sz w:val="20"/>
                                <w:szCs w:val="20"/>
                              </w:rPr>
                              <w:t>iocapacitatea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3" type="#_x0000_t202" style="position:absolute;margin-left:402.85pt;margin-top:40.2pt;width:106.3pt;height:106.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" stroked="f">
                <v:textbox>
                  <w:txbxContent>
                    <w:p w:rsidR="00DD46ED" w:rsidRDefault="00DD46ED" w:rsidP="00A8538E">
                      <w:pPr>
                        <w:rPr>
                          <w:rFonts w:ascii="Arial" w:hAnsi="Arial" w:cs="Arial"/>
                          <w:b/>
                          <w:sz w:val="20"/>
                          <w:szCs w:val="20"/>
                        </w:rPr>
                      </w:pPr>
                      <w:r w:rsidRPr="00A8538E">
                        <w:rPr>
                          <w:rFonts w:ascii="Arial" w:hAnsi="Arial" w:cs="Arial"/>
                          <w:b/>
                          <w:color w:val="FF0000"/>
                          <w:sz w:val="28"/>
                          <w:szCs w:val="28"/>
                        </w:rPr>
                        <w:t xml:space="preserve">- </w:t>
                      </w:r>
                      <w:r w:rsidRPr="00A8538E">
                        <w:rPr>
                          <w:rFonts w:ascii="Arial" w:hAnsi="Arial" w:cs="Arial"/>
                          <w:b/>
                          <w:sz w:val="28"/>
                          <w:szCs w:val="28"/>
                        </w:rPr>
                        <w:t xml:space="preserve"> </w:t>
                      </w:r>
                      <w:r w:rsidRPr="00A8538E">
                        <w:rPr>
                          <w:rFonts w:ascii="Arial" w:hAnsi="Arial" w:cs="Arial"/>
                          <w:b/>
                          <w:sz w:val="20"/>
                          <w:szCs w:val="20"/>
                        </w:rPr>
                        <w:t>Amprenta  ecologică</w:t>
                      </w:r>
                    </w:p>
                    <w:p w:rsidR="00DD46ED" w:rsidRPr="00A8538E" w:rsidRDefault="00DD46ED" w:rsidP="00A8538E">
                      <w:pPr>
                        <w:rPr>
                          <w:rFonts w:ascii="Arial" w:hAnsi="Arial" w:cs="Arial"/>
                          <w:b/>
                          <w:sz w:val="20"/>
                          <w:szCs w:val="20"/>
                        </w:rPr>
                      </w:pPr>
                    </w:p>
                    <w:p w:rsidR="00DD46ED" w:rsidRPr="00BB7988" w:rsidRDefault="00DD46ED" w:rsidP="00075F93">
                      <w:pPr>
                        <w:rPr>
                          <w:rFonts w:ascii="Arial" w:hAnsi="Arial" w:cs="Arial"/>
                          <w:b/>
                          <w:sz w:val="20"/>
                          <w:szCs w:val="20"/>
                        </w:rPr>
                      </w:pPr>
                      <w:r w:rsidRPr="003A771C">
                        <w:rPr>
                          <w:rFonts w:ascii="Arial" w:hAnsi="Arial" w:cs="Arial"/>
                          <w:b/>
                          <w:color w:val="9BBB59"/>
                          <w:sz w:val="28"/>
                          <w:szCs w:val="28"/>
                        </w:rPr>
                        <w:t>-</w:t>
                      </w:r>
                      <w:r>
                        <w:rPr>
                          <w:rFonts w:ascii="Arial" w:hAnsi="Arial" w:cs="Arial"/>
                          <w:b/>
                          <w:sz w:val="20"/>
                          <w:szCs w:val="20"/>
                        </w:rPr>
                        <w:t xml:space="preserve"> B</w:t>
                      </w:r>
                      <w:r w:rsidRPr="00BB7988">
                        <w:rPr>
                          <w:rFonts w:ascii="Arial" w:hAnsi="Arial" w:cs="Arial"/>
                          <w:b/>
                          <w:sz w:val="20"/>
                          <w:szCs w:val="20"/>
                        </w:rPr>
                        <w:t>iocapacitatea</w:t>
                      </w:r>
                    </w:p>
                  </w:txbxContent>
                </v:textbox>
              </v:shape>
            </w:pict>
          </mc:Fallback>
        </mc:AlternateContent>
      </w:r>
      <w:r w:rsidR="00AE762B" w:rsidRPr="00C0327E">
        <w:rPr>
          <w:noProof/>
          <w:color w:val="FF0000"/>
          <w:lang w:val="en-US"/>
        </w:rPr>
        <w:t xml:space="preserve"> </w:t>
      </w:r>
      <w:r w:rsidR="00EC051A" w:rsidRPr="00C0327E">
        <w:rPr>
          <w:noProof/>
          <w:color w:val="FF0000"/>
          <w:lang w:val="en-US"/>
        </w:rPr>
        <w:drawing>
          <wp:inline distT="0" distB="0" distL="0" distR="0" wp14:anchorId="61F5FDEB" wp14:editId="351B0CA5">
            <wp:extent cx="4563112" cy="3105583"/>
            <wp:effectExtent l="0" t="0" r="8890" b="0"/>
            <wp:docPr id="120344072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40721" name=""/>
                    <pic:cNvPicPr/>
                  </pic:nvPicPr>
                  <pic:blipFill>
                    <a:blip r:embed="rId194"/>
                    <a:stretch>
                      <a:fillRect/>
                    </a:stretch>
                  </pic:blipFill>
                  <pic:spPr>
                    <a:xfrm>
                      <a:off x="0" y="0"/>
                      <a:ext cx="4563112" cy="3105583"/>
                    </a:xfrm>
                    <a:prstGeom prst="rect">
                      <a:avLst/>
                    </a:prstGeom>
                  </pic:spPr>
                </pic:pic>
              </a:graphicData>
            </a:graphic>
          </wp:inline>
        </w:drawing>
      </w:r>
    </w:p>
    <w:p w:rsidR="00AE762B" w:rsidRPr="00C0327E" w:rsidRDefault="00AE762B" w:rsidP="00096D38">
      <w:pPr>
        <w:jc w:val="both"/>
        <w:rPr>
          <w:rFonts w:ascii="Arial" w:hAnsi="Arial" w:cs="Arial"/>
          <w:b/>
          <w:color w:val="FF0000"/>
          <w:lang w:val="fr-FR"/>
        </w:rPr>
      </w:pPr>
    </w:p>
    <w:p w:rsidR="00AE762B" w:rsidRPr="00C0327E" w:rsidRDefault="00AE762B">
      <w:pPr>
        <w:rPr>
          <w:rFonts w:ascii="Arial" w:hAnsi="Arial" w:cs="Arial"/>
          <w:b/>
          <w:color w:val="FF0000"/>
          <w:lang w:val="fr-FR"/>
        </w:rPr>
      </w:pPr>
      <w:r w:rsidRPr="00C0327E">
        <w:rPr>
          <w:rFonts w:ascii="Arial" w:hAnsi="Arial" w:cs="Arial"/>
          <w:b/>
          <w:color w:val="FF0000"/>
          <w:lang w:val="fr-FR"/>
        </w:rPr>
        <w:br w:type="page"/>
      </w:r>
    </w:p>
    <w:p w:rsidR="00AE762B" w:rsidRPr="007B10AF" w:rsidRDefault="006B15D6" w:rsidP="00075F93">
      <w:pPr>
        <w:rPr>
          <w:rFonts w:ascii="Trebuchet MS" w:hAnsi="Trebuchet MS" w:cs="Arial"/>
          <w:b/>
        </w:rPr>
      </w:pPr>
      <w:r w:rsidRPr="007B10AF">
        <w:rPr>
          <w:rFonts w:ascii="Trebuchet MS" w:hAnsi="Trebuchet MS" w:cs="Arial"/>
          <w:b/>
        </w:rPr>
        <w:t>X</w:t>
      </w:r>
      <w:r w:rsidR="00AE762B" w:rsidRPr="007B10AF">
        <w:rPr>
          <w:rFonts w:ascii="Trebuchet MS" w:hAnsi="Trebuchet MS" w:cs="Arial"/>
          <w:b/>
        </w:rPr>
        <w:t>.1.1 Alimente şi băuturi</w:t>
      </w:r>
    </w:p>
    <w:p w:rsidR="00AE762B" w:rsidRPr="007B10AF" w:rsidRDefault="00AE762B" w:rsidP="00075F93">
      <w:pPr>
        <w:rPr>
          <w:rFonts w:ascii="Trebuchet MS" w:hAnsi="Trebuchet MS" w:cs="Arial"/>
          <w:b/>
          <w:sz w:val="22"/>
          <w:szCs w:val="22"/>
        </w:rPr>
      </w:pPr>
    </w:p>
    <w:p w:rsidR="00AE762B" w:rsidRPr="007B10AF" w:rsidRDefault="00AE762B" w:rsidP="004F134E">
      <w:pPr>
        <w:pStyle w:val="ListParagraph"/>
        <w:numPr>
          <w:ilvl w:val="0"/>
          <w:numId w:val="29"/>
        </w:numPr>
        <w:jc w:val="both"/>
        <w:rPr>
          <w:rFonts w:ascii="Trebuchet MS" w:hAnsi="Trebuchet MS" w:cs="Arial"/>
          <w:b/>
          <w:sz w:val="22"/>
          <w:szCs w:val="22"/>
        </w:rPr>
      </w:pPr>
      <w:r w:rsidRPr="007B10AF">
        <w:rPr>
          <w:rFonts w:ascii="Trebuchet MS" w:hAnsi="Trebuchet MS" w:cs="Arial"/>
          <w:b/>
          <w:sz w:val="22"/>
          <w:szCs w:val="22"/>
        </w:rPr>
        <w:t>Indicatori specifici</w:t>
      </w:r>
    </w:p>
    <w:p w:rsidR="00AE762B" w:rsidRPr="007B10AF" w:rsidRDefault="00AE762B" w:rsidP="00A56D16">
      <w:pPr>
        <w:pStyle w:val="ListParagraph"/>
        <w:jc w:val="both"/>
        <w:rPr>
          <w:rFonts w:ascii="Trebuchet MS" w:hAnsi="Trebuchet MS" w:cs="Arial"/>
          <w:b/>
          <w:sz w:val="22"/>
          <w:szCs w:val="22"/>
        </w:rPr>
      </w:pPr>
      <w:r w:rsidRPr="007B10AF">
        <w:rPr>
          <w:rFonts w:ascii="Trebuchet MS" w:hAnsi="Trebuchet MS" w:cs="Arial"/>
          <w:b/>
          <w:sz w:val="22"/>
          <w:szCs w:val="22"/>
        </w:rPr>
        <w:t>Nu este cazul</w:t>
      </w:r>
    </w:p>
    <w:p w:rsidR="00AE762B" w:rsidRPr="007B10AF" w:rsidRDefault="00AE762B" w:rsidP="004F134E">
      <w:pPr>
        <w:pStyle w:val="ListParagraph"/>
        <w:numPr>
          <w:ilvl w:val="0"/>
          <w:numId w:val="29"/>
        </w:numPr>
        <w:jc w:val="both"/>
        <w:rPr>
          <w:rFonts w:ascii="Trebuchet MS" w:hAnsi="Trebuchet MS" w:cs="Arial"/>
          <w:b/>
          <w:sz w:val="22"/>
          <w:szCs w:val="22"/>
        </w:rPr>
      </w:pPr>
      <w:r w:rsidRPr="007B10AF">
        <w:rPr>
          <w:rFonts w:ascii="Trebuchet MS" w:hAnsi="Trebuchet MS" w:cs="Arial"/>
          <w:b/>
          <w:sz w:val="22"/>
          <w:szCs w:val="22"/>
        </w:rPr>
        <w:t>Alte date şi informaţii specifice</w:t>
      </w:r>
    </w:p>
    <w:p w:rsidR="00AE762B" w:rsidRPr="007B10AF" w:rsidRDefault="00AE762B" w:rsidP="00075F93">
      <w:pPr>
        <w:rPr>
          <w:rFonts w:ascii="Trebuchet MS" w:hAnsi="Trebuchet MS" w:cs="Arial"/>
          <w:b/>
          <w:sz w:val="22"/>
          <w:szCs w:val="22"/>
        </w:rPr>
      </w:pPr>
    </w:p>
    <w:p w:rsidR="00AE762B" w:rsidRPr="007B10AF" w:rsidRDefault="00AE762B" w:rsidP="00075F93">
      <w:pPr>
        <w:rPr>
          <w:rFonts w:ascii="Trebuchet MS" w:hAnsi="Trebuchet MS" w:cs="Arial"/>
          <w:b/>
          <w:sz w:val="22"/>
          <w:szCs w:val="22"/>
        </w:rPr>
      </w:pPr>
      <w:r w:rsidRPr="007B10AF">
        <w:rPr>
          <w:rFonts w:ascii="Trebuchet MS" w:hAnsi="Trebuchet MS" w:cs="Arial"/>
          <w:b/>
          <w:sz w:val="22"/>
          <w:szCs w:val="22"/>
        </w:rPr>
        <w:t>Datele sunt disponibile doar la nivel national</w:t>
      </w:r>
    </w:p>
    <w:p w:rsidR="00AE762B" w:rsidRPr="007B10AF" w:rsidRDefault="00AE762B" w:rsidP="00075F93">
      <w:pPr>
        <w:rPr>
          <w:rFonts w:ascii="Trebuchet MS" w:hAnsi="Trebuchet MS" w:cs="Arial"/>
          <w:b/>
          <w:sz w:val="22"/>
          <w:szCs w:val="22"/>
        </w:rPr>
      </w:pPr>
    </w:p>
    <w:p w:rsidR="00AE762B" w:rsidRPr="007B10AF" w:rsidRDefault="00AE762B" w:rsidP="00075F93">
      <w:pPr>
        <w:rPr>
          <w:rFonts w:ascii="Trebuchet MS" w:hAnsi="Trebuchet MS" w:cs="Arial"/>
          <w:b/>
          <w:sz w:val="22"/>
          <w:szCs w:val="22"/>
        </w:rPr>
      </w:pPr>
    </w:p>
    <w:p w:rsidR="00AE762B" w:rsidRPr="007B10AF" w:rsidRDefault="00AE762B" w:rsidP="00075F93">
      <w:pPr>
        <w:rPr>
          <w:rFonts w:ascii="Trebuchet MS" w:hAnsi="Trebuchet MS" w:cs="Arial"/>
          <w:b/>
          <w:sz w:val="22"/>
          <w:szCs w:val="22"/>
        </w:rPr>
      </w:pPr>
      <w:r w:rsidRPr="007B10AF">
        <w:rPr>
          <w:rFonts w:ascii="Trebuchet MS" w:hAnsi="Trebuchet MS" w:cs="Arial"/>
          <w:b/>
          <w:sz w:val="22"/>
          <w:szCs w:val="22"/>
        </w:rPr>
        <w:t>Figura</w:t>
      </w:r>
      <w:r w:rsidR="006B15D6" w:rsidRPr="007B10AF">
        <w:rPr>
          <w:rFonts w:ascii="Trebuchet MS" w:hAnsi="Trebuchet MS" w:cs="Arial"/>
          <w:b/>
          <w:sz w:val="22"/>
          <w:szCs w:val="22"/>
        </w:rPr>
        <w:t xml:space="preserve"> X</w:t>
      </w:r>
      <w:r w:rsidRPr="007B10AF">
        <w:rPr>
          <w:rFonts w:ascii="Trebuchet MS" w:hAnsi="Trebuchet MS" w:cs="Arial"/>
          <w:b/>
          <w:sz w:val="22"/>
          <w:szCs w:val="22"/>
        </w:rPr>
        <w:t>.1.1.a  Consumul mediu anual pe locuitor, la principalele produse alimentare şi băuturi</w:t>
      </w:r>
    </w:p>
    <w:tbl>
      <w:tblPr>
        <w:tblW w:w="10150" w:type="dxa"/>
        <w:tblInd w:w="95" w:type="dxa"/>
        <w:tblLook w:val="00A0" w:firstRow="1" w:lastRow="0" w:firstColumn="1" w:lastColumn="0" w:noHBand="0" w:noVBand="0"/>
      </w:tblPr>
      <w:tblGrid>
        <w:gridCol w:w="3453"/>
        <w:gridCol w:w="1740"/>
        <w:gridCol w:w="1207"/>
        <w:gridCol w:w="960"/>
        <w:gridCol w:w="960"/>
        <w:gridCol w:w="960"/>
        <w:gridCol w:w="870"/>
      </w:tblGrid>
      <w:tr w:rsidR="00AE762B" w:rsidRPr="007B10AF" w:rsidTr="00534D25">
        <w:trPr>
          <w:trHeight w:val="300"/>
        </w:trPr>
        <w:tc>
          <w:tcPr>
            <w:tcW w:w="3453" w:type="dxa"/>
            <w:vMerge w:val="restart"/>
            <w:tcBorders>
              <w:top w:val="single" w:sz="4" w:space="0" w:color="auto"/>
              <w:left w:val="single" w:sz="4" w:space="0" w:color="auto"/>
              <w:bottom w:val="single" w:sz="4" w:space="0" w:color="000000"/>
              <w:right w:val="single" w:sz="4" w:space="0" w:color="auto"/>
            </w:tcBorders>
            <w:vAlign w:val="center"/>
          </w:tcPr>
          <w:p w:rsidR="00AE762B" w:rsidRPr="007B10AF" w:rsidRDefault="00AE762B" w:rsidP="00D0604A">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Principalele produse alimentare si băuturi</w:t>
            </w:r>
          </w:p>
        </w:tc>
        <w:tc>
          <w:tcPr>
            <w:tcW w:w="1740" w:type="dxa"/>
            <w:vMerge w:val="restart"/>
            <w:tcBorders>
              <w:top w:val="single" w:sz="4" w:space="0" w:color="auto"/>
              <w:left w:val="single" w:sz="4" w:space="0" w:color="auto"/>
              <w:bottom w:val="single" w:sz="4" w:space="0" w:color="000000"/>
              <w:right w:val="single" w:sz="4" w:space="0" w:color="auto"/>
            </w:tcBorders>
            <w:vAlign w:val="center"/>
          </w:tcPr>
          <w:p w:rsidR="00AE762B" w:rsidRPr="007B10AF" w:rsidRDefault="00AE762B" w:rsidP="00D0604A">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Unităţii de măsură</w:t>
            </w:r>
          </w:p>
        </w:tc>
        <w:tc>
          <w:tcPr>
            <w:tcW w:w="4957" w:type="dxa"/>
            <w:gridSpan w:val="5"/>
            <w:tcBorders>
              <w:top w:val="single" w:sz="4" w:space="0" w:color="auto"/>
              <w:left w:val="nil"/>
              <w:bottom w:val="single" w:sz="4" w:space="0" w:color="auto"/>
              <w:right w:val="single" w:sz="4" w:space="0" w:color="000000"/>
            </w:tcBorders>
            <w:vAlign w:val="center"/>
          </w:tcPr>
          <w:p w:rsidR="00AE762B" w:rsidRPr="007B10AF" w:rsidRDefault="00AE762B" w:rsidP="00D0604A">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Ani</w:t>
            </w:r>
          </w:p>
        </w:tc>
      </w:tr>
      <w:tr w:rsidR="00C0327E" w:rsidRPr="007B10AF" w:rsidTr="00913BC5">
        <w:trPr>
          <w:trHeight w:val="300"/>
        </w:trPr>
        <w:tc>
          <w:tcPr>
            <w:tcW w:w="3453" w:type="dxa"/>
            <w:vMerge/>
            <w:tcBorders>
              <w:top w:val="single" w:sz="4" w:space="0" w:color="auto"/>
              <w:left w:val="single" w:sz="4" w:space="0" w:color="auto"/>
              <w:bottom w:val="single" w:sz="4" w:space="0" w:color="000000"/>
              <w:right w:val="single" w:sz="4" w:space="0" w:color="auto"/>
            </w:tcBorders>
            <w:vAlign w:val="center"/>
          </w:tcPr>
          <w:p w:rsidR="00C0327E" w:rsidRPr="007B10AF" w:rsidRDefault="00C0327E" w:rsidP="00D0604A">
            <w:pPr>
              <w:rPr>
                <w:rFonts w:ascii="Trebuchet MS" w:hAnsi="Trebuchet MS"/>
                <w:bCs/>
                <w:color w:val="000000"/>
                <w:sz w:val="22"/>
                <w:szCs w:val="22"/>
                <w:lang w:eastAsia="ro-RO"/>
              </w:rPr>
            </w:pPr>
          </w:p>
        </w:tc>
        <w:tc>
          <w:tcPr>
            <w:tcW w:w="1740" w:type="dxa"/>
            <w:vMerge/>
            <w:tcBorders>
              <w:top w:val="single" w:sz="4" w:space="0" w:color="auto"/>
              <w:left w:val="single" w:sz="4" w:space="0" w:color="auto"/>
              <w:bottom w:val="single" w:sz="4" w:space="0" w:color="000000"/>
              <w:right w:val="single" w:sz="4" w:space="0" w:color="auto"/>
            </w:tcBorders>
            <w:vAlign w:val="center"/>
          </w:tcPr>
          <w:p w:rsidR="00C0327E" w:rsidRPr="007B10AF" w:rsidRDefault="00C0327E" w:rsidP="00D0604A">
            <w:pPr>
              <w:rPr>
                <w:rFonts w:ascii="Trebuchet MS" w:hAnsi="Trebuchet MS"/>
                <w:bCs/>
                <w:color w:val="000000"/>
                <w:sz w:val="22"/>
                <w:szCs w:val="22"/>
                <w:lang w:eastAsia="ro-RO"/>
              </w:rPr>
            </w:pPr>
          </w:p>
        </w:tc>
        <w:tc>
          <w:tcPr>
            <w:tcW w:w="1207" w:type="dxa"/>
            <w:tcBorders>
              <w:top w:val="nil"/>
              <w:left w:val="nil"/>
              <w:bottom w:val="single" w:sz="4" w:space="0" w:color="auto"/>
              <w:right w:val="single" w:sz="4" w:space="0" w:color="auto"/>
            </w:tcBorders>
            <w:vAlign w:val="center"/>
          </w:tcPr>
          <w:p w:rsidR="00C0327E" w:rsidRPr="007B10AF" w:rsidRDefault="00C0327E">
            <w:pPr>
              <w:jc w:val="center"/>
              <w:rPr>
                <w:rFonts w:ascii="Trebuchet MS" w:hAnsi="Trebuchet MS" w:cs="Calibri"/>
                <w:b/>
                <w:bCs/>
                <w:color w:val="000000"/>
                <w:sz w:val="22"/>
                <w:szCs w:val="22"/>
              </w:rPr>
            </w:pPr>
            <w:r w:rsidRPr="007B10AF">
              <w:rPr>
                <w:rFonts w:ascii="Trebuchet MS" w:hAnsi="Trebuchet MS" w:cs="Calibri"/>
                <w:b/>
                <w:bCs/>
                <w:color w:val="000000"/>
                <w:sz w:val="22"/>
                <w:szCs w:val="22"/>
              </w:rPr>
              <w:t>Anul 2018</w:t>
            </w:r>
          </w:p>
        </w:tc>
        <w:tc>
          <w:tcPr>
            <w:tcW w:w="960" w:type="dxa"/>
            <w:tcBorders>
              <w:top w:val="nil"/>
              <w:left w:val="nil"/>
              <w:bottom w:val="single" w:sz="4" w:space="0" w:color="auto"/>
              <w:right w:val="single" w:sz="4" w:space="0" w:color="auto"/>
            </w:tcBorders>
            <w:vAlign w:val="center"/>
          </w:tcPr>
          <w:p w:rsidR="00C0327E" w:rsidRPr="007B10AF" w:rsidRDefault="00C0327E">
            <w:pPr>
              <w:jc w:val="center"/>
              <w:rPr>
                <w:rFonts w:ascii="Trebuchet MS" w:hAnsi="Trebuchet MS" w:cs="Calibri"/>
                <w:b/>
                <w:bCs/>
                <w:color w:val="000000"/>
                <w:sz w:val="22"/>
                <w:szCs w:val="22"/>
              </w:rPr>
            </w:pPr>
            <w:r w:rsidRPr="007B10AF">
              <w:rPr>
                <w:rFonts w:ascii="Trebuchet MS" w:hAnsi="Trebuchet MS" w:cs="Calibri"/>
                <w:b/>
                <w:bCs/>
                <w:color w:val="000000"/>
                <w:sz w:val="22"/>
                <w:szCs w:val="22"/>
              </w:rPr>
              <w:t>Anul 2019</w:t>
            </w:r>
          </w:p>
        </w:tc>
        <w:tc>
          <w:tcPr>
            <w:tcW w:w="960" w:type="dxa"/>
            <w:tcBorders>
              <w:top w:val="nil"/>
              <w:left w:val="nil"/>
              <w:bottom w:val="single" w:sz="4" w:space="0" w:color="auto"/>
              <w:right w:val="single" w:sz="4" w:space="0" w:color="auto"/>
            </w:tcBorders>
            <w:vAlign w:val="center"/>
          </w:tcPr>
          <w:p w:rsidR="00C0327E" w:rsidRPr="007B10AF" w:rsidRDefault="00C0327E">
            <w:pPr>
              <w:jc w:val="center"/>
              <w:rPr>
                <w:rFonts w:ascii="Trebuchet MS" w:hAnsi="Trebuchet MS" w:cs="Calibri"/>
                <w:b/>
                <w:bCs/>
                <w:color w:val="000000"/>
                <w:sz w:val="22"/>
                <w:szCs w:val="22"/>
              </w:rPr>
            </w:pPr>
            <w:r w:rsidRPr="007B10AF">
              <w:rPr>
                <w:rFonts w:ascii="Trebuchet MS" w:hAnsi="Trebuchet MS" w:cs="Calibri"/>
                <w:b/>
                <w:bCs/>
                <w:color w:val="000000"/>
                <w:sz w:val="22"/>
                <w:szCs w:val="22"/>
              </w:rPr>
              <w:t>Anul 2020</w:t>
            </w:r>
          </w:p>
        </w:tc>
        <w:tc>
          <w:tcPr>
            <w:tcW w:w="960" w:type="dxa"/>
            <w:tcBorders>
              <w:top w:val="nil"/>
              <w:left w:val="nil"/>
              <w:bottom w:val="single" w:sz="4" w:space="0" w:color="auto"/>
              <w:right w:val="single" w:sz="4" w:space="0" w:color="auto"/>
            </w:tcBorders>
            <w:vAlign w:val="center"/>
          </w:tcPr>
          <w:p w:rsidR="00C0327E" w:rsidRPr="007B10AF" w:rsidRDefault="00C0327E">
            <w:pPr>
              <w:jc w:val="center"/>
              <w:rPr>
                <w:rFonts w:ascii="Trebuchet MS" w:hAnsi="Trebuchet MS" w:cs="Calibri"/>
                <w:b/>
                <w:bCs/>
                <w:color w:val="000000"/>
                <w:sz w:val="22"/>
                <w:szCs w:val="22"/>
              </w:rPr>
            </w:pPr>
            <w:r w:rsidRPr="007B10AF">
              <w:rPr>
                <w:rFonts w:ascii="Trebuchet MS" w:hAnsi="Trebuchet MS" w:cs="Calibri"/>
                <w:b/>
                <w:bCs/>
                <w:color w:val="000000"/>
                <w:sz w:val="22"/>
                <w:szCs w:val="22"/>
              </w:rPr>
              <w:t>Anul 2021</w:t>
            </w:r>
          </w:p>
        </w:tc>
        <w:tc>
          <w:tcPr>
            <w:tcW w:w="870" w:type="dxa"/>
            <w:tcBorders>
              <w:top w:val="nil"/>
              <w:left w:val="nil"/>
              <w:bottom w:val="single" w:sz="4" w:space="0" w:color="auto"/>
              <w:right w:val="single" w:sz="4" w:space="0" w:color="auto"/>
            </w:tcBorders>
            <w:vAlign w:val="center"/>
          </w:tcPr>
          <w:p w:rsidR="00C0327E" w:rsidRPr="007B10AF" w:rsidRDefault="00C0327E">
            <w:pPr>
              <w:jc w:val="center"/>
              <w:rPr>
                <w:rFonts w:ascii="Trebuchet MS" w:hAnsi="Trebuchet MS" w:cs="Calibri"/>
                <w:b/>
                <w:bCs/>
                <w:color w:val="000000"/>
                <w:sz w:val="22"/>
                <w:szCs w:val="22"/>
              </w:rPr>
            </w:pPr>
            <w:r w:rsidRPr="007B10AF">
              <w:rPr>
                <w:rFonts w:ascii="Trebuchet MS" w:hAnsi="Trebuchet MS" w:cs="Calibri"/>
                <w:b/>
                <w:bCs/>
                <w:color w:val="000000"/>
                <w:sz w:val="22"/>
                <w:szCs w:val="22"/>
              </w:rPr>
              <w:t>Anul 2022</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Cereale si produse din cereale in echivalent boabe</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205,3</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204,2</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199,9</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200,6</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198,6</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Cereale si produse din cereale in echivalent faina</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155,1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154,3</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151,4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151,8</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150,3</w:t>
            </w:r>
          </w:p>
        </w:tc>
      </w:tr>
      <w:tr w:rsidR="00C0327E" w:rsidRPr="007B10AF" w:rsidTr="00534D25">
        <w:trPr>
          <w:trHeight w:val="3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Cartofi</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95,4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92,2</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93,4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98,1</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97,7</w:t>
            </w:r>
          </w:p>
        </w:tc>
      </w:tr>
      <w:tr w:rsidR="00C0327E" w:rsidRPr="007B10AF" w:rsidTr="00534D25">
        <w:trPr>
          <w:trHeight w:val="3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Leguminoase boabe</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4,1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3,6</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3,8</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3,9</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Legume si produse din legume in echivalent legume proaspete</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173,4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170,2</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175</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180,2</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156</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Fructe si produse din fructe in echivalent fructe proaspete</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110,8</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111,3</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107,6</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115,3</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112,2</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Zahar si produse din zahar in echivalent zahar (inclusiv miere)</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25,4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25,6</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25,5</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24,4</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24,7</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Carne si produse din carne in echivalent carne proaspătă</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73,3</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74,4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74,1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74,7</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74</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Grăsimi vegetale si animale (greutate bruta)</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21,5</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21,7</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22,2</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21,8</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23,1</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fr-FR" w:eastAsia="ro-RO"/>
              </w:rPr>
            </w:pPr>
            <w:r w:rsidRPr="007B10AF">
              <w:rPr>
                <w:rFonts w:ascii="Trebuchet MS" w:hAnsi="Trebuchet MS"/>
                <w:bCs/>
                <w:color w:val="000000"/>
                <w:sz w:val="22"/>
                <w:szCs w:val="22"/>
                <w:lang w:val="fr-FR" w:eastAsia="ro-RO"/>
              </w:rPr>
              <w:t>Lapte si produse din lapte in echivalent lapte 3,5% grăsime (exclusiv unt)</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258,1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259,8</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260,1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263,3</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263,8</w:t>
            </w:r>
          </w:p>
        </w:tc>
      </w:tr>
      <w:tr w:rsidR="00C0327E" w:rsidRPr="007B10AF" w:rsidTr="00534D25">
        <w:trPr>
          <w:trHeight w:val="3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Oua</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Bucăţi</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236</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241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236</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243</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244</w:t>
            </w:r>
          </w:p>
        </w:tc>
      </w:tr>
      <w:tr w:rsidR="00C0327E" w:rsidRPr="007B10AF" w:rsidTr="00534D25">
        <w:trPr>
          <w:trHeight w:val="6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Peste si produse din peste in echivalent peste proaspăt</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Kilograme</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6,7</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6,4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6,3</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6,6</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6,4</w:t>
            </w:r>
          </w:p>
        </w:tc>
      </w:tr>
      <w:tr w:rsidR="00C0327E" w:rsidRPr="007B10AF" w:rsidTr="00534D25">
        <w:trPr>
          <w:trHeight w:val="3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val="it-IT" w:eastAsia="ro-RO"/>
              </w:rPr>
            </w:pPr>
            <w:r w:rsidRPr="007B10AF">
              <w:rPr>
                <w:rFonts w:ascii="Trebuchet MS" w:hAnsi="Trebuchet MS"/>
                <w:bCs/>
                <w:color w:val="000000"/>
                <w:sz w:val="22"/>
                <w:szCs w:val="22"/>
                <w:lang w:val="it-IT" w:eastAsia="ro-RO"/>
              </w:rPr>
              <w:t>Vin si produse din vin</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Litri</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23,8</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23,4</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21,1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23,7</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23,3</w:t>
            </w:r>
          </w:p>
        </w:tc>
      </w:tr>
      <w:tr w:rsidR="00C0327E" w:rsidRPr="007B10AF" w:rsidTr="00534D25">
        <w:trPr>
          <w:trHeight w:val="3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Bere</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Litri</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90</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89,1</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87,8</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88,1</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83,3</w:t>
            </w:r>
          </w:p>
        </w:tc>
      </w:tr>
      <w:tr w:rsidR="00C0327E" w:rsidRPr="007B10AF" w:rsidTr="00534D25">
        <w:trPr>
          <w:trHeight w:val="3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Băuturi alcoolice distilate (alcool 100%)</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Litri alcool pur (100%)</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1,9</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1,9</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1,8</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2,5</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2,7</w:t>
            </w:r>
          </w:p>
        </w:tc>
      </w:tr>
      <w:tr w:rsidR="00C0327E" w:rsidRPr="007B10AF" w:rsidTr="00534D25">
        <w:trPr>
          <w:trHeight w:val="300"/>
        </w:trPr>
        <w:tc>
          <w:tcPr>
            <w:tcW w:w="3453" w:type="dxa"/>
            <w:tcBorders>
              <w:top w:val="nil"/>
              <w:left w:val="single" w:sz="4" w:space="0" w:color="auto"/>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Băuturi nealcoolice</w:t>
            </w:r>
          </w:p>
        </w:tc>
        <w:tc>
          <w:tcPr>
            <w:tcW w:w="1740" w:type="dxa"/>
            <w:tcBorders>
              <w:top w:val="nil"/>
              <w:left w:val="nil"/>
              <w:bottom w:val="single" w:sz="4" w:space="0" w:color="auto"/>
              <w:right w:val="single" w:sz="4" w:space="0" w:color="auto"/>
            </w:tcBorders>
            <w:vAlign w:val="center"/>
          </w:tcPr>
          <w:p w:rsidR="00C0327E" w:rsidRPr="007B10AF" w:rsidRDefault="00C0327E" w:rsidP="008F4705">
            <w:pPr>
              <w:jc w:val="center"/>
              <w:rPr>
                <w:rFonts w:ascii="Trebuchet MS" w:hAnsi="Trebuchet MS"/>
                <w:bCs/>
                <w:color w:val="000000"/>
                <w:sz w:val="22"/>
                <w:szCs w:val="22"/>
                <w:lang w:eastAsia="ro-RO"/>
              </w:rPr>
            </w:pPr>
            <w:r w:rsidRPr="007B10AF">
              <w:rPr>
                <w:rFonts w:ascii="Trebuchet MS" w:hAnsi="Trebuchet MS"/>
                <w:bCs/>
                <w:color w:val="000000"/>
                <w:sz w:val="22"/>
                <w:szCs w:val="22"/>
                <w:lang w:eastAsia="ro-RO"/>
              </w:rPr>
              <w:t>Litri</w:t>
            </w:r>
          </w:p>
        </w:tc>
        <w:tc>
          <w:tcPr>
            <w:tcW w:w="1207"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209,7</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213,6</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207,6</w:t>
            </w:r>
          </w:p>
        </w:tc>
        <w:tc>
          <w:tcPr>
            <w:tcW w:w="96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rPr>
            </w:pPr>
            <w:r w:rsidRPr="007B10AF">
              <w:rPr>
                <w:rFonts w:ascii="Trebuchet MS" w:hAnsi="Trebuchet MS" w:cs="Calibri"/>
                <w:color w:val="000000"/>
                <w:sz w:val="22"/>
                <w:szCs w:val="22"/>
              </w:rPr>
              <w:t>234</w:t>
            </w:r>
          </w:p>
        </w:tc>
        <w:tc>
          <w:tcPr>
            <w:tcW w:w="870" w:type="dxa"/>
            <w:tcBorders>
              <w:top w:val="nil"/>
              <w:left w:val="nil"/>
              <w:bottom w:val="single" w:sz="4" w:space="0" w:color="auto"/>
              <w:right w:val="single" w:sz="4" w:space="0" w:color="auto"/>
            </w:tcBorders>
            <w:vAlign w:val="bottom"/>
          </w:tcPr>
          <w:p w:rsidR="00C0327E" w:rsidRPr="007B10AF" w:rsidRDefault="00C0327E">
            <w:pPr>
              <w:jc w:val="right"/>
              <w:rPr>
                <w:rFonts w:ascii="Trebuchet MS" w:hAnsi="Trebuchet MS" w:cs="Calibri"/>
                <w:color w:val="000000"/>
                <w:sz w:val="22"/>
                <w:szCs w:val="22"/>
                <w:u w:val="single"/>
              </w:rPr>
            </w:pPr>
            <w:r w:rsidRPr="007B10AF">
              <w:rPr>
                <w:rFonts w:ascii="Trebuchet MS" w:hAnsi="Trebuchet MS" w:cs="Calibri"/>
                <w:color w:val="000000"/>
                <w:sz w:val="22"/>
                <w:szCs w:val="22"/>
                <w:u w:val="single"/>
              </w:rPr>
              <w:t>240,1</w:t>
            </w:r>
          </w:p>
        </w:tc>
      </w:tr>
    </w:tbl>
    <w:p w:rsidR="00AE762B" w:rsidRPr="007B10AF" w:rsidRDefault="00AE762B" w:rsidP="00075F93">
      <w:pPr>
        <w:rPr>
          <w:rFonts w:ascii="Trebuchet MS" w:hAnsi="Trebuchet MS" w:cs="Arial"/>
          <w:sz w:val="22"/>
          <w:szCs w:val="22"/>
        </w:rPr>
      </w:pPr>
      <w:r w:rsidRPr="007B10AF">
        <w:rPr>
          <w:rFonts w:ascii="Trebuchet MS" w:hAnsi="Trebuchet MS" w:cs="Arial"/>
          <w:b/>
          <w:sz w:val="22"/>
          <w:szCs w:val="22"/>
        </w:rPr>
        <w:t>Sursa: Institutul Naţional de Statistică (date disponibile doar la nivel naţional)</w:t>
      </w:r>
      <w:r w:rsidR="00647278" w:rsidRPr="007B10AF">
        <w:rPr>
          <w:rFonts w:ascii="Trebuchet MS" w:hAnsi="Trebuchet MS" w:cs="Arial"/>
          <w:b/>
          <w:sz w:val="22"/>
          <w:szCs w:val="22"/>
        </w:rPr>
        <w:t>-A.5/</w:t>
      </w:r>
      <w:r w:rsidR="006D5E68" w:rsidRPr="007B10AF">
        <w:rPr>
          <w:rFonts w:ascii="Trebuchet MS" w:hAnsi="Trebuchet MS" w:cs="Arial"/>
          <w:b/>
          <w:sz w:val="22"/>
          <w:szCs w:val="22"/>
        </w:rPr>
        <w:t>13-</w:t>
      </w:r>
      <w:r w:rsidR="00D00290" w:rsidRPr="007B10AF">
        <w:rPr>
          <w:rFonts w:ascii="Trebuchet MS" w:hAnsi="Trebuchet MS" w:cs="Arial"/>
          <w:b/>
          <w:sz w:val="22"/>
          <w:szCs w:val="22"/>
        </w:rPr>
        <w:t>CLV104A</w:t>
      </w:r>
      <w:r w:rsidR="00891EE9" w:rsidRPr="007B10AF">
        <w:rPr>
          <w:rFonts w:ascii="Trebuchet MS" w:hAnsi="Trebuchet MS" w:cs="Arial"/>
          <w:b/>
          <w:sz w:val="22"/>
          <w:szCs w:val="22"/>
        </w:rPr>
        <w:t xml:space="preserve"> (subliniat- date provizorii)</w:t>
      </w:r>
    </w:p>
    <w:p w:rsidR="00AE762B" w:rsidRDefault="00AE762B">
      <w:pPr>
        <w:rPr>
          <w:rFonts w:ascii="Arial" w:hAnsi="Arial" w:cs="Arial"/>
          <w:b/>
          <w:sz w:val="28"/>
          <w:szCs w:val="28"/>
        </w:rPr>
      </w:pPr>
      <w:r>
        <w:rPr>
          <w:rFonts w:ascii="Arial" w:hAnsi="Arial" w:cs="Arial"/>
          <w:b/>
          <w:sz w:val="28"/>
          <w:szCs w:val="28"/>
        </w:rPr>
        <w:br w:type="page"/>
      </w:r>
    </w:p>
    <w:p w:rsidR="00AE762B" w:rsidRPr="007B10AF" w:rsidRDefault="006B15D6" w:rsidP="00075F93">
      <w:pPr>
        <w:rPr>
          <w:rFonts w:ascii="Trebuchet MS" w:hAnsi="Trebuchet MS" w:cs="Arial"/>
          <w:b/>
        </w:rPr>
      </w:pPr>
      <w:r w:rsidRPr="007B10AF">
        <w:rPr>
          <w:rFonts w:ascii="Trebuchet MS" w:hAnsi="Trebuchet MS" w:cs="Arial"/>
          <w:b/>
        </w:rPr>
        <w:t>X</w:t>
      </w:r>
      <w:r w:rsidR="00AE762B" w:rsidRPr="007B10AF">
        <w:rPr>
          <w:rFonts w:ascii="Trebuchet MS" w:hAnsi="Trebuchet MS" w:cs="Arial"/>
          <w:b/>
        </w:rPr>
        <w:t>.1.2 Locuinţe</w:t>
      </w:r>
    </w:p>
    <w:p w:rsidR="00AE762B" w:rsidRPr="007B10AF" w:rsidRDefault="00AE762B" w:rsidP="00075F93">
      <w:pPr>
        <w:rPr>
          <w:rFonts w:ascii="Trebuchet MS" w:hAnsi="Trebuchet MS" w:cs="Arial"/>
          <w:b/>
          <w:sz w:val="22"/>
          <w:szCs w:val="22"/>
        </w:rPr>
      </w:pPr>
    </w:p>
    <w:p w:rsidR="00AE762B" w:rsidRPr="007B10AF" w:rsidRDefault="00AE762B" w:rsidP="004F134E">
      <w:pPr>
        <w:pStyle w:val="ListParagraph"/>
        <w:numPr>
          <w:ilvl w:val="0"/>
          <w:numId w:val="30"/>
        </w:numPr>
        <w:jc w:val="both"/>
        <w:rPr>
          <w:rFonts w:ascii="Trebuchet MS" w:hAnsi="Trebuchet MS" w:cs="Arial"/>
          <w:b/>
          <w:sz w:val="22"/>
          <w:szCs w:val="22"/>
        </w:rPr>
      </w:pPr>
      <w:r w:rsidRPr="007B10AF">
        <w:rPr>
          <w:rFonts w:ascii="Trebuchet MS" w:hAnsi="Trebuchet MS" w:cs="Arial"/>
          <w:b/>
          <w:sz w:val="22"/>
          <w:szCs w:val="22"/>
        </w:rPr>
        <w:t>Indicatori specifici</w:t>
      </w:r>
    </w:p>
    <w:p w:rsidR="00AE762B" w:rsidRPr="007B10AF" w:rsidRDefault="00AE762B" w:rsidP="00A56D16">
      <w:pPr>
        <w:pStyle w:val="ListParagraph"/>
        <w:jc w:val="both"/>
        <w:rPr>
          <w:rFonts w:ascii="Trebuchet MS" w:hAnsi="Trebuchet MS" w:cs="Arial"/>
          <w:b/>
          <w:sz w:val="22"/>
          <w:szCs w:val="22"/>
        </w:rPr>
      </w:pPr>
      <w:r w:rsidRPr="007B10AF">
        <w:rPr>
          <w:rFonts w:ascii="Trebuchet MS" w:hAnsi="Trebuchet MS" w:cs="Arial"/>
          <w:b/>
          <w:sz w:val="22"/>
          <w:szCs w:val="22"/>
        </w:rPr>
        <w:t>Nu este cazul</w:t>
      </w:r>
    </w:p>
    <w:p w:rsidR="00AE762B" w:rsidRPr="007B10AF" w:rsidRDefault="00AE762B" w:rsidP="004F134E">
      <w:pPr>
        <w:pStyle w:val="ListParagraph"/>
        <w:numPr>
          <w:ilvl w:val="0"/>
          <w:numId w:val="30"/>
        </w:numPr>
        <w:jc w:val="both"/>
        <w:rPr>
          <w:rFonts w:ascii="Trebuchet MS" w:hAnsi="Trebuchet MS" w:cs="Arial"/>
          <w:b/>
          <w:sz w:val="22"/>
          <w:szCs w:val="22"/>
        </w:rPr>
      </w:pPr>
      <w:r w:rsidRPr="007B10AF">
        <w:rPr>
          <w:rFonts w:ascii="Trebuchet MS" w:hAnsi="Trebuchet MS" w:cs="Arial"/>
          <w:b/>
          <w:sz w:val="22"/>
          <w:szCs w:val="22"/>
        </w:rPr>
        <w:t>Alte date şi informaţii specifice</w:t>
      </w:r>
    </w:p>
    <w:p w:rsidR="00AE762B" w:rsidRPr="007B10AF" w:rsidRDefault="00AE762B" w:rsidP="00075F93">
      <w:pPr>
        <w:rPr>
          <w:rFonts w:ascii="Trebuchet MS" w:hAnsi="Trebuchet MS" w:cs="Arial"/>
          <w:b/>
          <w:sz w:val="22"/>
          <w:szCs w:val="22"/>
        </w:rPr>
      </w:pPr>
    </w:p>
    <w:p w:rsidR="00AE762B" w:rsidRPr="007B10AF" w:rsidRDefault="00AE762B" w:rsidP="00A56D16">
      <w:pPr>
        <w:rPr>
          <w:rFonts w:ascii="Trebuchet MS" w:hAnsi="Trebuchet MS" w:cs="Arial"/>
          <w:sz w:val="22"/>
          <w:szCs w:val="22"/>
        </w:rPr>
      </w:pPr>
      <w:r w:rsidRPr="007B10AF">
        <w:rPr>
          <w:rFonts w:ascii="Trebuchet MS" w:hAnsi="Trebuchet MS" w:cs="Arial"/>
          <w:sz w:val="22"/>
          <w:szCs w:val="22"/>
        </w:rPr>
        <w:t>Datele sunt disponibile la INS doar la nivel national</w:t>
      </w:r>
    </w:p>
    <w:p w:rsidR="00AE762B" w:rsidRPr="007B10AF" w:rsidRDefault="00AE762B" w:rsidP="00075F93">
      <w:pPr>
        <w:rPr>
          <w:rFonts w:ascii="Trebuchet MS" w:hAnsi="Trebuchet MS" w:cs="Arial"/>
          <w:b/>
          <w:sz w:val="22"/>
          <w:szCs w:val="22"/>
        </w:rPr>
      </w:pPr>
    </w:p>
    <w:p w:rsidR="00AE762B" w:rsidRPr="007B10AF" w:rsidRDefault="00AE762B" w:rsidP="00075F93">
      <w:pPr>
        <w:rPr>
          <w:rFonts w:ascii="Trebuchet MS" w:hAnsi="Trebuchet MS" w:cs="Arial"/>
          <w:b/>
          <w:sz w:val="22"/>
          <w:szCs w:val="22"/>
        </w:rPr>
      </w:pPr>
    </w:p>
    <w:p w:rsidR="00AE762B" w:rsidRPr="007B10AF" w:rsidRDefault="006B15D6" w:rsidP="00075F93">
      <w:pPr>
        <w:rPr>
          <w:rFonts w:ascii="Trebuchet MS" w:hAnsi="Trebuchet MS" w:cs="Arial"/>
          <w:b/>
          <w:sz w:val="22"/>
          <w:szCs w:val="22"/>
          <w:lang w:val="pt-BR"/>
        </w:rPr>
      </w:pPr>
      <w:r w:rsidRPr="007B10AF">
        <w:rPr>
          <w:rFonts w:ascii="Trebuchet MS" w:hAnsi="Trebuchet MS" w:cs="Arial"/>
          <w:b/>
          <w:sz w:val="22"/>
          <w:szCs w:val="22"/>
          <w:lang w:val="pt-BR"/>
        </w:rPr>
        <w:t>Figura X</w:t>
      </w:r>
      <w:r w:rsidR="00AE762B" w:rsidRPr="007B10AF">
        <w:rPr>
          <w:rFonts w:ascii="Trebuchet MS" w:hAnsi="Trebuchet MS" w:cs="Arial"/>
          <w:b/>
          <w:sz w:val="22"/>
          <w:szCs w:val="22"/>
          <w:lang w:val="pt-BR"/>
        </w:rPr>
        <w:t>.1.2.1- Numărul mediu de persoane pe locuinţă</w:t>
      </w:r>
    </w:p>
    <w:p w:rsidR="00AE762B" w:rsidRDefault="000946BE" w:rsidP="00075F93">
      <w:pPr>
        <w:rPr>
          <w:rFonts w:ascii="Arial" w:hAnsi="Arial" w:cs="Arial"/>
          <w:sz w:val="28"/>
          <w:szCs w:val="28"/>
        </w:rPr>
      </w:pPr>
      <w:bookmarkStart w:id="163" w:name="_MON_1595412842"/>
      <w:bookmarkStart w:id="164" w:name="_MON_1722157321"/>
      <w:bookmarkEnd w:id="163"/>
      <w:bookmarkEnd w:id="164"/>
      <w:r>
        <w:rPr>
          <w:rFonts w:ascii="Arial" w:hAnsi="Arial" w:cs="Arial"/>
          <w:noProof/>
          <w:sz w:val="28"/>
          <w:szCs w:val="28"/>
          <w:lang w:val="en-US"/>
        </w:rPr>
        <w:drawing>
          <wp:inline distT="0" distB="0" distL="0" distR="0" wp14:anchorId="78C3F47A" wp14:editId="1086DA65">
            <wp:extent cx="6391275" cy="4210050"/>
            <wp:effectExtent l="0" t="0" r="9525" b="0"/>
            <wp:docPr id="142" name="Object 1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AE762B" w:rsidRPr="007B10AF" w:rsidRDefault="00AE762B" w:rsidP="00075F93">
      <w:pPr>
        <w:rPr>
          <w:rFonts w:ascii="Trebuchet MS" w:hAnsi="Trebuchet MS" w:cs="Arial"/>
          <w:color w:val="FF0000"/>
          <w:sz w:val="22"/>
          <w:szCs w:val="22"/>
        </w:rPr>
      </w:pPr>
      <w:r w:rsidRPr="007B10AF">
        <w:rPr>
          <w:rFonts w:ascii="Trebuchet MS" w:hAnsi="Trebuchet MS" w:cs="Arial"/>
          <w:sz w:val="22"/>
          <w:szCs w:val="22"/>
        </w:rPr>
        <w:t>Sursa: Institutul Naţional de Statistică (date disponibile doar la nivel naţional)</w:t>
      </w:r>
      <w:r w:rsidR="00C512D8" w:rsidRPr="007B10AF">
        <w:rPr>
          <w:rFonts w:ascii="Trebuchet MS" w:hAnsi="Trebuchet MS" w:cs="Arial"/>
          <w:sz w:val="22"/>
          <w:szCs w:val="22"/>
        </w:rPr>
        <w:t>-A.5/</w:t>
      </w:r>
      <w:r w:rsidR="00F85D03" w:rsidRPr="007B10AF">
        <w:rPr>
          <w:rFonts w:ascii="Trebuchet MS" w:hAnsi="Trebuchet MS" w:cs="Arial"/>
          <w:sz w:val="22"/>
          <w:szCs w:val="22"/>
        </w:rPr>
        <w:t>10-</w:t>
      </w:r>
      <w:r w:rsidR="00D00290" w:rsidRPr="007B10AF">
        <w:rPr>
          <w:rFonts w:ascii="Trebuchet MS" w:hAnsi="Trebuchet MS" w:cs="Arial"/>
          <w:sz w:val="22"/>
          <w:szCs w:val="22"/>
        </w:rPr>
        <w:t>BUF103J</w:t>
      </w: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Pr="002535C6" w:rsidRDefault="00AE762B" w:rsidP="00075F93">
      <w:pPr>
        <w:rPr>
          <w:rFonts w:ascii="Arial" w:hAnsi="Arial" w:cs="Arial"/>
        </w:rPr>
      </w:pPr>
    </w:p>
    <w:p w:rsidR="00AE762B" w:rsidRPr="007B10AF" w:rsidRDefault="006B15D6" w:rsidP="00075F93">
      <w:pPr>
        <w:rPr>
          <w:rFonts w:ascii="Trebuchet MS" w:hAnsi="Trebuchet MS" w:cs="Arial"/>
          <w:sz w:val="22"/>
          <w:szCs w:val="22"/>
        </w:rPr>
      </w:pPr>
      <w:r w:rsidRPr="007B10AF">
        <w:rPr>
          <w:rFonts w:ascii="Trebuchet MS" w:hAnsi="Trebuchet MS" w:cs="Arial"/>
          <w:sz w:val="22"/>
          <w:szCs w:val="22"/>
        </w:rPr>
        <w:t>Figura X</w:t>
      </w:r>
      <w:r w:rsidR="00AE762B" w:rsidRPr="007B10AF">
        <w:rPr>
          <w:rFonts w:ascii="Trebuchet MS" w:hAnsi="Trebuchet MS" w:cs="Arial"/>
          <w:sz w:val="22"/>
          <w:szCs w:val="22"/>
        </w:rPr>
        <w:t>.1.2.2 Consumul de energie electrică în locuinţe</w:t>
      </w:r>
    </w:p>
    <w:p w:rsidR="00AE762B" w:rsidRDefault="000946BE" w:rsidP="00075F93">
      <w:pPr>
        <w:rPr>
          <w:rFonts w:ascii="Arial" w:hAnsi="Arial" w:cs="Arial"/>
          <w:b/>
          <w:sz w:val="28"/>
          <w:szCs w:val="28"/>
        </w:rPr>
      </w:pPr>
      <w:bookmarkStart w:id="165" w:name="_MON_1566381520"/>
      <w:bookmarkEnd w:id="165"/>
      <w:r>
        <w:rPr>
          <w:rFonts w:ascii="Arial" w:hAnsi="Arial" w:cs="Arial"/>
          <w:b/>
          <w:noProof/>
          <w:sz w:val="28"/>
          <w:szCs w:val="28"/>
          <w:lang w:val="en-US"/>
        </w:rPr>
        <w:drawing>
          <wp:inline distT="0" distB="0" distL="0" distR="0" wp14:anchorId="207501BA" wp14:editId="43CFF66A">
            <wp:extent cx="5200650" cy="3257550"/>
            <wp:effectExtent l="0" t="0" r="0" b="0"/>
            <wp:docPr id="143" name="Object 1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AE762B" w:rsidRDefault="00AE762B" w:rsidP="00075F93">
      <w:pPr>
        <w:rPr>
          <w:rFonts w:ascii="Arial" w:hAnsi="Arial" w:cs="Arial"/>
          <w:b/>
          <w:sz w:val="28"/>
          <w:szCs w:val="28"/>
        </w:rPr>
      </w:pPr>
    </w:p>
    <w:p w:rsidR="00DF4443" w:rsidRPr="007B10AF" w:rsidRDefault="00AE762B" w:rsidP="00075F93">
      <w:pPr>
        <w:rPr>
          <w:rFonts w:ascii="Trebuchet MS" w:hAnsi="Trebuchet MS" w:cs="Arial"/>
          <w:sz w:val="22"/>
          <w:szCs w:val="22"/>
        </w:rPr>
      </w:pPr>
      <w:r w:rsidRPr="007B10AF">
        <w:rPr>
          <w:rFonts w:ascii="Trebuchet MS" w:hAnsi="Trebuchet MS" w:cs="Arial"/>
          <w:sz w:val="22"/>
          <w:szCs w:val="22"/>
        </w:rPr>
        <w:t>Sursa: Institutul Naţional de Statistică (date disponibile doar la nivel naţional)</w:t>
      </w:r>
      <w:r w:rsidR="00A9768B" w:rsidRPr="007B10AF">
        <w:rPr>
          <w:rFonts w:ascii="Trebuchet MS" w:hAnsi="Trebuchet MS" w:cs="Arial"/>
          <w:sz w:val="22"/>
          <w:szCs w:val="22"/>
        </w:rPr>
        <w:t>-</w:t>
      </w:r>
      <w:r w:rsidR="00A9768B" w:rsidRPr="007B10AF">
        <w:rPr>
          <w:rFonts w:ascii="Trebuchet MS" w:hAnsi="Trebuchet MS"/>
          <w:sz w:val="22"/>
          <w:szCs w:val="22"/>
        </w:rPr>
        <w:t xml:space="preserve"> </w:t>
      </w:r>
      <w:r w:rsidR="00A9768B" w:rsidRPr="007B10AF">
        <w:rPr>
          <w:rFonts w:ascii="Trebuchet MS" w:hAnsi="Trebuchet MS" w:cs="Arial"/>
          <w:sz w:val="22"/>
          <w:szCs w:val="22"/>
        </w:rPr>
        <w:t>balanta_energetica_si_structura_utilajului_energetic</w:t>
      </w:r>
      <w:r w:rsidR="0064433F" w:rsidRPr="007B10AF">
        <w:rPr>
          <w:rFonts w:ascii="Trebuchet MS" w:hAnsi="Trebuchet MS" w:cs="Arial"/>
          <w:sz w:val="22"/>
          <w:szCs w:val="22"/>
        </w:rPr>
        <w:t xml:space="preserve">  </w:t>
      </w:r>
      <w:r w:rsidR="00796F2F" w:rsidRPr="007B10AF">
        <w:rPr>
          <w:rFonts w:ascii="Trebuchet MS" w:hAnsi="Trebuchet MS" w:cs="Arial"/>
          <w:sz w:val="22"/>
          <w:szCs w:val="22"/>
        </w:rPr>
        <w:t>B</w:t>
      </w:r>
      <w:r w:rsidR="0015489D" w:rsidRPr="007B10AF">
        <w:rPr>
          <w:rFonts w:ascii="Trebuchet MS" w:hAnsi="Trebuchet MS" w:cs="Arial"/>
          <w:sz w:val="22"/>
          <w:szCs w:val="22"/>
        </w:rPr>
        <w:t>8</w:t>
      </w:r>
      <w:r w:rsidR="00DF4443" w:rsidRPr="007B10AF">
        <w:rPr>
          <w:rFonts w:ascii="Trebuchet MS" w:hAnsi="Trebuchet MS" w:cs="Arial"/>
          <w:sz w:val="22"/>
          <w:szCs w:val="22"/>
        </w:rPr>
        <w:t>- IND110A</w:t>
      </w:r>
    </w:p>
    <w:p w:rsidR="00AE762B" w:rsidRPr="007B10AF" w:rsidRDefault="00AE762B" w:rsidP="00075F93">
      <w:pPr>
        <w:rPr>
          <w:rFonts w:ascii="Trebuchet MS" w:hAnsi="Trebuchet MS" w:cs="Arial"/>
          <w:b/>
          <w:sz w:val="22"/>
          <w:szCs w:val="22"/>
        </w:rPr>
      </w:pPr>
    </w:p>
    <w:p w:rsidR="00AE762B" w:rsidRPr="007B10AF" w:rsidRDefault="006B15D6" w:rsidP="00075F93">
      <w:pPr>
        <w:rPr>
          <w:rFonts w:ascii="Trebuchet MS" w:hAnsi="Trebuchet MS" w:cs="Arial"/>
          <w:sz w:val="22"/>
          <w:szCs w:val="22"/>
        </w:rPr>
      </w:pPr>
      <w:r w:rsidRPr="007B10AF">
        <w:rPr>
          <w:rFonts w:ascii="Trebuchet MS" w:hAnsi="Trebuchet MS" w:cs="Arial"/>
          <w:sz w:val="22"/>
          <w:szCs w:val="22"/>
        </w:rPr>
        <w:t>Figura X</w:t>
      </w:r>
      <w:r w:rsidR="00AE762B" w:rsidRPr="007B10AF">
        <w:rPr>
          <w:rFonts w:ascii="Trebuchet MS" w:hAnsi="Trebuchet MS" w:cs="Arial"/>
          <w:sz w:val="22"/>
          <w:szCs w:val="22"/>
        </w:rPr>
        <w:t>.1.2.3 Cheltuieli de consum medii pe o persoană</w:t>
      </w:r>
    </w:p>
    <w:p w:rsidR="00AE762B" w:rsidRDefault="000946BE" w:rsidP="00075F93">
      <w:pPr>
        <w:rPr>
          <w:rFonts w:ascii="Arial" w:hAnsi="Arial" w:cs="Arial"/>
          <w:b/>
          <w:sz w:val="28"/>
          <w:szCs w:val="28"/>
        </w:rPr>
      </w:pPr>
      <w:bookmarkStart w:id="166" w:name="_MON_1566382571"/>
      <w:bookmarkStart w:id="167" w:name="_MON_1566382297"/>
      <w:bookmarkStart w:id="168" w:name="_MON_1566382560"/>
      <w:bookmarkStart w:id="169" w:name="_MON_1690199419"/>
      <w:bookmarkStart w:id="170" w:name="_MON_1722158515"/>
      <w:bookmarkStart w:id="171" w:name="_MON_1722158848"/>
      <w:bookmarkEnd w:id="166"/>
      <w:bookmarkEnd w:id="167"/>
      <w:bookmarkEnd w:id="168"/>
      <w:bookmarkEnd w:id="169"/>
      <w:bookmarkEnd w:id="170"/>
      <w:bookmarkEnd w:id="171"/>
      <w:r>
        <w:rPr>
          <w:rFonts w:ascii="Arial" w:hAnsi="Arial" w:cs="Arial"/>
          <w:b/>
          <w:noProof/>
          <w:sz w:val="28"/>
          <w:szCs w:val="28"/>
          <w:lang w:val="en-US"/>
        </w:rPr>
        <w:drawing>
          <wp:inline distT="0" distB="0" distL="0" distR="0" wp14:anchorId="1C2D230B" wp14:editId="0AA60B01">
            <wp:extent cx="5934075" cy="3286125"/>
            <wp:effectExtent l="0" t="0" r="0" b="0"/>
            <wp:docPr id="144" name="Object 1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AE762B" w:rsidRPr="00964352" w:rsidRDefault="00AE762B" w:rsidP="00075F93">
      <w:pPr>
        <w:rPr>
          <w:rFonts w:ascii="Arial" w:hAnsi="Arial" w:cs="Arial"/>
        </w:rPr>
      </w:pPr>
      <w:r w:rsidRPr="00CD50B3">
        <w:rPr>
          <w:rFonts w:ascii="Arial" w:hAnsi="Arial" w:cs="Arial"/>
        </w:rPr>
        <w:t xml:space="preserve">Sursa: Institutul Naţional de Statistică </w:t>
      </w:r>
      <w:r w:rsidRPr="00964352">
        <w:rPr>
          <w:rFonts w:ascii="Arial" w:hAnsi="Arial" w:cs="Arial"/>
        </w:rPr>
        <w:t>(date disponibile doar la nivel naţional)</w:t>
      </w:r>
      <w:r w:rsidR="00482A9B">
        <w:rPr>
          <w:rFonts w:ascii="Arial" w:hAnsi="Arial" w:cs="Arial"/>
        </w:rPr>
        <w:t xml:space="preserve"> A.5/12-BUF107I</w:t>
      </w:r>
    </w:p>
    <w:p w:rsidR="00AE762B" w:rsidRDefault="00AE762B" w:rsidP="00075F93">
      <w:pPr>
        <w:rPr>
          <w:rFonts w:ascii="Arial" w:hAnsi="Arial" w:cs="Arial"/>
          <w:b/>
          <w:sz w:val="28"/>
          <w:szCs w:val="28"/>
        </w:rPr>
      </w:pPr>
    </w:p>
    <w:p w:rsidR="005D2073" w:rsidRDefault="005D2073" w:rsidP="00075F93">
      <w:pPr>
        <w:rPr>
          <w:rFonts w:ascii="Arial" w:hAnsi="Arial" w:cs="Arial"/>
          <w:b/>
        </w:rPr>
      </w:pPr>
    </w:p>
    <w:p w:rsidR="005D2073" w:rsidRDefault="005D2073" w:rsidP="00075F93">
      <w:pPr>
        <w:rPr>
          <w:rFonts w:ascii="Arial" w:hAnsi="Arial" w:cs="Arial"/>
          <w:b/>
        </w:rPr>
      </w:pPr>
    </w:p>
    <w:p w:rsidR="007B10AF" w:rsidRDefault="007B10AF" w:rsidP="00075F93">
      <w:pPr>
        <w:rPr>
          <w:rFonts w:ascii="Arial" w:hAnsi="Arial" w:cs="Arial"/>
          <w:b/>
        </w:rPr>
      </w:pPr>
    </w:p>
    <w:p w:rsidR="00AE762B" w:rsidRPr="007B10AF" w:rsidRDefault="00AE762B" w:rsidP="00075F93">
      <w:pPr>
        <w:rPr>
          <w:rFonts w:ascii="Trebuchet MS" w:hAnsi="Trebuchet MS" w:cs="Arial"/>
          <w:b/>
        </w:rPr>
      </w:pPr>
      <w:r w:rsidRPr="007B10AF">
        <w:rPr>
          <w:rFonts w:ascii="Trebuchet MS" w:hAnsi="Trebuchet MS" w:cs="Arial"/>
          <w:b/>
        </w:rPr>
        <w:t>X.1.3 Mobilitate</w:t>
      </w:r>
    </w:p>
    <w:p w:rsidR="00AE762B" w:rsidRPr="005000BC" w:rsidRDefault="00AE762B" w:rsidP="00075F93">
      <w:pPr>
        <w:rPr>
          <w:rFonts w:ascii="Arial" w:hAnsi="Arial" w:cs="Arial"/>
          <w:sz w:val="16"/>
          <w:szCs w:val="16"/>
        </w:rPr>
      </w:pPr>
    </w:p>
    <w:p w:rsidR="00AE762B" w:rsidRPr="007B10AF" w:rsidRDefault="00AE762B" w:rsidP="00075F93">
      <w:pPr>
        <w:rPr>
          <w:rFonts w:ascii="Trebuchet MS" w:hAnsi="Trebuchet MS" w:cs="Arial"/>
          <w:sz w:val="22"/>
          <w:szCs w:val="22"/>
        </w:rPr>
      </w:pPr>
      <w:r w:rsidRPr="007B10AF">
        <w:rPr>
          <w:rFonts w:ascii="Trebuchet MS" w:hAnsi="Trebuchet MS" w:cs="Arial"/>
          <w:sz w:val="22"/>
          <w:szCs w:val="22"/>
        </w:rPr>
        <w:t xml:space="preserve">Pentru indicatorul RO35- CSI35- Cererea de transport de pasageri, </w:t>
      </w:r>
    </w:p>
    <w:p w:rsidR="00AE762B" w:rsidRPr="007B10AF" w:rsidRDefault="00AE762B" w:rsidP="00075F93">
      <w:pPr>
        <w:rPr>
          <w:rFonts w:ascii="Trebuchet MS" w:hAnsi="Trebuchet MS" w:cs="Arial"/>
          <w:sz w:val="22"/>
          <w:szCs w:val="22"/>
        </w:rPr>
      </w:pPr>
      <w:r w:rsidRPr="007B10AF">
        <w:rPr>
          <w:rFonts w:ascii="Trebuchet MS" w:hAnsi="Trebuchet MS" w:cs="Arial"/>
          <w:sz w:val="22"/>
          <w:szCs w:val="22"/>
        </w:rPr>
        <w:t>Datele sunt disponibile doar la nivel naţional.</w:t>
      </w:r>
    </w:p>
    <w:p w:rsidR="00AE762B" w:rsidRPr="007B10AF" w:rsidRDefault="00AE762B" w:rsidP="00075F93">
      <w:pPr>
        <w:rPr>
          <w:rFonts w:ascii="Trebuchet MS" w:hAnsi="Trebuchet MS" w:cs="Arial"/>
          <w:sz w:val="22"/>
          <w:szCs w:val="22"/>
        </w:rPr>
      </w:pPr>
    </w:p>
    <w:p w:rsidR="00AE762B" w:rsidRPr="007B10AF" w:rsidRDefault="00AE762B" w:rsidP="00075F93">
      <w:pPr>
        <w:rPr>
          <w:rFonts w:ascii="Trebuchet MS" w:hAnsi="Trebuchet MS" w:cs="Arial"/>
          <w:sz w:val="22"/>
          <w:szCs w:val="22"/>
        </w:rPr>
      </w:pPr>
    </w:p>
    <w:p w:rsidR="00AE762B" w:rsidRPr="007B10AF" w:rsidRDefault="00AE762B" w:rsidP="00075F93">
      <w:pPr>
        <w:rPr>
          <w:rFonts w:ascii="Trebuchet MS" w:hAnsi="Trebuchet MS" w:cs="Arial"/>
          <w:sz w:val="22"/>
          <w:szCs w:val="22"/>
        </w:rPr>
      </w:pPr>
      <w:r w:rsidRPr="007B10AF">
        <w:rPr>
          <w:rFonts w:ascii="Trebuchet MS" w:hAnsi="Trebuchet MS" w:cs="Arial"/>
          <w:sz w:val="22"/>
          <w:szCs w:val="22"/>
        </w:rPr>
        <w:t>Volumul transportului de pasageri raportat la PIB</w:t>
      </w:r>
    </w:p>
    <w:p w:rsidR="00AE762B" w:rsidRPr="007B10AF" w:rsidRDefault="00AE762B" w:rsidP="00075F93">
      <w:pPr>
        <w:rPr>
          <w:rFonts w:ascii="Trebuchet MS" w:hAnsi="Trebuchet MS" w:cs="Arial"/>
          <w:sz w:val="22"/>
          <w:szCs w:val="22"/>
        </w:rPr>
      </w:pPr>
    </w:p>
    <w:p w:rsidR="00AE762B" w:rsidRPr="007B10AF" w:rsidRDefault="00AE762B" w:rsidP="00075F93">
      <w:pPr>
        <w:rPr>
          <w:rFonts w:ascii="Trebuchet MS" w:hAnsi="Trebuchet MS" w:cs="Arial"/>
          <w:sz w:val="22"/>
          <w:szCs w:val="22"/>
        </w:rPr>
      </w:pPr>
      <w:r w:rsidRPr="007B10AF">
        <w:rPr>
          <w:rFonts w:ascii="Trebuchet MS" w:hAnsi="Trebuchet MS" w:cs="Arial"/>
          <w:sz w:val="22"/>
          <w:szCs w:val="22"/>
        </w:rPr>
        <w:t>Tabel XI.1.3.</w:t>
      </w:r>
      <w:r w:rsidR="003354D3" w:rsidRPr="007B10AF">
        <w:rPr>
          <w:rFonts w:ascii="Trebuchet MS" w:hAnsi="Trebuchet MS"/>
          <w:sz w:val="22"/>
          <w:szCs w:val="22"/>
        </w:rPr>
        <w:t xml:space="preserve"> </w:t>
      </w:r>
      <w:r w:rsidR="003F7CEC" w:rsidRPr="007B10AF">
        <w:rPr>
          <w:rFonts w:ascii="Trebuchet MS" w:hAnsi="Trebuchet MS" w:cs="Arial"/>
          <w:sz w:val="22"/>
          <w:szCs w:val="22"/>
        </w:rPr>
        <w:t>Indice la valoarea din 201</w:t>
      </w:r>
      <w:r w:rsidR="00BD4FA9" w:rsidRPr="007B10AF">
        <w:rPr>
          <w:rFonts w:ascii="Trebuchet MS" w:hAnsi="Trebuchet MS" w:cs="Arial"/>
          <w:sz w:val="22"/>
          <w:szCs w:val="22"/>
        </w:rPr>
        <w:t>5</w:t>
      </w:r>
      <w:r w:rsidR="003F7CEC" w:rsidRPr="007B10AF">
        <w:rPr>
          <w:rFonts w:ascii="Trebuchet MS" w:hAnsi="Trebuchet MS" w:cs="Arial"/>
          <w:sz w:val="22"/>
          <w:szCs w:val="22"/>
        </w:rPr>
        <w:t>, al volumului din anul curent al transportului de pasageri în pasageri-kilometri, raportat la PIB (exprimat în Euro, la rata de schimb a anului 201</w:t>
      </w:r>
      <w:r w:rsidR="00BD4FA9" w:rsidRPr="007B10AF">
        <w:rPr>
          <w:rFonts w:ascii="Trebuchet MS" w:hAnsi="Trebuchet MS" w:cs="Arial"/>
          <w:sz w:val="22"/>
          <w:szCs w:val="22"/>
        </w:rPr>
        <w:t>5</w:t>
      </w:r>
      <w:r w:rsidR="003F7CEC" w:rsidRPr="007B10AF">
        <w:rPr>
          <w:rFonts w:ascii="Trebuchet MS" w:hAnsi="Trebuchet MS" w:cs="Arial"/>
          <w:sz w:val="22"/>
          <w:szCs w:val="22"/>
        </w:rPr>
        <w:t>)</w:t>
      </w:r>
    </w:p>
    <w:p w:rsidR="00AE762B" w:rsidRDefault="000946BE" w:rsidP="00075F93">
      <w:pPr>
        <w:rPr>
          <w:rFonts w:ascii="Arial" w:hAnsi="Arial" w:cs="Arial"/>
          <w:sz w:val="28"/>
          <w:szCs w:val="28"/>
        </w:rPr>
      </w:pPr>
      <w:bookmarkStart w:id="172" w:name="_MON_1690199950"/>
      <w:bookmarkStart w:id="173" w:name="_MON_1690200014"/>
      <w:bookmarkStart w:id="174" w:name="_MON_1566642118"/>
      <w:bookmarkStart w:id="175" w:name="_MON_1722159193"/>
      <w:bookmarkEnd w:id="172"/>
      <w:bookmarkEnd w:id="173"/>
      <w:bookmarkEnd w:id="174"/>
      <w:bookmarkEnd w:id="175"/>
      <w:r>
        <w:rPr>
          <w:rFonts w:ascii="Arial" w:hAnsi="Arial" w:cs="Arial"/>
          <w:noProof/>
          <w:sz w:val="28"/>
          <w:szCs w:val="28"/>
          <w:lang w:val="en-US"/>
        </w:rPr>
        <w:drawing>
          <wp:inline distT="0" distB="0" distL="0" distR="0" wp14:anchorId="1F00ED12" wp14:editId="01939EDD">
            <wp:extent cx="5210175" cy="3248025"/>
            <wp:effectExtent l="0" t="0" r="0" b="0"/>
            <wp:docPr id="145" name="Object 1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AE762B" w:rsidRPr="007B10AF" w:rsidRDefault="00341F99" w:rsidP="00075F93">
      <w:pPr>
        <w:rPr>
          <w:rFonts w:ascii="Trebuchet MS" w:hAnsi="Trebuchet MS" w:cs="Arial"/>
          <w:sz w:val="22"/>
          <w:szCs w:val="22"/>
        </w:rPr>
      </w:pPr>
      <w:r w:rsidRPr="007B10AF">
        <w:rPr>
          <w:rFonts w:ascii="Trebuchet MS" w:hAnsi="Trebuchet MS" w:cs="Arial"/>
          <w:sz w:val="22"/>
          <w:szCs w:val="22"/>
        </w:rPr>
        <w:t>Sursa: Institutul Naţional de Statistică (date disponibile doar la nivel naţional)</w:t>
      </w:r>
    </w:p>
    <w:p w:rsidR="00341F99" w:rsidRPr="007B10AF" w:rsidRDefault="00341F99" w:rsidP="00075F93">
      <w:pPr>
        <w:rPr>
          <w:rFonts w:ascii="Trebuchet MS" w:hAnsi="Trebuchet MS" w:cs="Arial"/>
          <w:sz w:val="22"/>
          <w:szCs w:val="22"/>
        </w:rPr>
      </w:pPr>
      <w:r w:rsidRPr="007B10AF">
        <w:rPr>
          <w:rFonts w:ascii="Trebuchet MS" w:hAnsi="Trebuchet MS" w:cs="Arial"/>
          <w:sz w:val="22"/>
          <w:szCs w:val="22"/>
        </w:rPr>
        <w:t>http://www.insse.ro/cms/files/Web_IDD_BD_ro/index.htm/O3_1</w:t>
      </w:r>
    </w:p>
    <w:p w:rsidR="00341F99" w:rsidRPr="007B10AF" w:rsidRDefault="00341F99" w:rsidP="00075F93">
      <w:pPr>
        <w:rPr>
          <w:rFonts w:ascii="Trebuchet MS" w:hAnsi="Trebuchet MS" w:cs="Arial"/>
          <w:sz w:val="22"/>
          <w:szCs w:val="22"/>
        </w:rPr>
      </w:pPr>
    </w:p>
    <w:p w:rsidR="00AE762B" w:rsidRPr="007B10AF" w:rsidRDefault="00AE762B" w:rsidP="00075F93">
      <w:pPr>
        <w:rPr>
          <w:rFonts w:ascii="Trebuchet MS" w:hAnsi="Trebuchet MS" w:cs="Arial"/>
          <w:sz w:val="22"/>
          <w:szCs w:val="22"/>
        </w:rPr>
      </w:pPr>
      <w:r w:rsidRPr="007B10AF">
        <w:rPr>
          <w:rFonts w:ascii="Trebuchet MS" w:hAnsi="Trebuchet MS" w:cs="Arial"/>
          <w:sz w:val="22"/>
          <w:szCs w:val="22"/>
        </w:rPr>
        <w:t>Tabel X.1.3.2- ponderea fiecărui mod în transportul de pasageri, la nivel naţional</w:t>
      </w:r>
      <w:r w:rsidR="002F697D" w:rsidRPr="007B10AF">
        <w:rPr>
          <w:rFonts w:ascii="Trebuchet MS" w:hAnsi="Trebuchet MS" w:cs="Arial"/>
          <w:sz w:val="22"/>
          <w:szCs w:val="22"/>
        </w:rPr>
        <w:t>-procente</w:t>
      </w:r>
    </w:p>
    <w:tbl>
      <w:tblPr>
        <w:tblW w:w="91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0"/>
        <w:gridCol w:w="960"/>
        <w:gridCol w:w="960"/>
        <w:gridCol w:w="960"/>
        <w:gridCol w:w="960"/>
        <w:gridCol w:w="960"/>
      </w:tblGrid>
      <w:tr w:rsidR="00353D01" w:rsidRPr="007B10AF" w:rsidTr="00353D01">
        <w:trPr>
          <w:trHeight w:val="255"/>
        </w:trPr>
        <w:tc>
          <w:tcPr>
            <w:tcW w:w="4300" w:type="dxa"/>
            <w:noWrap/>
            <w:vAlign w:val="bottom"/>
          </w:tcPr>
          <w:p w:rsidR="00353D01" w:rsidRPr="007B10AF" w:rsidRDefault="00353D01" w:rsidP="00177917">
            <w:pPr>
              <w:jc w:val="center"/>
              <w:rPr>
                <w:rFonts w:ascii="Trebuchet MS" w:hAnsi="Trebuchet MS" w:cs="Arial"/>
                <w:b/>
                <w:bCs/>
                <w:sz w:val="20"/>
                <w:szCs w:val="20"/>
                <w:lang w:val="en-US"/>
              </w:rPr>
            </w:pPr>
            <w:r w:rsidRPr="007B10AF">
              <w:rPr>
                <w:rFonts w:ascii="Trebuchet MS" w:hAnsi="Trebuchet MS" w:cs="Arial"/>
                <w:b/>
                <w:bCs/>
                <w:sz w:val="20"/>
                <w:szCs w:val="20"/>
                <w:lang w:val="en-US"/>
              </w:rPr>
              <w:t> </w:t>
            </w:r>
          </w:p>
        </w:tc>
        <w:tc>
          <w:tcPr>
            <w:tcW w:w="960" w:type="dxa"/>
            <w:shd w:val="clear" w:color="000000" w:fill="FFFF99"/>
            <w:noWrap/>
            <w:vAlign w:val="bottom"/>
          </w:tcPr>
          <w:p w:rsidR="00353D01" w:rsidRPr="007B10AF" w:rsidRDefault="00353D01" w:rsidP="00177917">
            <w:pPr>
              <w:jc w:val="right"/>
              <w:rPr>
                <w:rFonts w:ascii="Trebuchet MS" w:hAnsi="Trebuchet MS" w:cs="Arial"/>
                <w:b/>
                <w:bCs/>
                <w:sz w:val="20"/>
                <w:szCs w:val="20"/>
              </w:rPr>
            </w:pPr>
            <w:r w:rsidRPr="007B10AF">
              <w:rPr>
                <w:rFonts w:ascii="Trebuchet MS" w:hAnsi="Trebuchet MS" w:cs="Arial"/>
                <w:b/>
                <w:bCs/>
                <w:sz w:val="20"/>
                <w:szCs w:val="20"/>
              </w:rPr>
              <w:t>2017</w:t>
            </w:r>
          </w:p>
        </w:tc>
        <w:tc>
          <w:tcPr>
            <w:tcW w:w="960" w:type="dxa"/>
            <w:shd w:val="clear" w:color="000000" w:fill="FFFF99"/>
            <w:noWrap/>
            <w:vAlign w:val="bottom"/>
          </w:tcPr>
          <w:p w:rsidR="00353D01" w:rsidRPr="007B10AF" w:rsidRDefault="00353D01" w:rsidP="00177917">
            <w:pPr>
              <w:jc w:val="right"/>
              <w:rPr>
                <w:rFonts w:ascii="Trebuchet MS" w:hAnsi="Trebuchet MS" w:cs="Arial"/>
                <w:b/>
                <w:bCs/>
                <w:sz w:val="20"/>
                <w:szCs w:val="20"/>
              </w:rPr>
            </w:pPr>
            <w:r w:rsidRPr="007B10AF">
              <w:rPr>
                <w:rFonts w:ascii="Trebuchet MS" w:hAnsi="Trebuchet MS" w:cs="Arial"/>
                <w:b/>
                <w:bCs/>
                <w:sz w:val="20"/>
                <w:szCs w:val="20"/>
              </w:rPr>
              <w:t>2018</w:t>
            </w:r>
          </w:p>
        </w:tc>
        <w:tc>
          <w:tcPr>
            <w:tcW w:w="960" w:type="dxa"/>
            <w:shd w:val="clear" w:color="000000" w:fill="FFFF99"/>
            <w:noWrap/>
            <w:vAlign w:val="bottom"/>
          </w:tcPr>
          <w:p w:rsidR="00353D01" w:rsidRPr="007B10AF" w:rsidRDefault="00353D01" w:rsidP="00177917">
            <w:pPr>
              <w:jc w:val="right"/>
              <w:rPr>
                <w:rFonts w:ascii="Trebuchet MS" w:hAnsi="Trebuchet MS" w:cs="Arial"/>
                <w:b/>
                <w:bCs/>
                <w:sz w:val="20"/>
                <w:szCs w:val="20"/>
              </w:rPr>
            </w:pPr>
            <w:r w:rsidRPr="007B10AF">
              <w:rPr>
                <w:rFonts w:ascii="Trebuchet MS" w:hAnsi="Trebuchet MS" w:cs="Arial"/>
                <w:b/>
                <w:bCs/>
                <w:sz w:val="20"/>
                <w:szCs w:val="20"/>
              </w:rPr>
              <w:t>2019</w:t>
            </w:r>
          </w:p>
        </w:tc>
        <w:tc>
          <w:tcPr>
            <w:tcW w:w="960" w:type="dxa"/>
            <w:shd w:val="clear" w:color="000000" w:fill="FFFF99"/>
            <w:noWrap/>
            <w:vAlign w:val="bottom"/>
          </w:tcPr>
          <w:p w:rsidR="00353D01" w:rsidRPr="007B10AF" w:rsidRDefault="00353D01" w:rsidP="00177917">
            <w:pPr>
              <w:jc w:val="right"/>
              <w:rPr>
                <w:rFonts w:ascii="Trebuchet MS" w:hAnsi="Trebuchet MS" w:cs="Arial"/>
                <w:b/>
                <w:bCs/>
                <w:sz w:val="20"/>
                <w:szCs w:val="20"/>
              </w:rPr>
            </w:pPr>
            <w:r w:rsidRPr="007B10AF">
              <w:rPr>
                <w:rFonts w:ascii="Trebuchet MS" w:hAnsi="Trebuchet MS" w:cs="Arial"/>
                <w:b/>
                <w:bCs/>
                <w:sz w:val="20"/>
                <w:szCs w:val="20"/>
              </w:rPr>
              <w:t>2020</w:t>
            </w:r>
          </w:p>
        </w:tc>
        <w:tc>
          <w:tcPr>
            <w:tcW w:w="960" w:type="dxa"/>
            <w:shd w:val="clear" w:color="000000" w:fill="FFFF99"/>
            <w:vAlign w:val="bottom"/>
          </w:tcPr>
          <w:p w:rsidR="00353D01" w:rsidRPr="007B10AF" w:rsidRDefault="00353D01" w:rsidP="00177917">
            <w:pPr>
              <w:jc w:val="right"/>
              <w:rPr>
                <w:rFonts w:ascii="Trebuchet MS" w:hAnsi="Trebuchet MS" w:cs="Arial"/>
                <w:b/>
                <w:bCs/>
                <w:sz w:val="20"/>
                <w:szCs w:val="20"/>
              </w:rPr>
            </w:pPr>
            <w:r w:rsidRPr="007B10AF">
              <w:rPr>
                <w:rFonts w:ascii="Trebuchet MS" w:hAnsi="Trebuchet MS" w:cs="Arial"/>
                <w:b/>
                <w:bCs/>
                <w:sz w:val="20"/>
                <w:szCs w:val="20"/>
              </w:rPr>
              <w:t>2021</w:t>
            </w:r>
          </w:p>
        </w:tc>
      </w:tr>
      <w:tr w:rsidR="00353D01" w:rsidRPr="007B10AF" w:rsidTr="00353D01">
        <w:trPr>
          <w:trHeight w:val="255"/>
        </w:trPr>
        <w:tc>
          <w:tcPr>
            <w:tcW w:w="4300" w:type="dxa"/>
            <w:noWrap/>
            <w:vAlign w:val="bottom"/>
          </w:tcPr>
          <w:p w:rsidR="00353D01" w:rsidRPr="007B10AF" w:rsidRDefault="00353D01" w:rsidP="00177917">
            <w:pPr>
              <w:rPr>
                <w:rFonts w:ascii="Trebuchet MS" w:hAnsi="Trebuchet MS" w:cs="Arial"/>
                <w:sz w:val="20"/>
                <w:szCs w:val="20"/>
                <w:lang w:val="fr-FR"/>
              </w:rPr>
            </w:pPr>
            <w:r w:rsidRPr="007B10AF">
              <w:rPr>
                <w:rFonts w:ascii="Trebuchet MS" w:hAnsi="Trebuchet MS" w:cs="Arial"/>
                <w:sz w:val="20"/>
                <w:szCs w:val="20"/>
                <w:lang w:val="fr-FR"/>
              </w:rPr>
              <w:t>mod de transport de pasageri:</w:t>
            </w:r>
          </w:p>
        </w:tc>
        <w:tc>
          <w:tcPr>
            <w:tcW w:w="960" w:type="dxa"/>
            <w:noWrap/>
          </w:tcPr>
          <w:p w:rsidR="00353D01" w:rsidRPr="007B10AF" w:rsidRDefault="00353D01" w:rsidP="00177917">
            <w:pPr>
              <w:rPr>
                <w:rFonts w:ascii="Trebuchet MS" w:hAnsi="Trebuchet MS" w:cs="Arial"/>
                <w:sz w:val="20"/>
                <w:szCs w:val="20"/>
                <w:lang w:val="fr-FR"/>
              </w:rPr>
            </w:pPr>
          </w:p>
        </w:tc>
        <w:tc>
          <w:tcPr>
            <w:tcW w:w="960" w:type="dxa"/>
            <w:noWrap/>
          </w:tcPr>
          <w:p w:rsidR="00353D01" w:rsidRPr="007B10AF" w:rsidRDefault="00353D01" w:rsidP="00177917">
            <w:pPr>
              <w:rPr>
                <w:rFonts w:ascii="Trebuchet MS" w:hAnsi="Trebuchet MS" w:cs="Arial"/>
                <w:sz w:val="20"/>
                <w:szCs w:val="20"/>
                <w:lang w:val="fr-FR"/>
              </w:rPr>
            </w:pPr>
          </w:p>
        </w:tc>
        <w:tc>
          <w:tcPr>
            <w:tcW w:w="960" w:type="dxa"/>
            <w:noWrap/>
          </w:tcPr>
          <w:p w:rsidR="00353D01" w:rsidRPr="007B10AF" w:rsidRDefault="00353D01" w:rsidP="00177917">
            <w:pPr>
              <w:rPr>
                <w:rFonts w:ascii="Trebuchet MS" w:hAnsi="Trebuchet MS" w:cs="Arial"/>
                <w:sz w:val="20"/>
                <w:szCs w:val="20"/>
                <w:lang w:val="fr-FR"/>
              </w:rPr>
            </w:pPr>
          </w:p>
        </w:tc>
        <w:tc>
          <w:tcPr>
            <w:tcW w:w="960" w:type="dxa"/>
            <w:noWrap/>
          </w:tcPr>
          <w:p w:rsidR="00353D01" w:rsidRPr="007B10AF" w:rsidRDefault="00353D01" w:rsidP="00177917">
            <w:pPr>
              <w:rPr>
                <w:rFonts w:ascii="Trebuchet MS" w:hAnsi="Trebuchet MS" w:cs="Arial"/>
                <w:sz w:val="20"/>
                <w:szCs w:val="20"/>
                <w:lang w:val="fr-FR"/>
              </w:rPr>
            </w:pPr>
          </w:p>
        </w:tc>
        <w:tc>
          <w:tcPr>
            <w:tcW w:w="960" w:type="dxa"/>
          </w:tcPr>
          <w:p w:rsidR="00353D01" w:rsidRPr="007B10AF" w:rsidRDefault="00353D01" w:rsidP="00177917">
            <w:pPr>
              <w:rPr>
                <w:rFonts w:ascii="Trebuchet MS" w:hAnsi="Trebuchet MS" w:cs="Arial"/>
                <w:sz w:val="20"/>
                <w:szCs w:val="20"/>
                <w:lang w:val="fr-FR"/>
              </w:rPr>
            </w:pPr>
          </w:p>
        </w:tc>
      </w:tr>
      <w:tr w:rsidR="00353D01" w:rsidRPr="007B10AF" w:rsidTr="00353D01">
        <w:trPr>
          <w:trHeight w:val="255"/>
        </w:trPr>
        <w:tc>
          <w:tcPr>
            <w:tcW w:w="4300" w:type="dxa"/>
            <w:noWrap/>
            <w:vAlign w:val="bottom"/>
          </w:tcPr>
          <w:p w:rsidR="00353D01" w:rsidRPr="007B10AF" w:rsidRDefault="00353D01" w:rsidP="00177917">
            <w:pPr>
              <w:rPr>
                <w:rFonts w:ascii="Trebuchet MS" w:hAnsi="Trebuchet MS" w:cs="Arial"/>
                <w:sz w:val="20"/>
                <w:szCs w:val="20"/>
                <w:lang w:val="en-US"/>
              </w:rPr>
            </w:pPr>
            <w:r w:rsidRPr="007B10AF">
              <w:rPr>
                <w:rFonts w:ascii="Trebuchet MS" w:hAnsi="Trebuchet MS" w:cs="Arial"/>
                <w:sz w:val="20"/>
                <w:szCs w:val="20"/>
                <w:lang w:val="en-US"/>
              </w:rPr>
              <w:t>-feroviar</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4.5</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4.2</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4.2</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3.1</w:t>
            </w:r>
          </w:p>
        </w:tc>
        <w:tc>
          <w:tcPr>
            <w:tcW w:w="960" w:type="dxa"/>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3.3</w:t>
            </w:r>
          </w:p>
        </w:tc>
      </w:tr>
      <w:tr w:rsidR="00353D01" w:rsidRPr="007B10AF" w:rsidTr="00353D01">
        <w:trPr>
          <w:trHeight w:val="255"/>
        </w:trPr>
        <w:tc>
          <w:tcPr>
            <w:tcW w:w="4300" w:type="dxa"/>
            <w:noWrap/>
            <w:vAlign w:val="bottom"/>
          </w:tcPr>
          <w:p w:rsidR="00353D01" w:rsidRPr="007B10AF" w:rsidRDefault="00353D01" w:rsidP="00177917">
            <w:pPr>
              <w:rPr>
                <w:rFonts w:ascii="Trebuchet MS" w:hAnsi="Trebuchet MS" w:cs="Arial"/>
                <w:sz w:val="20"/>
                <w:szCs w:val="20"/>
                <w:lang w:val="en-US"/>
              </w:rPr>
            </w:pPr>
            <w:r w:rsidRPr="007B10AF">
              <w:rPr>
                <w:rFonts w:ascii="Trebuchet MS" w:hAnsi="Trebuchet MS" w:cs="Arial"/>
                <w:sz w:val="20"/>
                <w:szCs w:val="20"/>
                <w:lang w:val="en-US"/>
              </w:rPr>
              <w:t>-autoturisme</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77.8</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78.8</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78.9</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82.6</w:t>
            </w:r>
          </w:p>
        </w:tc>
        <w:tc>
          <w:tcPr>
            <w:tcW w:w="960" w:type="dxa"/>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83</w:t>
            </w:r>
          </w:p>
        </w:tc>
      </w:tr>
      <w:tr w:rsidR="00353D01" w:rsidRPr="007B10AF" w:rsidTr="00353D01">
        <w:trPr>
          <w:trHeight w:val="255"/>
        </w:trPr>
        <w:tc>
          <w:tcPr>
            <w:tcW w:w="4300" w:type="dxa"/>
            <w:noWrap/>
            <w:vAlign w:val="bottom"/>
          </w:tcPr>
          <w:p w:rsidR="00353D01" w:rsidRPr="007B10AF" w:rsidRDefault="00353D01" w:rsidP="00177917">
            <w:pPr>
              <w:rPr>
                <w:rFonts w:ascii="Trebuchet MS" w:hAnsi="Trebuchet MS" w:cs="Arial"/>
                <w:sz w:val="20"/>
                <w:szCs w:val="20"/>
                <w:lang w:val="en-US"/>
              </w:rPr>
            </w:pPr>
            <w:r w:rsidRPr="007B10AF">
              <w:rPr>
                <w:rFonts w:ascii="Trebuchet MS" w:hAnsi="Trebuchet MS" w:cs="Arial"/>
                <w:sz w:val="20"/>
                <w:szCs w:val="20"/>
                <w:lang w:val="en-US"/>
              </w:rPr>
              <w:t>-autobuze</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17.7</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17.0</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16.9</w:t>
            </w:r>
          </w:p>
        </w:tc>
        <w:tc>
          <w:tcPr>
            <w:tcW w:w="960" w:type="dxa"/>
            <w:noWrap/>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14.3</w:t>
            </w:r>
          </w:p>
        </w:tc>
        <w:tc>
          <w:tcPr>
            <w:tcW w:w="960" w:type="dxa"/>
            <w:vAlign w:val="bottom"/>
          </w:tcPr>
          <w:p w:rsidR="00353D01" w:rsidRPr="007B10AF" w:rsidRDefault="00353D01" w:rsidP="00177917">
            <w:pPr>
              <w:jc w:val="right"/>
              <w:rPr>
                <w:rFonts w:ascii="Trebuchet MS" w:hAnsi="Trebuchet MS" w:cs="Arial"/>
                <w:sz w:val="20"/>
                <w:szCs w:val="20"/>
              </w:rPr>
            </w:pPr>
            <w:r w:rsidRPr="007B10AF">
              <w:rPr>
                <w:rFonts w:ascii="Trebuchet MS" w:hAnsi="Trebuchet MS" w:cs="Arial"/>
                <w:sz w:val="20"/>
                <w:szCs w:val="20"/>
              </w:rPr>
              <w:t>13.7</w:t>
            </w:r>
          </w:p>
        </w:tc>
      </w:tr>
    </w:tbl>
    <w:p w:rsidR="00AE762B" w:rsidRDefault="000946BE" w:rsidP="00096D38">
      <w:pPr>
        <w:jc w:val="both"/>
        <w:rPr>
          <w:rFonts w:ascii="Arial" w:hAnsi="Arial" w:cs="Arial"/>
          <w:b/>
        </w:rPr>
      </w:pPr>
      <w:bookmarkStart w:id="176" w:name="_MON_1690200509"/>
      <w:bookmarkStart w:id="177" w:name="_MON_1690200586"/>
      <w:bookmarkStart w:id="178" w:name="_MON_1722159475"/>
      <w:bookmarkEnd w:id="176"/>
      <w:bookmarkEnd w:id="177"/>
      <w:bookmarkEnd w:id="178"/>
      <w:r>
        <w:rPr>
          <w:rFonts w:ascii="Arial" w:hAnsi="Arial" w:cs="Arial"/>
          <w:b/>
          <w:noProof/>
          <w:lang w:val="en-US"/>
        </w:rPr>
        <w:drawing>
          <wp:inline distT="0" distB="0" distL="0" distR="0" wp14:anchorId="2779F0C8" wp14:editId="0C16E354">
            <wp:extent cx="5200650" cy="3257550"/>
            <wp:effectExtent l="0" t="0" r="0" b="0"/>
            <wp:docPr id="146" name="Object 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BF02E3" w:rsidRPr="007B10AF" w:rsidRDefault="00BF02E3" w:rsidP="00BF02E3">
      <w:pPr>
        <w:rPr>
          <w:rFonts w:ascii="Trebuchet MS" w:hAnsi="Trebuchet MS" w:cs="Arial"/>
        </w:rPr>
      </w:pPr>
      <w:r w:rsidRPr="007B10AF">
        <w:rPr>
          <w:rFonts w:ascii="Trebuchet MS" w:hAnsi="Trebuchet MS" w:cs="Arial"/>
        </w:rPr>
        <w:t>Sursa: Institutul Naţional de Statistică (date disponibile doar la nivel naţional)</w:t>
      </w:r>
    </w:p>
    <w:p w:rsidR="00BF02E3" w:rsidRPr="007B10AF" w:rsidRDefault="00BF02E3" w:rsidP="00BF02E3">
      <w:pPr>
        <w:rPr>
          <w:rFonts w:ascii="Trebuchet MS" w:hAnsi="Trebuchet MS" w:cs="Arial"/>
        </w:rPr>
      </w:pPr>
      <w:r w:rsidRPr="007B10AF">
        <w:rPr>
          <w:rFonts w:ascii="Trebuchet MS" w:hAnsi="Trebuchet MS" w:cs="Arial"/>
        </w:rPr>
        <w:t>http://www.insse.ro/cms/files/Web_IDD_BD_ro/index.htm/O3_3</w:t>
      </w:r>
    </w:p>
    <w:p w:rsidR="00AE762B" w:rsidRPr="007B10AF" w:rsidRDefault="00AE762B" w:rsidP="00096D38">
      <w:pPr>
        <w:jc w:val="both"/>
        <w:rPr>
          <w:rFonts w:ascii="Trebuchet MS" w:hAnsi="Trebuchet MS" w:cs="Arial"/>
        </w:rPr>
      </w:pPr>
    </w:p>
    <w:p w:rsidR="00AE762B" w:rsidRPr="007B10AF" w:rsidRDefault="00AE762B" w:rsidP="00096D38">
      <w:pPr>
        <w:jc w:val="both"/>
        <w:rPr>
          <w:rFonts w:ascii="Trebuchet MS" w:hAnsi="Trebuchet MS" w:cs="Arial"/>
        </w:rPr>
      </w:pPr>
    </w:p>
    <w:p w:rsidR="00AE762B" w:rsidRPr="007B10AF" w:rsidRDefault="006B15D6" w:rsidP="00096D38">
      <w:pPr>
        <w:jc w:val="both"/>
        <w:rPr>
          <w:rFonts w:ascii="Trebuchet MS" w:hAnsi="Trebuchet MS" w:cs="Arial"/>
          <w:b/>
        </w:rPr>
      </w:pPr>
      <w:r w:rsidRPr="007B10AF">
        <w:rPr>
          <w:rFonts w:ascii="Trebuchet MS" w:hAnsi="Trebuchet MS" w:cs="Arial"/>
        </w:rPr>
        <w:t>Tabel X</w:t>
      </w:r>
      <w:r w:rsidR="00AE762B" w:rsidRPr="007B10AF">
        <w:rPr>
          <w:rFonts w:ascii="Trebuchet MS" w:hAnsi="Trebuchet MS" w:cs="Arial"/>
        </w:rPr>
        <w:t>.1.3.3-Investiţii în infrastructura de transport, la nivel naţional</w:t>
      </w:r>
      <w:r w:rsidR="002F697D" w:rsidRPr="007B10AF">
        <w:rPr>
          <w:rFonts w:ascii="Trebuchet MS" w:hAnsi="Trebuchet MS" w:cs="Arial"/>
        </w:rPr>
        <w:t>- milioane lei</w:t>
      </w:r>
    </w:p>
    <w:tbl>
      <w:tblPr>
        <w:tblW w:w="7940" w:type="dxa"/>
        <w:tblInd w:w="93" w:type="dxa"/>
        <w:tblLook w:val="00A0" w:firstRow="1" w:lastRow="0" w:firstColumn="1" w:lastColumn="0" w:noHBand="0" w:noVBand="0"/>
      </w:tblPr>
      <w:tblGrid>
        <w:gridCol w:w="3140"/>
        <w:gridCol w:w="960"/>
        <w:gridCol w:w="993"/>
        <w:gridCol w:w="993"/>
        <w:gridCol w:w="993"/>
        <w:gridCol w:w="993"/>
      </w:tblGrid>
      <w:tr w:rsidR="008E5BC6" w:rsidRPr="007B10AF" w:rsidTr="008E5BC6">
        <w:trPr>
          <w:trHeight w:val="255"/>
        </w:trPr>
        <w:tc>
          <w:tcPr>
            <w:tcW w:w="3140" w:type="dxa"/>
            <w:tcBorders>
              <w:top w:val="single" w:sz="4" w:space="0" w:color="auto"/>
              <w:left w:val="single" w:sz="4" w:space="0" w:color="auto"/>
              <w:bottom w:val="single" w:sz="4" w:space="0" w:color="auto"/>
              <w:right w:val="single" w:sz="4" w:space="0" w:color="auto"/>
            </w:tcBorders>
            <w:noWrap/>
            <w:vAlign w:val="bottom"/>
          </w:tcPr>
          <w:p w:rsidR="008E5BC6" w:rsidRPr="007B10AF" w:rsidRDefault="008E5BC6" w:rsidP="00C05D6F">
            <w:pPr>
              <w:jc w:val="center"/>
              <w:rPr>
                <w:rFonts w:ascii="Trebuchet MS" w:hAnsi="Trebuchet MS" w:cs="Arial"/>
                <w:b/>
                <w:bCs/>
                <w:sz w:val="20"/>
                <w:szCs w:val="20"/>
                <w:lang w:val="en-US"/>
              </w:rPr>
            </w:pPr>
            <w:r w:rsidRPr="007B10AF">
              <w:rPr>
                <w:rFonts w:ascii="Trebuchet MS" w:hAnsi="Trebuchet MS" w:cs="Arial"/>
                <w:b/>
                <w:bCs/>
                <w:sz w:val="20"/>
                <w:szCs w:val="20"/>
                <w:lang w:val="en-US"/>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8E5BC6" w:rsidRPr="007B10AF" w:rsidRDefault="008E5BC6" w:rsidP="00C05D6F">
            <w:pPr>
              <w:jc w:val="right"/>
              <w:rPr>
                <w:rFonts w:ascii="Trebuchet MS" w:hAnsi="Trebuchet MS" w:cs="Arial"/>
                <w:b/>
                <w:bCs/>
                <w:sz w:val="20"/>
                <w:szCs w:val="20"/>
              </w:rPr>
            </w:pPr>
            <w:r w:rsidRPr="007B10AF">
              <w:rPr>
                <w:rFonts w:ascii="Trebuchet MS" w:hAnsi="Trebuchet MS" w:cs="Arial"/>
                <w:b/>
                <w:bCs/>
                <w:sz w:val="20"/>
                <w:szCs w:val="20"/>
              </w:rPr>
              <w:t>2017</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8E5BC6" w:rsidRPr="007B10AF" w:rsidRDefault="008E5BC6" w:rsidP="00C05D6F">
            <w:pPr>
              <w:jc w:val="right"/>
              <w:rPr>
                <w:rFonts w:ascii="Trebuchet MS" w:hAnsi="Trebuchet MS" w:cs="Arial"/>
                <w:b/>
                <w:bCs/>
                <w:sz w:val="20"/>
                <w:szCs w:val="20"/>
              </w:rPr>
            </w:pPr>
            <w:r w:rsidRPr="007B10AF">
              <w:rPr>
                <w:rFonts w:ascii="Trebuchet MS" w:hAnsi="Trebuchet MS" w:cs="Arial"/>
                <w:b/>
                <w:bCs/>
                <w:sz w:val="20"/>
                <w:szCs w:val="20"/>
              </w:rPr>
              <w:t>2018</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8E5BC6" w:rsidRPr="007B10AF" w:rsidRDefault="008E5BC6" w:rsidP="00C05D6F">
            <w:pPr>
              <w:jc w:val="right"/>
              <w:rPr>
                <w:rFonts w:ascii="Trebuchet MS" w:hAnsi="Trebuchet MS" w:cs="Arial"/>
                <w:b/>
                <w:bCs/>
                <w:sz w:val="20"/>
                <w:szCs w:val="20"/>
              </w:rPr>
            </w:pPr>
            <w:r w:rsidRPr="007B10AF">
              <w:rPr>
                <w:rFonts w:ascii="Trebuchet MS" w:hAnsi="Trebuchet MS" w:cs="Arial"/>
                <w:b/>
                <w:bCs/>
                <w:sz w:val="20"/>
                <w:szCs w:val="20"/>
              </w:rPr>
              <w:t>2019</w:t>
            </w:r>
          </w:p>
        </w:tc>
        <w:tc>
          <w:tcPr>
            <w:tcW w:w="960" w:type="dxa"/>
            <w:tcBorders>
              <w:top w:val="single" w:sz="4" w:space="0" w:color="auto"/>
              <w:left w:val="nil"/>
              <w:bottom w:val="single" w:sz="4" w:space="0" w:color="auto"/>
              <w:right w:val="single" w:sz="4" w:space="0" w:color="auto"/>
            </w:tcBorders>
            <w:shd w:val="clear" w:color="000000" w:fill="FFFF99"/>
            <w:vAlign w:val="bottom"/>
          </w:tcPr>
          <w:p w:rsidR="008E5BC6" w:rsidRPr="007B10AF" w:rsidRDefault="008E5BC6" w:rsidP="00C05D6F">
            <w:pPr>
              <w:jc w:val="right"/>
              <w:rPr>
                <w:rFonts w:ascii="Trebuchet MS" w:hAnsi="Trebuchet MS" w:cs="Arial"/>
                <w:b/>
                <w:bCs/>
                <w:sz w:val="20"/>
                <w:szCs w:val="20"/>
              </w:rPr>
            </w:pPr>
            <w:r w:rsidRPr="007B10AF">
              <w:rPr>
                <w:rFonts w:ascii="Trebuchet MS" w:hAnsi="Trebuchet MS" w:cs="Arial"/>
                <w:b/>
                <w:bCs/>
                <w:sz w:val="20"/>
                <w:szCs w:val="20"/>
              </w:rPr>
              <w:t>2020</w:t>
            </w:r>
          </w:p>
        </w:tc>
        <w:tc>
          <w:tcPr>
            <w:tcW w:w="960" w:type="dxa"/>
            <w:tcBorders>
              <w:top w:val="single" w:sz="4" w:space="0" w:color="auto"/>
              <w:left w:val="single" w:sz="4" w:space="0" w:color="auto"/>
              <w:bottom w:val="single" w:sz="4" w:space="0" w:color="auto"/>
              <w:right w:val="single" w:sz="4" w:space="0" w:color="auto"/>
            </w:tcBorders>
            <w:shd w:val="clear" w:color="000000" w:fill="FFFF99"/>
            <w:vAlign w:val="bottom"/>
          </w:tcPr>
          <w:p w:rsidR="008E5BC6" w:rsidRPr="007B10AF" w:rsidRDefault="008E5BC6" w:rsidP="00C05D6F">
            <w:pPr>
              <w:jc w:val="right"/>
              <w:rPr>
                <w:rFonts w:ascii="Trebuchet MS" w:hAnsi="Trebuchet MS" w:cs="Arial"/>
                <w:b/>
                <w:bCs/>
                <w:sz w:val="20"/>
                <w:szCs w:val="20"/>
              </w:rPr>
            </w:pPr>
            <w:r w:rsidRPr="007B10AF">
              <w:rPr>
                <w:rFonts w:ascii="Trebuchet MS" w:hAnsi="Trebuchet MS" w:cs="Arial"/>
                <w:b/>
                <w:bCs/>
                <w:sz w:val="20"/>
                <w:szCs w:val="20"/>
              </w:rPr>
              <w:t>2021</w:t>
            </w:r>
          </w:p>
        </w:tc>
      </w:tr>
      <w:tr w:rsidR="008E5BC6" w:rsidRPr="007B10AF" w:rsidTr="008E5BC6">
        <w:trPr>
          <w:trHeight w:val="255"/>
        </w:trPr>
        <w:tc>
          <w:tcPr>
            <w:tcW w:w="3140" w:type="dxa"/>
            <w:tcBorders>
              <w:top w:val="nil"/>
              <w:left w:val="single" w:sz="4" w:space="0" w:color="auto"/>
              <w:bottom w:val="single" w:sz="4" w:space="0" w:color="auto"/>
              <w:right w:val="single" w:sz="4" w:space="0" w:color="auto"/>
            </w:tcBorders>
            <w:vAlign w:val="center"/>
          </w:tcPr>
          <w:p w:rsidR="008E5BC6" w:rsidRPr="007B10AF" w:rsidRDefault="008E5BC6" w:rsidP="00C05D6F">
            <w:pPr>
              <w:rPr>
                <w:rFonts w:ascii="Trebuchet MS" w:hAnsi="Trebuchet MS" w:cs="Arial"/>
                <w:sz w:val="20"/>
                <w:szCs w:val="20"/>
                <w:lang w:val="en-US"/>
              </w:rPr>
            </w:pPr>
            <w:r w:rsidRPr="007B10AF">
              <w:rPr>
                <w:rFonts w:ascii="Trebuchet MS" w:hAnsi="Trebuchet MS" w:cs="Arial"/>
                <w:sz w:val="20"/>
                <w:szCs w:val="20"/>
                <w:lang w:val="en-US"/>
              </w:rPr>
              <w:t>Total</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b/>
                <w:bCs/>
                <w:sz w:val="18"/>
                <w:szCs w:val="18"/>
              </w:rPr>
            </w:pPr>
            <w:r w:rsidRPr="007B10AF">
              <w:rPr>
                <w:rFonts w:ascii="Trebuchet MS" w:hAnsi="Trebuchet MS" w:cs="Arial"/>
                <w:b/>
                <w:bCs/>
                <w:sz w:val="18"/>
                <w:szCs w:val="18"/>
              </w:rPr>
              <w:t>13738.7</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b/>
                <w:bCs/>
                <w:sz w:val="18"/>
                <w:szCs w:val="18"/>
              </w:rPr>
            </w:pPr>
            <w:r w:rsidRPr="007B10AF">
              <w:rPr>
                <w:rFonts w:ascii="Trebuchet MS" w:hAnsi="Trebuchet MS" w:cs="Arial"/>
                <w:b/>
                <w:bCs/>
                <w:sz w:val="20"/>
                <w:szCs w:val="20"/>
              </w:rPr>
              <w:t>14519.8</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b/>
                <w:bCs/>
                <w:sz w:val="20"/>
                <w:szCs w:val="20"/>
              </w:rPr>
            </w:pPr>
            <w:r w:rsidRPr="007B10AF">
              <w:rPr>
                <w:rFonts w:ascii="Trebuchet MS" w:hAnsi="Trebuchet MS" w:cs="Arial"/>
                <w:b/>
                <w:bCs/>
                <w:sz w:val="20"/>
                <w:szCs w:val="20"/>
              </w:rPr>
              <w:t>20148.9</w:t>
            </w:r>
          </w:p>
        </w:tc>
        <w:tc>
          <w:tcPr>
            <w:tcW w:w="960" w:type="dxa"/>
            <w:tcBorders>
              <w:top w:val="single" w:sz="4" w:space="0" w:color="auto"/>
              <w:left w:val="nil"/>
              <w:bottom w:val="single" w:sz="4" w:space="0" w:color="auto"/>
              <w:right w:val="single" w:sz="4" w:space="0" w:color="auto"/>
            </w:tcBorders>
            <w:vAlign w:val="bottom"/>
          </w:tcPr>
          <w:p w:rsidR="008E5BC6" w:rsidRPr="007B10AF" w:rsidRDefault="008E5BC6" w:rsidP="00C05D6F">
            <w:pPr>
              <w:jc w:val="right"/>
              <w:rPr>
                <w:rFonts w:ascii="Trebuchet MS" w:hAnsi="Trebuchet MS" w:cs="Arial"/>
                <w:b/>
                <w:bCs/>
                <w:sz w:val="20"/>
                <w:szCs w:val="20"/>
              </w:rPr>
            </w:pPr>
            <w:r w:rsidRPr="007B10AF">
              <w:rPr>
                <w:rFonts w:ascii="Trebuchet MS" w:hAnsi="Trebuchet MS" w:cs="Arial"/>
                <w:b/>
                <w:bCs/>
                <w:color w:val="000000"/>
                <w:sz w:val="20"/>
                <w:szCs w:val="20"/>
              </w:rPr>
              <w:t>26550.6</w:t>
            </w:r>
          </w:p>
        </w:tc>
        <w:tc>
          <w:tcPr>
            <w:tcW w:w="960" w:type="dxa"/>
            <w:tcBorders>
              <w:top w:val="single" w:sz="4" w:space="0" w:color="auto"/>
              <w:left w:val="single" w:sz="4" w:space="0" w:color="auto"/>
              <w:bottom w:val="single" w:sz="4" w:space="0" w:color="auto"/>
              <w:right w:val="single" w:sz="4" w:space="0" w:color="auto"/>
            </w:tcBorders>
            <w:vAlign w:val="bottom"/>
          </w:tcPr>
          <w:p w:rsidR="008E5BC6" w:rsidRPr="007B10AF" w:rsidRDefault="008E5BC6" w:rsidP="00C05D6F">
            <w:pPr>
              <w:jc w:val="right"/>
              <w:rPr>
                <w:rFonts w:ascii="Trebuchet MS" w:hAnsi="Trebuchet MS" w:cs="Arial"/>
                <w:b/>
                <w:bCs/>
                <w:color w:val="000000"/>
                <w:sz w:val="20"/>
                <w:szCs w:val="20"/>
              </w:rPr>
            </w:pPr>
            <w:r w:rsidRPr="007B10AF">
              <w:rPr>
                <w:rFonts w:ascii="Trebuchet MS" w:hAnsi="Trebuchet MS" w:cs="Arial"/>
                <w:b/>
                <w:bCs/>
                <w:color w:val="000000"/>
                <w:sz w:val="20"/>
                <w:szCs w:val="20"/>
              </w:rPr>
              <w:t>27823.0</w:t>
            </w:r>
          </w:p>
        </w:tc>
      </w:tr>
      <w:tr w:rsidR="008E5BC6" w:rsidRPr="007B10AF" w:rsidTr="008E5BC6">
        <w:trPr>
          <w:trHeight w:val="255"/>
        </w:trPr>
        <w:tc>
          <w:tcPr>
            <w:tcW w:w="3140" w:type="dxa"/>
            <w:tcBorders>
              <w:top w:val="nil"/>
              <w:left w:val="single" w:sz="4" w:space="0" w:color="auto"/>
              <w:bottom w:val="single" w:sz="4" w:space="0" w:color="auto"/>
              <w:right w:val="single" w:sz="4" w:space="0" w:color="auto"/>
            </w:tcBorders>
            <w:vAlign w:val="center"/>
          </w:tcPr>
          <w:p w:rsidR="008E5BC6" w:rsidRPr="007B10AF" w:rsidRDefault="008E5BC6" w:rsidP="00C05D6F">
            <w:pPr>
              <w:rPr>
                <w:rFonts w:ascii="Trebuchet MS" w:hAnsi="Trebuchet MS" w:cs="Arial"/>
                <w:sz w:val="20"/>
                <w:szCs w:val="20"/>
                <w:lang w:val="en-US"/>
              </w:rPr>
            </w:pPr>
            <w:r w:rsidRPr="007B10AF">
              <w:rPr>
                <w:rFonts w:ascii="Trebuchet MS" w:hAnsi="Trebuchet MS" w:cs="Arial"/>
                <w:sz w:val="20"/>
                <w:szCs w:val="20"/>
                <w:lang w:val="en-US"/>
              </w:rPr>
              <w:t>Şosele, străzi şi drumuri</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9747.9</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9899.6</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14616.3</w:t>
            </w:r>
          </w:p>
        </w:tc>
        <w:tc>
          <w:tcPr>
            <w:tcW w:w="960" w:type="dxa"/>
            <w:tcBorders>
              <w:top w:val="single" w:sz="4" w:space="0" w:color="auto"/>
              <w:left w:val="nil"/>
              <w:bottom w:val="single" w:sz="4" w:space="0" w:color="auto"/>
              <w:right w:val="single" w:sz="4" w:space="0" w:color="auto"/>
            </w:tcBorders>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color w:val="000000"/>
                <w:sz w:val="20"/>
                <w:szCs w:val="20"/>
              </w:rPr>
              <w:t>18970.2</w:t>
            </w:r>
          </w:p>
        </w:tc>
        <w:tc>
          <w:tcPr>
            <w:tcW w:w="960" w:type="dxa"/>
            <w:tcBorders>
              <w:top w:val="single" w:sz="4" w:space="0" w:color="auto"/>
              <w:left w:val="single" w:sz="4" w:space="0" w:color="auto"/>
              <w:bottom w:val="single" w:sz="4" w:space="0" w:color="auto"/>
              <w:right w:val="single" w:sz="4" w:space="0" w:color="auto"/>
            </w:tcBorders>
            <w:vAlign w:val="bottom"/>
          </w:tcPr>
          <w:p w:rsidR="008E5BC6" w:rsidRPr="007B10AF" w:rsidRDefault="008E5BC6" w:rsidP="00C05D6F">
            <w:pPr>
              <w:jc w:val="right"/>
              <w:rPr>
                <w:rFonts w:ascii="Trebuchet MS" w:hAnsi="Trebuchet MS" w:cs="Arial"/>
                <w:color w:val="000000"/>
                <w:sz w:val="20"/>
                <w:szCs w:val="20"/>
              </w:rPr>
            </w:pPr>
            <w:r w:rsidRPr="007B10AF">
              <w:rPr>
                <w:rFonts w:ascii="Trebuchet MS" w:hAnsi="Trebuchet MS" w:cs="Arial"/>
                <w:color w:val="000000"/>
                <w:sz w:val="20"/>
                <w:szCs w:val="20"/>
              </w:rPr>
              <w:t>19349.5</w:t>
            </w:r>
          </w:p>
        </w:tc>
      </w:tr>
      <w:tr w:rsidR="008E5BC6" w:rsidRPr="007B10AF" w:rsidTr="008E5BC6">
        <w:trPr>
          <w:trHeight w:val="255"/>
        </w:trPr>
        <w:tc>
          <w:tcPr>
            <w:tcW w:w="3140" w:type="dxa"/>
            <w:tcBorders>
              <w:top w:val="nil"/>
              <w:left w:val="single" w:sz="4" w:space="0" w:color="auto"/>
              <w:bottom w:val="single" w:sz="4" w:space="0" w:color="auto"/>
              <w:right w:val="single" w:sz="4" w:space="0" w:color="auto"/>
            </w:tcBorders>
            <w:vAlign w:val="center"/>
          </w:tcPr>
          <w:p w:rsidR="008E5BC6" w:rsidRPr="007B10AF" w:rsidRDefault="008E5BC6" w:rsidP="00C05D6F">
            <w:pPr>
              <w:rPr>
                <w:rFonts w:ascii="Trebuchet MS" w:hAnsi="Trebuchet MS" w:cs="Arial"/>
                <w:sz w:val="20"/>
                <w:szCs w:val="20"/>
                <w:lang w:val="en-US"/>
              </w:rPr>
            </w:pPr>
            <w:r w:rsidRPr="007B10AF">
              <w:rPr>
                <w:rFonts w:ascii="Trebuchet MS" w:hAnsi="Trebuchet MS" w:cs="Arial"/>
                <w:sz w:val="20"/>
                <w:szCs w:val="20"/>
                <w:lang w:val="en-US"/>
              </w:rPr>
              <w:t>Căi ferate</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979.9</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838.1</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881.6</w:t>
            </w:r>
          </w:p>
        </w:tc>
        <w:tc>
          <w:tcPr>
            <w:tcW w:w="960" w:type="dxa"/>
            <w:tcBorders>
              <w:top w:val="single" w:sz="4" w:space="0" w:color="auto"/>
              <w:left w:val="nil"/>
              <w:bottom w:val="single" w:sz="4" w:space="0" w:color="auto"/>
              <w:right w:val="single" w:sz="4" w:space="0" w:color="auto"/>
            </w:tcBorders>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color w:val="000000"/>
                <w:sz w:val="20"/>
                <w:szCs w:val="20"/>
              </w:rPr>
              <w:t>1807.7</w:t>
            </w:r>
          </w:p>
        </w:tc>
        <w:tc>
          <w:tcPr>
            <w:tcW w:w="960" w:type="dxa"/>
            <w:tcBorders>
              <w:top w:val="single" w:sz="4" w:space="0" w:color="auto"/>
              <w:left w:val="single" w:sz="4" w:space="0" w:color="auto"/>
              <w:bottom w:val="single" w:sz="4" w:space="0" w:color="auto"/>
              <w:right w:val="single" w:sz="4" w:space="0" w:color="auto"/>
            </w:tcBorders>
            <w:vAlign w:val="bottom"/>
          </w:tcPr>
          <w:p w:rsidR="008E5BC6" w:rsidRPr="007B10AF" w:rsidRDefault="008E5BC6" w:rsidP="00C05D6F">
            <w:pPr>
              <w:jc w:val="right"/>
              <w:rPr>
                <w:rFonts w:ascii="Trebuchet MS" w:hAnsi="Trebuchet MS" w:cs="Arial"/>
                <w:color w:val="000000"/>
                <w:sz w:val="20"/>
                <w:szCs w:val="20"/>
              </w:rPr>
            </w:pPr>
            <w:r w:rsidRPr="007B10AF">
              <w:rPr>
                <w:rFonts w:ascii="Trebuchet MS" w:hAnsi="Trebuchet MS" w:cs="Arial"/>
                <w:color w:val="000000"/>
                <w:sz w:val="20"/>
                <w:szCs w:val="20"/>
              </w:rPr>
              <w:t>1529.3</w:t>
            </w:r>
          </w:p>
        </w:tc>
      </w:tr>
      <w:tr w:rsidR="008E5BC6" w:rsidRPr="007B10AF" w:rsidTr="008E5BC6">
        <w:trPr>
          <w:trHeight w:val="255"/>
        </w:trPr>
        <w:tc>
          <w:tcPr>
            <w:tcW w:w="3140" w:type="dxa"/>
            <w:tcBorders>
              <w:top w:val="nil"/>
              <w:left w:val="single" w:sz="4" w:space="0" w:color="auto"/>
              <w:bottom w:val="single" w:sz="4" w:space="0" w:color="auto"/>
              <w:right w:val="single" w:sz="4" w:space="0" w:color="auto"/>
            </w:tcBorders>
            <w:vAlign w:val="center"/>
          </w:tcPr>
          <w:p w:rsidR="008E5BC6" w:rsidRPr="007B10AF" w:rsidRDefault="008E5BC6" w:rsidP="00C05D6F">
            <w:pPr>
              <w:rPr>
                <w:rFonts w:ascii="Trebuchet MS" w:hAnsi="Trebuchet MS" w:cs="Arial"/>
                <w:sz w:val="20"/>
                <w:szCs w:val="20"/>
                <w:lang w:val="en-US"/>
              </w:rPr>
            </w:pPr>
            <w:r w:rsidRPr="007B10AF">
              <w:rPr>
                <w:rFonts w:ascii="Trebuchet MS" w:hAnsi="Trebuchet MS" w:cs="Arial"/>
                <w:sz w:val="20"/>
                <w:szCs w:val="20"/>
                <w:lang w:val="en-US"/>
              </w:rPr>
              <w:t>Piste pentru aeroporturi</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80.8</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9.1</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13.3</w:t>
            </w:r>
          </w:p>
        </w:tc>
        <w:tc>
          <w:tcPr>
            <w:tcW w:w="960" w:type="dxa"/>
            <w:tcBorders>
              <w:top w:val="single" w:sz="4" w:space="0" w:color="auto"/>
              <w:left w:val="nil"/>
              <w:bottom w:val="single" w:sz="4" w:space="0" w:color="auto"/>
              <w:right w:val="single" w:sz="4" w:space="0" w:color="auto"/>
            </w:tcBorders>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color w:val="000000"/>
                <w:sz w:val="20"/>
                <w:szCs w:val="20"/>
              </w:rPr>
              <w:t>84.6</w:t>
            </w:r>
          </w:p>
        </w:tc>
        <w:tc>
          <w:tcPr>
            <w:tcW w:w="960" w:type="dxa"/>
            <w:tcBorders>
              <w:top w:val="single" w:sz="4" w:space="0" w:color="auto"/>
              <w:left w:val="single" w:sz="4" w:space="0" w:color="auto"/>
              <w:bottom w:val="single" w:sz="4" w:space="0" w:color="auto"/>
              <w:right w:val="single" w:sz="4" w:space="0" w:color="auto"/>
            </w:tcBorders>
            <w:vAlign w:val="bottom"/>
          </w:tcPr>
          <w:p w:rsidR="008E5BC6" w:rsidRPr="007B10AF" w:rsidRDefault="008E5BC6" w:rsidP="00C05D6F">
            <w:pPr>
              <w:jc w:val="right"/>
              <w:rPr>
                <w:rFonts w:ascii="Trebuchet MS" w:hAnsi="Trebuchet MS" w:cs="Arial"/>
                <w:color w:val="000000"/>
                <w:sz w:val="20"/>
                <w:szCs w:val="20"/>
              </w:rPr>
            </w:pPr>
            <w:r w:rsidRPr="007B10AF">
              <w:rPr>
                <w:rFonts w:ascii="Trebuchet MS" w:hAnsi="Trebuchet MS" w:cs="Arial"/>
                <w:color w:val="000000"/>
                <w:sz w:val="20"/>
                <w:szCs w:val="20"/>
              </w:rPr>
              <w:t>25.5</w:t>
            </w:r>
          </w:p>
        </w:tc>
      </w:tr>
      <w:tr w:rsidR="008E5BC6" w:rsidRPr="007B10AF" w:rsidTr="008E5BC6">
        <w:trPr>
          <w:trHeight w:val="510"/>
        </w:trPr>
        <w:tc>
          <w:tcPr>
            <w:tcW w:w="3140" w:type="dxa"/>
            <w:tcBorders>
              <w:top w:val="nil"/>
              <w:left w:val="single" w:sz="4" w:space="0" w:color="auto"/>
              <w:bottom w:val="single" w:sz="4" w:space="0" w:color="auto"/>
              <w:right w:val="single" w:sz="4" w:space="0" w:color="auto"/>
            </w:tcBorders>
            <w:vAlign w:val="center"/>
          </w:tcPr>
          <w:p w:rsidR="008E5BC6" w:rsidRPr="007B10AF" w:rsidRDefault="008E5BC6" w:rsidP="00C05D6F">
            <w:pPr>
              <w:rPr>
                <w:rFonts w:ascii="Trebuchet MS" w:hAnsi="Trebuchet MS" w:cs="Arial"/>
                <w:sz w:val="20"/>
                <w:szCs w:val="20"/>
                <w:lang w:val="en-US"/>
              </w:rPr>
            </w:pPr>
            <w:r w:rsidRPr="007B10AF">
              <w:rPr>
                <w:rFonts w:ascii="Trebuchet MS" w:hAnsi="Trebuchet MS" w:cs="Arial"/>
                <w:sz w:val="20"/>
                <w:szCs w:val="20"/>
                <w:lang w:val="en-US"/>
              </w:rPr>
              <w:t>Poduri, şosele suspendate, tunele şi subterane</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2450.6</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2912.5</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3841.7</w:t>
            </w:r>
          </w:p>
        </w:tc>
        <w:tc>
          <w:tcPr>
            <w:tcW w:w="960" w:type="dxa"/>
            <w:tcBorders>
              <w:top w:val="single" w:sz="4" w:space="0" w:color="auto"/>
              <w:left w:val="nil"/>
              <w:bottom w:val="single" w:sz="4" w:space="0" w:color="auto"/>
              <w:right w:val="single" w:sz="4" w:space="0" w:color="auto"/>
            </w:tcBorders>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color w:val="000000"/>
                <w:sz w:val="20"/>
                <w:szCs w:val="20"/>
              </w:rPr>
              <w:t>4929.1</w:t>
            </w:r>
          </w:p>
        </w:tc>
        <w:tc>
          <w:tcPr>
            <w:tcW w:w="960" w:type="dxa"/>
            <w:tcBorders>
              <w:top w:val="single" w:sz="4" w:space="0" w:color="auto"/>
              <w:left w:val="single" w:sz="4" w:space="0" w:color="auto"/>
              <w:bottom w:val="single" w:sz="4" w:space="0" w:color="auto"/>
              <w:right w:val="single" w:sz="4" w:space="0" w:color="auto"/>
            </w:tcBorders>
            <w:vAlign w:val="bottom"/>
          </w:tcPr>
          <w:p w:rsidR="008E5BC6" w:rsidRPr="007B10AF" w:rsidRDefault="008E5BC6" w:rsidP="00C05D6F">
            <w:pPr>
              <w:jc w:val="right"/>
              <w:rPr>
                <w:rFonts w:ascii="Trebuchet MS" w:hAnsi="Trebuchet MS" w:cs="Arial"/>
                <w:color w:val="000000"/>
                <w:sz w:val="20"/>
                <w:szCs w:val="20"/>
              </w:rPr>
            </w:pPr>
            <w:r w:rsidRPr="007B10AF">
              <w:rPr>
                <w:rFonts w:ascii="Trebuchet MS" w:hAnsi="Trebuchet MS" w:cs="Arial"/>
                <w:color w:val="000000"/>
                <w:sz w:val="20"/>
                <w:szCs w:val="20"/>
              </w:rPr>
              <w:t>5908.7</w:t>
            </w:r>
          </w:p>
        </w:tc>
      </w:tr>
      <w:tr w:rsidR="008E5BC6" w:rsidRPr="007B10AF" w:rsidTr="008E5BC6">
        <w:trPr>
          <w:trHeight w:val="765"/>
        </w:trPr>
        <w:tc>
          <w:tcPr>
            <w:tcW w:w="3140" w:type="dxa"/>
            <w:tcBorders>
              <w:top w:val="nil"/>
              <w:left w:val="single" w:sz="4" w:space="0" w:color="auto"/>
              <w:bottom w:val="single" w:sz="4" w:space="0" w:color="auto"/>
              <w:right w:val="single" w:sz="4" w:space="0" w:color="auto"/>
            </w:tcBorders>
            <w:vAlign w:val="center"/>
          </w:tcPr>
          <w:p w:rsidR="008E5BC6" w:rsidRPr="007B10AF" w:rsidRDefault="008E5BC6" w:rsidP="00C05D6F">
            <w:pPr>
              <w:rPr>
                <w:rFonts w:ascii="Trebuchet MS" w:hAnsi="Trebuchet MS" w:cs="Arial"/>
                <w:sz w:val="20"/>
                <w:szCs w:val="20"/>
                <w:lang w:val="it-IT"/>
              </w:rPr>
            </w:pPr>
            <w:r w:rsidRPr="007B10AF">
              <w:rPr>
                <w:rFonts w:ascii="Trebuchet MS" w:hAnsi="Trebuchet MS" w:cs="Arial"/>
                <w:sz w:val="20"/>
                <w:szCs w:val="20"/>
                <w:lang w:val="it-IT"/>
              </w:rPr>
              <w:t>Canale navigabile, construcţii portuare şi  alte construcţii hidrotehnice</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479.5</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860.5</w:t>
            </w:r>
          </w:p>
        </w:tc>
        <w:tc>
          <w:tcPr>
            <w:tcW w:w="960" w:type="dxa"/>
            <w:tcBorders>
              <w:top w:val="nil"/>
              <w:left w:val="nil"/>
              <w:bottom w:val="single" w:sz="4" w:space="0" w:color="auto"/>
              <w:right w:val="single" w:sz="4" w:space="0" w:color="auto"/>
            </w:tcBorders>
            <w:noWrap/>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796.0</w:t>
            </w:r>
          </w:p>
        </w:tc>
        <w:tc>
          <w:tcPr>
            <w:tcW w:w="960" w:type="dxa"/>
            <w:tcBorders>
              <w:top w:val="single" w:sz="4" w:space="0" w:color="auto"/>
              <w:left w:val="nil"/>
              <w:bottom w:val="single" w:sz="4" w:space="0" w:color="auto"/>
              <w:right w:val="single" w:sz="4" w:space="0" w:color="auto"/>
            </w:tcBorders>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759.0</w:t>
            </w:r>
          </w:p>
        </w:tc>
        <w:tc>
          <w:tcPr>
            <w:tcW w:w="960" w:type="dxa"/>
            <w:tcBorders>
              <w:top w:val="single" w:sz="4" w:space="0" w:color="auto"/>
              <w:left w:val="single" w:sz="4" w:space="0" w:color="auto"/>
              <w:bottom w:val="single" w:sz="4" w:space="0" w:color="auto"/>
              <w:right w:val="single" w:sz="4" w:space="0" w:color="auto"/>
            </w:tcBorders>
            <w:vAlign w:val="bottom"/>
          </w:tcPr>
          <w:p w:rsidR="008E5BC6" w:rsidRPr="007B10AF" w:rsidRDefault="008E5BC6" w:rsidP="00C05D6F">
            <w:pPr>
              <w:jc w:val="right"/>
              <w:rPr>
                <w:rFonts w:ascii="Trebuchet MS" w:hAnsi="Trebuchet MS" w:cs="Arial"/>
                <w:sz w:val="20"/>
                <w:szCs w:val="20"/>
              </w:rPr>
            </w:pPr>
            <w:r w:rsidRPr="007B10AF">
              <w:rPr>
                <w:rFonts w:ascii="Trebuchet MS" w:hAnsi="Trebuchet MS" w:cs="Arial"/>
                <w:sz w:val="20"/>
                <w:szCs w:val="20"/>
              </w:rPr>
              <w:t>1010.0</w:t>
            </w:r>
          </w:p>
        </w:tc>
      </w:tr>
    </w:tbl>
    <w:p w:rsidR="00AE762B" w:rsidRDefault="000946BE" w:rsidP="00096D38">
      <w:pPr>
        <w:jc w:val="both"/>
        <w:rPr>
          <w:rFonts w:ascii="Arial" w:hAnsi="Arial" w:cs="Arial"/>
          <w:b/>
        </w:rPr>
      </w:pPr>
      <w:bookmarkStart w:id="179" w:name="_MON_1566643600"/>
      <w:bookmarkStart w:id="180" w:name="_MON_1722159792"/>
      <w:bookmarkEnd w:id="179"/>
      <w:bookmarkEnd w:id="180"/>
      <w:r>
        <w:rPr>
          <w:rFonts w:ascii="Arial" w:hAnsi="Arial" w:cs="Arial"/>
          <w:b/>
          <w:noProof/>
          <w:lang w:val="en-US"/>
        </w:rPr>
        <w:drawing>
          <wp:inline distT="0" distB="0" distL="0" distR="0" wp14:anchorId="4DC98DF7" wp14:editId="48580F87">
            <wp:extent cx="5800725" cy="4800600"/>
            <wp:effectExtent l="0" t="0" r="0" b="0"/>
            <wp:docPr id="147" name="Object 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3327E8" w:rsidRPr="007B10AF" w:rsidRDefault="003327E8" w:rsidP="003327E8">
      <w:pPr>
        <w:rPr>
          <w:rFonts w:ascii="Trebuchet MS" w:hAnsi="Trebuchet MS" w:cs="Arial"/>
          <w:sz w:val="22"/>
          <w:szCs w:val="22"/>
        </w:rPr>
      </w:pPr>
      <w:r w:rsidRPr="007B10AF">
        <w:rPr>
          <w:rFonts w:ascii="Trebuchet MS" w:hAnsi="Trebuchet MS" w:cs="Arial"/>
          <w:sz w:val="22"/>
          <w:szCs w:val="22"/>
        </w:rPr>
        <w:t>Sursa: Institutul Naţional de Statistică (date disponibile doar la nivel naţional)</w:t>
      </w:r>
    </w:p>
    <w:p w:rsidR="003327E8" w:rsidRPr="007B10AF" w:rsidRDefault="003327E8" w:rsidP="003327E8">
      <w:pPr>
        <w:rPr>
          <w:rFonts w:ascii="Trebuchet MS" w:hAnsi="Trebuchet MS" w:cs="Arial"/>
          <w:sz w:val="22"/>
          <w:szCs w:val="22"/>
        </w:rPr>
      </w:pPr>
      <w:r w:rsidRPr="007B10AF">
        <w:rPr>
          <w:rFonts w:ascii="Trebuchet MS" w:hAnsi="Trebuchet MS" w:cs="Arial"/>
          <w:sz w:val="22"/>
          <w:szCs w:val="22"/>
        </w:rPr>
        <w:t>http://www.insse.ro/cms/files/Web_IDD_BD_ro/index.htm/O3_11</w:t>
      </w:r>
    </w:p>
    <w:p w:rsidR="00AE762B" w:rsidRPr="007B10AF" w:rsidRDefault="00AE762B" w:rsidP="00096D38">
      <w:pPr>
        <w:jc w:val="both"/>
        <w:rPr>
          <w:rFonts w:ascii="Trebuchet MS" w:hAnsi="Trebuchet MS" w:cs="Arial"/>
          <w:b/>
          <w:sz w:val="22"/>
          <w:szCs w:val="22"/>
        </w:rPr>
      </w:pPr>
    </w:p>
    <w:p w:rsidR="00AE762B" w:rsidRPr="007B10AF" w:rsidRDefault="00AE762B" w:rsidP="00EA3B27">
      <w:pPr>
        <w:rPr>
          <w:rFonts w:ascii="Trebuchet MS" w:hAnsi="Trebuchet MS" w:cs="Arial"/>
          <w:b/>
          <w:sz w:val="22"/>
          <w:szCs w:val="22"/>
        </w:rPr>
      </w:pPr>
      <w:r w:rsidRPr="007B10AF">
        <w:rPr>
          <w:rFonts w:ascii="Trebuchet MS" w:hAnsi="Trebuchet MS" w:cs="Arial"/>
          <w:b/>
          <w:sz w:val="22"/>
          <w:szCs w:val="22"/>
        </w:rPr>
        <w:t xml:space="preserve">Pentru indicatorul RO36- CSI36- Cererea de transport de marfuri, </w:t>
      </w:r>
    </w:p>
    <w:p w:rsidR="00AE762B" w:rsidRPr="007B10AF" w:rsidRDefault="00AE762B" w:rsidP="00EA3B27">
      <w:pPr>
        <w:rPr>
          <w:rFonts w:ascii="Trebuchet MS" w:hAnsi="Trebuchet MS" w:cs="Arial"/>
          <w:sz w:val="22"/>
          <w:szCs w:val="22"/>
        </w:rPr>
      </w:pPr>
      <w:r w:rsidRPr="007B10AF">
        <w:rPr>
          <w:rFonts w:ascii="Trebuchet MS" w:hAnsi="Trebuchet MS" w:cs="Arial"/>
          <w:sz w:val="22"/>
          <w:szCs w:val="22"/>
        </w:rPr>
        <w:t>Datele sunt disponibile doar la nivel naţional</w:t>
      </w:r>
    </w:p>
    <w:p w:rsidR="00AE762B" w:rsidRPr="007B10AF" w:rsidRDefault="00AE762B" w:rsidP="00EA3B27">
      <w:pPr>
        <w:autoSpaceDE w:val="0"/>
        <w:autoSpaceDN w:val="0"/>
        <w:adjustRightInd w:val="0"/>
        <w:rPr>
          <w:rFonts w:ascii="Trebuchet MS" w:hAnsi="Trebuchet MS" w:cs="Arial"/>
          <w:sz w:val="22"/>
          <w:szCs w:val="22"/>
          <w:lang w:val="en-US"/>
        </w:rPr>
      </w:pPr>
      <w:r w:rsidRPr="007B10AF">
        <w:rPr>
          <w:rFonts w:ascii="Trebuchet MS" w:hAnsi="Trebuchet MS" w:cs="Arial"/>
          <w:sz w:val="22"/>
          <w:szCs w:val="22"/>
          <w:lang w:val="en-US"/>
        </w:rPr>
        <w:t>Cererea de transport de marfă este definită ca suma de tone-kilometri interni parcurşi în fiecare an. Potrivit celor mai recente metadate transportul naval intern include transportul rutier, feroviar şi pe căi navigabile interioare: căile navigabile şi de transport feroviar interioare se bazează pe mişcările de pe teritoriul naţional ("principiul teritorialităţii"), indiferent de naţionalitatea vehiculului sau a navei, transportul rutier se bazează pe toate deplasările vehiculelor înregistrate în ţara de raportare.</w:t>
      </w:r>
    </w:p>
    <w:p w:rsidR="00AE762B" w:rsidRPr="007B10AF" w:rsidRDefault="00AE762B" w:rsidP="00EA3B27">
      <w:pPr>
        <w:rPr>
          <w:rFonts w:ascii="Trebuchet MS" w:hAnsi="Trebuchet MS" w:cs="Arial"/>
          <w:b/>
          <w:sz w:val="22"/>
          <w:szCs w:val="22"/>
        </w:rPr>
      </w:pPr>
    </w:p>
    <w:p w:rsidR="00AE762B" w:rsidRPr="007B10AF" w:rsidRDefault="00AE762B" w:rsidP="00EA3B27">
      <w:pPr>
        <w:rPr>
          <w:rFonts w:ascii="Trebuchet MS" w:hAnsi="Trebuchet MS" w:cs="Arial"/>
          <w:b/>
          <w:sz w:val="22"/>
          <w:szCs w:val="22"/>
        </w:rPr>
      </w:pPr>
    </w:p>
    <w:p w:rsidR="00AE762B" w:rsidRPr="007B10AF" w:rsidRDefault="00AE762B" w:rsidP="00EA3B27">
      <w:pPr>
        <w:rPr>
          <w:rFonts w:ascii="Trebuchet MS" w:hAnsi="Trebuchet MS" w:cs="Arial"/>
          <w:b/>
          <w:sz w:val="22"/>
          <w:szCs w:val="22"/>
        </w:rPr>
      </w:pPr>
    </w:p>
    <w:p w:rsidR="00AE762B" w:rsidRPr="007B10AF" w:rsidRDefault="00AE762B" w:rsidP="00EA3B27">
      <w:pPr>
        <w:rPr>
          <w:rFonts w:ascii="Trebuchet MS" w:hAnsi="Trebuchet MS" w:cs="Arial"/>
          <w:b/>
          <w:sz w:val="22"/>
          <w:szCs w:val="22"/>
        </w:rPr>
      </w:pPr>
    </w:p>
    <w:p w:rsidR="006902C8" w:rsidRPr="007B10AF" w:rsidRDefault="006902C8" w:rsidP="00EA3B27">
      <w:pPr>
        <w:rPr>
          <w:rFonts w:ascii="Trebuchet MS" w:hAnsi="Trebuchet MS" w:cs="Arial"/>
          <w:b/>
          <w:sz w:val="22"/>
          <w:szCs w:val="22"/>
        </w:rPr>
      </w:pPr>
    </w:p>
    <w:p w:rsidR="006902C8" w:rsidRPr="007B10AF" w:rsidRDefault="006902C8" w:rsidP="00EA3B27">
      <w:pPr>
        <w:rPr>
          <w:rFonts w:ascii="Trebuchet MS" w:hAnsi="Trebuchet MS" w:cs="Arial"/>
          <w:b/>
          <w:sz w:val="22"/>
          <w:szCs w:val="22"/>
        </w:rPr>
      </w:pPr>
    </w:p>
    <w:p w:rsidR="006902C8" w:rsidRPr="007B10AF" w:rsidRDefault="006902C8" w:rsidP="00EA3B27">
      <w:pPr>
        <w:rPr>
          <w:rFonts w:ascii="Trebuchet MS" w:hAnsi="Trebuchet MS" w:cs="Arial"/>
          <w:b/>
          <w:sz w:val="22"/>
          <w:szCs w:val="22"/>
        </w:rPr>
      </w:pPr>
    </w:p>
    <w:p w:rsidR="006902C8" w:rsidRPr="007B10AF" w:rsidRDefault="006902C8" w:rsidP="00EA3B27">
      <w:pPr>
        <w:rPr>
          <w:rFonts w:ascii="Trebuchet MS" w:hAnsi="Trebuchet MS" w:cs="Arial"/>
          <w:b/>
          <w:sz w:val="22"/>
          <w:szCs w:val="22"/>
        </w:rPr>
      </w:pPr>
    </w:p>
    <w:p w:rsidR="006902C8" w:rsidRPr="007B10AF" w:rsidRDefault="006902C8" w:rsidP="00EA3B27">
      <w:pPr>
        <w:rPr>
          <w:rFonts w:ascii="Trebuchet MS" w:hAnsi="Trebuchet MS" w:cs="Arial"/>
          <w:b/>
          <w:sz w:val="22"/>
          <w:szCs w:val="22"/>
        </w:rPr>
      </w:pPr>
    </w:p>
    <w:p w:rsidR="00AE762B" w:rsidRDefault="00AE762B" w:rsidP="00EA3B27">
      <w:pPr>
        <w:rPr>
          <w:rFonts w:ascii="Trebuchet MS" w:hAnsi="Trebuchet MS" w:cs="Arial"/>
          <w:b/>
          <w:sz w:val="22"/>
          <w:szCs w:val="22"/>
        </w:rPr>
      </w:pPr>
    </w:p>
    <w:p w:rsidR="007B10AF" w:rsidRPr="007B10AF" w:rsidRDefault="007B10AF" w:rsidP="00EA3B27">
      <w:pPr>
        <w:rPr>
          <w:rFonts w:ascii="Trebuchet MS" w:hAnsi="Trebuchet MS" w:cs="Arial"/>
          <w:b/>
          <w:sz w:val="22"/>
          <w:szCs w:val="22"/>
        </w:rPr>
      </w:pPr>
    </w:p>
    <w:p w:rsidR="00AE762B" w:rsidRPr="007B10AF" w:rsidRDefault="00AE762B" w:rsidP="00EA3B27">
      <w:pPr>
        <w:rPr>
          <w:rFonts w:ascii="Trebuchet MS" w:hAnsi="Trebuchet MS" w:cs="Arial"/>
          <w:b/>
          <w:sz w:val="22"/>
          <w:szCs w:val="22"/>
        </w:rPr>
      </w:pPr>
    </w:p>
    <w:p w:rsidR="00AE762B" w:rsidRPr="007B10AF" w:rsidRDefault="00AE762B" w:rsidP="00EA3B27">
      <w:pPr>
        <w:rPr>
          <w:rFonts w:ascii="Trebuchet MS" w:hAnsi="Trebuchet MS" w:cs="Arial"/>
          <w:b/>
          <w:sz w:val="22"/>
          <w:szCs w:val="22"/>
        </w:rPr>
      </w:pPr>
      <w:r w:rsidRPr="007B10AF">
        <w:rPr>
          <w:rFonts w:ascii="Trebuchet MS" w:hAnsi="Trebuchet MS" w:cs="Arial"/>
          <w:b/>
          <w:sz w:val="22"/>
          <w:szCs w:val="22"/>
        </w:rPr>
        <w:t>Volumul de marfuri raportat la PIB</w:t>
      </w:r>
    </w:p>
    <w:p w:rsidR="00AE762B" w:rsidRPr="007B10AF" w:rsidRDefault="00AE762B" w:rsidP="00EA3B27">
      <w:pPr>
        <w:rPr>
          <w:rFonts w:ascii="Trebuchet MS" w:hAnsi="Trebuchet MS" w:cs="Arial"/>
          <w:b/>
          <w:sz w:val="22"/>
          <w:szCs w:val="22"/>
        </w:rPr>
      </w:pPr>
    </w:p>
    <w:p w:rsidR="00AE762B" w:rsidRPr="007B10AF" w:rsidRDefault="00AE762B" w:rsidP="00EA3B27">
      <w:pPr>
        <w:rPr>
          <w:rFonts w:ascii="Trebuchet MS" w:hAnsi="Trebuchet MS" w:cs="Arial"/>
          <w:b/>
          <w:sz w:val="22"/>
          <w:szCs w:val="22"/>
        </w:rPr>
      </w:pPr>
      <w:r w:rsidRPr="007B10AF">
        <w:rPr>
          <w:rFonts w:ascii="Trebuchet MS" w:hAnsi="Trebuchet MS" w:cs="Arial"/>
          <w:sz w:val="22"/>
          <w:szCs w:val="22"/>
        </w:rPr>
        <w:t xml:space="preserve">Tabel XI.1.3.4- </w:t>
      </w:r>
      <w:r w:rsidR="008616EA" w:rsidRPr="007B10AF">
        <w:rPr>
          <w:rFonts w:ascii="Trebuchet MS" w:hAnsi="Trebuchet MS" w:cs="Arial"/>
          <w:sz w:val="22"/>
          <w:szCs w:val="22"/>
        </w:rPr>
        <w:t>Indice la valoarea din 201</w:t>
      </w:r>
      <w:r w:rsidR="00073ACB" w:rsidRPr="007B10AF">
        <w:rPr>
          <w:rFonts w:ascii="Trebuchet MS" w:hAnsi="Trebuchet MS" w:cs="Arial"/>
          <w:sz w:val="22"/>
          <w:szCs w:val="22"/>
        </w:rPr>
        <w:t>5</w:t>
      </w:r>
      <w:r w:rsidR="002F697D" w:rsidRPr="007B10AF">
        <w:rPr>
          <w:rFonts w:ascii="Trebuchet MS" w:hAnsi="Trebuchet MS" w:cs="Arial"/>
          <w:sz w:val="22"/>
          <w:szCs w:val="22"/>
        </w:rPr>
        <w:t xml:space="preserve">, al volumului din anul curent al transportului de mărfuri în tone-kilometri, raportat la PIB (exprimat în Euro, la rata de schimb a anului </w:t>
      </w:r>
      <w:r w:rsidR="008616EA" w:rsidRPr="007B10AF">
        <w:rPr>
          <w:rFonts w:ascii="Trebuchet MS" w:hAnsi="Trebuchet MS" w:cs="Arial"/>
          <w:sz w:val="22"/>
          <w:szCs w:val="22"/>
        </w:rPr>
        <w:t xml:space="preserve"> 201</w:t>
      </w:r>
      <w:r w:rsidR="00073ACB" w:rsidRPr="007B10AF">
        <w:rPr>
          <w:rFonts w:ascii="Trebuchet MS" w:hAnsi="Trebuchet MS" w:cs="Arial"/>
          <w:sz w:val="22"/>
          <w:szCs w:val="22"/>
        </w:rPr>
        <w:t>5</w:t>
      </w:r>
      <w:r w:rsidRPr="007B10AF">
        <w:rPr>
          <w:rFonts w:ascii="Trebuchet MS" w:hAnsi="Trebuchet MS" w:cs="Arial"/>
          <w:sz w:val="22"/>
          <w:szCs w:val="22"/>
        </w:rPr>
        <w:t>- la nivel naţional</w:t>
      </w:r>
    </w:p>
    <w:tbl>
      <w:tblPr>
        <w:tblW w:w="4800" w:type="dxa"/>
        <w:tblInd w:w="91" w:type="dxa"/>
        <w:tblLook w:val="00A0" w:firstRow="1" w:lastRow="0" w:firstColumn="1" w:lastColumn="0" w:noHBand="0" w:noVBand="0"/>
      </w:tblPr>
      <w:tblGrid>
        <w:gridCol w:w="960"/>
        <w:gridCol w:w="960"/>
        <w:gridCol w:w="960"/>
        <w:gridCol w:w="960"/>
        <w:gridCol w:w="960"/>
      </w:tblGrid>
      <w:tr w:rsidR="00073ACB" w:rsidRPr="00EA3B27" w:rsidTr="00EA3B27">
        <w:trPr>
          <w:trHeight w:val="255"/>
        </w:trPr>
        <w:tc>
          <w:tcPr>
            <w:tcW w:w="960" w:type="dxa"/>
            <w:tcBorders>
              <w:top w:val="single" w:sz="4" w:space="0" w:color="auto"/>
              <w:left w:val="single" w:sz="4" w:space="0" w:color="auto"/>
              <w:bottom w:val="single" w:sz="4" w:space="0" w:color="auto"/>
              <w:right w:val="single" w:sz="4" w:space="0" w:color="auto"/>
            </w:tcBorders>
            <w:shd w:val="clear" w:color="000000" w:fill="FFFF99"/>
            <w:noWrap/>
            <w:vAlign w:val="bottom"/>
          </w:tcPr>
          <w:p w:rsidR="00073ACB" w:rsidRDefault="00073ACB" w:rsidP="00073ACB">
            <w:pPr>
              <w:jc w:val="right"/>
              <w:rPr>
                <w:rFonts w:ascii="Arial" w:hAnsi="Arial" w:cs="Arial"/>
                <w:b/>
                <w:bCs/>
                <w:sz w:val="20"/>
                <w:szCs w:val="20"/>
              </w:rPr>
            </w:pPr>
            <w:r>
              <w:rPr>
                <w:rFonts w:ascii="Arial" w:hAnsi="Arial" w:cs="Arial"/>
                <w:b/>
                <w:bCs/>
                <w:sz w:val="20"/>
                <w:szCs w:val="20"/>
              </w:rPr>
              <w:t>2017</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073ACB" w:rsidRDefault="00073ACB" w:rsidP="00073ACB">
            <w:pPr>
              <w:jc w:val="right"/>
              <w:rPr>
                <w:rFonts w:ascii="Arial" w:hAnsi="Arial" w:cs="Arial"/>
                <w:b/>
                <w:bCs/>
                <w:sz w:val="20"/>
                <w:szCs w:val="20"/>
              </w:rPr>
            </w:pPr>
            <w:r>
              <w:rPr>
                <w:rFonts w:ascii="Arial" w:hAnsi="Arial" w:cs="Arial"/>
                <w:b/>
                <w:bCs/>
                <w:sz w:val="20"/>
                <w:szCs w:val="20"/>
              </w:rPr>
              <w:t>2018</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073ACB" w:rsidRDefault="00073ACB" w:rsidP="00073ACB">
            <w:pPr>
              <w:jc w:val="right"/>
              <w:rPr>
                <w:rFonts w:ascii="Arial" w:hAnsi="Arial" w:cs="Arial"/>
                <w:b/>
                <w:bCs/>
                <w:sz w:val="20"/>
                <w:szCs w:val="20"/>
              </w:rPr>
            </w:pPr>
            <w:r>
              <w:rPr>
                <w:rFonts w:ascii="Arial" w:hAnsi="Arial" w:cs="Arial"/>
                <w:b/>
                <w:bCs/>
                <w:sz w:val="20"/>
                <w:szCs w:val="20"/>
              </w:rPr>
              <w:t>2019</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073ACB" w:rsidRDefault="00073ACB" w:rsidP="00073ACB">
            <w:pPr>
              <w:jc w:val="right"/>
              <w:rPr>
                <w:rFonts w:ascii="Arial" w:hAnsi="Arial" w:cs="Arial"/>
                <w:b/>
                <w:bCs/>
                <w:sz w:val="20"/>
                <w:szCs w:val="20"/>
              </w:rPr>
            </w:pPr>
            <w:r>
              <w:rPr>
                <w:rFonts w:ascii="Arial" w:hAnsi="Arial" w:cs="Arial"/>
                <w:b/>
                <w:bCs/>
                <w:sz w:val="20"/>
                <w:szCs w:val="20"/>
              </w:rPr>
              <w:t>2020</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073ACB" w:rsidRDefault="00073ACB" w:rsidP="00073ACB">
            <w:pPr>
              <w:jc w:val="right"/>
              <w:rPr>
                <w:rFonts w:ascii="Arial" w:hAnsi="Arial" w:cs="Arial"/>
                <w:b/>
                <w:bCs/>
                <w:sz w:val="20"/>
                <w:szCs w:val="20"/>
              </w:rPr>
            </w:pPr>
            <w:r>
              <w:rPr>
                <w:rFonts w:ascii="Arial" w:hAnsi="Arial" w:cs="Arial"/>
                <w:b/>
                <w:bCs/>
                <w:sz w:val="20"/>
                <w:szCs w:val="20"/>
              </w:rPr>
              <w:t>2021</w:t>
            </w:r>
          </w:p>
        </w:tc>
      </w:tr>
      <w:tr w:rsidR="00073ACB" w:rsidRPr="00EA3B27" w:rsidTr="003F5F21">
        <w:trPr>
          <w:trHeight w:val="255"/>
        </w:trPr>
        <w:tc>
          <w:tcPr>
            <w:tcW w:w="960" w:type="dxa"/>
            <w:tcBorders>
              <w:top w:val="nil"/>
              <w:left w:val="single" w:sz="4" w:space="0" w:color="auto"/>
              <w:bottom w:val="single" w:sz="4" w:space="0" w:color="auto"/>
              <w:right w:val="single" w:sz="4" w:space="0" w:color="auto"/>
            </w:tcBorders>
            <w:noWrap/>
            <w:vAlign w:val="center"/>
          </w:tcPr>
          <w:p w:rsidR="00073ACB" w:rsidRDefault="00073ACB" w:rsidP="00073ACB">
            <w:pPr>
              <w:jc w:val="right"/>
              <w:rPr>
                <w:rFonts w:ascii="Arial" w:hAnsi="Arial" w:cs="Arial"/>
                <w:sz w:val="20"/>
                <w:szCs w:val="20"/>
              </w:rPr>
            </w:pPr>
            <w:r>
              <w:rPr>
                <w:rFonts w:ascii="Arial" w:hAnsi="Arial" w:cs="Arial"/>
                <w:sz w:val="20"/>
                <w:szCs w:val="20"/>
              </w:rPr>
              <w:t>94.8</w:t>
            </w:r>
          </w:p>
        </w:tc>
        <w:tc>
          <w:tcPr>
            <w:tcW w:w="960" w:type="dxa"/>
            <w:tcBorders>
              <w:top w:val="nil"/>
              <w:left w:val="nil"/>
              <w:bottom w:val="single" w:sz="4" w:space="0" w:color="auto"/>
              <w:right w:val="single" w:sz="4" w:space="0" w:color="auto"/>
            </w:tcBorders>
            <w:noWrap/>
            <w:vAlign w:val="center"/>
          </w:tcPr>
          <w:p w:rsidR="00073ACB" w:rsidRDefault="00073ACB" w:rsidP="00073ACB">
            <w:pPr>
              <w:jc w:val="right"/>
              <w:rPr>
                <w:rFonts w:ascii="Arial" w:hAnsi="Arial" w:cs="Arial"/>
                <w:sz w:val="20"/>
                <w:szCs w:val="20"/>
              </w:rPr>
            </w:pPr>
            <w:r>
              <w:rPr>
                <w:rFonts w:ascii="Arial" w:hAnsi="Arial" w:cs="Arial"/>
                <w:sz w:val="20"/>
                <w:szCs w:val="20"/>
              </w:rPr>
              <w:t>88.6</w:t>
            </w:r>
          </w:p>
        </w:tc>
        <w:tc>
          <w:tcPr>
            <w:tcW w:w="960" w:type="dxa"/>
            <w:tcBorders>
              <w:top w:val="nil"/>
              <w:left w:val="nil"/>
              <w:bottom w:val="single" w:sz="4" w:space="0" w:color="auto"/>
              <w:right w:val="single" w:sz="4" w:space="0" w:color="auto"/>
            </w:tcBorders>
            <w:noWrap/>
            <w:vAlign w:val="center"/>
          </w:tcPr>
          <w:p w:rsidR="00073ACB" w:rsidRDefault="00073ACB" w:rsidP="00073ACB">
            <w:pPr>
              <w:jc w:val="right"/>
              <w:rPr>
                <w:rFonts w:ascii="Arial" w:hAnsi="Arial" w:cs="Arial"/>
                <w:sz w:val="20"/>
                <w:szCs w:val="20"/>
              </w:rPr>
            </w:pPr>
            <w:r>
              <w:rPr>
                <w:rFonts w:ascii="Arial" w:hAnsi="Arial" w:cs="Arial"/>
                <w:sz w:val="20"/>
                <w:szCs w:val="20"/>
              </w:rPr>
              <w:t>93.4</w:t>
            </w:r>
          </w:p>
        </w:tc>
        <w:tc>
          <w:tcPr>
            <w:tcW w:w="960" w:type="dxa"/>
            <w:tcBorders>
              <w:top w:val="nil"/>
              <w:left w:val="nil"/>
              <w:bottom w:val="single" w:sz="4" w:space="0" w:color="auto"/>
              <w:right w:val="single" w:sz="4" w:space="0" w:color="auto"/>
            </w:tcBorders>
            <w:noWrap/>
            <w:vAlign w:val="center"/>
          </w:tcPr>
          <w:p w:rsidR="00073ACB" w:rsidRDefault="00073ACB" w:rsidP="00073ACB">
            <w:pPr>
              <w:jc w:val="right"/>
              <w:rPr>
                <w:rFonts w:ascii="Arial" w:hAnsi="Arial" w:cs="Arial"/>
                <w:sz w:val="20"/>
                <w:szCs w:val="20"/>
              </w:rPr>
            </w:pPr>
            <w:r>
              <w:rPr>
                <w:rFonts w:ascii="Arial" w:hAnsi="Arial" w:cs="Arial"/>
                <w:sz w:val="20"/>
                <w:szCs w:val="20"/>
              </w:rPr>
              <w:t>93.1</w:t>
            </w:r>
          </w:p>
        </w:tc>
        <w:tc>
          <w:tcPr>
            <w:tcW w:w="960" w:type="dxa"/>
            <w:tcBorders>
              <w:top w:val="nil"/>
              <w:left w:val="nil"/>
              <w:bottom w:val="single" w:sz="4" w:space="0" w:color="auto"/>
              <w:right w:val="single" w:sz="4" w:space="0" w:color="auto"/>
            </w:tcBorders>
            <w:noWrap/>
            <w:vAlign w:val="bottom"/>
          </w:tcPr>
          <w:p w:rsidR="00073ACB" w:rsidRDefault="00073ACB" w:rsidP="00073ACB">
            <w:pPr>
              <w:jc w:val="right"/>
              <w:rPr>
                <w:rFonts w:ascii="Arial" w:hAnsi="Arial" w:cs="Arial"/>
                <w:sz w:val="20"/>
                <w:szCs w:val="20"/>
              </w:rPr>
            </w:pPr>
            <w:r>
              <w:rPr>
                <w:rFonts w:ascii="Arial" w:hAnsi="Arial" w:cs="Arial"/>
                <w:sz w:val="20"/>
                <w:szCs w:val="20"/>
              </w:rPr>
              <w:t>99.7</w:t>
            </w:r>
          </w:p>
        </w:tc>
      </w:tr>
    </w:tbl>
    <w:p w:rsidR="00AE762B" w:rsidRDefault="000946BE" w:rsidP="00EA3B27">
      <w:pPr>
        <w:rPr>
          <w:rFonts w:ascii="Arial" w:hAnsi="Arial" w:cs="Arial"/>
          <w:b/>
        </w:rPr>
      </w:pPr>
      <w:bookmarkStart w:id="181" w:name="_MON_1566643917"/>
      <w:bookmarkStart w:id="182" w:name="_MON_1722160239"/>
      <w:bookmarkEnd w:id="181"/>
      <w:bookmarkEnd w:id="182"/>
      <w:r>
        <w:rPr>
          <w:rFonts w:ascii="Arial" w:hAnsi="Arial" w:cs="Arial"/>
          <w:b/>
          <w:noProof/>
          <w:lang w:val="en-US"/>
        </w:rPr>
        <w:drawing>
          <wp:inline distT="0" distB="0" distL="0" distR="0" wp14:anchorId="73A4E706" wp14:editId="183FD92D">
            <wp:extent cx="5200650" cy="3257550"/>
            <wp:effectExtent l="0" t="0" r="0" b="0"/>
            <wp:docPr id="148" name="Object 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7B09E7" w:rsidRPr="007B10AF" w:rsidRDefault="007B09E7" w:rsidP="007B09E7">
      <w:pPr>
        <w:rPr>
          <w:rFonts w:ascii="Trebuchet MS" w:hAnsi="Trebuchet MS" w:cs="Arial"/>
        </w:rPr>
      </w:pPr>
      <w:r w:rsidRPr="007B10AF">
        <w:rPr>
          <w:rFonts w:ascii="Trebuchet MS" w:hAnsi="Trebuchet MS" w:cs="Arial"/>
        </w:rPr>
        <w:t>Sursa: Institutul Naţional de Statistică (date disponibile doar la nivel naţional)</w:t>
      </w:r>
    </w:p>
    <w:p w:rsidR="007B09E7" w:rsidRPr="007B10AF" w:rsidRDefault="007B09E7" w:rsidP="007B09E7">
      <w:pPr>
        <w:rPr>
          <w:rFonts w:ascii="Trebuchet MS" w:hAnsi="Trebuchet MS" w:cs="Arial"/>
        </w:rPr>
      </w:pPr>
      <w:r w:rsidRPr="007B10AF">
        <w:rPr>
          <w:rFonts w:ascii="Trebuchet MS" w:hAnsi="Trebuchet MS" w:cs="Arial"/>
        </w:rPr>
        <w:t>http://www.insse.ro/cms/files/Web_IDD_BD_ro/index.htm/O3_2</w:t>
      </w:r>
    </w:p>
    <w:p w:rsidR="007B09E7" w:rsidRPr="007B10AF" w:rsidRDefault="007B09E7" w:rsidP="00EA3B27">
      <w:pPr>
        <w:rPr>
          <w:rFonts w:ascii="Trebuchet MS" w:hAnsi="Trebuchet MS" w:cs="Arial"/>
        </w:rPr>
      </w:pPr>
    </w:p>
    <w:p w:rsidR="00AE762B" w:rsidRPr="007B10AF" w:rsidRDefault="006B15D6" w:rsidP="00EA3B27">
      <w:pPr>
        <w:rPr>
          <w:rFonts w:ascii="Trebuchet MS" w:hAnsi="Trebuchet MS" w:cs="Arial"/>
          <w:b/>
        </w:rPr>
      </w:pPr>
      <w:r w:rsidRPr="007B10AF">
        <w:rPr>
          <w:rFonts w:ascii="Trebuchet MS" w:hAnsi="Trebuchet MS" w:cs="Arial"/>
        </w:rPr>
        <w:t>Tabel X</w:t>
      </w:r>
      <w:r w:rsidR="00AE762B" w:rsidRPr="007B10AF">
        <w:rPr>
          <w:rFonts w:ascii="Trebuchet MS" w:hAnsi="Trebuchet MS" w:cs="Arial"/>
        </w:rPr>
        <w:t>.1.3.5-</w:t>
      </w:r>
      <w:r w:rsidR="00AE762B" w:rsidRPr="007B10AF">
        <w:rPr>
          <w:rFonts w:ascii="Trebuchet MS" w:hAnsi="Trebuchet MS"/>
        </w:rPr>
        <w:t xml:space="preserve"> </w:t>
      </w:r>
      <w:r w:rsidR="00AE762B" w:rsidRPr="007B10AF">
        <w:rPr>
          <w:rFonts w:ascii="Trebuchet MS" w:hAnsi="Trebuchet MS" w:cs="Arial"/>
        </w:rPr>
        <w:t>Ponderea fiecărui mod în transportul de mărfuri -la nivel naţional</w:t>
      </w:r>
    </w:p>
    <w:tbl>
      <w:tblPr>
        <w:tblW w:w="5960"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8"/>
        <w:gridCol w:w="740"/>
        <w:gridCol w:w="685"/>
        <w:gridCol w:w="685"/>
        <w:gridCol w:w="685"/>
        <w:gridCol w:w="960"/>
      </w:tblGrid>
      <w:tr w:rsidR="00073ACB" w:rsidRPr="007B10AF" w:rsidTr="00EA3B27">
        <w:trPr>
          <w:trHeight w:val="255"/>
        </w:trPr>
        <w:tc>
          <w:tcPr>
            <w:tcW w:w="2258" w:type="dxa"/>
            <w:noWrap/>
            <w:vAlign w:val="bottom"/>
          </w:tcPr>
          <w:p w:rsidR="00073ACB" w:rsidRPr="007B10AF" w:rsidRDefault="00073ACB" w:rsidP="00073ACB">
            <w:pPr>
              <w:jc w:val="center"/>
              <w:rPr>
                <w:rFonts w:ascii="Trebuchet MS" w:hAnsi="Trebuchet MS" w:cs="Arial"/>
                <w:b/>
                <w:bCs/>
                <w:sz w:val="20"/>
                <w:szCs w:val="20"/>
                <w:lang w:val="en-US"/>
              </w:rPr>
            </w:pPr>
            <w:r w:rsidRPr="007B10AF">
              <w:rPr>
                <w:rFonts w:ascii="Trebuchet MS" w:hAnsi="Trebuchet MS" w:cs="Arial"/>
                <w:b/>
                <w:bCs/>
                <w:sz w:val="20"/>
                <w:szCs w:val="20"/>
                <w:lang w:val="en-US"/>
              </w:rPr>
              <w:t> </w:t>
            </w:r>
          </w:p>
        </w:tc>
        <w:tc>
          <w:tcPr>
            <w:tcW w:w="740" w:type="dxa"/>
            <w:shd w:val="clear" w:color="000000" w:fill="FFFF00"/>
            <w:noWrap/>
            <w:vAlign w:val="bottom"/>
          </w:tcPr>
          <w:p w:rsidR="00073ACB" w:rsidRPr="007B10AF" w:rsidRDefault="00073ACB" w:rsidP="00073ACB">
            <w:pPr>
              <w:jc w:val="right"/>
              <w:rPr>
                <w:rFonts w:ascii="Trebuchet MS" w:hAnsi="Trebuchet MS" w:cs="Arial"/>
                <w:b/>
                <w:bCs/>
                <w:sz w:val="20"/>
                <w:szCs w:val="20"/>
              </w:rPr>
            </w:pPr>
            <w:r w:rsidRPr="007B10AF">
              <w:rPr>
                <w:rFonts w:ascii="Trebuchet MS" w:hAnsi="Trebuchet MS" w:cs="Arial"/>
                <w:b/>
                <w:bCs/>
                <w:sz w:val="20"/>
                <w:szCs w:val="20"/>
              </w:rPr>
              <w:t>2017</w:t>
            </w:r>
          </w:p>
        </w:tc>
        <w:tc>
          <w:tcPr>
            <w:tcW w:w="661" w:type="dxa"/>
            <w:shd w:val="clear" w:color="000000" w:fill="FFFF00"/>
            <w:noWrap/>
            <w:vAlign w:val="bottom"/>
          </w:tcPr>
          <w:p w:rsidR="00073ACB" w:rsidRPr="007B10AF" w:rsidRDefault="00073ACB" w:rsidP="00073ACB">
            <w:pPr>
              <w:jc w:val="right"/>
              <w:rPr>
                <w:rFonts w:ascii="Trebuchet MS" w:hAnsi="Trebuchet MS" w:cs="Arial"/>
                <w:b/>
                <w:bCs/>
                <w:sz w:val="20"/>
                <w:szCs w:val="20"/>
              </w:rPr>
            </w:pPr>
            <w:r w:rsidRPr="007B10AF">
              <w:rPr>
                <w:rFonts w:ascii="Trebuchet MS" w:hAnsi="Trebuchet MS" w:cs="Arial"/>
                <w:b/>
                <w:bCs/>
                <w:sz w:val="20"/>
                <w:szCs w:val="20"/>
              </w:rPr>
              <w:t>2018</w:t>
            </w:r>
          </w:p>
        </w:tc>
        <w:tc>
          <w:tcPr>
            <w:tcW w:w="661" w:type="dxa"/>
            <w:shd w:val="clear" w:color="000000" w:fill="FFFF00"/>
            <w:noWrap/>
            <w:vAlign w:val="bottom"/>
          </w:tcPr>
          <w:p w:rsidR="00073ACB" w:rsidRPr="007B10AF" w:rsidRDefault="00073ACB" w:rsidP="00073ACB">
            <w:pPr>
              <w:jc w:val="right"/>
              <w:rPr>
                <w:rFonts w:ascii="Trebuchet MS" w:hAnsi="Trebuchet MS" w:cs="Arial"/>
                <w:b/>
                <w:bCs/>
                <w:sz w:val="20"/>
                <w:szCs w:val="20"/>
              </w:rPr>
            </w:pPr>
            <w:r w:rsidRPr="007B10AF">
              <w:rPr>
                <w:rFonts w:ascii="Trebuchet MS" w:hAnsi="Trebuchet MS" w:cs="Arial"/>
                <w:b/>
                <w:bCs/>
                <w:sz w:val="20"/>
                <w:szCs w:val="20"/>
              </w:rPr>
              <w:t>2019</w:t>
            </w:r>
          </w:p>
        </w:tc>
        <w:tc>
          <w:tcPr>
            <w:tcW w:w="680" w:type="dxa"/>
            <w:shd w:val="clear" w:color="000000" w:fill="FFFF00"/>
            <w:noWrap/>
            <w:vAlign w:val="bottom"/>
          </w:tcPr>
          <w:p w:rsidR="00073ACB" w:rsidRPr="007B10AF" w:rsidRDefault="00073ACB" w:rsidP="00073ACB">
            <w:pPr>
              <w:jc w:val="right"/>
              <w:rPr>
                <w:rFonts w:ascii="Trebuchet MS" w:hAnsi="Trebuchet MS" w:cs="Arial"/>
                <w:b/>
                <w:bCs/>
                <w:sz w:val="20"/>
                <w:szCs w:val="20"/>
              </w:rPr>
            </w:pPr>
            <w:r w:rsidRPr="007B10AF">
              <w:rPr>
                <w:rFonts w:ascii="Trebuchet MS" w:hAnsi="Trebuchet MS" w:cs="Arial"/>
                <w:b/>
                <w:bCs/>
                <w:sz w:val="20"/>
                <w:szCs w:val="20"/>
              </w:rPr>
              <w:t>2020</w:t>
            </w:r>
          </w:p>
        </w:tc>
        <w:tc>
          <w:tcPr>
            <w:tcW w:w="960" w:type="dxa"/>
            <w:shd w:val="clear" w:color="000000" w:fill="FFFF00"/>
            <w:noWrap/>
            <w:vAlign w:val="bottom"/>
          </w:tcPr>
          <w:p w:rsidR="00073ACB" w:rsidRPr="007B10AF" w:rsidRDefault="00073ACB" w:rsidP="00073ACB">
            <w:pPr>
              <w:jc w:val="right"/>
              <w:rPr>
                <w:rFonts w:ascii="Trebuchet MS" w:hAnsi="Trebuchet MS" w:cs="Arial"/>
                <w:b/>
                <w:bCs/>
                <w:sz w:val="20"/>
                <w:szCs w:val="20"/>
              </w:rPr>
            </w:pPr>
            <w:r w:rsidRPr="007B10AF">
              <w:rPr>
                <w:rFonts w:ascii="Trebuchet MS" w:hAnsi="Trebuchet MS" w:cs="Arial"/>
                <w:b/>
                <w:bCs/>
                <w:sz w:val="20"/>
                <w:szCs w:val="20"/>
              </w:rPr>
              <w:t>2021</w:t>
            </w:r>
          </w:p>
        </w:tc>
      </w:tr>
      <w:tr w:rsidR="00073ACB" w:rsidRPr="007B10AF" w:rsidTr="003F5F21">
        <w:trPr>
          <w:trHeight w:val="255"/>
        </w:trPr>
        <w:tc>
          <w:tcPr>
            <w:tcW w:w="2258" w:type="dxa"/>
            <w:noWrap/>
            <w:vAlign w:val="bottom"/>
          </w:tcPr>
          <w:p w:rsidR="00073ACB" w:rsidRPr="007B10AF" w:rsidRDefault="00073ACB" w:rsidP="00073ACB">
            <w:pPr>
              <w:rPr>
                <w:rFonts w:ascii="Trebuchet MS" w:hAnsi="Trebuchet MS" w:cs="Arial"/>
                <w:sz w:val="20"/>
                <w:szCs w:val="20"/>
                <w:lang w:val="en-US"/>
              </w:rPr>
            </w:pPr>
            <w:r w:rsidRPr="007B10AF">
              <w:rPr>
                <w:rFonts w:ascii="Trebuchet MS" w:hAnsi="Trebuchet MS" w:cs="Arial"/>
                <w:sz w:val="20"/>
                <w:szCs w:val="20"/>
                <w:lang w:val="en-US"/>
              </w:rPr>
              <w:t xml:space="preserve">- feroviar        </w:t>
            </w:r>
          </w:p>
        </w:tc>
        <w:tc>
          <w:tcPr>
            <w:tcW w:w="740"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30.2</w:t>
            </w:r>
          </w:p>
        </w:tc>
        <w:tc>
          <w:tcPr>
            <w:tcW w:w="661"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28.9</w:t>
            </w:r>
          </w:p>
        </w:tc>
        <w:tc>
          <w:tcPr>
            <w:tcW w:w="661"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26.8</w:t>
            </w:r>
          </w:p>
        </w:tc>
        <w:tc>
          <w:tcPr>
            <w:tcW w:w="680"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25.8</w:t>
            </w:r>
          </w:p>
        </w:tc>
        <w:tc>
          <w:tcPr>
            <w:tcW w:w="960" w:type="dxa"/>
            <w:noWrap/>
            <w:vAlign w:val="center"/>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25.3</w:t>
            </w:r>
          </w:p>
        </w:tc>
      </w:tr>
      <w:tr w:rsidR="00073ACB" w:rsidRPr="007B10AF" w:rsidTr="003F5F21">
        <w:trPr>
          <w:trHeight w:val="255"/>
        </w:trPr>
        <w:tc>
          <w:tcPr>
            <w:tcW w:w="2258" w:type="dxa"/>
            <w:noWrap/>
            <w:vAlign w:val="bottom"/>
          </w:tcPr>
          <w:p w:rsidR="00073ACB" w:rsidRPr="007B10AF" w:rsidRDefault="00073ACB" w:rsidP="00073ACB">
            <w:pPr>
              <w:rPr>
                <w:rFonts w:ascii="Trebuchet MS" w:hAnsi="Trebuchet MS" w:cs="Arial"/>
                <w:sz w:val="20"/>
                <w:szCs w:val="20"/>
                <w:lang w:val="en-US"/>
              </w:rPr>
            </w:pPr>
            <w:r w:rsidRPr="007B10AF">
              <w:rPr>
                <w:rFonts w:ascii="Trebuchet MS" w:hAnsi="Trebuchet MS" w:cs="Arial"/>
                <w:sz w:val="20"/>
                <w:szCs w:val="20"/>
                <w:lang w:val="en-US"/>
              </w:rPr>
              <w:t>- rutier</w:t>
            </w:r>
          </w:p>
        </w:tc>
        <w:tc>
          <w:tcPr>
            <w:tcW w:w="740"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42.4</w:t>
            </w:r>
          </w:p>
        </w:tc>
        <w:tc>
          <w:tcPr>
            <w:tcW w:w="661"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44,0</w:t>
            </w:r>
          </w:p>
        </w:tc>
        <w:tc>
          <w:tcPr>
            <w:tcW w:w="661"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45,0</w:t>
            </w:r>
          </w:p>
        </w:tc>
        <w:tc>
          <w:tcPr>
            <w:tcW w:w="680"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45,5</w:t>
            </w:r>
          </w:p>
        </w:tc>
        <w:tc>
          <w:tcPr>
            <w:tcW w:w="960" w:type="dxa"/>
            <w:noWrap/>
            <w:vAlign w:val="center"/>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49.7</w:t>
            </w:r>
          </w:p>
        </w:tc>
      </w:tr>
      <w:tr w:rsidR="00073ACB" w:rsidRPr="007B10AF" w:rsidTr="003F5F21">
        <w:trPr>
          <w:trHeight w:val="255"/>
        </w:trPr>
        <w:tc>
          <w:tcPr>
            <w:tcW w:w="2258" w:type="dxa"/>
            <w:noWrap/>
            <w:vAlign w:val="bottom"/>
          </w:tcPr>
          <w:p w:rsidR="00073ACB" w:rsidRPr="007B10AF" w:rsidRDefault="00073ACB" w:rsidP="00073ACB">
            <w:pPr>
              <w:rPr>
                <w:rFonts w:ascii="Trebuchet MS" w:hAnsi="Trebuchet MS" w:cs="Arial"/>
                <w:sz w:val="20"/>
                <w:szCs w:val="20"/>
                <w:lang w:val="en-US"/>
              </w:rPr>
            </w:pPr>
            <w:r w:rsidRPr="007B10AF">
              <w:rPr>
                <w:rFonts w:ascii="Trebuchet MS" w:hAnsi="Trebuchet MS" w:cs="Arial"/>
                <w:sz w:val="20"/>
                <w:szCs w:val="20"/>
                <w:lang w:val="en-US"/>
              </w:rPr>
              <w:t>- căi navigabile interioare</w:t>
            </w:r>
          </w:p>
        </w:tc>
        <w:tc>
          <w:tcPr>
            <w:tcW w:w="740"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27.4</w:t>
            </w:r>
          </w:p>
        </w:tc>
        <w:tc>
          <w:tcPr>
            <w:tcW w:w="661"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27.1</w:t>
            </w:r>
          </w:p>
        </w:tc>
        <w:tc>
          <w:tcPr>
            <w:tcW w:w="661"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28.1</w:t>
            </w:r>
          </w:p>
        </w:tc>
        <w:tc>
          <w:tcPr>
            <w:tcW w:w="680" w:type="dxa"/>
            <w:noWrap/>
            <w:vAlign w:val="bottom"/>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28.6</w:t>
            </w:r>
          </w:p>
        </w:tc>
        <w:tc>
          <w:tcPr>
            <w:tcW w:w="960" w:type="dxa"/>
            <w:noWrap/>
            <w:vAlign w:val="center"/>
          </w:tcPr>
          <w:p w:rsidR="00073ACB" w:rsidRPr="007B10AF" w:rsidRDefault="00073ACB" w:rsidP="00073ACB">
            <w:pPr>
              <w:jc w:val="right"/>
              <w:rPr>
                <w:rFonts w:ascii="Trebuchet MS" w:hAnsi="Trebuchet MS" w:cs="Arial"/>
                <w:sz w:val="20"/>
                <w:szCs w:val="20"/>
              </w:rPr>
            </w:pPr>
            <w:r w:rsidRPr="007B10AF">
              <w:rPr>
                <w:rFonts w:ascii="Trebuchet MS" w:hAnsi="Trebuchet MS" w:cs="Arial"/>
                <w:sz w:val="20"/>
                <w:szCs w:val="20"/>
              </w:rPr>
              <w:t>25.1</w:t>
            </w:r>
          </w:p>
        </w:tc>
      </w:tr>
    </w:tbl>
    <w:p w:rsidR="00AE762B" w:rsidRDefault="000946BE" w:rsidP="00EA3B27">
      <w:pPr>
        <w:rPr>
          <w:rFonts w:ascii="Arial" w:hAnsi="Arial" w:cs="Arial"/>
          <w:b/>
        </w:rPr>
      </w:pPr>
      <w:bookmarkStart w:id="183" w:name="_MON_1566643997"/>
      <w:bookmarkStart w:id="184" w:name="_MON_1722160514"/>
      <w:bookmarkEnd w:id="183"/>
      <w:bookmarkEnd w:id="184"/>
      <w:r>
        <w:rPr>
          <w:rFonts w:ascii="Arial" w:hAnsi="Arial" w:cs="Arial"/>
          <w:b/>
          <w:noProof/>
          <w:lang w:val="en-US"/>
        </w:rPr>
        <w:drawing>
          <wp:inline distT="0" distB="0" distL="0" distR="0" wp14:anchorId="5964FB07" wp14:editId="11FF1B28">
            <wp:extent cx="5200650" cy="3248025"/>
            <wp:effectExtent l="0" t="0" r="0" b="0"/>
            <wp:docPr id="149" name="Object 1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7B09E7" w:rsidRPr="007B10AF" w:rsidRDefault="007B09E7" w:rsidP="007B09E7">
      <w:pPr>
        <w:rPr>
          <w:rFonts w:ascii="Trebuchet MS" w:hAnsi="Trebuchet MS" w:cs="Arial"/>
          <w:sz w:val="22"/>
          <w:szCs w:val="22"/>
        </w:rPr>
      </w:pPr>
      <w:r w:rsidRPr="007B10AF">
        <w:rPr>
          <w:rFonts w:ascii="Trebuchet MS" w:hAnsi="Trebuchet MS" w:cs="Arial"/>
          <w:sz w:val="22"/>
          <w:szCs w:val="22"/>
        </w:rPr>
        <w:t>Sursa: Institutul Naţional de Statistică (date disponibile doar la nivel naţional)</w:t>
      </w:r>
    </w:p>
    <w:p w:rsidR="007B09E7" w:rsidRPr="007B10AF" w:rsidRDefault="007B09E7" w:rsidP="007B09E7">
      <w:pPr>
        <w:rPr>
          <w:rFonts w:ascii="Trebuchet MS" w:hAnsi="Trebuchet MS" w:cs="Arial"/>
          <w:sz w:val="22"/>
          <w:szCs w:val="22"/>
        </w:rPr>
      </w:pPr>
      <w:r w:rsidRPr="007B10AF">
        <w:rPr>
          <w:rFonts w:ascii="Trebuchet MS" w:hAnsi="Trebuchet MS" w:cs="Arial"/>
          <w:sz w:val="22"/>
          <w:szCs w:val="22"/>
        </w:rPr>
        <w:t>http://www.insse.ro/cms/files/Web_IDD_BD_ro/index.htm/O3_4</w:t>
      </w:r>
    </w:p>
    <w:p w:rsidR="00AE762B" w:rsidRPr="007B10AF" w:rsidRDefault="00AE762B" w:rsidP="00EA3B27">
      <w:pPr>
        <w:rPr>
          <w:rFonts w:ascii="Trebuchet MS" w:hAnsi="Trebuchet MS" w:cs="Arial"/>
          <w:b/>
          <w:sz w:val="22"/>
          <w:szCs w:val="22"/>
        </w:rPr>
      </w:pPr>
    </w:p>
    <w:p w:rsidR="00AE762B" w:rsidRPr="007B10AF" w:rsidRDefault="00AE762B" w:rsidP="00EA3B27">
      <w:pPr>
        <w:rPr>
          <w:rFonts w:ascii="Trebuchet MS" w:hAnsi="Trebuchet MS" w:cs="Arial"/>
          <w:b/>
        </w:rPr>
      </w:pPr>
      <w:r w:rsidRPr="007B10AF">
        <w:rPr>
          <w:rFonts w:ascii="Trebuchet MS" w:hAnsi="Trebuchet MS" w:cs="Arial"/>
          <w:b/>
        </w:rPr>
        <w:t>X.2 Factori care influenţează consumul</w:t>
      </w:r>
    </w:p>
    <w:p w:rsidR="00AE762B" w:rsidRDefault="00AE762B" w:rsidP="00EA3B27">
      <w:pPr>
        <w:rPr>
          <w:rFonts w:ascii="Arial" w:hAnsi="Arial" w:cs="Arial"/>
          <w:b/>
        </w:rPr>
      </w:pPr>
    </w:p>
    <w:p w:rsidR="00AE762B" w:rsidRPr="007B10AF" w:rsidRDefault="00AE762B" w:rsidP="004F134E">
      <w:pPr>
        <w:pStyle w:val="ListParagraph"/>
        <w:numPr>
          <w:ilvl w:val="0"/>
          <w:numId w:val="38"/>
        </w:numPr>
        <w:jc w:val="both"/>
        <w:rPr>
          <w:rFonts w:ascii="Trebuchet MS" w:hAnsi="Trebuchet MS" w:cs="Arial"/>
          <w:b/>
          <w:sz w:val="22"/>
          <w:szCs w:val="22"/>
        </w:rPr>
      </w:pPr>
      <w:r w:rsidRPr="007B10AF">
        <w:rPr>
          <w:rFonts w:ascii="Trebuchet MS" w:hAnsi="Trebuchet MS" w:cs="Arial"/>
          <w:b/>
          <w:sz w:val="22"/>
          <w:szCs w:val="22"/>
        </w:rPr>
        <w:t>Indicatori specifici</w:t>
      </w:r>
    </w:p>
    <w:p w:rsidR="00AE762B" w:rsidRPr="007B10AF" w:rsidRDefault="00AE762B" w:rsidP="00952B19">
      <w:pPr>
        <w:pStyle w:val="ListParagraph"/>
        <w:jc w:val="both"/>
        <w:rPr>
          <w:rFonts w:ascii="Trebuchet MS" w:hAnsi="Trebuchet MS" w:cs="Arial"/>
          <w:b/>
          <w:sz w:val="22"/>
          <w:szCs w:val="22"/>
        </w:rPr>
      </w:pPr>
      <w:r w:rsidRPr="007B10AF">
        <w:rPr>
          <w:rFonts w:ascii="Trebuchet MS" w:hAnsi="Trebuchet MS" w:cs="Arial"/>
          <w:b/>
          <w:sz w:val="22"/>
          <w:szCs w:val="22"/>
        </w:rPr>
        <w:t>Nu este cazul</w:t>
      </w:r>
    </w:p>
    <w:p w:rsidR="00AE762B" w:rsidRPr="007B10AF" w:rsidRDefault="00AE762B" w:rsidP="004F134E">
      <w:pPr>
        <w:pStyle w:val="ListParagraph"/>
        <w:numPr>
          <w:ilvl w:val="0"/>
          <w:numId w:val="38"/>
        </w:numPr>
        <w:jc w:val="both"/>
        <w:rPr>
          <w:rFonts w:ascii="Trebuchet MS" w:hAnsi="Trebuchet MS" w:cs="Arial"/>
          <w:b/>
          <w:sz w:val="22"/>
          <w:szCs w:val="22"/>
        </w:rPr>
      </w:pPr>
      <w:r w:rsidRPr="007B10AF">
        <w:rPr>
          <w:rFonts w:ascii="Trebuchet MS" w:hAnsi="Trebuchet MS" w:cs="Arial"/>
          <w:b/>
          <w:sz w:val="22"/>
          <w:szCs w:val="22"/>
        </w:rPr>
        <w:t>Alte date şi informaţii specifice</w:t>
      </w:r>
    </w:p>
    <w:p w:rsidR="00AE762B" w:rsidRPr="007B10AF" w:rsidRDefault="00AE762B" w:rsidP="00952B19">
      <w:pPr>
        <w:rPr>
          <w:rFonts w:ascii="Trebuchet MS" w:hAnsi="Trebuchet MS" w:cs="Arial"/>
          <w:b/>
          <w:sz w:val="22"/>
          <w:szCs w:val="22"/>
        </w:rPr>
      </w:pPr>
    </w:p>
    <w:p w:rsidR="00AE762B" w:rsidRPr="007B10AF" w:rsidRDefault="00AE762B" w:rsidP="00EA3B27">
      <w:pPr>
        <w:rPr>
          <w:rFonts w:ascii="Trebuchet MS" w:hAnsi="Trebuchet MS" w:cs="Arial"/>
          <w:b/>
          <w:sz w:val="22"/>
          <w:szCs w:val="22"/>
        </w:rPr>
      </w:pPr>
      <w:r w:rsidRPr="007B10AF">
        <w:rPr>
          <w:rFonts w:ascii="Trebuchet MS" w:hAnsi="Trebuchet MS" w:cs="Arial"/>
          <w:b/>
          <w:sz w:val="22"/>
          <w:szCs w:val="22"/>
        </w:rPr>
        <w:t>Nu sunt informaţii</w:t>
      </w:r>
    </w:p>
    <w:p w:rsidR="00AE762B" w:rsidRPr="007B10AF" w:rsidRDefault="00AE762B" w:rsidP="00EA3B27">
      <w:pPr>
        <w:rPr>
          <w:rFonts w:ascii="Trebuchet MS" w:hAnsi="Trebuchet MS" w:cs="Arial"/>
          <w:b/>
          <w:sz w:val="22"/>
          <w:szCs w:val="22"/>
        </w:rPr>
      </w:pPr>
    </w:p>
    <w:p w:rsidR="00AE762B" w:rsidRDefault="00AE762B" w:rsidP="00EA3B27">
      <w:pPr>
        <w:rPr>
          <w:rFonts w:ascii="Arial" w:hAnsi="Arial" w:cs="Arial"/>
          <w:b/>
        </w:rPr>
      </w:pPr>
    </w:p>
    <w:p w:rsidR="00AE762B" w:rsidRPr="007B10AF" w:rsidRDefault="006B15D6" w:rsidP="00EA3B27">
      <w:pPr>
        <w:rPr>
          <w:rFonts w:ascii="Trebuchet MS" w:hAnsi="Trebuchet MS" w:cs="Arial"/>
          <w:b/>
        </w:rPr>
      </w:pPr>
      <w:r w:rsidRPr="007B10AF">
        <w:rPr>
          <w:rFonts w:ascii="Trebuchet MS" w:hAnsi="Trebuchet MS" w:cs="Arial"/>
          <w:b/>
        </w:rPr>
        <w:t>X</w:t>
      </w:r>
      <w:r w:rsidR="00AE762B" w:rsidRPr="007B10AF">
        <w:rPr>
          <w:rFonts w:ascii="Trebuchet MS" w:hAnsi="Trebuchet MS" w:cs="Arial"/>
          <w:b/>
        </w:rPr>
        <w:t>.3 Presiunile asupra mediului cauzate de consum</w:t>
      </w:r>
    </w:p>
    <w:p w:rsidR="00AE762B" w:rsidRDefault="00AE762B" w:rsidP="00EA3B27">
      <w:pPr>
        <w:rPr>
          <w:rFonts w:ascii="Arial" w:hAnsi="Arial" w:cs="Arial"/>
          <w:b/>
        </w:rPr>
      </w:pPr>
    </w:p>
    <w:p w:rsidR="00AE762B" w:rsidRPr="007B10AF" w:rsidRDefault="006B15D6" w:rsidP="00EA3B27">
      <w:pPr>
        <w:rPr>
          <w:rFonts w:ascii="Trebuchet MS" w:hAnsi="Trebuchet MS"/>
          <w:i/>
          <w:color w:val="FF0000"/>
          <w:sz w:val="22"/>
          <w:szCs w:val="26"/>
          <w:lang w:val="ro-RO"/>
        </w:rPr>
      </w:pPr>
      <w:r w:rsidRPr="007B10AF">
        <w:rPr>
          <w:rFonts w:ascii="Trebuchet MS" w:hAnsi="Trebuchet MS" w:cs="Arial"/>
          <w:b/>
        </w:rPr>
        <w:t>X</w:t>
      </w:r>
      <w:r w:rsidR="00AE762B" w:rsidRPr="007B10AF">
        <w:rPr>
          <w:rFonts w:ascii="Trebuchet MS" w:hAnsi="Trebuchet MS" w:cs="Arial"/>
          <w:b/>
        </w:rPr>
        <w:t xml:space="preserve">.3.1 </w:t>
      </w:r>
      <w:r w:rsidR="00AE762B" w:rsidRPr="007B10AF">
        <w:rPr>
          <w:rFonts w:ascii="Trebuchet MS" w:hAnsi="Trebuchet MS" w:cs="Arial"/>
          <w:b/>
          <w:i/>
          <w:lang w:val="ro-RO"/>
        </w:rPr>
        <w:t>Emisii de gaze cu efect de seră din sectorul rezidenţial</w:t>
      </w:r>
    </w:p>
    <w:p w:rsidR="00AE762B" w:rsidRDefault="00AE762B" w:rsidP="00EA3B27">
      <w:pPr>
        <w:rPr>
          <w:rFonts w:ascii="Arial" w:hAnsi="Arial" w:cs="Arial"/>
          <w:b/>
        </w:rPr>
      </w:pPr>
    </w:p>
    <w:p w:rsidR="00AE762B" w:rsidRPr="00CC1EFD" w:rsidRDefault="00AE762B" w:rsidP="005E5439">
      <w:pPr>
        <w:pStyle w:val="Default"/>
        <w:rPr>
          <w:rFonts w:ascii="Trebuchet MS" w:hAnsi="Trebuchet MS"/>
          <w:sz w:val="22"/>
          <w:szCs w:val="22"/>
          <w:lang w:val="it-IT"/>
        </w:rPr>
      </w:pPr>
      <w:r w:rsidRPr="00CC1EFD">
        <w:rPr>
          <w:rFonts w:ascii="Trebuchet MS" w:hAnsi="Trebuchet MS"/>
          <w:b/>
          <w:bCs/>
          <w:sz w:val="22"/>
          <w:szCs w:val="22"/>
          <w:lang w:val="it-IT"/>
        </w:rPr>
        <w:t>COD INDICATOR</w:t>
      </w:r>
      <w:r w:rsidRPr="00CC1EFD">
        <w:rPr>
          <w:rFonts w:ascii="Trebuchet MS" w:hAnsi="Trebuchet MS"/>
          <w:sz w:val="22"/>
          <w:szCs w:val="22"/>
          <w:lang w:val="it-IT"/>
        </w:rPr>
        <w:t xml:space="preserve"> </w:t>
      </w:r>
    </w:p>
    <w:p w:rsidR="00AE762B" w:rsidRPr="00CC1EFD" w:rsidRDefault="00AE762B" w:rsidP="005E5439">
      <w:pPr>
        <w:pStyle w:val="Default"/>
        <w:rPr>
          <w:rFonts w:ascii="Trebuchet MS" w:hAnsi="Trebuchet MS"/>
          <w:sz w:val="22"/>
          <w:szCs w:val="22"/>
          <w:lang w:val="it-IT"/>
        </w:rPr>
      </w:pPr>
      <w:r w:rsidRPr="00CC1EFD">
        <w:rPr>
          <w:rFonts w:ascii="Trebuchet MS" w:hAnsi="Trebuchet MS"/>
          <w:sz w:val="22"/>
          <w:szCs w:val="22"/>
          <w:lang w:val="it-IT"/>
        </w:rPr>
        <w:t xml:space="preserve">Cod indicator România: </w:t>
      </w:r>
      <w:r w:rsidRPr="00CC1EFD">
        <w:rPr>
          <w:rFonts w:ascii="Trebuchet MS" w:hAnsi="Trebuchet MS"/>
          <w:b/>
          <w:bCs/>
          <w:sz w:val="22"/>
          <w:szCs w:val="22"/>
          <w:lang w:val="it-IT"/>
        </w:rPr>
        <w:t>RO 10</w:t>
      </w:r>
    </w:p>
    <w:p w:rsidR="00AE762B" w:rsidRPr="00CC1EFD" w:rsidRDefault="00AE762B" w:rsidP="005E5439">
      <w:pPr>
        <w:pStyle w:val="Default"/>
        <w:rPr>
          <w:rFonts w:ascii="Trebuchet MS" w:hAnsi="Trebuchet MS"/>
          <w:sz w:val="22"/>
          <w:szCs w:val="22"/>
          <w:lang w:val="it-IT"/>
        </w:rPr>
      </w:pPr>
      <w:r w:rsidRPr="00CC1EFD">
        <w:rPr>
          <w:rFonts w:ascii="Trebuchet MS" w:hAnsi="Trebuchet MS"/>
          <w:sz w:val="22"/>
          <w:szCs w:val="22"/>
          <w:lang w:val="it-IT"/>
        </w:rPr>
        <w:t xml:space="preserve">Cod indicator AEM: </w:t>
      </w:r>
      <w:r w:rsidRPr="00CC1EFD">
        <w:rPr>
          <w:rFonts w:ascii="Trebuchet MS" w:hAnsi="Trebuchet MS"/>
          <w:b/>
          <w:bCs/>
          <w:sz w:val="22"/>
          <w:szCs w:val="22"/>
          <w:lang w:val="it-IT"/>
        </w:rPr>
        <w:t xml:space="preserve">CSI 10 </w:t>
      </w:r>
    </w:p>
    <w:p w:rsidR="00AE762B" w:rsidRPr="00CC1EFD" w:rsidRDefault="00AE762B" w:rsidP="005E5439">
      <w:pPr>
        <w:pStyle w:val="Default"/>
        <w:rPr>
          <w:rFonts w:ascii="Trebuchet MS" w:hAnsi="Trebuchet MS"/>
          <w:sz w:val="22"/>
          <w:szCs w:val="22"/>
          <w:lang w:val="it-IT"/>
        </w:rPr>
      </w:pPr>
      <w:r w:rsidRPr="00CC1EFD">
        <w:rPr>
          <w:rFonts w:ascii="Trebuchet MS" w:hAnsi="Trebuchet MS"/>
          <w:b/>
          <w:bCs/>
          <w:sz w:val="22"/>
          <w:szCs w:val="22"/>
          <w:lang w:val="it-IT"/>
        </w:rPr>
        <w:t xml:space="preserve">DENUMIRE </w:t>
      </w:r>
    </w:p>
    <w:p w:rsidR="00AE762B" w:rsidRPr="00CC1EFD" w:rsidRDefault="00AE762B" w:rsidP="005E5439">
      <w:pPr>
        <w:autoSpaceDE w:val="0"/>
        <w:autoSpaceDN w:val="0"/>
        <w:adjustRightInd w:val="0"/>
        <w:rPr>
          <w:rFonts w:ascii="Trebuchet MS" w:hAnsi="Trebuchet MS" w:cs="Arial"/>
          <w:b/>
          <w:bCs/>
          <w:color w:val="000000"/>
          <w:sz w:val="22"/>
          <w:szCs w:val="22"/>
        </w:rPr>
      </w:pPr>
      <w:r w:rsidRPr="00CC1EFD">
        <w:rPr>
          <w:rFonts w:ascii="Trebuchet MS" w:hAnsi="Trebuchet MS" w:cs="Arial"/>
          <w:b/>
          <w:bCs/>
          <w:color w:val="000000"/>
          <w:sz w:val="22"/>
          <w:szCs w:val="22"/>
        </w:rPr>
        <w:t>TENDINŢA EMISIILOR DE GAZE CU EFECT DE SERĂ</w:t>
      </w:r>
    </w:p>
    <w:p w:rsidR="00AE762B" w:rsidRPr="00CC1EFD" w:rsidRDefault="00AE762B" w:rsidP="005E5439">
      <w:pPr>
        <w:pStyle w:val="Default"/>
        <w:rPr>
          <w:rFonts w:ascii="Trebuchet MS" w:hAnsi="Trebuchet MS"/>
          <w:b/>
          <w:bCs/>
          <w:sz w:val="22"/>
          <w:szCs w:val="22"/>
          <w:lang w:val="it-IT"/>
        </w:rPr>
      </w:pPr>
      <w:r w:rsidRPr="00CC1EFD">
        <w:rPr>
          <w:rFonts w:ascii="Trebuchet MS" w:hAnsi="Trebuchet MS"/>
          <w:b/>
          <w:bCs/>
          <w:sz w:val="22"/>
          <w:szCs w:val="22"/>
          <w:lang w:val="it-IT"/>
        </w:rPr>
        <w:t xml:space="preserve">DEFINIŢIE </w:t>
      </w:r>
    </w:p>
    <w:p w:rsidR="00AE762B" w:rsidRPr="00CC1EFD" w:rsidRDefault="00AE762B" w:rsidP="005E5439">
      <w:pPr>
        <w:autoSpaceDE w:val="0"/>
        <w:autoSpaceDN w:val="0"/>
        <w:adjustRightInd w:val="0"/>
        <w:rPr>
          <w:rFonts w:ascii="Trebuchet MS" w:hAnsi="Trebuchet MS" w:cs="Arial"/>
          <w:sz w:val="22"/>
          <w:szCs w:val="22"/>
          <w:lang w:val="it-IT"/>
        </w:rPr>
      </w:pPr>
      <w:r w:rsidRPr="00CC1EFD">
        <w:rPr>
          <w:rFonts w:ascii="Trebuchet MS" w:hAnsi="Trebuchet MS" w:cs="Arial"/>
          <w:sz w:val="22"/>
          <w:szCs w:val="22"/>
          <w:lang w:val="it-IT"/>
        </w:rPr>
        <w:t>Indicatorul reprezintă tendinţele (totale şi pe sectoare) emisiilor de gaze cu efect de seră în raport cu obligaţiile statelor membre de a respecta obiectivele protocolului de la Kyoto.</w:t>
      </w:r>
    </w:p>
    <w:p w:rsidR="00AE762B" w:rsidRPr="00CC1EFD" w:rsidRDefault="00AE762B" w:rsidP="005E5439">
      <w:pPr>
        <w:autoSpaceDE w:val="0"/>
        <w:autoSpaceDN w:val="0"/>
        <w:adjustRightInd w:val="0"/>
        <w:rPr>
          <w:rFonts w:ascii="Trebuchet MS" w:hAnsi="Trebuchet MS" w:cs="Arial"/>
          <w:sz w:val="22"/>
          <w:szCs w:val="22"/>
          <w:lang w:val="it-IT"/>
        </w:rPr>
      </w:pPr>
    </w:p>
    <w:p w:rsidR="00AE762B" w:rsidRPr="00CC1EFD" w:rsidRDefault="00AE762B" w:rsidP="005E5439">
      <w:pPr>
        <w:autoSpaceDE w:val="0"/>
        <w:autoSpaceDN w:val="0"/>
        <w:adjustRightInd w:val="0"/>
        <w:rPr>
          <w:rFonts w:ascii="Trebuchet MS" w:hAnsi="Trebuchet MS" w:cs="Arial"/>
          <w:sz w:val="22"/>
          <w:szCs w:val="22"/>
          <w:lang w:val="it-IT"/>
        </w:rPr>
      </w:pPr>
    </w:p>
    <w:p w:rsidR="00AE762B" w:rsidRPr="00CC1EFD" w:rsidRDefault="00AE762B" w:rsidP="005E5439">
      <w:pPr>
        <w:autoSpaceDE w:val="0"/>
        <w:autoSpaceDN w:val="0"/>
        <w:adjustRightInd w:val="0"/>
        <w:rPr>
          <w:rFonts w:ascii="Trebuchet MS" w:hAnsi="Trebuchet MS" w:cs="Arial"/>
          <w:sz w:val="22"/>
          <w:szCs w:val="22"/>
          <w:lang w:val="it-IT"/>
        </w:rPr>
      </w:pPr>
    </w:p>
    <w:p w:rsidR="00AE762B" w:rsidRPr="00CC1EFD" w:rsidRDefault="00AE762B" w:rsidP="005E5439">
      <w:pPr>
        <w:autoSpaceDE w:val="0"/>
        <w:autoSpaceDN w:val="0"/>
        <w:adjustRightInd w:val="0"/>
        <w:rPr>
          <w:rFonts w:ascii="Trebuchet MS" w:hAnsi="Trebuchet MS" w:cs="Arial"/>
          <w:sz w:val="22"/>
          <w:szCs w:val="22"/>
          <w:lang w:val="it-IT"/>
        </w:rPr>
      </w:pPr>
    </w:p>
    <w:p w:rsidR="00CC1EFD" w:rsidRDefault="00CC1EFD" w:rsidP="005E5439">
      <w:pPr>
        <w:autoSpaceDE w:val="0"/>
        <w:autoSpaceDN w:val="0"/>
        <w:adjustRightInd w:val="0"/>
        <w:rPr>
          <w:rFonts w:ascii="Trebuchet MS" w:hAnsi="Trebuchet MS" w:cs="Arial"/>
          <w:sz w:val="22"/>
          <w:szCs w:val="22"/>
          <w:lang w:val="en-US"/>
        </w:rPr>
      </w:pPr>
    </w:p>
    <w:p w:rsidR="00CC1EFD" w:rsidRDefault="00CC1EFD" w:rsidP="005E5439">
      <w:pPr>
        <w:autoSpaceDE w:val="0"/>
        <w:autoSpaceDN w:val="0"/>
        <w:adjustRightInd w:val="0"/>
        <w:rPr>
          <w:rFonts w:ascii="Trebuchet MS" w:hAnsi="Trebuchet MS" w:cs="Arial"/>
          <w:sz w:val="22"/>
          <w:szCs w:val="22"/>
          <w:lang w:val="en-US"/>
        </w:rPr>
      </w:pPr>
    </w:p>
    <w:p w:rsidR="00CC1EFD" w:rsidRDefault="00CC1EFD" w:rsidP="005E5439">
      <w:pPr>
        <w:autoSpaceDE w:val="0"/>
        <w:autoSpaceDN w:val="0"/>
        <w:adjustRightInd w:val="0"/>
        <w:rPr>
          <w:rFonts w:ascii="Trebuchet MS" w:hAnsi="Trebuchet MS" w:cs="Arial"/>
          <w:sz w:val="22"/>
          <w:szCs w:val="22"/>
          <w:lang w:val="en-US"/>
        </w:rPr>
      </w:pPr>
    </w:p>
    <w:p w:rsidR="00CC1EFD" w:rsidRDefault="00CC1EFD" w:rsidP="005E5439">
      <w:pPr>
        <w:autoSpaceDE w:val="0"/>
        <w:autoSpaceDN w:val="0"/>
        <w:adjustRightInd w:val="0"/>
        <w:rPr>
          <w:rFonts w:ascii="Trebuchet MS" w:hAnsi="Trebuchet MS" w:cs="Arial"/>
          <w:sz w:val="22"/>
          <w:szCs w:val="22"/>
          <w:lang w:val="en-US"/>
        </w:rPr>
      </w:pPr>
    </w:p>
    <w:p w:rsidR="00AE762B" w:rsidRPr="00CC1EFD" w:rsidRDefault="00AE762B" w:rsidP="005E5439">
      <w:pPr>
        <w:autoSpaceDE w:val="0"/>
        <w:autoSpaceDN w:val="0"/>
        <w:adjustRightInd w:val="0"/>
        <w:rPr>
          <w:rFonts w:ascii="Trebuchet MS" w:hAnsi="Trebuchet MS" w:cs="Arial"/>
          <w:sz w:val="22"/>
          <w:szCs w:val="22"/>
          <w:lang w:val="en-US"/>
        </w:rPr>
      </w:pPr>
      <w:r w:rsidRPr="00CC1EFD">
        <w:rPr>
          <w:rFonts w:ascii="Trebuchet MS" w:hAnsi="Trebuchet MS" w:cs="Arial"/>
          <w:sz w:val="22"/>
          <w:szCs w:val="22"/>
          <w:lang w:val="en-US"/>
        </w:rPr>
        <w:t>Grafic X.3.1 Evolutia cantitatilor de emisii de CO2 echivalent</w:t>
      </w:r>
    </w:p>
    <w:p w:rsidR="00AE762B" w:rsidRDefault="000946BE" w:rsidP="005E5439">
      <w:pPr>
        <w:autoSpaceDE w:val="0"/>
        <w:autoSpaceDN w:val="0"/>
        <w:adjustRightInd w:val="0"/>
        <w:rPr>
          <w:rFonts w:ascii="Arial" w:hAnsi="Arial" w:cs="Arial"/>
          <w:lang w:val="en-US"/>
        </w:rPr>
      </w:pPr>
      <w:bookmarkStart w:id="185" w:name="_MON_1722160824"/>
      <w:bookmarkEnd w:id="185"/>
      <w:r>
        <w:rPr>
          <w:noProof/>
          <w:lang w:val="en-US"/>
        </w:rPr>
        <w:drawing>
          <wp:inline distT="0" distB="0" distL="0" distR="0" wp14:anchorId="5AF6B8E8" wp14:editId="46207B4A">
            <wp:extent cx="5200650" cy="3448050"/>
            <wp:effectExtent l="0" t="0" r="0" b="0"/>
            <wp:docPr id="150" name="Object 1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AE762B" w:rsidRPr="005E5439" w:rsidRDefault="00AE762B" w:rsidP="005E5439">
      <w:pPr>
        <w:autoSpaceDE w:val="0"/>
        <w:autoSpaceDN w:val="0"/>
        <w:adjustRightInd w:val="0"/>
        <w:rPr>
          <w:rFonts w:ascii="Arial" w:hAnsi="Arial" w:cs="Arial"/>
          <w:lang w:val="en-US"/>
        </w:rPr>
      </w:pPr>
    </w:p>
    <w:p w:rsidR="00AE762B" w:rsidRPr="00AD7D46" w:rsidRDefault="00AE762B" w:rsidP="00052FCB">
      <w:pPr>
        <w:pStyle w:val="Default"/>
        <w:ind w:left="720"/>
        <w:rPr>
          <w:rFonts w:ascii="Trebuchet MS" w:hAnsi="Trebuchet MS"/>
          <w:sz w:val="22"/>
          <w:szCs w:val="22"/>
        </w:rPr>
      </w:pPr>
      <w:r w:rsidRPr="00AD7D46">
        <w:rPr>
          <w:rFonts w:ascii="Trebuchet MS" w:hAnsi="Trebuchet MS"/>
          <w:sz w:val="22"/>
          <w:szCs w:val="22"/>
        </w:rPr>
        <w:t>Alte date si informatii specifice</w:t>
      </w:r>
    </w:p>
    <w:p w:rsidR="00AE762B" w:rsidRPr="00AD7D46" w:rsidRDefault="00AE762B" w:rsidP="00052FCB">
      <w:pPr>
        <w:pStyle w:val="Default"/>
        <w:ind w:left="720"/>
        <w:rPr>
          <w:rFonts w:ascii="Trebuchet MS" w:hAnsi="Trebuchet MS"/>
          <w:sz w:val="22"/>
          <w:szCs w:val="22"/>
        </w:rPr>
      </w:pPr>
    </w:p>
    <w:p w:rsidR="00AE762B" w:rsidRPr="00AD7D46" w:rsidRDefault="00AE762B" w:rsidP="00052FCB">
      <w:pPr>
        <w:pStyle w:val="Default"/>
        <w:ind w:firstLine="720"/>
        <w:rPr>
          <w:rFonts w:ascii="Trebuchet MS" w:hAnsi="Trebuchet MS"/>
          <w:sz w:val="22"/>
          <w:szCs w:val="22"/>
        </w:rPr>
      </w:pPr>
      <w:r w:rsidRPr="00AD7D46">
        <w:rPr>
          <w:rFonts w:ascii="Trebuchet MS" w:hAnsi="Trebuchet MS"/>
          <w:sz w:val="22"/>
          <w:szCs w:val="22"/>
        </w:rPr>
        <w:t xml:space="preserve">Datele au fost obtinute din inventarul de emisii realizat de APM Bucuresti pentru anii </w:t>
      </w:r>
      <w:r w:rsidR="00D01D7F" w:rsidRPr="00AD7D46">
        <w:rPr>
          <w:rFonts w:ascii="Trebuchet MS" w:hAnsi="Trebuchet MS"/>
          <w:sz w:val="22"/>
          <w:szCs w:val="22"/>
        </w:rPr>
        <w:t>201</w:t>
      </w:r>
      <w:r w:rsidR="00AD7D46">
        <w:rPr>
          <w:rFonts w:ascii="Trebuchet MS" w:hAnsi="Trebuchet MS"/>
          <w:sz w:val="22"/>
          <w:szCs w:val="22"/>
        </w:rPr>
        <w:t>9</w:t>
      </w:r>
      <w:r w:rsidR="00D01D7F" w:rsidRPr="00AD7D46">
        <w:rPr>
          <w:rFonts w:ascii="Trebuchet MS" w:hAnsi="Trebuchet MS"/>
          <w:sz w:val="22"/>
          <w:szCs w:val="22"/>
        </w:rPr>
        <w:t>-202</w:t>
      </w:r>
      <w:r w:rsidR="00AD7D46">
        <w:rPr>
          <w:rFonts w:ascii="Trebuchet MS" w:hAnsi="Trebuchet MS"/>
          <w:sz w:val="22"/>
          <w:szCs w:val="22"/>
        </w:rPr>
        <w:t>3</w:t>
      </w:r>
      <w:r w:rsidRPr="00AD7D46">
        <w:rPr>
          <w:rFonts w:ascii="Trebuchet MS" w:hAnsi="Trebuchet MS"/>
          <w:sz w:val="22"/>
          <w:szCs w:val="22"/>
        </w:rPr>
        <w:t xml:space="preserve">. </w:t>
      </w:r>
    </w:p>
    <w:p w:rsidR="00AE762B" w:rsidRPr="0059186B" w:rsidRDefault="00AE762B" w:rsidP="00052FCB">
      <w:pPr>
        <w:pStyle w:val="Default"/>
        <w:ind w:firstLine="720"/>
      </w:pPr>
    </w:p>
    <w:p w:rsidR="006902C8" w:rsidRDefault="006902C8">
      <w:pPr>
        <w:rPr>
          <w:rFonts w:ascii="Arial" w:eastAsia="Times New Roman" w:hAnsi="Arial" w:cs="Arial"/>
          <w:b/>
          <w:color w:val="000000"/>
          <w:lang w:val="en-US"/>
        </w:rPr>
      </w:pPr>
      <w:r>
        <w:rPr>
          <w:b/>
        </w:rPr>
        <w:br w:type="page"/>
      </w:r>
    </w:p>
    <w:p w:rsidR="00AE762B" w:rsidRPr="00AD7D46" w:rsidRDefault="00AE762B" w:rsidP="00052FCB">
      <w:pPr>
        <w:pStyle w:val="Default"/>
        <w:ind w:firstLine="720"/>
        <w:rPr>
          <w:rFonts w:ascii="Trebuchet MS" w:hAnsi="Trebuchet MS"/>
          <w:b/>
        </w:rPr>
      </w:pPr>
      <w:r w:rsidRPr="00AD7D46">
        <w:rPr>
          <w:rFonts w:ascii="Trebuchet MS" w:hAnsi="Trebuchet MS"/>
          <w:b/>
        </w:rPr>
        <w:t>X.3.2 Consumul de energie pe locuitor</w:t>
      </w:r>
    </w:p>
    <w:p w:rsidR="00AE762B" w:rsidRPr="0059186B" w:rsidRDefault="00AE762B" w:rsidP="00052FCB">
      <w:pPr>
        <w:pStyle w:val="Default"/>
        <w:ind w:firstLine="720"/>
        <w:rPr>
          <w:b/>
        </w:rPr>
      </w:pPr>
    </w:p>
    <w:p w:rsidR="00AE762B" w:rsidRPr="00AD7D46" w:rsidRDefault="00AE762B" w:rsidP="00052FCB">
      <w:pPr>
        <w:pStyle w:val="Default"/>
        <w:ind w:firstLine="720"/>
        <w:rPr>
          <w:rFonts w:ascii="Trebuchet MS" w:hAnsi="Trebuchet MS"/>
          <w:b/>
          <w:sz w:val="22"/>
          <w:szCs w:val="22"/>
        </w:rPr>
      </w:pPr>
      <w:r w:rsidRPr="00AD7D46">
        <w:rPr>
          <w:rFonts w:ascii="Trebuchet MS" w:hAnsi="Trebuchet MS"/>
          <w:b/>
          <w:sz w:val="22"/>
          <w:szCs w:val="22"/>
        </w:rPr>
        <w:t>Datele sunt disponibile doar la nivel national</w:t>
      </w:r>
    </w:p>
    <w:p w:rsidR="00DB78A0" w:rsidRPr="00AD7D46" w:rsidRDefault="00DB78A0" w:rsidP="00052FCB">
      <w:pPr>
        <w:pStyle w:val="Default"/>
        <w:ind w:firstLine="720"/>
        <w:rPr>
          <w:rFonts w:ascii="Trebuchet MS" w:hAnsi="Trebuchet MS"/>
          <w:b/>
          <w:sz w:val="22"/>
          <w:szCs w:val="22"/>
        </w:rPr>
      </w:pPr>
      <w:r w:rsidRPr="00AD7D46">
        <w:rPr>
          <w:rFonts w:ascii="Trebuchet MS" w:hAnsi="Trebuchet MS"/>
          <w:b/>
          <w:sz w:val="22"/>
          <w:szCs w:val="22"/>
        </w:rPr>
        <w:t>Tabel XI.3.2.1- consumul de energie exprimat in tep/locuitor</w:t>
      </w:r>
    </w:p>
    <w:tbl>
      <w:tblPr>
        <w:tblW w:w="8320" w:type="dxa"/>
        <w:tblInd w:w="93" w:type="dxa"/>
        <w:tblLook w:val="04A0" w:firstRow="1" w:lastRow="0" w:firstColumn="1" w:lastColumn="0" w:noHBand="0" w:noVBand="1"/>
      </w:tblPr>
      <w:tblGrid>
        <w:gridCol w:w="3520"/>
        <w:gridCol w:w="960"/>
        <w:gridCol w:w="960"/>
        <w:gridCol w:w="960"/>
        <w:gridCol w:w="960"/>
        <w:gridCol w:w="960"/>
      </w:tblGrid>
      <w:tr w:rsidR="006722A7" w:rsidRPr="00DB78A0" w:rsidTr="00DB78A0">
        <w:trPr>
          <w:trHeight w:val="255"/>
        </w:trPr>
        <w:tc>
          <w:tcPr>
            <w:tcW w:w="3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22A7" w:rsidRPr="00DB78A0" w:rsidRDefault="006722A7" w:rsidP="006722A7">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6722A7" w:rsidRDefault="006722A7" w:rsidP="006722A7">
            <w:pPr>
              <w:jc w:val="center"/>
              <w:rPr>
                <w:rFonts w:ascii="Arial" w:hAnsi="Arial" w:cs="Arial"/>
                <w:b/>
                <w:bCs/>
                <w:sz w:val="20"/>
                <w:szCs w:val="20"/>
              </w:rPr>
            </w:pPr>
            <w:r>
              <w:rPr>
                <w:rFonts w:ascii="Arial" w:hAnsi="Arial" w:cs="Arial"/>
                <w:b/>
                <w:bCs/>
                <w:sz w:val="20"/>
                <w:szCs w:val="20"/>
              </w:rPr>
              <w:t>2017</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6722A7" w:rsidRDefault="006722A7" w:rsidP="006722A7">
            <w:pPr>
              <w:jc w:val="center"/>
              <w:rPr>
                <w:rFonts w:ascii="Arial" w:hAnsi="Arial" w:cs="Arial"/>
                <w:b/>
                <w:bCs/>
                <w:sz w:val="20"/>
                <w:szCs w:val="20"/>
              </w:rPr>
            </w:pPr>
            <w:r>
              <w:rPr>
                <w:rFonts w:ascii="Arial" w:hAnsi="Arial" w:cs="Arial"/>
                <w:b/>
                <w:bCs/>
                <w:sz w:val="20"/>
                <w:szCs w:val="20"/>
              </w:rPr>
              <w:t>2018</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6722A7" w:rsidRDefault="006722A7" w:rsidP="006722A7">
            <w:pPr>
              <w:jc w:val="center"/>
              <w:rPr>
                <w:rFonts w:ascii="Arial" w:hAnsi="Arial" w:cs="Arial"/>
                <w:b/>
                <w:bCs/>
                <w:sz w:val="20"/>
                <w:szCs w:val="20"/>
              </w:rPr>
            </w:pPr>
            <w:r>
              <w:rPr>
                <w:rFonts w:ascii="Arial" w:hAnsi="Arial" w:cs="Arial"/>
                <w:b/>
                <w:bCs/>
                <w:sz w:val="20"/>
                <w:szCs w:val="20"/>
              </w:rPr>
              <w:t>2019</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6722A7" w:rsidRDefault="006722A7" w:rsidP="006722A7">
            <w:pPr>
              <w:jc w:val="center"/>
              <w:rPr>
                <w:rFonts w:ascii="Arial" w:hAnsi="Arial" w:cs="Arial"/>
                <w:b/>
                <w:bCs/>
                <w:sz w:val="20"/>
                <w:szCs w:val="20"/>
              </w:rPr>
            </w:pPr>
            <w:r>
              <w:rPr>
                <w:rFonts w:ascii="Arial" w:hAnsi="Arial" w:cs="Arial"/>
                <w:b/>
                <w:bCs/>
                <w:sz w:val="20"/>
                <w:szCs w:val="20"/>
              </w:rPr>
              <w:t>2020</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6722A7" w:rsidRDefault="006722A7" w:rsidP="006722A7">
            <w:pPr>
              <w:jc w:val="center"/>
              <w:rPr>
                <w:rFonts w:ascii="Arial" w:hAnsi="Arial" w:cs="Arial"/>
                <w:b/>
                <w:bCs/>
                <w:sz w:val="20"/>
                <w:szCs w:val="20"/>
              </w:rPr>
            </w:pPr>
            <w:r>
              <w:rPr>
                <w:rFonts w:ascii="Arial" w:hAnsi="Arial" w:cs="Arial"/>
                <w:b/>
                <w:bCs/>
                <w:sz w:val="20"/>
                <w:szCs w:val="20"/>
              </w:rPr>
              <w:t>2021</w:t>
            </w:r>
          </w:p>
        </w:tc>
      </w:tr>
      <w:tr w:rsidR="006722A7" w:rsidRPr="00DB78A0" w:rsidTr="00A33143">
        <w:trPr>
          <w:trHeight w:val="255"/>
        </w:trPr>
        <w:tc>
          <w:tcPr>
            <w:tcW w:w="3520" w:type="dxa"/>
            <w:tcBorders>
              <w:top w:val="nil"/>
              <w:left w:val="single" w:sz="4" w:space="0" w:color="auto"/>
              <w:bottom w:val="single" w:sz="4" w:space="0" w:color="auto"/>
              <w:right w:val="single" w:sz="4" w:space="0" w:color="auto"/>
            </w:tcBorders>
            <w:shd w:val="clear" w:color="auto" w:fill="auto"/>
            <w:hideMark/>
          </w:tcPr>
          <w:p w:rsidR="006722A7" w:rsidRPr="00DB78A0" w:rsidRDefault="006722A7" w:rsidP="006722A7">
            <w:pPr>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Consum intern brut de energie</w:t>
            </w:r>
          </w:p>
        </w:tc>
        <w:tc>
          <w:tcPr>
            <w:tcW w:w="960" w:type="dxa"/>
            <w:tcBorders>
              <w:top w:val="nil"/>
              <w:left w:val="nil"/>
              <w:bottom w:val="single" w:sz="4" w:space="0" w:color="auto"/>
              <w:right w:val="single" w:sz="4" w:space="0" w:color="auto"/>
            </w:tcBorders>
            <w:shd w:val="clear" w:color="000000" w:fill="FFFFFF"/>
            <w:vAlign w:val="bottom"/>
            <w:hideMark/>
          </w:tcPr>
          <w:p w:rsidR="006722A7" w:rsidRDefault="006722A7" w:rsidP="006722A7">
            <w:pPr>
              <w:jc w:val="right"/>
              <w:rPr>
                <w:rFonts w:ascii="Arial" w:hAnsi="Arial" w:cs="Arial"/>
                <w:sz w:val="20"/>
                <w:szCs w:val="20"/>
              </w:rPr>
            </w:pPr>
            <w:r>
              <w:rPr>
                <w:rFonts w:ascii="Arial" w:hAnsi="Arial" w:cs="Arial"/>
                <w:sz w:val="20"/>
                <w:szCs w:val="20"/>
              </w:rPr>
              <w:t>1.705</w:t>
            </w:r>
          </w:p>
        </w:tc>
        <w:tc>
          <w:tcPr>
            <w:tcW w:w="960" w:type="dxa"/>
            <w:tcBorders>
              <w:top w:val="nil"/>
              <w:left w:val="nil"/>
              <w:bottom w:val="single" w:sz="4" w:space="0" w:color="auto"/>
              <w:right w:val="single" w:sz="4" w:space="0" w:color="auto"/>
            </w:tcBorders>
            <w:shd w:val="clear" w:color="000000" w:fill="FFFFFF"/>
            <w:vAlign w:val="bottom"/>
            <w:hideMark/>
          </w:tcPr>
          <w:p w:rsidR="006722A7" w:rsidRDefault="006722A7" w:rsidP="006722A7">
            <w:pPr>
              <w:jc w:val="right"/>
              <w:rPr>
                <w:rFonts w:ascii="Arial" w:hAnsi="Arial" w:cs="Arial"/>
                <w:sz w:val="20"/>
                <w:szCs w:val="20"/>
              </w:rPr>
            </w:pPr>
            <w:r>
              <w:rPr>
                <w:rFonts w:ascii="Arial" w:hAnsi="Arial" w:cs="Arial"/>
                <w:sz w:val="20"/>
                <w:szCs w:val="20"/>
              </w:rPr>
              <w:t>1.721</w:t>
            </w:r>
          </w:p>
        </w:tc>
        <w:tc>
          <w:tcPr>
            <w:tcW w:w="960" w:type="dxa"/>
            <w:tcBorders>
              <w:top w:val="nil"/>
              <w:left w:val="nil"/>
              <w:bottom w:val="single" w:sz="4" w:space="0" w:color="auto"/>
              <w:right w:val="single" w:sz="4" w:space="0" w:color="auto"/>
            </w:tcBorders>
            <w:shd w:val="clear" w:color="000000" w:fill="FFFFFF"/>
            <w:vAlign w:val="bottom"/>
            <w:hideMark/>
          </w:tcPr>
          <w:p w:rsidR="006722A7" w:rsidRDefault="006722A7" w:rsidP="006722A7">
            <w:pPr>
              <w:jc w:val="right"/>
              <w:rPr>
                <w:rFonts w:ascii="Arial" w:hAnsi="Arial" w:cs="Arial"/>
                <w:sz w:val="20"/>
                <w:szCs w:val="20"/>
              </w:rPr>
            </w:pPr>
            <w:r>
              <w:rPr>
                <w:rFonts w:ascii="Arial" w:hAnsi="Arial" w:cs="Arial"/>
                <w:sz w:val="20"/>
                <w:szCs w:val="20"/>
              </w:rPr>
              <w:t>1.704</w:t>
            </w:r>
          </w:p>
        </w:tc>
        <w:tc>
          <w:tcPr>
            <w:tcW w:w="960" w:type="dxa"/>
            <w:tcBorders>
              <w:top w:val="nil"/>
              <w:left w:val="nil"/>
              <w:bottom w:val="single" w:sz="4" w:space="0" w:color="auto"/>
              <w:right w:val="single" w:sz="4" w:space="0" w:color="auto"/>
            </w:tcBorders>
            <w:shd w:val="clear" w:color="auto" w:fill="auto"/>
            <w:noWrap/>
            <w:vAlign w:val="bottom"/>
            <w:hideMark/>
          </w:tcPr>
          <w:p w:rsidR="006722A7" w:rsidRDefault="006722A7" w:rsidP="006722A7">
            <w:pPr>
              <w:jc w:val="right"/>
              <w:rPr>
                <w:rFonts w:ascii="Arial" w:hAnsi="Arial" w:cs="Arial"/>
                <w:sz w:val="20"/>
                <w:szCs w:val="20"/>
              </w:rPr>
            </w:pPr>
            <w:r>
              <w:rPr>
                <w:rFonts w:ascii="Arial" w:hAnsi="Arial" w:cs="Arial"/>
                <w:sz w:val="20"/>
                <w:szCs w:val="20"/>
              </w:rPr>
              <w:t>1.670</w:t>
            </w:r>
          </w:p>
        </w:tc>
        <w:tc>
          <w:tcPr>
            <w:tcW w:w="960" w:type="dxa"/>
            <w:tcBorders>
              <w:top w:val="nil"/>
              <w:left w:val="nil"/>
              <w:bottom w:val="single" w:sz="4" w:space="0" w:color="auto"/>
              <w:right w:val="single" w:sz="4" w:space="0" w:color="auto"/>
            </w:tcBorders>
            <w:shd w:val="clear" w:color="auto" w:fill="auto"/>
            <w:noWrap/>
            <w:vAlign w:val="bottom"/>
            <w:hideMark/>
          </w:tcPr>
          <w:p w:rsidR="006722A7" w:rsidRDefault="006722A7" w:rsidP="006722A7">
            <w:pPr>
              <w:jc w:val="right"/>
              <w:rPr>
                <w:rFonts w:ascii="Arial" w:hAnsi="Arial" w:cs="Arial"/>
                <w:sz w:val="20"/>
                <w:szCs w:val="20"/>
              </w:rPr>
            </w:pPr>
            <w:r>
              <w:rPr>
                <w:rFonts w:ascii="Arial" w:hAnsi="Arial" w:cs="Arial"/>
                <w:sz w:val="20"/>
                <w:szCs w:val="20"/>
              </w:rPr>
              <w:t>1.783</w:t>
            </w:r>
          </w:p>
        </w:tc>
      </w:tr>
    </w:tbl>
    <w:p w:rsidR="00DB78A0" w:rsidRPr="0059186B" w:rsidRDefault="00DB78A0" w:rsidP="00052FCB">
      <w:pPr>
        <w:pStyle w:val="Default"/>
        <w:ind w:firstLine="720"/>
        <w:rPr>
          <w:b/>
        </w:rPr>
      </w:pPr>
    </w:p>
    <w:p w:rsidR="00AE762B" w:rsidRDefault="00DB78A0" w:rsidP="00052FCB">
      <w:pPr>
        <w:pStyle w:val="Default"/>
        <w:ind w:firstLine="720"/>
        <w:rPr>
          <w:b/>
        </w:rPr>
      </w:pPr>
      <w:r>
        <w:rPr>
          <w:b/>
        </w:rPr>
        <w:t>Figura</w:t>
      </w:r>
      <w:r w:rsidR="006B15D6">
        <w:rPr>
          <w:b/>
        </w:rPr>
        <w:t xml:space="preserve"> </w:t>
      </w:r>
      <w:r>
        <w:rPr>
          <w:b/>
        </w:rPr>
        <w:t>X.3.2.1</w:t>
      </w:r>
      <w:r w:rsidRPr="00DB78A0">
        <w:rPr>
          <w:b/>
        </w:rPr>
        <w:t xml:space="preserve"> </w:t>
      </w:r>
      <w:r>
        <w:rPr>
          <w:b/>
        </w:rPr>
        <w:t>consumul intern brut de energie exprimat in tep/locuitor</w:t>
      </w:r>
    </w:p>
    <w:p w:rsidR="00DB78A0" w:rsidRPr="0059186B" w:rsidRDefault="000946BE" w:rsidP="00052FCB">
      <w:pPr>
        <w:pStyle w:val="Default"/>
        <w:ind w:firstLine="720"/>
        <w:rPr>
          <w:b/>
        </w:rPr>
      </w:pPr>
      <w:r>
        <w:rPr>
          <w:b/>
          <w:noProof/>
        </w:rPr>
        <w:drawing>
          <wp:inline distT="0" distB="0" distL="0" distR="0" wp14:anchorId="27739DB4" wp14:editId="21234195">
            <wp:extent cx="5238750" cy="3228975"/>
            <wp:effectExtent l="0" t="0" r="0" b="0"/>
            <wp:docPr id="151" name="Object 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3D0827" w:rsidRPr="00AD7D46" w:rsidRDefault="003D0827" w:rsidP="003D0827">
      <w:pPr>
        <w:rPr>
          <w:rFonts w:ascii="Trebuchet MS" w:hAnsi="Trebuchet MS" w:cs="Arial"/>
        </w:rPr>
      </w:pPr>
      <w:r w:rsidRPr="00AD7D46">
        <w:rPr>
          <w:rFonts w:ascii="Trebuchet MS" w:hAnsi="Trebuchet MS" w:cs="Arial"/>
        </w:rPr>
        <w:t>Sursa: Institutul Naţional de Statistică (date disponibile doar la nivel naţional)</w:t>
      </w:r>
    </w:p>
    <w:p w:rsidR="003D0827" w:rsidRPr="00AD7D46" w:rsidRDefault="003D0827" w:rsidP="003D0827">
      <w:pPr>
        <w:rPr>
          <w:rFonts w:ascii="Trebuchet MS" w:hAnsi="Trebuchet MS" w:cs="Arial"/>
        </w:rPr>
      </w:pPr>
      <w:r w:rsidRPr="00AD7D46">
        <w:rPr>
          <w:rFonts w:ascii="Trebuchet MS" w:hAnsi="Trebuchet MS" w:cs="Arial"/>
        </w:rPr>
        <w:t>http://www.insse.ro/cms/files/Web_IDD_BD_ro/index.htm/O2_10</w:t>
      </w:r>
    </w:p>
    <w:p w:rsidR="003D0827" w:rsidRPr="00AD7D46" w:rsidRDefault="003D0827" w:rsidP="00052FCB">
      <w:pPr>
        <w:pStyle w:val="Default"/>
        <w:ind w:firstLine="720"/>
        <w:rPr>
          <w:rFonts w:ascii="Trebuchet MS" w:hAnsi="Trebuchet MS"/>
          <w:b/>
        </w:rPr>
      </w:pPr>
    </w:p>
    <w:p w:rsidR="003D0827" w:rsidRDefault="003D0827" w:rsidP="00052FCB">
      <w:pPr>
        <w:pStyle w:val="Default"/>
        <w:ind w:firstLine="720"/>
        <w:rPr>
          <w:b/>
        </w:rPr>
      </w:pPr>
    </w:p>
    <w:p w:rsidR="00AE762B" w:rsidRPr="00AD7D46" w:rsidRDefault="006B15D6" w:rsidP="00052FCB">
      <w:pPr>
        <w:pStyle w:val="Default"/>
        <w:ind w:firstLine="720"/>
        <w:rPr>
          <w:rFonts w:ascii="Trebuchet MS" w:hAnsi="Trebuchet MS"/>
          <w:b/>
        </w:rPr>
      </w:pPr>
      <w:r w:rsidRPr="00AD7D46">
        <w:rPr>
          <w:rFonts w:ascii="Trebuchet MS" w:hAnsi="Trebuchet MS"/>
          <w:b/>
        </w:rPr>
        <w:t>X</w:t>
      </w:r>
      <w:r w:rsidR="00AE762B" w:rsidRPr="00AD7D46">
        <w:rPr>
          <w:rFonts w:ascii="Trebuchet MS" w:hAnsi="Trebuchet MS"/>
          <w:b/>
        </w:rPr>
        <w:t>.3.3. Utilizarea materialelor</w:t>
      </w:r>
    </w:p>
    <w:p w:rsidR="00AE762B" w:rsidRPr="00AD7D46" w:rsidRDefault="00AE762B" w:rsidP="00052FCB">
      <w:pPr>
        <w:pStyle w:val="Default"/>
        <w:ind w:firstLine="720"/>
        <w:rPr>
          <w:rFonts w:ascii="Trebuchet MS" w:hAnsi="Trebuchet MS"/>
          <w:b/>
        </w:rPr>
      </w:pPr>
    </w:p>
    <w:p w:rsidR="00AE762B" w:rsidRPr="00AD7D46" w:rsidRDefault="00AE762B" w:rsidP="00052FCB">
      <w:pPr>
        <w:pStyle w:val="Default"/>
        <w:ind w:firstLine="720"/>
        <w:rPr>
          <w:rFonts w:ascii="Trebuchet MS" w:hAnsi="Trebuchet MS"/>
          <w:b/>
        </w:rPr>
      </w:pPr>
      <w:r w:rsidRPr="00AD7D46">
        <w:rPr>
          <w:rFonts w:ascii="Trebuchet MS" w:hAnsi="Trebuchet MS"/>
          <w:b/>
        </w:rPr>
        <w:t>Datele sunt disponibile doar la nivel national</w:t>
      </w:r>
    </w:p>
    <w:p w:rsidR="00AE762B" w:rsidRPr="00AD7D46" w:rsidRDefault="00AE762B" w:rsidP="00052FCB">
      <w:pPr>
        <w:pStyle w:val="Default"/>
        <w:ind w:firstLine="720"/>
        <w:rPr>
          <w:rFonts w:ascii="Trebuchet MS" w:hAnsi="Trebuchet MS"/>
          <w:b/>
        </w:rPr>
      </w:pPr>
    </w:p>
    <w:p w:rsidR="00AE762B" w:rsidRPr="00AD7D46" w:rsidRDefault="00AE762B" w:rsidP="00052FCB">
      <w:pPr>
        <w:pStyle w:val="Default"/>
        <w:ind w:firstLine="720"/>
        <w:rPr>
          <w:rFonts w:ascii="Trebuchet MS" w:hAnsi="Trebuchet MS"/>
          <w:b/>
        </w:rPr>
      </w:pPr>
    </w:p>
    <w:p w:rsidR="00AE762B" w:rsidRPr="00AD7D46" w:rsidRDefault="006B15D6" w:rsidP="00052FCB">
      <w:pPr>
        <w:pStyle w:val="Default"/>
        <w:ind w:firstLine="720"/>
        <w:rPr>
          <w:rFonts w:ascii="Trebuchet MS" w:hAnsi="Trebuchet MS"/>
          <w:b/>
          <w:szCs w:val="26"/>
          <w:lang w:val="ro-RO"/>
        </w:rPr>
      </w:pPr>
      <w:r w:rsidRPr="00AD7D46">
        <w:rPr>
          <w:rFonts w:ascii="Trebuchet MS" w:hAnsi="Trebuchet MS"/>
          <w:b/>
          <w:lang w:val="it-IT"/>
        </w:rPr>
        <w:t>X</w:t>
      </w:r>
      <w:r w:rsidR="00AE762B" w:rsidRPr="00AD7D46">
        <w:rPr>
          <w:rFonts w:ascii="Trebuchet MS" w:hAnsi="Trebuchet MS"/>
          <w:b/>
          <w:lang w:val="it-IT"/>
        </w:rPr>
        <w:t xml:space="preserve">.4. </w:t>
      </w:r>
      <w:r w:rsidR="00AE762B" w:rsidRPr="00AD7D46">
        <w:rPr>
          <w:rFonts w:ascii="Trebuchet MS" w:hAnsi="Trebuchet MS"/>
          <w:b/>
          <w:szCs w:val="26"/>
          <w:lang w:val="ro-RO"/>
        </w:rPr>
        <w:t xml:space="preserve">Prognoze, politici şi măsuri privind consumul şi mediul  </w:t>
      </w:r>
    </w:p>
    <w:p w:rsidR="00AE762B" w:rsidRPr="00AD7D46" w:rsidRDefault="00AE762B" w:rsidP="00052FCB">
      <w:pPr>
        <w:pStyle w:val="Default"/>
        <w:ind w:firstLine="720"/>
        <w:rPr>
          <w:rFonts w:ascii="Trebuchet MS" w:hAnsi="Trebuchet MS"/>
          <w:b/>
          <w:lang w:val="it-IT"/>
        </w:rPr>
      </w:pPr>
      <w:r w:rsidRPr="00AD7D46">
        <w:rPr>
          <w:rFonts w:ascii="Trebuchet MS" w:hAnsi="Trebuchet MS"/>
          <w:b/>
          <w:szCs w:val="26"/>
          <w:lang w:val="ro-RO"/>
        </w:rPr>
        <w:t>Nu este cazul APM Bucuresti</w:t>
      </w:r>
    </w:p>
    <w:sectPr w:rsidR="00AE762B" w:rsidRPr="00AD7D46" w:rsidSect="00B63600">
      <w:footerReference w:type="default" r:id="rId205"/>
      <w:pgSz w:w="12240" w:h="15840"/>
      <w:pgMar w:top="1021" w:right="964" w:bottom="1021" w:left="124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1812" w:rsidRDefault="00291812" w:rsidP="003F0B46">
      <w:r>
        <w:separator/>
      </w:r>
    </w:p>
  </w:endnote>
  <w:endnote w:type="continuationSeparator" w:id="0">
    <w:p w:rsidR="00291812" w:rsidRDefault="00291812" w:rsidP="003F0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R_Helvetica">
    <w:altName w:val="Times New Roman"/>
    <w:charset w:val="00"/>
    <w:family w:val="auto"/>
    <w:pitch w:val="variable"/>
    <w:sig w:usb0="00000003" w:usb1="00000000" w:usb2="00000000" w:usb3="00000000" w:csb0="00000001" w:csb1="00000000"/>
  </w:font>
  <w:font w:name="R_Times">
    <w:altName w:val="Times New Roman"/>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valon">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Franklin Gothic Medium">
    <w:panose1 w:val="020B06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ff6">
    <w:panose1 w:val="00000000000000000000"/>
    <w:charset w:val="00"/>
    <w:family w:val="roman"/>
    <w:notTrueType/>
    <w:pitch w:val="default"/>
  </w:font>
  <w:font w:name="ff0">
    <w:panose1 w:val="00000000000000000000"/>
    <w:charset w:val="00"/>
    <w:family w:val="roman"/>
    <w:notTrueType/>
    <w:pitch w:val="default"/>
  </w:font>
  <w:font w:name="ff3">
    <w:panose1 w:val="00000000000000000000"/>
    <w:charset w:val="00"/>
    <w:family w:val="roman"/>
    <w:notTrueType/>
    <w:pitch w:val="default"/>
  </w:font>
  <w:font w:name="MS Outlook">
    <w:panose1 w:val="05010100010000000000"/>
    <w:charset w:val="02"/>
    <w:family w:val="auto"/>
    <w:pitch w:val="variable"/>
    <w:sig w:usb0="00000000" w:usb1="10000000" w:usb2="00000000" w:usb3="00000000" w:csb0="80000000" w:csb1="00000000"/>
  </w:font>
  <w:font w:name="Arial,Italic">
    <w:altName w:val="Arial"/>
    <w:panose1 w:val="00000000000000000000"/>
    <w:charset w:val="00"/>
    <w:family w:val="auto"/>
    <w:notTrueType/>
    <w:pitch w:val="default"/>
    <w:sig w:usb0="00000003" w:usb1="00000000" w:usb2="00000000" w:usb3="00000000" w:csb0="00000001" w:csb1="00000000"/>
  </w:font>
  <w:font w:name="Arial,Bold">
    <w:altName w:val="Times New Roman"/>
    <w:panose1 w:val="00000000000000000000"/>
    <w:charset w:val="EE"/>
    <w:family w:val="auto"/>
    <w:notTrueType/>
    <w:pitch w:val="default"/>
    <w:sig w:usb0="00000005" w:usb1="00000000" w:usb2="00000000" w:usb3="00000000" w:csb0="00000002" w:csb1="00000000"/>
  </w:font>
  <w:font w:name="Helvetica">
    <w:panose1 w:val="020B060402020202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AJensonPro-Regular">
    <w:altName w:val="Arial Unicode MS"/>
    <w:panose1 w:val="00000000000000000000"/>
    <w:charset w:val="80"/>
    <w:family w:val="auto"/>
    <w:notTrueType/>
    <w:pitch w:val="default"/>
    <w:sig w:usb0="00000000" w:usb1="08070000" w:usb2="00000010" w:usb3="00000000" w:csb0="00020000" w:csb1="00000000"/>
  </w:font>
  <w:font w:name="sans-serif">
    <w:altName w:val="Arial"/>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9874159"/>
      <w:docPartObj>
        <w:docPartGallery w:val="Page Numbers (Bottom of Page)"/>
        <w:docPartUnique/>
      </w:docPartObj>
    </w:sdtPr>
    <w:sdtEndPr/>
    <w:sdtContent>
      <w:sdt>
        <w:sdtPr>
          <w:id w:val="1765651402"/>
          <w:docPartObj>
            <w:docPartGallery w:val="Page Numbers (Top of Page)"/>
            <w:docPartUnique/>
          </w:docPartObj>
        </w:sdtPr>
        <w:sdtEndPr/>
        <w:sdtContent>
          <w:p w:rsidR="00DD46ED" w:rsidRDefault="00DD46ED">
            <w:pPr>
              <w:pStyle w:val="Footer"/>
              <w:jc w:val="right"/>
            </w:pPr>
            <w:r>
              <w:t xml:space="preserve">Pagina </w:t>
            </w:r>
            <w:r>
              <w:rPr>
                <w:b/>
                <w:bCs/>
              </w:rPr>
              <w:fldChar w:fldCharType="begin"/>
            </w:r>
            <w:r>
              <w:rPr>
                <w:b/>
                <w:bCs/>
              </w:rPr>
              <w:instrText xml:space="preserve"> PAGE </w:instrText>
            </w:r>
            <w:r>
              <w:rPr>
                <w:b/>
                <w:bCs/>
              </w:rPr>
              <w:fldChar w:fldCharType="separate"/>
            </w:r>
            <w:r w:rsidR="00635F38">
              <w:rPr>
                <w:b/>
                <w:bCs/>
                <w:noProof/>
              </w:rPr>
              <w:t>233</w:t>
            </w:r>
            <w:r>
              <w:rPr>
                <w:b/>
                <w:bCs/>
              </w:rPr>
              <w:fldChar w:fldCharType="end"/>
            </w:r>
            <w:r>
              <w:t xml:space="preserve"> din </w:t>
            </w:r>
            <w:r>
              <w:rPr>
                <w:b/>
                <w:bCs/>
              </w:rPr>
              <w:fldChar w:fldCharType="begin"/>
            </w:r>
            <w:r>
              <w:rPr>
                <w:b/>
                <w:bCs/>
              </w:rPr>
              <w:instrText xml:space="preserve"> NUMPAGES  </w:instrText>
            </w:r>
            <w:r>
              <w:rPr>
                <w:b/>
                <w:bCs/>
              </w:rPr>
              <w:fldChar w:fldCharType="separate"/>
            </w:r>
            <w:r w:rsidR="00635F38">
              <w:rPr>
                <w:b/>
                <w:bCs/>
                <w:noProof/>
              </w:rPr>
              <w:t>233</w:t>
            </w:r>
            <w:r>
              <w:rPr>
                <w:b/>
                <w:bCs/>
              </w:rPr>
              <w:fldChar w:fldCharType="end"/>
            </w:r>
          </w:p>
        </w:sdtContent>
      </w:sdt>
    </w:sdtContent>
  </w:sdt>
  <w:p w:rsidR="00DD46ED" w:rsidRDefault="00DD46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1812" w:rsidRDefault="00291812" w:rsidP="003F0B46">
      <w:r>
        <w:separator/>
      </w:r>
    </w:p>
  </w:footnote>
  <w:footnote w:type="continuationSeparator" w:id="0">
    <w:p w:rsidR="00291812" w:rsidRDefault="00291812" w:rsidP="003F0B46">
      <w:r>
        <w:continuationSeparator/>
      </w:r>
    </w:p>
  </w:footnote>
  <w:footnote w:id="1">
    <w:p w:rsidR="00DD46ED" w:rsidRPr="00FB34BB" w:rsidRDefault="00DD46ED" w:rsidP="00041F6F">
      <w:pPr>
        <w:pStyle w:val="FootnoteText"/>
        <w:jc w:val="both"/>
        <w:rPr>
          <w:rFonts w:ascii="Trebuchet MS" w:hAnsi="Trebuchet MS"/>
          <w:lang w:val="ro-RO"/>
        </w:rPr>
      </w:pPr>
      <w:r w:rsidRPr="00FB34BB">
        <w:rPr>
          <w:rStyle w:val="FootnoteReference"/>
          <w:rFonts w:ascii="Trebuchet MS" w:hAnsi="Trebuchet MS"/>
        </w:rPr>
        <w:footnoteRef/>
      </w:r>
      <w:r w:rsidRPr="00FB34BB">
        <w:rPr>
          <w:rFonts w:ascii="Trebuchet MS" w:hAnsi="Trebuchet MS"/>
        </w:rPr>
        <w:t xml:space="preserve"> Informații detaliate privind aglomerările pot fi găsite în Memorandumul GoR pentru aprobarea Planului accelerat de conformare cu Directiva privind tratarea apelor urbane reziduale pentru aglomerările de peste 2 000 l.e. începând cu decembrie 2022</w:t>
      </w:r>
    </w:p>
  </w:footnote>
  <w:footnote w:id="2">
    <w:p w:rsidR="00DD46ED" w:rsidRPr="000F1158" w:rsidRDefault="00DD46ED" w:rsidP="00041F6F">
      <w:pPr>
        <w:pStyle w:val="FootnoteText"/>
        <w:rPr>
          <w:lang w:val="ro-RO"/>
        </w:rPr>
      </w:pPr>
      <w:r>
        <w:rPr>
          <w:rStyle w:val="FootnoteReference"/>
        </w:rPr>
        <w:footnoteRef/>
      </w:r>
      <w:r>
        <w:t xml:space="preserve"> </w:t>
      </w:r>
      <w:r w:rsidRPr="009668E9">
        <w:t>https://rowater.ro/activitatea-institutiei/proiecte/proiecte-in-curs-de-implementare/proiectul-sipoca-588-2/</w:t>
      </w:r>
    </w:p>
  </w:footnote>
  <w:footnote w:id="3">
    <w:p w:rsidR="00DD46ED" w:rsidRPr="00B95C32" w:rsidRDefault="00DD46ED" w:rsidP="000420D8">
      <w:pPr>
        <w:pStyle w:val="FootnoteText"/>
        <w:jc w:val="lowKashida"/>
        <w:rPr>
          <w:rFonts w:ascii="Trebuchet MS" w:hAnsi="Trebuchet MS"/>
        </w:rPr>
      </w:pPr>
      <w:r w:rsidRPr="00B95C32">
        <w:rPr>
          <w:rStyle w:val="FootnoteReference"/>
          <w:rFonts w:ascii="Trebuchet MS" w:hAnsi="Trebuchet MS"/>
        </w:rPr>
        <w:footnoteRef/>
      </w:r>
      <w:r w:rsidRPr="00B95C32">
        <w:rPr>
          <w:rFonts w:ascii="Trebuchet MS" w:hAnsi="Trebuchet MS"/>
        </w:rPr>
        <w:t xml:space="preserve"> https://www.madr.ro/proiectul-rapid-prevenirea-si-reducerea-poluarii-din-spatiul-rural-in-romania.html</w:t>
      </w:r>
    </w:p>
  </w:footnote>
  <w:footnote w:id="4">
    <w:p w:rsidR="00DD46ED" w:rsidRPr="00372298" w:rsidRDefault="00DD46ED" w:rsidP="00C417FD">
      <w:pPr>
        <w:pStyle w:val="FootnoteText"/>
        <w:spacing w:after="0" w:line="240" w:lineRule="auto"/>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Comunicarea Comisiei către Parlamentul European, Consiliul European, Consiliu, Comitetul Economic și Social European și Comitetul Regiunilor, Pactul ecologic European, COM(2019) 640 final,  Brussels, 11.12.2019</w:t>
      </w:r>
    </w:p>
  </w:footnote>
  <w:footnote w:id="5">
    <w:p w:rsidR="00DD46ED" w:rsidRPr="00372298" w:rsidRDefault="00DD46ED" w:rsidP="00C417FD">
      <w:pPr>
        <w:jc w:val="both"/>
        <w:rPr>
          <w:rFonts w:ascii="Trebuchet MS" w:hAnsi="Trebuchet MS"/>
        </w:rPr>
      </w:pPr>
      <w:r w:rsidRPr="00372298">
        <w:rPr>
          <w:rStyle w:val="FootnoteReference"/>
          <w:rFonts w:ascii="Trebuchet MS" w:hAnsi="Trebuchet MS" w:cs="Arial"/>
          <w:sz w:val="20"/>
          <w:szCs w:val="20"/>
        </w:rPr>
        <w:footnoteRef/>
      </w:r>
      <w:r w:rsidRPr="00372298">
        <w:rPr>
          <w:rFonts w:ascii="Trebuchet MS" w:hAnsi="Trebuchet MS" w:cs="Arial"/>
          <w:sz w:val="20"/>
          <w:szCs w:val="20"/>
        </w:rPr>
        <w:t xml:space="preserve"> </w:t>
      </w:r>
      <w:r w:rsidRPr="00372298">
        <w:rPr>
          <w:rFonts w:ascii="Trebuchet MS" w:hAnsi="Trebuchet MS" w:cs="Arial"/>
          <w:i/>
          <w:iCs/>
          <w:sz w:val="20"/>
          <w:szCs w:val="20"/>
        </w:rPr>
        <w:t>Comunicarea Comisiei „Pathway to a Healthy Planet for All EU Action Plan: 'Towards Zero Pollution for Air, Water and Soil”, Brussels, 12.5.2021, COM(2021) 400 final https://ec.europa.eu/environment/pdf/zero-pollution-action-plan/communication_en.pdf</w:t>
      </w:r>
    </w:p>
  </w:footnote>
  <w:footnote w:id="6">
    <w:p w:rsidR="00DD46ED" w:rsidRPr="00372298" w:rsidRDefault="00DD46ED" w:rsidP="00C417FD">
      <w:pPr>
        <w:pStyle w:val="FootnoteText"/>
        <w:spacing w:after="0" w:line="240" w:lineRule="auto"/>
        <w:ind w:left="90" w:hanging="90"/>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Chemicals Strategy for Sustainability Towards a Toxic-Free Environment; Communication from the Commission to the European Parliament, the Council, the European Economic and Social Committee and the Committee of the Regions; 14.10.2020 COM(2020) 667 final; </w:t>
      </w:r>
      <w:hyperlink r:id="rId1" w:history="1">
        <w:r w:rsidRPr="00372298">
          <w:rPr>
            <w:rStyle w:val="Hyperlink"/>
            <w:rFonts w:ascii="Trebuchet MS" w:hAnsi="Trebuchet MS" w:cs="Arial"/>
            <w:i/>
            <w:iCs/>
          </w:rPr>
          <w:t>https://ec.europa.eu/environment/pdf/chemicals/2020/10/Strategy.pdf</w:t>
        </w:r>
      </w:hyperlink>
    </w:p>
  </w:footnote>
  <w:footnote w:id="7">
    <w:p w:rsidR="00DD46ED" w:rsidRPr="00B375B4" w:rsidRDefault="00DD46ED" w:rsidP="00C417FD">
      <w:pPr>
        <w:pStyle w:val="FootnoteText"/>
        <w:spacing w:after="0" w:line="240" w:lineRule="auto"/>
        <w:ind w:left="187" w:hanging="187"/>
        <w:jc w:val="both"/>
        <w:rPr>
          <w:rFonts w:ascii="Arial" w:hAnsi="Arial" w:cs="Arial"/>
          <w:i/>
          <w:iCs/>
        </w:rPr>
      </w:pPr>
      <w:r w:rsidRPr="00372298">
        <w:rPr>
          <w:rStyle w:val="FootnoteReference"/>
          <w:rFonts w:ascii="Trebuchet MS" w:eastAsia="SimSun" w:hAnsi="Trebuchet MS"/>
        </w:rPr>
        <w:footnoteRef/>
      </w:r>
      <w:r w:rsidRPr="00372298">
        <w:rPr>
          <w:rFonts w:ascii="Trebuchet MS" w:hAnsi="Trebuchet MS"/>
        </w:rPr>
        <w:t xml:space="preserve">  </w:t>
      </w:r>
      <w:r w:rsidRPr="00372298">
        <w:rPr>
          <w:rFonts w:ascii="Trebuchet MS" w:hAnsi="Trebuchet MS" w:cs="Arial"/>
          <w:i/>
          <w:iCs/>
        </w:rPr>
        <w:t>Opinion of the European Economic and Social Committee on the ‘Communication from the Commission to the European Parliament, the Council, the European Economic and Social Committee and the Committee of the Regions — Consultative communication on the sustainable use of phosphorus’ COM(2013) 517, https://eur-lex.europa.eu/legal-content/EN/TXT/?uri=celex%3A52013AE6363</w:t>
      </w:r>
    </w:p>
  </w:footnote>
  <w:footnote w:id="8">
    <w:p w:rsidR="00DD46ED" w:rsidRPr="00372298" w:rsidRDefault="00DD46ED" w:rsidP="00C417FD">
      <w:pPr>
        <w:pStyle w:val="FootnoteText"/>
        <w:tabs>
          <w:tab w:val="left" w:pos="90"/>
        </w:tabs>
        <w:spacing w:after="0" w:line="240" w:lineRule="auto"/>
        <w:ind w:left="187" w:hanging="187"/>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w:t>
      </w:r>
      <w:r w:rsidRPr="00372298">
        <w:rPr>
          <w:rFonts w:ascii="Trebuchet MS" w:hAnsi="Trebuchet MS" w:cs="Arial"/>
          <w:i/>
          <w:iCs/>
        </w:rPr>
        <w:tab/>
      </w:r>
      <w:bookmarkStart w:id="130" w:name="_Hlk76626634"/>
      <w:r w:rsidRPr="00372298">
        <w:rPr>
          <w:rFonts w:ascii="Trebuchet MS" w:hAnsi="Trebuchet MS" w:cs="Arial"/>
          <w:i/>
          <w:iCs/>
        </w:rPr>
        <w:t xml:space="preserve">Comunicarea Comisiei către Parlamentul European, Consiliu, Comitetul Economic și Social European și Eomitetul Regiunilor - O Strategie „De la fermă la consumator” pentru un sistem alimentar echitabil, sănătos și ecologic, COM(2020) 381 final, Bruxelles, 20.5.2020,  </w:t>
      </w:r>
    </w:p>
    <w:bookmarkEnd w:id="130"/>
  </w:footnote>
  <w:footnote w:id="9">
    <w:p w:rsidR="00DD46ED" w:rsidRPr="00372298" w:rsidRDefault="00DD46ED" w:rsidP="00C417FD">
      <w:pPr>
        <w:pStyle w:val="FootnoteText"/>
        <w:spacing w:after="0" w:line="240" w:lineRule="auto"/>
        <w:ind w:left="187" w:hanging="187"/>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Comunicarea Comisiei către Parlamentul European, Consiliul European, Consiliu, Comitetul Economic și Social European și Comitetul Regiunilor, Forging a climate-resilient Europe - the new EU Strategy on Adaptation to Climate Change, {SEC(2021) 89 final} - {SWD(2021) 25 final} - {SWD(2021) 26 final}, </w:t>
      </w:r>
      <w:hyperlink r:id="rId2" w:history="1">
        <w:r w:rsidRPr="00372298">
          <w:rPr>
            <w:rStyle w:val="Hyperlink"/>
            <w:rFonts w:ascii="Trebuchet MS" w:hAnsi="Trebuchet MS" w:cs="Arial"/>
            <w:i/>
            <w:iCs/>
          </w:rPr>
          <w:t>https://ec.europa.eu/clima/sites/clima/files/adaptation/what/docs/eu_strategy_2021.pdf</w:t>
        </w:r>
      </w:hyperlink>
    </w:p>
  </w:footnote>
  <w:footnote w:id="10">
    <w:p w:rsidR="00DD46ED" w:rsidRPr="00B375B4" w:rsidRDefault="00DD46ED" w:rsidP="00C417FD">
      <w:pPr>
        <w:pStyle w:val="FootnoteText"/>
        <w:tabs>
          <w:tab w:val="left" w:pos="90"/>
        </w:tabs>
        <w:spacing w:after="0" w:line="240" w:lineRule="auto"/>
        <w:ind w:left="187" w:hanging="187"/>
        <w:jc w:val="both"/>
        <w:rPr>
          <w:rFonts w:ascii="Arial" w:hAnsi="Arial"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Comunicarea Comisiei „Planul de investiții pentru o Europă durabilă Planul de investiții din cadrul Pactului ecologic European, Bruxelles, 14.1.2020, COM(2020) 21 final https://eur-lex.europa.eu/legal-content/RO/TXT/PDF/?uri=CELEX:52020DC0021&amp;qid=1624432202009&amp;from=EN</w:t>
      </w:r>
    </w:p>
  </w:footnote>
  <w:footnote w:id="11">
    <w:p w:rsidR="00DD46ED" w:rsidRPr="00372298" w:rsidRDefault="00DD46ED" w:rsidP="00C417FD">
      <w:pPr>
        <w:pStyle w:val="FootnoteText"/>
        <w:spacing w:after="0"/>
        <w:jc w:val="both"/>
        <w:rPr>
          <w:rFonts w:ascii="Trebuchet MS" w:hAnsi="Trebuchet MS"/>
        </w:rPr>
      </w:pPr>
      <w:r w:rsidRPr="00372298">
        <w:rPr>
          <w:rStyle w:val="FootnoteReference"/>
          <w:rFonts w:ascii="Trebuchet MS" w:eastAsia="SimSun" w:hAnsi="Trebuchet MS"/>
        </w:rPr>
        <w:footnoteRef/>
      </w:r>
      <w:r w:rsidRPr="00372298">
        <w:rPr>
          <w:rFonts w:ascii="Trebuchet MS" w:hAnsi="Trebuchet MS"/>
        </w:rPr>
        <w:t xml:space="preserve"> https://www.mmediu.ro/categorie/strategia-nationala-pentru-gospodarirea-apelor-2023-2035/444</w:t>
      </w:r>
    </w:p>
  </w:footnote>
  <w:footnote w:id="12">
    <w:p w:rsidR="00DD46ED" w:rsidRPr="00372298" w:rsidRDefault="00DD46ED" w:rsidP="00C417FD">
      <w:pPr>
        <w:pStyle w:val="FootnoteText"/>
        <w:spacing w:after="0" w:line="240" w:lineRule="auto"/>
        <w:jc w:val="both"/>
        <w:rPr>
          <w:rFonts w:ascii="Trebuchet MS" w:hAnsi="Trebuchet MS"/>
        </w:rPr>
      </w:pPr>
      <w:r w:rsidRPr="00372298">
        <w:rPr>
          <w:rStyle w:val="FootnoteReference"/>
          <w:rFonts w:ascii="Trebuchet MS" w:eastAsia="SimSun" w:hAnsi="Trebuchet MS"/>
        </w:rPr>
        <w:footnoteRef/>
      </w:r>
      <w:r w:rsidRPr="00372298">
        <w:rPr>
          <w:rFonts w:ascii="Trebuchet MS" w:hAnsi="Trebuchet MS"/>
        </w:rPr>
        <w:t xml:space="preserve"> https://legislatie.just.ro/Public/DetaliiDocument/271443</w:t>
      </w:r>
    </w:p>
  </w:footnote>
  <w:footnote w:id="13">
    <w:p w:rsidR="00DD46ED" w:rsidRPr="00372298" w:rsidRDefault="00DD46ED" w:rsidP="00C417FD">
      <w:pPr>
        <w:pStyle w:val="FootnoteText"/>
        <w:spacing w:after="0" w:line="240" w:lineRule="auto"/>
        <w:jc w:val="both"/>
        <w:rPr>
          <w:rFonts w:ascii="Trebuchet MS" w:hAnsi="Trebuchet MS"/>
        </w:rPr>
      </w:pPr>
      <w:r w:rsidRPr="00372298">
        <w:rPr>
          <w:rStyle w:val="FootnoteReference"/>
          <w:rFonts w:ascii="Trebuchet MS" w:eastAsia="SimSun" w:hAnsi="Trebuchet MS"/>
        </w:rPr>
        <w:footnoteRef/>
      </w:r>
      <w:r w:rsidRPr="00372298">
        <w:rPr>
          <w:rFonts w:ascii="Trebuchet MS" w:hAnsi="Trebuchet MS"/>
        </w:rPr>
        <w:t xml:space="preserve"> https://www.mmediu.ro/articol/strategia-nationala-de-management-al-riscului-la-inundatii-pe-termen-mediu-si-lung/6308</w:t>
      </w:r>
    </w:p>
  </w:footnote>
  <w:footnote w:id="14">
    <w:p w:rsidR="00DD46ED" w:rsidRDefault="00DD46ED" w:rsidP="00C417FD">
      <w:pPr>
        <w:pStyle w:val="FootnoteText"/>
        <w:spacing w:line="240" w:lineRule="auto"/>
        <w:jc w:val="both"/>
      </w:pPr>
      <w:r w:rsidRPr="00372298">
        <w:rPr>
          <w:rStyle w:val="FootnoteReference"/>
          <w:rFonts w:ascii="Trebuchet MS" w:eastAsia="SimSun" w:hAnsi="Trebuchet MS"/>
        </w:rPr>
        <w:footnoteRef/>
      </w:r>
      <w:r w:rsidRPr="00372298">
        <w:rPr>
          <w:rFonts w:ascii="Trebuchet MS" w:hAnsi="Trebuchet MS"/>
        </w:rPr>
        <w:t xml:space="preserve"> https://www.mae.ro/node/47937</w:t>
      </w:r>
    </w:p>
  </w:footnote>
  <w:footnote w:id="15">
    <w:p w:rsidR="00DD46ED" w:rsidRPr="00372298" w:rsidRDefault="00DD46ED" w:rsidP="00C417FD">
      <w:pPr>
        <w:pStyle w:val="FootnoteText"/>
        <w:spacing w:after="0" w:line="240" w:lineRule="auto"/>
        <w:rPr>
          <w:rFonts w:ascii="Trebuchet MS" w:hAnsi="Trebuchet MS"/>
        </w:rPr>
      </w:pPr>
      <w:r w:rsidRPr="00372298">
        <w:rPr>
          <w:rStyle w:val="FootnoteReference"/>
          <w:rFonts w:ascii="Trebuchet MS" w:eastAsia="SimSun" w:hAnsi="Trebuchet MS"/>
        </w:rPr>
        <w:footnoteRef/>
      </w:r>
      <w:r w:rsidRPr="00372298">
        <w:rPr>
          <w:rFonts w:ascii="Trebuchet MS" w:hAnsi="Trebuchet MS"/>
        </w:rPr>
        <w:t xml:space="preserve"> https://www.mmediu.ro/app/webroot/uploads/files/Livrabil-5_varianta-finala-a-SN-privind-gospodarirea-integrata-a-zonei-costiere-si-a-PMI-al-zonei-costiere%20%281%29.pdf</w:t>
      </w:r>
    </w:p>
  </w:footnote>
  <w:footnote w:id="16">
    <w:p w:rsidR="00DD46ED" w:rsidRPr="00372298" w:rsidRDefault="00DD46ED" w:rsidP="00C417FD">
      <w:pPr>
        <w:pStyle w:val="FootnoteText"/>
        <w:spacing w:after="0" w:line="240" w:lineRule="auto"/>
        <w:jc w:val="both"/>
        <w:rPr>
          <w:rFonts w:ascii="Trebuchet MS" w:hAnsi="Trebuchet MS"/>
        </w:rPr>
      </w:pPr>
      <w:r w:rsidRPr="00372298">
        <w:rPr>
          <w:rStyle w:val="FootnoteReference"/>
          <w:rFonts w:ascii="Trebuchet MS" w:eastAsia="SimSun" w:hAnsi="Trebuchet MS"/>
        </w:rPr>
        <w:footnoteRef/>
      </w:r>
      <w:r w:rsidRPr="00372298">
        <w:rPr>
          <w:rFonts w:ascii="Trebuchet MS" w:hAnsi="Trebuchet MS"/>
        </w:rPr>
        <w:t xml:space="preserve"> https://www.cdep.ro/proiecte/2007/200/20/2/tabcomparativ.pdf</w:t>
      </w:r>
    </w:p>
  </w:footnote>
  <w:footnote w:id="17">
    <w:p w:rsidR="00DD46ED" w:rsidRDefault="00DD46ED" w:rsidP="00C417FD">
      <w:pPr>
        <w:pStyle w:val="FootnoteText"/>
        <w:spacing w:after="0" w:line="240" w:lineRule="auto"/>
        <w:jc w:val="both"/>
      </w:pPr>
      <w:r w:rsidRPr="00372298">
        <w:rPr>
          <w:rStyle w:val="FootnoteReference"/>
          <w:rFonts w:ascii="Trebuchet MS" w:eastAsia="SimSun" w:hAnsi="Trebuchet MS"/>
        </w:rPr>
        <w:footnoteRef/>
      </w:r>
      <w:r w:rsidRPr="00372298">
        <w:rPr>
          <w:rFonts w:ascii="Trebuchet MS" w:hAnsi="Trebuchet MS"/>
        </w:rPr>
        <w:t xml:space="preserve"> https://rowater.ro/activitatea-institutiei/proiecte/proiecte-in-curs-de-implementare/reducerea-si-reabilitarea-zonei-costiere/</w:t>
      </w:r>
    </w:p>
  </w:footnote>
  <w:footnote w:id="18">
    <w:p w:rsidR="00DD46ED" w:rsidRPr="00372298" w:rsidRDefault="00DD46ED" w:rsidP="00C417FD">
      <w:pPr>
        <w:pStyle w:val="FootnoteText"/>
        <w:spacing w:after="0" w:line="240" w:lineRule="auto"/>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ICPDR, Climate Change Adaptation Strategy, 2018, https://www.icpdr.org/main/sites/default/files/nodes/documents/icpdr_climate_change_adaptation_strategy_web.pdf</w:t>
      </w:r>
    </w:p>
  </w:footnote>
  <w:footnote w:id="19">
    <w:p w:rsidR="00DD46ED" w:rsidRPr="00372298" w:rsidRDefault="00DD46ED" w:rsidP="00C417FD">
      <w:pPr>
        <w:pStyle w:val="FootnoteText"/>
        <w:spacing w:after="0" w:line="240" w:lineRule="auto"/>
        <w:jc w:val="both"/>
        <w:rPr>
          <w:rFonts w:ascii="Trebuchet MS" w:hAnsi="Trebuchet MS"/>
        </w:rPr>
      </w:pPr>
      <w:r w:rsidRPr="00372298">
        <w:rPr>
          <w:rStyle w:val="FootnoteReference"/>
          <w:rFonts w:ascii="Trebuchet MS" w:eastAsia="SimSun" w:hAnsi="Trebuchet MS"/>
        </w:rPr>
        <w:footnoteRef/>
      </w:r>
      <w:r w:rsidRPr="00372298">
        <w:rPr>
          <w:rFonts w:ascii="Trebuchet MS" w:hAnsi="Trebuchet MS"/>
        </w:rPr>
        <w:t xml:space="preserve"> https://sgglegis.gov.ro/legislativ/docs/2023/08/1k3zst29bcf6gry8q57_.pdf</w:t>
      </w:r>
    </w:p>
  </w:footnote>
  <w:footnote w:id="20">
    <w:p w:rsidR="00DD46ED" w:rsidRDefault="00DD46ED" w:rsidP="00C417FD">
      <w:pPr>
        <w:pStyle w:val="FootnoteText"/>
        <w:spacing w:after="0" w:line="240" w:lineRule="auto"/>
        <w:jc w:val="both"/>
      </w:pPr>
      <w:r w:rsidRPr="00372298">
        <w:rPr>
          <w:rStyle w:val="FootnoteReference"/>
          <w:rFonts w:ascii="Trebuchet MS" w:eastAsia="SimSun" w:hAnsi="Trebuchet MS"/>
        </w:rPr>
        <w:footnoteRef/>
      </w:r>
      <w:r w:rsidRPr="00372298">
        <w:rPr>
          <w:rFonts w:ascii="Trebuchet MS" w:hAnsi="Trebuchet MS"/>
        </w:rPr>
        <w:t xml:space="preserve"> https://sgglegis.gov.ro/legislativ/docs/2023/08/_qzxr1msk6fjtgvn73hw.pdf</w:t>
      </w:r>
    </w:p>
  </w:footnote>
  <w:footnote w:id="21">
    <w:p w:rsidR="00DD46ED" w:rsidRPr="00372298" w:rsidRDefault="00DD46ED" w:rsidP="00C417FD">
      <w:pPr>
        <w:pStyle w:val="FootnoteText"/>
        <w:spacing w:after="0" w:line="240" w:lineRule="auto"/>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Raport Diagnostic privind Apele din România, 2018, https://fdocuments.fr/document/raport-diagnostic-privind-apele-din-rom-2019-4-29-raport-diagnostic-privind.html</w:t>
      </w:r>
    </w:p>
  </w:footnote>
  <w:footnote w:id="22">
    <w:p w:rsidR="00DD46ED" w:rsidRPr="00372298" w:rsidRDefault="00DD46ED" w:rsidP="00C417FD">
      <w:pPr>
        <w:pStyle w:val="FootnoteText"/>
        <w:spacing w:after="0" w:line="240" w:lineRule="auto"/>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http://www.interreg-danube.eu/approved-projects/dridanube</w:t>
      </w:r>
    </w:p>
  </w:footnote>
  <w:footnote w:id="23">
    <w:p w:rsidR="00DD46ED" w:rsidRPr="00372298" w:rsidRDefault="00DD46ED" w:rsidP="00C417FD">
      <w:pPr>
        <w:pStyle w:val="FootnoteText"/>
        <w:spacing w:after="0" w:line="240" w:lineRule="auto"/>
        <w:jc w:val="both"/>
        <w:rPr>
          <w:rFonts w:ascii="Trebuchet MS" w:hAnsi="Trebuchet MS" w:cs="Arial"/>
        </w:rPr>
      </w:pPr>
      <w:r w:rsidRPr="00372298">
        <w:rPr>
          <w:rStyle w:val="FootnoteReference"/>
          <w:rFonts w:ascii="Trebuchet MS" w:eastAsia="SimSun" w:hAnsi="Trebuchet MS" w:cs="Arial"/>
          <w:i/>
          <w:iCs/>
        </w:rPr>
        <w:footnoteRef/>
      </w:r>
      <w:r w:rsidRPr="00372298">
        <w:rPr>
          <w:rFonts w:ascii="Trebuchet MS" w:hAnsi="Trebuchet MS" w:cs="Arial"/>
          <w:i/>
          <w:iCs/>
        </w:rPr>
        <w:t xml:space="preserve"> https://cordis.europa.eu/project/id/730109</w:t>
      </w:r>
    </w:p>
  </w:footnote>
  <w:footnote w:id="24">
    <w:p w:rsidR="00DD46ED" w:rsidRPr="00372298" w:rsidRDefault="00DD46ED" w:rsidP="00C417FD">
      <w:pPr>
        <w:pStyle w:val="FootnoteText"/>
        <w:spacing w:after="0" w:line="240" w:lineRule="auto"/>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https://viva-project.org/</w:t>
      </w:r>
    </w:p>
  </w:footnote>
  <w:footnote w:id="25">
    <w:p w:rsidR="00DD46ED" w:rsidRPr="00265759" w:rsidRDefault="00DD46ED" w:rsidP="00C417FD">
      <w:pPr>
        <w:pStyle w:val="FootnoteText"/>
        <w:spacing w:after="0" w:line="240" w:lineRule="auto"/>
        <w:jc w:val="both"/>
        <w:rPr>
          <w:rFonts w:ascii="Arial" w:hAnsi="Arial"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https://www.icpdr.org/main/issues/agriculture</w:t>
      </w:r>
    </w:p>
  </w:footnote>
  <w:footnote w:id="26">
    <w:p w:rsidR="00DD46ED" w:rsidRPr="00372298" w:rsidRDefault="00DD46ED" w:rsidP="00C417FD">
      <w:pPr>
        <w:pStyle w:val="FootnoteText"/>
        <w:spacing w:after="0" w:line="240" w:lineRule="auto"/>
        <w:jc w:val="both"/>
        <w:rPr>
          <w:rFonts w:ascii="Trebuchet MS" w:hAnsi="Trebuchet MS" w:cs="Arial"/>
          <w:i/>
          <w:iCs/>
        </w:rPr>
      </w:pPr>
      <w:r w:rsidRPr="00372298">
        <w:rPr>
          <w:rStyle w:val="FootnoteReference"/>
          <w:rFonts w:ascii="Trebuchet MS" w:eastAsia="SimSun" w:hAnsi="Trebuchet MS" w:cs="Arial"/>
          <w:i/>
          <w:iCs/>
        </w:rPr>
        <w:footnoteRef/>
      </w:r>
      <w:r w:rsidRPr="00372298">
        <w:rPr>
          <w:rFonts w:ascii="Trebuchet MS" w:hAnsi="Trebuchet MS" w:cs="Arial"/>
          <w:i/>
          <w:iCs/>
        </w:rPr>
        <w:t xml:space="preserve"> Report of the Commission to the European Parliament and the Council on the implementation of the Water Framework Directive (2000/60/EC) and the Floods Directive (2007/60/EC) Second River Basin Management Plans First Flood Risk Management Plans, Accompanying document - Commission Staff Working Document Second River Basin Management Plans - Member State: Romania SWD/2019/52 final, Brussels, 26.02.2019</w:t>
      </w:r>
    </w:p>
  </w:footnote>
  <w:footnote w:id="27">
    <w:p w:rsidR="00DD46ED" w:rsidRPr="00372298" w:rsidRDefault="00DD46ED" w:rsidP="00C417FD">
      <w:pPr>
        <w:pStyle w:val="FootnoteText"/>
        <w:spacing w:after="0" w:line="240" w:lineRule="auto"/>
        <w:jc w:val="both"/>
        <w:rPr>
          <w:rFonts w:ascii="Trebuchet MS" w:hAnsi="Trebuchet MS"/>
        </w:rPr>
      </w:pPr>
      <w:r w:rsidRPr="00372298">
        <w:rPr>
          <w:rStyle w:val="FootnoteReference"/>
          <w:rFonts w:ascii="Trebuchet MS" w:eastAsia="SimSun" w:hAnsi="Trebuchet MS"/>
        </w:rPr>
        <w:footnoteRef/>
      </w:r>
      <w:r w:rsidRPr="00372298">
        <w:rPr>
          <w:rFonts w:ascii="Trebuchet MS" w:hAnsi="Trebuchet MS"/>
        </w:rPr>
        <w:t xml:space="preserve"> https://legislatie.just.ro/Public/DetaliiDocument/264337</w:t>
      </w:r>
    </w:p>
  </w:footnote>
  <w:footnote w:id="28">
    <w:p w:rsidR="00DD46ED" w:rsidRPr="00E96371" w:rsidRDefault="00DD46ED" w:rsidP="00C417FD">
      <w:pPr>
        <w:pStyle w:val="FootnoteText"/>
        <w:spacing w:after="0" w:line="240" w:lineRule="auto"/>
        <w:ind w:left="180" w:hanging="180"/>
        <w:jc w:val="both"/>
        <w:rPr>
          <w:rFonts w:ascii="Trebuchet MS" w:hAnsi="Trebuchet MS" w:cs="Arial"/>
          <w:i/>
          <w:iCs/>
        </w:rPr>
      </w:pPr>
      <w:r w:rsidRPr="00E96371">
        <w:rPr>
          <w:rStyle w:val="FootnoteReference"/>
          <w:rFonts w:ascii="Trebuchet MS" w:eastAsia="SimSun" w:hAnsi="Trebuchet MS" w:cs="Arial"/>
          <w:i/>
          <w:iCs/>
        </w:rPr>
        <w:footnoteRef/>
      </w:r>
      <w:r w:rsidRPr="00E96371">
        <w:rPr>
          <w:rFonts w:ascii="Trebuchet MS" w:hAnsi="Trebuchet MS" w:cs="Arial"/>
          <w:i/>
          <w:iCs/>
        </w:rPr>
        <w:t xml:space="preserve"> Regulamentul (UE) 2020/741 al Parlamentului European și al Consiliului din 25 mai 2020 privind cerințele minime pentru reutilizarea apei, https://eur-lex.europa.eu/legal-content/RO/TXT/PDF/?uri=CELEX:32020R0741&amp;from=en</w:t>
      </w:r>
    </w:p>
  </w:footnote>
  <w:footnote w:id="29">
    <w:p w:rsidR="00DD46ED" w:rsidRDefault="00DD46ED" w:rsidP="00C417FD">
      <w:pPr>
        <w:pStyle w:val="FootnoteText"/>
        <w:spacing w:after="0" w:line="240" w:lineRule="auto"/>
        <w:ind w:left="180" w:hanging="180"/>
        <w:jc w:val="both"/>
      </w:pPr>
      <w:r w:rsidRPr="00E96371">
        <w:rPr>
          <w:rStyle w:val="FootnoteReference"/>
          <w:rFonts w:ascii="Trebuchet MS" w:eastAsia="SimSun" w:hAnsi="Trebuchet MS"/>
        </w:rPr>
        <w:footnoteRef/>
      </w:r>
      <w:r w:rsidRPr="00E96371">
        <w:rPr>
          <w:rFonts w:ascii="Trebuchet MS" w:hAnsi="Trebuchet MS"/>
        </w:rPr>
        <w:t xml:space="preserve"> </w:t>
      </w:r>
      <w:r w:rsidRPr="00E96371">
        <w:rPr>
          <w:rFonts w:ascii="Trebuchet MS" w:hAnsi="Trebuchet MS" w:cs="Arial"/>
          <w:i/>
          <w:iCs/>
        </w:rPr>
        <w:t>JRC, Ghid tehnic „Managementul riscului de reutilizare a apei pentru scheme de irigații agricole în Europa! https://publications.jrc.ec.europa.eu/repository/handle/JRC129596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
      </v:shape>
    </w:pict>
  </w:numPicBullet>
  <w:abstractNum w:abstractNumId="0">
    <w:nsid w:val="BD5FD15F"/>
    <w:multiLevelType w:val="hybridMultilevel"/>
    <w:tmpl w:val="9B93466F"/>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001"/>
    <w:multiLevelType w:val="singleLevel"/>
    <w:tmpl w:val="00000001"/>
    <w:name w:val="WW8Num1"/>
    <w:lvl w:ilvl="0">
      <w:start w:val="1"/>
      <w:numFmt w:val="upperLetter"/>
      <w:lvlText w:val="%1."/>
      <w:lvlJc w:val="left"/>
      <w:pPr>
        <w:tabs>
          <w:tab w:val="num" w:pos="360"/>
        </w:tabs>
        <w:ind w:left="360" w:hanging="360"/>
      </w:pPr>
      <w:rPr>
        <w:rFonts w:hint="default"/>
      </w:rPr>
    </w:lvl>
  </w:abstractNum>
  <w:abstractNum w:abstractNumId="2">
    <w:nsid w:val="00000002"/>
    <w:multiLevelType w:val="singleLevel"/>
    <w:tmpl w:val="00000002"/>
    <w:name w:val="WW8Num2"/>
    <w:lvl w:ilvl="0">
      <w:start w:val="2"/>
      <w:numFmt w:val="bullet"/>
      <w:lvlText w:val="-"/>
      <w:lvlJc w:val="left"/>
      <w:pPr>
        <w:tabs>
          <w:tab w:val="num" w:pos="0"/>
        </w:tabs>
        <w:ind w:left="720" w:hanging="360"/>
      </w:pPr>
      <w:rPr>
        <w:rFonts w:ascii="Arial" w:hAnsi="Arial" w:cs="Arial" w:hint="default"/>
      </w:rPr>
    </w:lvl>
  </w:abstractNum>
  <w:abstractNum w:abstractNumId="3">
    <w:nsid w:val="01110848"/>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4">
    <w:nsid w:val="020F38D3"/>
    <w:multiLevelType w:val="hybridMultilevel"/>
    <w:tmpl w:val="76E841A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
    <w:nsid w:val="07A56257"/>
    <w:multiLevelType w:val="hybridMultilevel"/>
    <w:tmpl w:val="0F325B22"/>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0DE95DC6"/>
    <w:multiLevelType w:val="hybridMultilevel"/>
    <w:tmpl w:val="908A6C5A"/>
    <w:lvl w:ilvl="0" w:tplc="04090005">
      <w:numFmt w:val="bullet"/>
      <w:lvlText w:val="-"/>
      <w:lvlJc w:val="left"/>
      <w:pPr>
        <w:ind w:left="720" w:hanging="360"/>
      </w:pPr>
      <w:rPr>
        <w:rFonts w:ascii="Calibri" w:eastAsia="Calibri" w:hAnsi="Calibri" w:cs="Times New Roman" w:hint="default"/>
        <w:b w:val="0"/>
        <w:color w:val="auto"/>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8E3FE8"/>
    <w:multiLevelType w:val="hybridMultilevel"/>
    <w:tmpl w:val="BCC0AAF0"/>
    <w:lvl w:ilvl="0" w:tplc="17EAB30E">
      <w:start w:val="1"/>
      <w:numFmt w:val="upperLetter"/>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9">
    <w:nsid w:val="13487380"/>
    <w:multiLevelType w:val="hybridMultilevel"/>
    <w:tmpl w:val="80FA99CA"/>
    <w:lvl w:ilvl="0" w:tplc="888CC2C6">
      <w:numFmt w:val="bullet"/>
      <w:lvlText w:val="-"/>
      <w:lvlJc w:val="left"/>
      <w:pPr>
        <w:ind w:left="1287" w:hanging="360"/>
      </w:pPr>
      <w:rPr>
        <w:rFonts w:ascii="Calibri" w:eastAsia="Calibri" w:hAnsi="Calibri"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nsid w:val="15947AF0"/>
    <w:multiLevelType w:val="hybridMultilevel"/>
    <w:tmpl w:val="B268D82C"/>
    <w:lvl w:ilvl="0" w:tplc="D4A08374">
      <w:start w:val="7"/>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5E65938"/>
    <w:multiLevelType w:val="hybridMultilevel"/>
    <w:tmpl w:val="F636F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8700EF"/>
    <w:multiLevelType w:val="hybridMultilevel"/>
    <w:tmpl w:val="9EBADE1E"/>
    <w:lvl w:ilvl="0" w:tplc="AE428788">
      <w:start w:val="1"/>
      <w:numFmt w:val="decimal"/>
      <w:pStyle w:val="Tabel"/>
      <w:lvlText w:val="Tabel 3.%1."/>
      <w:lvlJc w:val="left"/>
      <w:pPr>
        <w:tabs>
          <w:tab w:val="num" w:pos="737"/>
        </w:tabs>
        <w:ind w:left="737" w:hanging="737"/>
      </w:pPr>
      <w:rPr>
        <w:rFonts w:cs="Times New Roman"/>
        <w:b/>
        <w:bCs/>
        <w:i/>
        <w:iCs/>
        <w:color w:val="auto"/>
      </w:rPr>
    </w:lvl>
    <w:lvl w:ilvl="1" w:tplc="04180019">
      <w:start w:val="1"/>
      <w:numFmt w:val="lowerLetter"/>
      <w:lvlText w:val="%2."/>
      <w:lvlJc w:val="left"/>
      <w:pPr>
        <w:ind w:left="1440" w:hanging="360"/>
      </w:pPr>
      <w:rPr>
        <w:rFonts w:cs="Times New Roman"/>
      </w:rPr>
    </w:lvl>
    <w:lvl w:ilvl="2" w:tplc="0418001B">
      <w:start w:val="1"/>
      <w:numFmt w:val="lowerRoman"/>
      <w:lvlText w:val="%3."/>
      <w:lvlJc w:val="right"/>
      <w:pPr>
        <w:ind w:left="2160" w:hanging="180"/>
      </w:pPr>
      <w:rPr>
        <w:rFonts w:cs="Times New Roman"/>
      </w:rPr>
    </w:lvl>
    <w:lvl w:ilvl="3" w:tplc="0418000F">
      <w:start w:val="1"/>
      <w:numFmt w:val="decimal"/>
      <w:lvlText w:val="%4."/>
      <w:lvlJc w:val="left"/>
      <w:pPr>
        <w:ind w:left="2880" w:hanging="360"/>
      </w:pPr>
      <w:rPr>
        <w:rFonts w:cs="Times New Roman"/>
      </w:rPr>
    </w:lvl>
    <w:lvl w:ilvl="4" w:tplc="04180019">
      <w:start w:val="1"/>
      <w:numFmt w:val="lowerLetter"/>
      <w:lvlText w:val="%5."/>
      <w:lvlJc w:val="left"/>
      <w:pPr>
        <w:ind w:left="3600" w:hanging="360"/>
      </w:pPr>
      <w:rPr>
        <w:rFonts w:cs="Times New Roman"/>
      </w:rPr>
    </w:lvl>
    <w:lvl w:ilvl="5" w:tplc="0418001B">
      <w:start w:val="1"/>
      <w:numFmt w:val="lowerRoman"/>
      <w:lvlText w:val="%6."/>
      <w:lvlJc w:val="right"/>
      <w:pPr>
        <w:ind w:left="4320" w:hanging="180"/>
      </w:pPr>
      <w:rPr>
        <w:rFonts w:cs="Times New Roman"/>
      </w:rPr>
    </w:lvl>
    <w:lvl w:ilvl="6" w:tplc="0418000F">
      <w:start w:val="1"/>
      <w:numFmt w:val="decimal"/>
      <w:lvlText w:val="%7."/>
      <w:lvlJc w:val="left"/>
      <w:pPr>
        <w:ind w:left="5040" w:hanging="360"/>
      </w:pPr>
      <w:rPr>
        <w:rFonts w:cs="Times New Roman"/>
      </w:rPr>
    </w:lvl>
    <w:lvl w:ilvl="7" w:tplc="04180019">
      <w:start w:val="1"/>
      <w:numFmt w:val="lowerLetter"/>
      <w:lvlText w:val="%8."/>
      <w:lvlJc w:val="left"/>
      <w:pPr>
        <w:ind w:left="5760" w:hanging="360"/>
      </w:pPr>
      <w:rPr>
        <w:rFonts w:cs="Times New Roman"/>
      </w:rPr>
    </w:lvl>
    <w:lvl w:ilvl="8" w:tplc="0418001B">
      <w:start w:val="1"/>
      <w:numFmt w:val="lowerRoman"/>
      <w:lvlText w:val="%9."/>
      <w:lvlJc w:val="right"/>
      <w:pPr>
        <w:ind w:left="6480" w:hanging="180"/>
      </w:pPr>
      <w:rPr>
        <w:rFonts w:cs="Times New Roman"/>
      </w:rPr>
    </w:lvl>
  </w:abstractNum>
  <w:abstractNum w:abstractNumId="14">
    <w:nsid w:val="17C46AF3"/>
    <w:multiLevelType w:val="hybridMultilevel"/>
    <w:tmpl w:val="8D06A9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1845354C"/>
    <w:multiLevelType w:val="hybridMultilevel"/>
    <w:tmpl w:val="BF64F528"/>
    <w:lvl w:ilvl="0" w:tplc="04180003">
      <w:start w:val="1"/>
      <w:numFmt w:val="bullet"/>
      <w:lvlText w:val="o"/>
      <w:lvlJc w:val="left"/>
      <w:pPr>
        <w:ind w:left="1776" w:hanging="360"/>
      </w:pPr>
      <w:rPr>
        <w:rFonts w:ascii="Courier New" w:hAnsi="Courier New" w:hint="default"/>
      </w:rPr>
    </w:lvl>
    <w:lvl w:ilvl="1" w:tplc="04090003" w:tentative="1">
      <w:start w:val="1"/>
      <w:numFmt w:val="bullet"/>
      <w:lvlText w:val="o"/>
      <w:lvlJc w:val="left"/>
      <w:pPr>
        <w:ind w:left="2496" w:hanging="360"/>
      </w:pPr>
      <w:rPr>
        <w:rFonts w:ascii="Courier New" w:hAnsi="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6">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1C5A5222"/>
    <w:multiLevelType w:val="hybridMultilevel"/>
    <w:tmpl w:val="CB0E9380"/>
    <w:lvl w:ilvl="0" w:tplc="238C0E5A">
      <w:start w:val="1"/>
      <w:numFmt w:val="decimal"/>
      <w:pStyle w:val="textbibliografie"/>
      <w:lvlText w:val="%1."/>
      <w:lvlJc w:val="left"/>
      <w:pPr>
        <w:ind w:left="720" w:hanging="360"/>
      </w:pPr>
      <w:rPr>
        <w:i w:val="0"/>
        <w:color w:val="auto"/>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18">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19">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1D806265"/>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1DA17204"/>
    <w:multiLevelType w:val="hybridMultilevel"/>
    <w:tmpl w:val="CFF0DC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9A06A7"/>
    <w:multiLevelType w:val="hybridMultilevel"/>
    <w:tmpl w:val="8938B5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22A53F90"/>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242A1E9A"/>
    <w:multiLevelType w:val="hybridMultilevel"/>
    <w:tmpl w:val="74F69E6E"/>
    <w:lvl w:ilvl="0" w:tplc="A3708968">
      <w:numFmt w:val="bullet"/>
      <w:lvlText w:val="•"/>
      <w:lvlJc w:val="left"/>
      <w:pPr>
        <w:ind w:left="1410" w:hanging="690"/>
      </w:pPr>
      <w:rPr>
        <w:rFonts w:ascii="Arial" w:eastAsia="Calibri"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nsid w:val="25028766"/>
    <w:multiLevelType w:val="hybridMultilevel"/>
    <w:tmpl w:val="EBC083B9"/>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6">
    <w:nsid w:val="265C3FCB"/>
    <w:multiLevelType w:val="hybridMultilevel"/>
    <w:tmpl w:val="BED6CEBA"/>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
    <w:nsid w:val="277D299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27FF0B66"/>
    <w:multiLevelType w:val="hybridMultilevel"/>
    <w:tmpl w:val="E5C450BE"/>
    <w:lvl w:ilvl="0" w:tplc="C2D8601A">
      <w:start w:val="1"/>
      <w:numFmt w:val="bullet"/>
      <w:lvlText w:val=""/>
      <w:lvlJc w:val="left"/>
      <w:pPr>
        <w:tabs>
          <w:tab w:val="num" w:pos="720"/>
        </w:tabs>
        <w:ind w:left="720" w:hanging="360"/>
      </w:pPr>
      <w:rPr>
        <w:rFonts w:ascii="Wingdings" w:hAnsi="Wingdings" w:hint="default"/>
      </w:rPr>
    </w:lvl>
    <w:lvl w:ilvl="1" w:tplc="5248F46A" w:tentative="1">
      <w:start w:val="1"/>
      <w:numFmt w:val="bullet"/>
      <w:lvlText w:val=""/>
      <w:lvlJc w:val="left"/>
      <w:pPr>
        <w:tabs>
          <w:tab w:val="num" w:pos="1440"/>
        </w:tabs>
        <w:ind w:left="1440" w:hanging="360"/>
      </w:pPr>
      <w:rPr>
        <w:rFonts w:ascii="Wingdings" w:hAnsi="Wingdings" w:hint="default"/>
      </w:rPr>
    </w:lvl>
    <w:lvl w:ilvl="2" w:tplc="15F22EC4" w:tentative="1">
      <w:start w:val="1"/>
      <w:numFmt w:val="bullet"/>
      <w:lvlText w:val=""/>
      <w:lvlJc w:val="left"/>
      <w:pPr>
        <w:tabs>
          <w:tab w:val="num" w:pos="2160"/>
        </w:tabs>
        <w:ind w:left="2160" w:hanging="360"/>
      </w:pPr>
      <w:rPr>
        <w:rFonts w:ascii="Wingdings" w:hAnsi="Wingdings" w:hint="default"/>
      </w:rPr>
    </w:lvl>
    <w:lvl w:ilvl="3" w:tplc="7E1EC050" w:tentative="1">
      <w:start w:val="1"/>
      <w:numFmt w:val="bullet"/>
      <w:lvlText w:val=""/>
      <w:lvlJc w:val="left"/>
      <w:pPr>
        <w:tabs>
          <w:tab w:val="num" w:pos="2880"/>
        </w:tabs>
        <w:ind w:left="2880" w:hanging="360"/>
      </w:pPr>
      <w:rPr>
        <w:rFonts w:ascii="Wingdings" w:hAnsi="Wingdings" w:hint="default"/>
      </w:rPr>
    </w:lvl>
    <w:lvl w:ilvl="4" w:tplc="6A74858E" w:tentative="1">
      <w:start w:val="1"/>
      <w:numFmt w:val="bullet"/>
      <w:lvlText w:val=""/>
      <w:lvlJc w:val="left"/>
      <w:pPr>
        <w:tabs>
          <w:tab w:val="num" w:pos="3600"/>
        </w:tabs>
        <w:ind w:left="3600" w:hanging="360"/>
      </w:pPr>
      <w:rPr>
        <w:rFonts w:ascii="Wingdings" w:hAnsi="Wingdings" w:hint="default"/>
      </w:rPr>
    </w:lvl>
    <w:lvl w:ilvl="5" w:tplc="232CBA10" w:tentative="1">
      <w:start w:val="1"/>
      <w:numFmt w:val="bullet"/>
      <w:lvlText w:val=""/>
      <w:lvlJc w:val="left"/>
      <w:pPr>
        <w:tabs>
          <w:tab w:val="num" w:pos="4320"/>
        </w:tabs>
        <w:ind w:left="4320" w:hanging="360"/>
      </w:pPr>
      <w:rPr>
        <w:rFonts w:ascii="Wingdings" w:hAnsi="Wingdings" w:hint="default"/>
      </w:rPr>
    </w:lvl>
    <w:lvl w:ilvl="6" w:tplc="97FC34BC" w:tentative="1">
      <w:start w:val="1"/>
      <w:numFmt w:val="bullet"/>
      <w:lvlText w:val=""/>
      <w:lvlJc w:val="left"/>
      <w:pPr>
        <w:tabs>
          <w:tab w:val="num" w:pos="5040"/>
        </w:tabs>
        <w:ind w:left="5040" w:hanging="360"/>
      </w:pPr>
      <w:rPr>
        <w:rFonts w:ascii="Wingdings" w:hAnsi="Wingdings" w:hint="default"/>
      </w:rPr>
    </w:lvl>
    <w:lvl w:ilvl="7" w:tplc="58A65634" w:tentative="1">
      <w:start w:val="1"/>
      <w:numFmt w:val="bullet"/>
      <w:lvlText w:val=""/>
      <w:lvlJc w:val="left"/>
      <w:pPr>
        <w:tabs>
          <w:tab w:val="num" w:pos="5760"/>
        </w:tabs>
        <w:ind w:left="5760" w:hanging="360"/>
      </w:pPr>
      <w:rPr>
        <w:rFonts w:ascii="Wingdings" w:hAnsi="Wingdings" w:hint="default"/>
      </w:rPr>
    </w:lvl>
    <w:lvl w:ilvl="8" w:tplc="6156785A" w:tentative="1">
      <w:start w:val="1"/>
      <w:numFmt w:val="bullet"/>
      <w:lvlText w:val=""/>
      <w:lvlJc w:val="left"/>
      <w:pPr>
        <w:tabs>
          <w:tab w:val="num" w:pos="6480"/>
        </w:tabs>
        <w:ind w:left="6480" w:hanging="360"/>
      </w:pPr>
      <w:rPr>
        <w:rFonts w:ascii="Wingdings" w:hAnsi="Wingdings" w:hint="default"/>
      </w:rPr>
    </w:lvl>
  </w:abstractNum>
  <w:abstractNum w:abstractNumId="29">
    <w:nsid w:val="28C845B4"/>
    <w:multiLevelType w:val="hybridMultilevel"/>
    <w:tmpl w:val="9A4241D0"/>
    <w:lvl w:ilvl="0" w:tplc="C750EA28">
      <w:start w:val="1"/>
      <w:numFmt w:val="upperLetter"/>
      <w:lvlText w:val="%1."/>
      <w:lvlJc w:val="left"/>
      <w:pPr>
        <w:ind w:left="720" w:hanging="360"/>
      </w:pPr>
      <w:rPr>
        <w:rFonts w:cs="Times New Roman" w:hint="default"/>
      </w:rPr>
    </w:lvl>
    <w:lvl w:ilvl="1" w:tplc="A836BF2A" w:tentative="1">
      <w:start w:val="1"/>
      <w:numFmt w:val="lowerLetter"/>
      <w:lvlText w:val="%2."/>
      <w:lvlJc w:val="left"/>
      <w:pPr>
        <w:ind w:left="1440" w:hanging="360"/>
      </w:pPr>
      <w:rPr>
        <w:rFonts w:cs="Times New Roman"/>
      </w:rPr>
    </w:lvl>
    <w:lvl w:ilvl="2" w:tplc="386E2D92" w:tentative="1">
      <w:start w:val="1"/>
      <w:numFmt w:val="lowerRoman"/>
      <w:lvlText w:val="%3."/>
      <w:lvlJc w:val="right"/>
      <w:pPr>
        <w:ind w:left="2160" w:hanging="180"/>
      </w:pPr>
      <w:rPr>
        <w:rFonts w:cs="Times New Roman"/>
      </w:rPr>
    </w:lvl>
    <w:lvl w:ilvl="3" w:tplc="96C22DCA" w:tentative="1">
      <w:start w:val="1"/>
      <w:numFmt w:val="decimal"/>
      <w:lvlText w:val="%4."/>
      <w:lvlJc w:val="left"/>
      <w:pPr>
        <w:ind w:left="2880" w:hanging="360"/>
      </w:pPr>
      <w:rPr>
        <w:rFonts w:cs="Times New Roman"/>
      </w:rPr>
    </w:lvl>
    <w:lvl w:ilvl="4" w:tplc="004E0D06" w:tentative="1">
      <w:start w:val="1"/>
      <w:numFmt w:val="lowerLetter"/>
      <w:lvlText w:val="%5."/>
      <w:lvlJc w:val="left"/>
      <w:pPr>
        <w:ind w:left="3600" w:hanging="360"/>
      </w:pPr>
      <w:rPr>
        <w:rFonts w:cs="Times New Roman"/>
      </w:rPr>
    </w:lvl>
    <w:lvl w:ilvl="5" w:tplc="E962E846" w:tentative="1">
      <w:start w:val="1"/>
      <w:numFmt w:val="lowerRoman"/>
      <w:lvlText w:val="%6."/>
      <w:lvlJc w:val="right"/>
      <w:pPr>
        <w:ind w:left="4320" w:hanging="180"/>
      </w:pPr>
      <w:rPr>
        <w:rFonts w:cs="Times New Roman"/>
      </w:rPr>
    </w:lvl>
    <w:lvl w:ilvl="6" w:tplc="44A6FED0" w:tentative="1">
      <w:start w:val="1"/>
      <w:numFmt w:val="decimal"/>
      <w:lvlText w:val="%7."/>
      <w:lvlJc w:val="left"/>
      <w:pPr>
        <w:ind w:left="5040" w:hanging="360"/>
      </w:pPr>
      <w:rPr>
        <w:rFonts w:cs="Times New Roman"/>
      </w:rPr>
    </w:lvl>
    <w:lvl w:ilvl="7" w:tplc="FB96528A" w:tentative="1">
      <w:start w:val="1"/>
      <w:numFmt w:val="lowerLetter"/>
      <w:lvlText w:val="%8."/>
      <w:lvlJc w:val="left"/>
      <w:pPr>
        <w:ind w:left="5760" w:hanging="360"/>
      </w:pPr>
      <w:rPr>
        <w:rFonts w:cs="Times New Roman"/>
      </w:rPr>
    </w:lvl>
    <w:lvl w:ilvl="8" w:tplc="E89070EA" w:tentative="1">
      <w:start w:val="1"/>
      <w:numFmt w:val="lowerRoman"/>
      <w:lvlText w:val="%9."/>
      <w:lvlJc w:val="right"/>
      <w:pPr>
        <w:ind w:left="6480" w:hanging="180"/>
      </w:pPr>
      <w:rPr>
        <w:rFonts w:cs="Times New Roman"/>
      </w:rPr>
    </w:lvl>
  </w:abstractNum>
  <w:abstractNum w:abstractNumId="30">
    <w:nsid w:val="28CB2EEA"/>
    <w:multiLevelType w:val="hybridMultilevel"/>
    <w:tmpl w:val="F62EC3D8"/>
    <w:lvl w:ilvl="0" w:tplc="A9A6BB00">
      <w:start w:val="7"/>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nsid w:val="2B26055A"/>
    <w:multiLevelType w:val="hybridMultilevel"/>
    <w:tmpl w:val="F8D49230"/>
    <w:lvl w:ilvl="0" w:tplc="FEAEF2C2">
      <w:start w:val="9"/>
      <w:numFmt w:val="bullet"/>
      <w:lvlText w:val="-"/>
      <w:lvlJc w:val="left"/>
      <w:pPr>
        <w:ind w:left="644" w:hanging="360"/>
      </w:pPr>
      <w:rPr>
        <w:rFonts w:ascii="Times New Roman" w:eastAsia="Times New Roman" w:hAnsi="Times New Roman" w:hint="default"/>
        <w:b/>
      </w:rPr>
    </w:lvl>
    <w:lvl w:ilvl="1" w:tplc="B17206F2" w:tentative="1">
      <w:start w:val="1"/>
      <w:numFmt w:val="bullet"/>
      <w:lvlText w:val="o"/>
      <w:lvlJc w:val="left"/>
      <w:pPr>
        <w:ind w:left="1364" w:hanging="360"/>
      </w:pPr>
      <w:rPr>
        <w:rFonts w:ascii="Courier New" w:hAnsi="Courier New" w:hint="default"/>
      </w:rPr>
    </w:lvl>
    <w:lvl w:ilvl="2" w:tplc="DD06B032" w:tentative="1">
      <w:start w:val="1"/>
      <w:numFmt w:val="bullet"/>
      <w:lvlText w:val=""/>
      <w:lvlJc w:val="left"/>
      <w:pPr>
        <w:ind w:left="2084" w:hanging="360"/>
      </w:pPr>
      <w:rPr>
        <w:rFonts w:ascii="Wingdings" w:hAnsi="Wingdings" w:hint="default"/>
      </w:rPr>
    </w:lvl>
    <w:lvl w:ilvl="3" w:tplc="FE5A5A08" w:tentative="1">
      <w:start w:val="1"/>
      <w:numFmt w:val="bullet"/>
      <w:lvlText w:val=""/>
      <w:lvlJc w:val="left"/>
      <w:pPr>
        <w:ind w:left="2804" w:hanging="360"/>
      </w:pPr>
      <w:rPr>
        <w:rFonts w:ascii="Symbol" w:hAnsi="Symbol" w:hint="default"/>
      </w:rPr>
    </w:lvl>
    <w:lvl w:ilvl="4" w:tplc="5282C82A" w:tentative="1">
      <w:start w:val="1"/>
      <w:numFmt w:val="bullet"/>
      <w:lvlText w:val="o"/>
      <w:lvlJc w:val="left"/>
      <w:pPr>
        <w:ind w:left="3524" w:hanging="360"/>
      </w:pPr>
      <w:rPr>
        <w:rFonts w:ascii="Courier New" w:hAnsi="Courier New" w:hint="default"/>
      </w:rPr>
    </w:lvl>
    <w:lvl w:ilvl="5" w:tplc="6F72EB04" w:tentative="1">
      <w:start w:val="1"/>
      <w:numFmt w:val="bullet"/>
      <w:lvlText w:val=""/>
      <w:lvlJc w:val="left"/>
      <w:pPr>
        <w:ind w:left="4244" w:hanging="360"/>
      </w:pPr>
      <w:rPr>
        <w:rFonts w:ascii="Wingdings" w:hAnsi="Wingdings" w:hint="default"/>
      </w:rPr>
    </w:lvl>
    <w:lvl w:ilvl="6" w:tplc="8D84A2E0" w:tentative="1">
      <w:start w:val="1"/>
      <w:numFmt w:val="bullet"/>
      <w:lvlText w:val=""/>
      <w:lvlJc w:val="left"/>
      <w:pPr>
        <w:ind w:left="4964" w:hanging="360"/>
      </w:pPr>
      <w:rPr>
        <w:rFonts w:ascii="Symbol" w:hAnsi="Symbol" w:hint="default"/>
      </w:rPr>
    </w:lvl>
    <w:lvl w:ilvl="7" w:tplc="D84A31CC" w:tentative="1">
      <w:start w:val="1"/>
      <w:numFmt w:val="bullet"/>
      <w:lvlText w:val="o"/>
      <w:lvlJc w:val="left"/>
      <w:pPr>
        <w:ind w:left="5684" w:hanging="360"/>
      </w:pPr>
      <w:rPr>
        <w:rFonts w:ascii="Courier New" w:hAnsi="Courier New" w:hint="default"/>
      </w:rPr>
    </w:lvl>
    <w:lvl w:ilvl="8" w:tplc="CB700902" w:tentative="1">
      <w:start w:val="1"/>
      <w:numFmt w:val="bullet"/>
      <w:lvlText w:val=""/>
      <w:lvlJc w:val="left"/>
      <w:pPr>
        <w:ind w:left="6404" w:hanging="360"/>
      </w:pPr>
      <w:rPr>
        <w:rFonts w:ascii="Wingdings" w:hAnsi="Wingdings" w:hint="default"/>
      </w:rPr>
    </w:lvl>
  </w:abstractNum>
  <w:abstractNum w:abstractNumId="32">
    <w:nsid w:val="2C0452B3"/>
    <w:multiLevelType w:val="hybridMultilevel"/>
    <w:tmpl w:val="E05840E6"/>
    <w:lvl w:ilvl="0" w:tplc="04090015">
      <w:start w:val="1"/>
      <w:numFmt w:val="bullet"/>
      <w:lvlText w:val=""/>
      <w:lvlJc w:val="left"/>
      <w:pPr>
        <w:ind w:left="1410" w:hanging="360"/>
      </w:pPr>
      <w:rPr>
        <w:rFonts w:ascii="Symbol" w:hAnsi="Symbol" w:hint="default"/>
      </w:rPr>
    </w:lvl>
    <w:lvl w:ilvl="1" w:tplc="04090019" w:tentative="1">
      <w:start w:val="1"/>
      <w:numFmt w:val="bullet"/>
      <w:lvlText w:val="o"/>
      <w:lvlJc w:val="left"/>
      <w:pPr>
        <w:ind w:left="2130" w:hanging="360"/>
      </w:pPr>
      <w:rPr>
        <w:rFonts w:ascii="Courier New" w:hAnsi="Courier New" w:hint="default"/>
      </w:rPr>
    </w:lvl>
    <w:lvl w:ilvl="2" w:tplc="0409001B" w:tentative="1">
      <w:start w:val="1"/>
      <w:numFmt w:val="bullet"/>
      <w:lvlText w:val=""/>
      <w:lvlJc w:val="left"/>
      <w:pPr>
        <w:ind w:left="2850" w:hanging="360"/>
      </w:pPr>
      <w:rPr>
        <w:rFonts w:ascii="Wingdings" w:hAnsi="Wingdings" w:hint="default"/>
      </w:rPr>
    </w:lvl>
    <w:lvl w:ilvl="3" w:tplc="0409000F" w:tentative="1">
      <w:start w:val="1"/>
      <w:numFmt w:val="bullet"/>
      <w:lvlText w:val=""/>
      <w:lvlJc w:val="left"/>
      <w:pPr>
        <w:ind w:left="3570" w:hanging="360"/>
      </w:pPr>
      <w:rPr>
        <w:rFonts w:ascii="Symbol" w:hAnsi="Symbol" w:hint="default"/>
      </w:rPr>
    </w:lvl>
    <w:lvl w:ilvl="4" w:tplc="04090019" w:tentative="1">
      <w:start w:val="1"/>
      <w:numFmt w:val="bullet"/>
      <w:lvlText w:val="o"/>
      <w:lvlJc w:val="left"/>
      <w:pPr>
        <w:ind w:left="4290" w:hanging="360"/>
      </w:pPr>
      <w:rPr>
        <w:rFonts w:ascii="Courier New" w:hAnsi="Courier New" w:hint="default"/>
      </w:rPr>
    </w:lvl>
    <w:lvl w:ilvl="5" w:tplc="0409001B" w:tentative="1">
      <w:start w:val="1"/>
      <w:numFmt w:val="bullet"/>
      <w:lvlText w:val=""/>
      <w:lvlJc w:val="left"/>
      <w:pPr>
        <w:ind w:left="5010" w:hanging="360"/>
      </w:pPr>
      <w:rPr>
        <w:rFonts w:ascii="Wingdings" w:hAnsi="Wingdings" w:hint="default"/>
      </w:rPr>
    </w:lvl>
    <w:lvl w:ilvl="6" w:tplc="0409000F" w:tentative="1">
      <w:start w:val="1"/>
      <w:numFmt w:val="bullet"/>
      <w:lvlText w:val=""/>
      <w:lvlJc w:val="left"/>
      <w:pPr>
        <w:ind w:left="5730" w:hanging="360"/>
      </w:pPr>
      <w:rPr>
        <w:rFonts w:ascii="Symbol" w:hAnsi="Symbol" w:hint="default"/>
      </w:rPr>
    </w:lvl>
    <w:lvl w:ilvl="7" w:tplc="04090019" w:tentative="1">
      <w:start w:val="1"/>
      <w:numFmt w:val="bullet"/>
      <w:lvlText w:val="o"/>
      <w:lvlJc w:val="left"/>
      <w:pPr>
        <w:ind w:left="6450" w:hanging="360"/>
      </w:pPr>
      <w:rPr>
        <w:rFonts w:ascii="Courier New" w:hAnsi="Courier New" w:hint="default"/>
      </w:rPr>
    </w:lvl>
    <w:lvl w:ilvl="8" w:tplc="0409001B" w:tentative="1">
      <w:start w:val="1"/>
      <w:numFmt w:val="bullet"/>
      <w:lvlText w:val=""/>
      <w:lvlJc w:val="left"/>
      <w:pPr>
        <w:ind w:left="7170" w:hanging="360"/>
      </w:pPr>
      <w:rPr>
        <w:rFonts w:ascii="Wingdings" w:hAnsi="Wingdings" w:hint="default"/>
      </w:rPr>
    </w:lvl>
  </w:abstractNum>
  <w:abstractNum w:abstractNumId="33">
    <w:nsid w:val="2CA97841"/>
    <w:multiLevelType w:val="hybridMultilevel"/>
    <w:tmpl w:val="CBDC63E8"/>
    <w:lvl w:ilvl="0" w:tplc="D3CE15C0">
      <w:start w:val="1"/>
      <w:numFmt w:val="upperLetter"/>
      <w:lvlText w:val="%1."/>
      <w:lvlJc w:val="left"/>
      <w:pPr>
        <w:ind w:left="720" w:hanging="360"/>
      </w:pPr>
      <w:rPr>
        <w:rFonts w:cs="Times New Roman" w:hint="default"/>
      </w:rPr>
    </w:lvl>
    <w:lvl w:ilvl="1" w:tplc="04180003" w:tentative="1">
      <w:start w:val="1"/>
      <w:numFmt w:val="lowerLetter"/>
      <w:lvlText w:val="%2."/>
      <w:lvlJc w:val="left"/>
      <w:pPr>
        <w:ind w:left="1440" w:hanging="360"/>
      </w:pPr>
      <w:rPr>
        <w:rFonts w:cs="Times New Roman"/>
      </w:rPr>
    </w:lvl>
    <w:lvl w:ilvl="2" w:tplc="04180005" w:tentative="1">
      <w:start w:val="1"/>
      <w:numFmt w:val="lowerRoman"/>
      <w:lvlText w:val="%3."/>
      <w:lvlJc w:val="right"/>
      <w:pPr>
        <w:ind w:left="2160" w:hanging="180"/>
      </w:pPr>
      <w:rPr>
        <w:rFonts w:cs="Times New Roman"/>
      </w:rPr>
    </w:lvl>
    <w:lvl w:ilvl="3" w:tplc="04180001" w:tentative="1">
      <w:start w:val="1"/>
      <w:numFmt w:val="decimal"/>
      <w:lvlText w:val="%4."/>
      <w:lvlJc w:val="left"/>
      <w:pPr>
        <w:ind w:left="2880" w:hanging="360"/>
      </w:pPr>
      <w:rPr>
        <w:rFonts w:cs="Times New Roman"/>
      </w:rPr>
    </w:lvl>
    <w:lvl w:ilvl="4" w:tplc="04180003" w:tentative="1">
      <w:start w:val="1"/>
      <w:numFmt w:val="lowerLetter"/>
      <w:lvlText w:val="%5."/>
      <w:lvlJc w:val="left"/>
      <w:pPr>
        <w:ind w:left="3600" w:hanging="360"/>
      </w:pPr>
      <w:rPr>
        <w:rFonts w:cs="Times New Roman"/>
      </w:rPr>
    </w:lvl>
    <w:lvl w:ilvl="5" w:tplc="04180005" w:tentative="1">
      <w:start w:val="1"/>
      <w:numFmt w:val="lowerRoman"/>
      <w:lvlText w:val="%6."/>
      <w:lvlJc w:val="right"/>
      <w:pPr>
        <w:ind w:left="4320" w:hanging="180"/>
      </w:pPr>
      <w:rPr>
        <w:rFonts w:cs="Times New Roman"/>
      </w:rPr>
    </w:lvl>
    <w:lvl w:ilvl="6" w:tplc="04180001" w:tentative="1">
      <w:start w:val="1"/>
      <w:numFmt w:val="decimal"/>
      <w:lvlText w:val="%7."/>
      <w:lvlJc w:val="left"/>
      <w:pPr>
        <w:ind w:left="5040" w:hanging="360"/>
      </w:pPr>
      <w:rPr>
        <w:rFonts w:cs="Times New Roman"/>
      </w:rPr>
    </w:lvl>
    <w:lvl w:ilvl="7" w:tplc="04180003" w:tentative="1">
      <w:start w:val="1"/>
      <w:numFmt w:val="lowerLetter"/>
      <w:lvlText w:val="%8."/>
      <w:lvlJc w:val="left"/>
      <w:pPr>
        <w:ind w:left="5760" w:hanging="360"/>
      </w:pPr>
      <w:rPr>
        <w:rFonts w:cs="Times New Roman"/>
      </w:rPr>
    </w:lvl>
    <w:lvl w:ilvl="8" w:tplc="04180005" w:tentative="1">
      <w:start w:val="1"/>
      <w:numFmt w:val="lowerRoman"/>
      <w:lvlText w:val="%9."/>
      <w:lvlJc w:val="right"/>
      <w:pPr>
        <w:ind w:left="6480" w:hanging="180"/>
      </w:pPr>
      <w:rPr>
        <w:rFonts w:cs="Times New Roman"/>
      </w:rPr>
    </w:lvl>
  </w:abstractNum>
  <w:abstractNum w:abstractNumId="34">
    <w:nsid w:val="2D123DF2"/>
    <w:multiLevelType w:val="hybridMultilevel"/>
    <w:tmpl w:val="070E0A88"/>
    <w:lvl w:ilvl="0" w:tplc="04180001">
      <w:start w:val="1"/>
      <w:numFmt w:val="upperLetter"/>
      <w:lvlText w:val="%1."/>
      <w:lvlJc w:val="left"/>
      <w:pPr>
        <w:tabs>
          <w:tab w:val="num" w:pos="720"/>
        </w:tabs>
        <w:ind w:left="720" w:hanging="360"/>
      </w:pPr>
      <w:rPr>
        <w:rFonts w:cs="Times New Roman" w:hint="default"/>
      </w:rPr>
    </w:lvl>
    <w:lvl w:ilvl="1" w:tplc="04180003" w:tentative="1">
      <w:start w:val="1"/>
      <w:numFmt w:val="lowerLetter"/>
      <w:lvlText w:val="%2."/>
      <w:lvlJc w:val="left"/>
      <w:pPr>
        <w:tabs>
          <w:tab w:val="num" w:pos="1440"/>
        </w:tabs>
        <w:ind w:left="1440" w:hanging="360"/>
      </w:pPr>
      <w:rPr>
        <w:rFonts w:cs="Times New Roman"/>
      </w:rPr>
    </w:lvl>
    <w:lvl w:ilvl="2" w:tplc="04180005" w:tentative="1">
      <w:start w:val="1"/>
      <w:numFmt w:val="lowerRoman"/>
      <w:lvlText w:val="%3."/>
      <w:lvlJc w:val="right"/>
      <w:pPr>
        <w:tabs>
          <w:tab w:val="num" w:pos="2160"/>
        </w:tabs>
        <w:ind w:left="2160" w:hanging="180"/>
      </w:pPr>
      <w:rPr>
        <w:rFonts w:cs="Times New Roman"/>
      </w:rPr>
    </w:lvl>
    <w:lvl w:ilvl="3" w:tplc="04180001" w:tentative="1">
      <w:start w:val="1"/>
      <w:numFmt w:val="decimal"/>
      <w:lvlText w:val="%4."/>
      <w:lvlJc w:val="left"/>
      <w:pPr>
        <w:tabs>
          <w:tab w:val="num" w:pos="2880"/>
        </w:tabs>
        <w:ind w:left="2880" w:hanging="360"/>
      </w:pPr>
      <w:rPr>
        <w:rFonts w:cs="Times New Roman"/>
      </w:rPr>
    </w:lvl>
    <w:lvl w:ilvl="4" w:tplc="04180003" w:tentative="1">
      <w:start w:val="1"/>
      <w:numFmt w:val="lowerLetter"/>
      <w:lvlText w:val="%5."/>
      <w:lvlJc w:val="left"/>
      <w:pPr>
        <w:tabs>
          <w:tab w:val="num" w:pos="3600"/>
        </w:tabs>
        <w:ind w:left="3600" w:hanging="360"/>
      </w:pPr>
      <w:rPr>
        <w:rFonts w:cs="Times New Roman"/>
      </w:rPr>
    </w:lvl>
    <w:lvl w:ilvl="5" w:tplc="04180005" w:tentative="1">
      <w:start w:val="1"/>
      <w:numFmt w:val="lowerRoman"/>
      <w:lvlText w:val="%6."/>
      <w:lvlJc w:val="right"/>
      <w:pPr>
        <w:tabs>
          <w:tab w:val="num" w:pos="4320"/>
        </w:tabs>
        <w:ind w:left="4320" w:hanging="180"/>
      </w:pPr>
      <w:rPr>
        <w:rFonts w:cs="Times New Roman"/>
      </w:rPr>
    </w:lvl>
    <w:lvl w:ilvl="6" w:tplc="04180001" w:tentative="1">
      <w:start w:val="1"/>
      <w:numFmt w:val="decimal"/>
      <w:lvlText w:val="%7."/>
      <w:lvlJc w:val="left"/>
      <w:pPr>
        <w:tabs>
          <w:tab w:val="num" w:pos="5040"/>
        </w:tabs>
        <w:ind w:left="5040" w:hanging="360"/>
      </w:pPr>
      <w:rPr>
        <w:rFonts w:cs="Times New Roman"/>
      </w:rPr>
    </w:lvl>
    <w:lvl w:ilvl="7" w:tplc="04180003" w:tentative="1">
      <w:start w:val="1"/>
      <w:numFmt w:val="lowerLetter"/>
      <w:lvlText w:val="%8."/>
      <w:lvlJc w:val="left"/>
      <w:pPr>
        <w:tabs>
          <w:tab w:val="num" w:pos="5760"/>
        </w:tabs>
        <w:ind w:left="5760" w:hanging="360"/>
      </w:pPr>
      <w:rPr>
        <w:rFonts w:cs="Times New Roman"/>
      </w:rPr>
    </w:lvl>
    <w:lvl w:ilvl="8" w:tplc="04180005" w:tentative="1">
      <w:start w:val="1"/>
      <w:numFmt w:val="lowerRoman"/>
      <w:lvlText w:val="%9."/>
      <w:lvlJc w:val="right"/>
      <w:pPr>
        <w:tabs>
          <w:tab w:val="num" w:pos="6480"/>
        </w:tabs>
        <w:ind w:left="6480" w:hanging="180"/>
      </w:pPr>
      <w:rPr>
        <w:rFonts w:cs="Times New Roman"/>
      </w:rPr>
    </w:lvl>
  </w:abstractNum>
  <w:abstractNum w:abstractNumId="35">
    <w:nsid w:val="2D1F2712"/>
    <w:multiLevelType w:val="hybridMultilevel"/>
    <w:tmpl w:val="9782061A"/>
    <w:lvl w:ilvl="0" w:tplc="64DA5E4E">
      <w:start w:val="1"/>
      <w:numFmt w:val="bullet"/>
      <w:pStyle w:val="bulet1"/>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nsid w:val="2FA04AE5"/>
    <w:multiLevelType w:val="hybridMultilevel"/>
    <w:tmpl w:val="044C17C6"/>
    <w:lvl w:ilvl="0" w:tplc="04090015">
      <w:start w:val="1"/>
      <w:numFmt w:val="bullet"/>
      <w:lvlText w:val=""/>
      <w:lvlJc w:val="left"/>
      <w:pPr>
        <w:ind w:left="1287" w:hanging="360"/>
      </w:pPr>
      <w:rPr>
        <w:rFonts w:ascii="Symbol" w:hAnsi="Symbol" w:hint="default"/>
      </w:rPr>
    </w:lvl>
    <w:lvl w:ilvl="1" w:tplc="04090019" w:tentative="1">
      <w:start w:val="1"/>
      <w:numFmt w:val="bullet"/>
      <w:lvlText w:val="o"/>
      <w:lvlJc w:val="left"/>
      <w:pPr>
        <w:ind w:left="2007" w:hanging="360"/>
      </w:pPr>
      <w:rPr>
        <w:rFonts w:ascii="Courier New" w:hAnsi="Courier New" w:hint="default"/>
      </w:rPr>
    </w:lvl>
    <w:lvl w:ilvl="2" w:tplc="0409001B" w:tentative="1">
      <w:start w:val="1"/>
      <w:numFmt w:val="bullet"/>
      <w:lvlText w:val=""/>
      <w:lvlJc w:val="left"/>
      <w:pPr>
        <w:ind w:left="2727" w:hanging="360"/>
      </w:pPr>
      <w:rPr>
        <w:rFonts w:ascii="Wingdings" w:hAnsi="Wingdings" w:hint="default"/>
      </w:rPr>
    </w:lvl>
    <w:lvl w:ilvl="3" w:tplc="0409000F" w:tentative="1">
      <w:start w:val="1"/>
      <w:numFmt w:val="bullet"/>
      <w:lvlText w:val=""/>
      <w:lvlJc w:val="left"/>
      <w:pPr>
        <w:ind w:left="3447" w:hanging="360"/>
      </w:pPr>
      <w:rPr>
        <w:rFonts w:ascii="Symbol" w:hAnsi="Symbol" w:hint="default"/>
      </w:rPr>
    </w:lvl>
    <w:lvl w:ilvl="4" w:tplc="04090019" w:tentative="1">
      <w:start w:val="1"/>
      <w:numFmt w:val="bullet"/>
      <w:lvlText w:val="o"/>
      <w:lvlJc w:val="left"/>
      <w:pPr>
        <w:ind w:left="4167" w:hanging="360"/>
      </w:pPr>
      <w:rPr>
        <w:rFonts w:ascii="Courier New" w:hAnsi="Courier New" w:hint="default"/>
      </w:rPr>
    </w:lvl>
    <w:lvl w:ilvl="5" w:tplc="0409001B" w:tentative="1">
      <w:start w:val="1"/>
      <w:numFmt w:val="bullet"/>
      <w:lvlText w:val=""/>
      <w:lvlJc w:val="left"/>
      <w:pPr>
        <w:ind w:left="4887" w:hanging="360"/>
      </w:pPr>
      <w:rPr>
        <w:rFonts w:ascii="Wingdings" w:hAnsi="Wingdings" w:hint="default"/>
      </w:rPr>
    </w:lvl>
    <w:lvl w:ilvl="6" w:tplc="0409000F" w:tentative="1">
      <w:start w:val="1"/>
      <w:numFmt w:val="bullet"/>
      <w:lvlText w:val=""/>
      <w:lvlJc w:val="left"/>
      <w:pPr>
        <w:ind w:left="5607" w:hanging="360"/>
      </w:pPr>
      <w:rPr>
        <w:rFonts w:ascii="Symbol" w:hAnsi="Symbol" w:hint="default"/>
      </w:rPr>
    </w:lvl>
    <w:lvl w:ilvl="7" w:tplc="04090019" w:tentative="1">
      <w:start w:val="1"/>
      <w:numFmt w:val="bullet"/>
      <w:lvlText w:val="o"/>
      <w:lvlJc w:val="left"/>
      <w:pPr>
        <w:ind w:left="6327" w:hanging="360"/>
      </w:pPr>
      <w:rPr>
        <w:rFonts w:ascii="Courier New" w:hAnsi="Courier New" w:hint="default"/>
      </w:rPr>
    </w:lvl>
    <w:lvl w:ilvl="8" w:tplc="0409001B" w:tentative="1">
      <w:start w:val="1"/>
      <w:numFmt w:val="bullet"/>
      <w:lvlText w:val=""/>
      <w:lvlJc w:val="left"/>
      <w:pPr>
        <w:ind w:left="7047" w:hanging="360"/>
      </w:pPr>
      <w:rPr>
        <w:rFonts w:ascii="Wingdings" w:hAnsi="Wingdings" w:hint="default"/>
      </w:rPr>
    </w:lvl>
  </w:abstractNum>
  <w:abstractNum w:abstractNumId="37">
    <w:nsid w:val="35177AFA"/>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9">
    <w:nsid w:val="39397EBF"/>
    <w:multiLevelType w:val="hybridMultilevel"/>
    <w:tmpl w:val="CBDC63E8"/>
    <w:lvl w:ilvl="0" w:tplc="FFFFFFFF">
      <w:start w:val="1"/>
      <w:numFmt w:val="upperLetter"/>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0">
    <w:nsid w:val="3AC1491C"/>
    <w:multiLevelType w:val="hybridMultilevel"/>
    <w:tmpl w:val="F320A6CE"/>
    <w:lvl w:ilvl="0" w:tplc="6A2230E4">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nsid w:val="3C9B435B"/>
    <w:multiLevelType w:val="hybridMultilevel"/>
    <w:tmpl w:val="781C585E"/>
    <w:lvl w:ilvl="0" w:tplc="9892A29C">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3E7B442E"/>
    <w:multiLevelType w:val="hybridMultilevel"/>
    <w:tmpl w:val="E698EDD0"/>
    <w:lvl w:ilvl="0" w:tplc="9EA4715A">
      <w:start w:val="1"/>
      <w:numFmt w:val="upperLetter"/>
      <w:lvlText w:val="%1."/>
      <w:lvlJc w:val="left"/>
      <w:pPr>
        <w:ind w:left="502" w:hanging="360"/>
      </w:pPr>
      <w:rPr>
        <w:rFonts w:cs="Times New Roman" w:hint="default"/>
      </w:rPr>
    </w:lvl>
    <w:lvl w:ilvl="1" w:tplc="04180003" w:tentative="1">
      <w:start w:val="1"/>
      <w:numFmt w:val="lowerLetter"/>
      <w:lvlText w:val="%2."/>
      <w:lvlJc w:val="left"/>
      <w:pPr>
        <w:ind w:left="1222" w:hanging="360"/>
      </w:pPr>
      <w:rPr>
        <w:rFonts w:cs="Times New Roman"/>
      </w:rPr>
    </w:lvl>
    <w:lvl w:ilvl="2" w:tplc="04180005" w:tentative="1">
      <w:start w:val="1"/>
      <w:numFmt w:val="lowerRoman"/>
      <w:lvlText w:val="%3."/>
      <w:lvlJc w:val="right"/>
      <w:pPr>
        <w:ind w:left="1942" w:hanging="180"/>
      </w:pPr>
      <w:rPr>
        <w:rFonts w:cs="Times New Roman"/>
      </w:rPr>
    </w:lvl>
    <w:lvl w:ilvl="3" w:tplc="04180001" w:tentative="1">
      <w:start w:val="1"/>
      <w:numFmt w:val="decimal"/>
      <w:lvlText w:val="%4."/>
      <w:lvlJc w:val="left"/>
      <w:pPr>
        <w:ind w:left="2662" w:hanging="360"/>
      </w:pPr>
      <w:rPr>
        <w:rFonts w:cs="Times New Roman"/>
      </w:rPr>
    </w:lvl>
    <w:lvl w:ilvl="4" w:tplc="04180003" w:tentative="1">
      <w:start w:val="1"/>
      <w:numFmt w:val="lowerLetter"/>
      <w:lvlText w:val="%5."/>
      <w:lvlJc w:val="left"/>
      <w:pPr>
        <w:ind w:left="3382" w:hanging="360"/>
      </w:pPr>
      <w:rPr>
        <w:rFonts w:cs="Times New Roman"/>
      </w:rPr>
    </w:lvl>
    <w:lvl w:ilvl="5" w:tplc="04180005" w:tentative="1">
      <w:start w:val="1"/>
      <w:numFmt w:val="lowerRoman"/>
      <w:lvlText w:val="%6."/>
      <w:lvlJc w:val="right"/>
      <w:pPr>
        <w:ind w:left="4102" w:hanging="180"/>
      </w:pPr>
      <w:rPr>
        <w:rFonts w:cs="Times New Roman"/>
      </w:rPr>
    </w:lvl>
    <w:lvl w:ilvl="6" w:tplc="04180001" w:tentative="1">
      <w:start w:val="1"/>
      <w:numFmt w:val="decimal"/>
      <w:lvlText w:val="%7."/>
      <w:lvlJc w:val="left"/>
      <w:pPr>
        <w:ind w:left="4822" w:hanging="360"/>
      </w:pPr>
      <w:rPr>
        <w:rFonts w:cs="Times New Roman"/>
      </w:rPr>
    </w:lvl>
    <w:lvl w:ilvl="7" w:tplc="04180003" w:tentative="1">
      <w:start w:val="1"/>
      <w:numFmt w:val="lowerLetter"/>
      <w:lvlText w:val="%8."/>
      <w:lvlJc w:val="left"/>
      <w:pPr>
        <w:ind w:left="5542" w:hanging="360"/>
      </w:pPr>
      <w:rPr>
        <w:rFonts w:cs="Times New Roman"/>
      </w:rPr>
    </w:lvl>
    <w:lvl w:ilvl="8" w:tplc="04180005" w:tentative="1">
      <w:start w:val="1"/>
      <w:numFmt w:val="lowerRoman"/>
      <w:lvlText w:val="%9."/>
      <w:lvlJc w:val="right"/>
      <w:pPr>
        <w:ind w:left="6262" w:hanging="180"/>
      </w:pPr>
      <w:rPr>
        <w:rFonts w:cs="Times New Roman"/>
      </w:rPr>
    </w:lvl>
  </w:abstractNum>
  <w:abstractNum w:abstractNumId="43">
    <w:nsid w:val="3EE92BE5"/>
    <w:multiLevelType w:val="hybridMultilevel"/>
    <w:tmpl w:val="50AE9834"/>
    <w:lvl w:ilvl="0" w:tplc="04180001">
      <w:start w:val="1"/>
      <w:numFmt w:val="bullet"/>
      <w:lvlText w:val=""/>
      <w:lvlJc w:val="left"/>
      <w:pPr>
        <w:ind w:left="720" w:hanging="360"/>
      </w:pPr>
      <w:rPr>
        <w:rFonts w:ascii="Symbol" w:hAnsi="Symbol" w:hint="default"/>
      </w:rPr>
    </w:lvl>
    <w:lvl w:ilvl="1" w:tplc="96B87FE0">
      <w:start w:val="1"/>
      <w:numFmt w:val="bullet"/>
      <w:pStyle w:val="Titluraportare"/>
      <w:lvlText w:val=""/>
      <w:lvlJc w:val="left"/>
      <w:pPr>
        <w:ind w:left="1440" w:hanging="360"/>
      </w:pPr>
      <w:rPr>
        <w:rFonts w:ascii="Wingdings" w:hAnsi="Wingdings" w:hint="default"/>
      </w:rPr>
    </w:lvl>
    <w:lvl w:ilvl="2" w:tplc="43BE2AF8">
      <w:numFmt w:val="bullet"/>
      <w:lvlText w:val="-"/>
      <w:lvlJc w:val="left"/>
      <w:pPr>
        <w:ind w:left="2160" w:hanging="360"/>
      </w:pPr>
      <w:rPr>
        <w:rFonts w:ascii="Arial" w:eastAsia="Times New Roman" w:hAnsi="Arial" w:cs="Arial" w:hint="default"/>
        <w:sz w:val="24"/>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3FDC28E1"/>
    <w:multiLevelType w:val="hybridMultilevel"/>
    <w:tmpl w:val="E2CC394A"/>
    <w:lvl w:ilvl="0" w:tplc="0418000F">
      <w:start w:val="2"/>
      <w:numFmt w:val="bullet"/>
      <w:lvlText w:val="-"/>
      <w:lvlJc w:val="left"/>
      <w:pPr>
        <w:ind w:left="720" w:hanging="360"/>
      </w:pPr>
      <w:rPr>
        <w:rFonts w:ascii="Arial" w:eastAsia="Calibri" w:hAnsi="Arial" w:cs="Arial" w:hint="default"/>
      </w:rPr>
    </w:lvl>
    <w:lvl w:ilvl="1" w:tplc="04180019" w:tentative="1">
      <w:start w:val="1"/>
      <w:numFmt w:val="bullet"/>
      <w:lvlText w:val="o"/>
      <w:lvlJc w:val="left"/>
      <w:pPr>
        <w:ind w:left="1440" w:hanging="360"/>
      </w:pPr>
      <w:rPr>
        <w:rFonts w:ascii="Courier New" w:hAnsi="Courier New" w:cs="Courier New" w:hint="default"/>
      </w:rPr>
    </w:lvl>
    <w:lvl w:ilvl="2" w:tplc="0418001B" w:tentative="1">
      <w:start w:val="1"/>
      <w:numFmt w:val="bullet"/>
      <w:lvlText w:val=""/>
      <w:lvlJc w:val="left"/>
      <w:pPr>
        <w:ind w:left="2160" w:hanging="360"/>
      </w:pPr>
      <w:rPr>
        <w:rFonts w:ascii="Wingdings" w:hAnsi="Wingdings" w:hint="default"/>
      </w:rPr>
    </w:lvl>
    <w:lvl w:ilvl="3" w:tplc="0418000F" w:tentative="1">
      <w:start w:val="1"/>
      <w:numFmt w:val="bullet"/>
      <w:lvlText w:val=""/>
      <w:lvlJc w:val="left"/>
      <w:pPr>
        <w:ind w:left="2880" w:hanging="360"/>
      </w:pPr>
      <w:rPr>
        <w:rFonts w:ascii="Symbol" w:hAnsi="Symbol" w:hint="default"/>
      </w:rPr>
    </w:lvl>
    <w:lvl w:ilvl="4" w:tplc="04180019" w:tentative="1">
      <w:start w:val="1"/>
      <w:numFmt w:val="bullet"/>
      <w:lvlText w:val="o"/>
      <w:lvlJc w:val="left"/>
      <w:pPr>
        <w:ind w:left="3600" w:hanging="360"/>
      </w:pPr>
      <w:rPr>
        <w:rFonts w:ascii="Courier New" w:hAnsi="Courier New" w:cs="Courier New" w:hint="default"/>
      </w:rPr>
    </w:lvl>
    <w:lvl w:ilvl="5" w:tplc="0418001B" w:tentative="1">
      <w:start w:val="1"/>
      <w:numFmt w:val="bullet"/>
      <w:lvlText w:val=""/>
      <w:lvlJc w:val="left"/>
      <w:pPr>
        <w:ind w:left="4320" w:hanging="360"/>
      </w:pPr>
      <w:rPr>
        <w:rFonts w:ascii="Wingdings" w:hAnsi="Wingdings" w:hint="default"/>
      </w:rPr>
    </w:lvl>
    <w:lvl w:ilvl="6" w:tplc="0418000F" w:tentative="1">
      <w:start w:val="1"/>
      <w:numFmt w:val="bullet"/>
      <w:lvlText w:val=""/>
      <w:lvlJc w:val="left"/>
      <w:pPr>
        <w:ind w:left="5040" w:hanging="360"/>
      </w:pPr>
      <w:rPr>
        <w:rFonts w:ascii="Symbol" w:hAnsi="Symbol" w:hint="default"/>
      </w:rPr>
    </w:lvl>
    <w:lvl w:ilvl="7" w:tplc="04180019" w:tentative="1">
      <w:start w:val="1"/>
      <w:numFmt w:val="bullet"/>
      <w:lvlText w:val="o"/>
      <w:lvlJc w:val="left"/>
      <w:pPr>
        <w:ind w:left="5760" w:hanging="360"/>
      </w:pPr>
      <w:rPr>
        <w:rFonts w:ascii="Courier New" w:hAnsi="Courier New" w:cs="Courier New" w:hint="default"/>
      </w:rPr>
    </w:lvl>
    <w:lvl w:ilvl="8" w:tplc="0418001B" w:tentative="1">
      <w:start w:val="1"/>
      <w:numFmt w:val="bullet"/>
      <w:lvlText w:val=""/>
      <w:lvlJc w:val="left"/>
      <w:pPr>
        <w:ind w:left="6480" w:hanging="360"/>
      </w:pPr>
      <w:rPr>
        <w:rFonts w:ascii="Wingdings" w:hAnsi="Wingdings" w:hint="default"/>
      </w:rPr>
    </w:lvl>
  </w:abstractNum>
  <w:abstractNum w:abstractNumId="45">
    <w:nsid w:val="401C3E0A"/>
    <w:multiLevelType w:val="hybridMultilevel"/>
    <w:tmpl w:val="E698EDD0"/>
    <w:lvl w:ilvl="0" w:tplc="95A2D8BC">
      <w:start w:val="1"/>
      <w:numFmt w:val="upperLetter"/>
      <w:lvlText w:val="%1."/>
      <w:lvlJc w:val="left"/>
      <w:pPr>
        <w:ind w:left="644" w:hanging="360"/>
      </w:pPr>
      <w:rPr>
        <w:rFonts w:cs="Times New Roman" w:hint="default"/>
      </w:rPr>
    </w:lvl>
    <w:lvl w:ilvl="1" w:tplc="04180003" w:tentative="1">
      <w:start w:val="1"/>
      <w:numFmt w:val="lowerLetter"/>
      <w:lvlText w:val="%2."/>
      <w:lvlJc w:val="left"/>
      <w:pPr>
        <w:ind w:left="1364" w:hanging="360"/>
      </w:pPr>
      <w:rPr>
        <w:rFonts w:cs="Times New Roman"/>
      </w:rPr>
    </w:lvl>
    <w:lvl w:ilvl="2" w:tplc="04180005" w:tentative="1">
      <w:start w:val="1"/>
      <w:numFmt w:val="lowerRoman"/>
      <w:lvlText w:val="%3."/>
      <w:lvlJc w:val="right"/>
      <w:pPr>
        <w:ind w:left="2084" w:hanging="180"/>
      </w:pPr>
      <w:rPr>
        <w:rFonts w:cs="Times New Roman"/>
      </w:rPr>
    </w:lvl>
    <w:lvl w:ilvl="3" w:tplc="04180001" w:tentative="1">
      <w:start w:val="1"/>
      <w:numFmt w:val="decimal"/>
      <w:lvlText w:val="%4."/>
      <w:lvlJc w:val="left"/>
      <w:pPr>
        <w:ind w:left="2804" w:hanging="360"/>
      </w:pPr>
      <w:rPr>
        <w:rFonts w:cs="Times New Roman"/>
      </w:rPr>
    </w:lvl>
    <w:lvl w:ilvl="4" w:tplc="04180003" w:tentative="1">
      <w:start w:val="1"/>
      <w:numFmt w:val="lowerLetter"/>
      <w:lvlText w:val="%5."/>
      <w:lvlJc w:val="left"/>
      <w:pPr>
        <w:ind w:left="3524" w:hanging="360"/>
      </w:pPr>
      <w:rPr>
        <w:rFonts w:cs="Times New Roman"/>
      </w:rPr>
    </w:lvl>
    <w:lvl w:ilvl="5" w:tplc="04180005" w:tentative="1">
      <w:start w:val="1"/>
      <w:numFmt w:val="lowerRoman"/>
      <w:lvlText w:val="%6."/>
      <w:lvlJc w:val="right"/>
      <w:pPr>
        <w:ind w:left="4244" w:hanging="180"/>
      </w:pPr>
      <w:rPr>
        <w:rFonts w:cs="Times New Roman"/>
      </w:rPr>
    </w:lvl>
    <w:lvl w:ilvl="6" w:tplc="04180001" w:tentative="1">
      <w:start w:val="1"/>
      <w:numFmt w:val="decimal"/>
      <w:lvlText w:val="%7."/>
      <w:lvlJc w:val="left"/>
      <w:pPr>
        <w:ind w:left="4964" w:hanging="360"/>
      </w:pPr>
      <w:rPr>
        <w:rFonts w:cs="Times New Roman"/>
      </w:rPr>
    </w:lvl>
    <w:lvl w:ilvl="7" w:tplc="04180003" w:tentative="1">
      <w:start w:val="1"/>
      <w:numFmt w:val="lowerLetter"/>
      <w:lvlText w:val="%8."/>
      <w:lvlJc w:val="left"/>
      <w:pPr>
        <w:ind w:left="5684" w:hanging="360"/>
      </w:pPr>
      <w:rPr>
        <w:rFonts w:cs="Times New Roman"/>
      </w:rPr>
    </w:lvl>
    <w:lvl w:ilvl="8" w:tplc="04180005" w:tentative="1">
      <w:start w:val="1"/>
      <w:numFmt w:val="lowerRoman"/>
      <w:lvlText w:val="%9."/>
      <w:lvlJc w:val="right"/>
      <w:pPr>
        <w:ind w:left="6404" w:hanging="180"/>
      </w:pPr>
      <w:rPr>
        <w:rFonts w:cs="Times New Roman"/>
      </w:rPr>
    </w:lvl>
  </w:abstractNum>
  <w:abstractNum w:abstractNumId="46">
    <w:nsid w:val="4056773B"/>
    <w:multiLevelType w:val="hybridMultilevel"/>
    <w:tmpl w:val="CA9E91B6"/>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nsid w:val="40634D35"/>
    <w:multiLevelType w:val="hybridMultilevel"/>
    <w:tmpl w:val="41664BE2"/>
    <w:lvl w:ilvl="0" w:tplc="28DCE5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0B40074"/>
    <w:multiLevelType w:val="hybridMultilevel"/>
    <w:tmpl w:val="CBDC63E8"/>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49">
    <w:nsid w:val="41300989"/>
    <w:multiLevelType w:val="hybridMultilevel"/>
    <w:tmpl w:val="E698EDD0"/>
    <w:lvl w:ilvl="0" w:tplc="97924416">
      <w:start w:val="1"/>
      <w:numFmt w:val="upperLetter"/>
      <w:lvlText w:val="%1."/>
      <w:lvlJc w:val="left"/>
      <w:pPr>
        <w:ind w:left="644" w:hanging="360"/>
      </w:pPr>
      <w:rPr>
        <w:rFonts w:cs="Times New Roman" w:hint="default"/>
      </w:rPr>
    </w:lvl>
    <w:lvl w:ilvl="1" w:tplc="04180003" w:tentative="1">
      <w:start w:val="1"/>
      <w:numFmt w:val="lowerLetter"/>
      <w:lvlText w:val="%2."/>
      <w:lvlJc w:val="left"/>
      <w:pPr>
        <w:ind w:left="1364" w:hanging="360"/>
      </w:pPr>
      <w:rPr>
        <w:rFonts w:cs="Times New Roman"/>
      </w:rPr>
    </w:lvl>
    <w:lvl w:ilvl="2" w:tplc="04180005" w:tentative="1">
      <w:start w:val="1"/>
      <w:numFmt w:val="lowerRoman"/>
      <w:lvlText w:val="%3."/>
      <w:lvlJc w:val="right"/>
      <w:pPr>
        <w:ind w:left="2084" w:hanging="180"/>
      </w:pPr>
      <w:rPr>
        <w:rFonts w:cs="Times New Roman"/>
      </w:rPr>
    </w:lvl>
    <w:lvl w:ilvl="3" w:tplc="04180001" w:tentative="1">
      <w:start w:val="1"/>
      <w:numFmt w:val="decimal"/>
      <w:lvlText w:val="%4."/>
      <w:lvlJc w:val="left"/>
      <w:pPr>
        <w:ind w:left="2804" w:hanging="360"/>
      </w:pPr>
      <w:rPr>
        <w:rFonts w:cs="Times New Roman"/>
      </w:rPr>
    </w:lvl>
    <w:lvl w:ilvl="4" w:tplc="04180003" w:tentative="1">
      <w:start w:val="1"/>
      <w:numFmt w:val="lowerLetter"/>
      <w:lvlText w:val="%5."/>
      <w:lvlJc w:val="left"/>
      <w:pPr>
        <w:ind w:left="3524" w:hanging="360"/>
      </w:pPr>
      <w:rPr>
        <w:rFonts w:cs="Times New Roman"/>
      </w:rPr>
    </w:lvl>
    <w:lvl w:ilvl="5" w:tplc="04180005" w:tentative="1">
      <w:start w:val="1"/>
      <w:numFmt w:val="lowerRoman"/>
      <w:lvlText w:val="%6."/>
      <w:lvlJc w:val="right"/>
      <w:pPr>
        <w:ind w:left="4244" w:hanging="180"/>
      </w:pPr>
      <w:rPr>
        <w:rFonts w:cs="Times New Roman"/>
      </w:rPr>
    </w:lvl>
    <w:lvl w:ilvl="6" w:tplc="04180001" w:tentative="1">
      <w:start w:val="1"/>
      <w:numFmt w:val="decimal"/>
      <w:lvlText w:val="%7."/>
      <w:lvlJc w:val="left"/>
      <w:pPr>
        <w:ind w:left="4964" w:hanging="360"/>
      </w:pPr>
      <w:rPr>
        <w:rFonts w:cs="Times New Roman"/>
      </w:rPr>
    </w:lvl>
    <w:lvl w:ilvl="7" w:tplc="04180003" w:tentative="1">
      <w:start w:val="1"/>
      <w:numFmt w:val="lowerLetter"/>
      <w:lvlText w:val="%8."/>
      <w:lvlJc w:val="left"/>
      <w:pPr>
        <w:ind w:left="5684" w:hanging="360"/>
      </w:pPr>
      <w:rPr>
        <w:rFonts w:cs="Times New Roman"/>
      </w:rPr>
    </w:lvl>
    <w:lvl w:ilvl="8" w:tplc="04180005" w:tentative="1">
      <w:start w:val="1"/>
      <w:numFmt w:val="lowerRoman"/>
      <w:lvlText w:val="%9."/>
      <w:lvlJc w:val="right"/>
      <w:pPr>
        <w:ind w:left="6404" w:hanging="180"/>
      </w:pPr>
      <w:rPr>
        <w:rFonts w:cs="Times New Roman"/>
      </w:rPr>
    </w:lvl>
  </w:abstractNum>
  <w:abstractNum w:abstractNumId="50">
    <w:nsid w:val="415A5699"/>
    <w:multiLevelType w:val="hybridMultilevel"/>
    <w:tmpl w:val="03D2D520"/>
    <w:lvl w:ilvl="0" w:tplc="ABFC7394">
      <w:start w:val="1"/>
      <w:numFmt w:val="upperLetter"/>
      <w:lvlText w:val="%1."/>
      <w:lvlJc w:val="left"/>
      <w:pPr>
        <w:ind w:left="990" w:hanging="360"/>
      </w:pPr>
      <w:rPr>
        <w:rFonts w:hint="default"/>
        <w:b/>
        <w:bCs/>
      </w:rPr>
    </w:lvl>
    <w:lvl w:ilvl="1" w:tplc="04180019">
      <w:start w:val="1"/>
      <w:numFmt w:val="lowerLetter"/>
      <w:lvlText w:val="%2."/>
      <w:lvlJc w:val="left"/>
      <w:pPr>
        <w:ind w:left="1710" w:hanging="360"/>
      </w:pPr>
    </w:lvl>
    <w:lvl w:ilvl="2" w:tplc="0418001B">
      <w:start w:val="1"/>
      <w:numFmt w:val="lowerRoman"/>
      <w:lvlText w:val="%3."/>
      <w:lvlJc w:val="right"/>
      <w:pPr>
        <w:ind w:left="2430" w:hanging="180"/>
      </w:pPr>
    </w:lvl>
    <w:lvl w:ilvl="3" w:tplc="0418000F" w:tentative="1">
      <w:start w:val="1"/>
      <w:numFmt w:val="decimal"/>
      <w:lvlText w:val="%4."/>
      <w:lvlJc w:val="left"/>
      <w:pPr>
        <w:ind w:left="3150" w:hanging="360"/>
      </w:pPr>
    </w:lvl>
    <w:lvl w:ilvl="4" w:tplc="04180019" w:tentative="1">
      <w:start w:val="1"/>
      <w:numFmt w:val="lowerLetter"/>
      <w:lvlText w:val="%5."/>
      <w:lvlJc w:val="left"/>
      <w:pPr>
        <w:ind w:left="3870" w:hanging="360"/>
      </w:pPr>
    </w:lvl>
    <w:lvl w:ilvl="5" w:tplc="0418001B" w:tentative="1">
      <w:start w:val="1"/>
      <w:numFmt w:val="lowerRoman"/>
      <w:lvlText w:val="%6."/>
      <w:lvlJc w:val="right"/>
      <w:pPr>
        <w:ind w:left="4590" w:hanging="180"/>
      </w:pPr>
    </w:lvl>
    <w:lvl w:ilvl="6" w:tplc="0418000F" w:tentative="1">
      <w:start w:val="1"/>
      <w:numFmt w:val="decimal"/>
      <w:lvlText w:val="%7."/>
      <w:lvlJc w:val="left"/>
      <w:pPr>
        <w:ind w:left="5310" w:hanging="360"/>
      </w:pPr>
    </w:lvl>
    <w:lvl w:ilvl="7" w:tplc="04180019" w:tentative="1">
      <w:start w:val="1"/>
      <w:numFmt w:val="lowerLetter"/>
      <w:lvlText w:val="%8."/>
      <w:lvlJc w:val="left"/>
      <w:pPr>
        <w:ind w:left="6030" w:hanging="360"/>
      </w:pPr>
    </w:lvl>
    <w:lvl w:ilvl="8" w:tplc="0418001B" w:tentative="1">
      <w:start w:val="1"/>
      <w:numFmt w:val="lowerRoman"/>
      <w:lvlText w:val="%9."/>
      <w:lvlJc w:val="right"/>
      <w:pPr>
        <w:ind w:left="6750" w:hanging="180"/>
      </w:pPr>
    </w:lvl>
  </w:abstractNum>
  <w:abstractNum w:abstractNumId="51">
    <w:nsid w:val="420165D7"/>
    <w:multiLevelType w:val="hybridMultilevel"/>
    <w:tmpl w:val="7D0A8E1C"/>
    <w:lvl w:ilvl="0" w:tplc="04090015">
      <w:start w:val="1"/>
      <w:numFmt w:val="bullet"/>
      <w:lvlText w:val=""/>
      <w:lvlJc w:val="left"/>
      <w:pPr>
        <w:tabs>
          <w:tab w:val="num" w:pos="1531"/>
        </w:tabs>
        <w:ind w:left="1644" w:firstLine="5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2">
    <w:nsid w:val="428F2099"/>
    <w:multiLevelType w:val="hybridMultilevel"/>
    <w:tmpl w:val="927E75FE"/>
    <w:lvl w:ilvl="0" w:tplc="04090001">
      <w:start w:val="1"/>
      <w:numFmt w:val="bullet"/>
      <w:lvlText w:val=""/>
      <w:lvlJc w:val="left"/>
      <w:pPr>
        <w:ind w:left="720" w:hanging="360"/>
      </w:pPr>
      <w:rPr>
        <w:rFonts w:ascii="Symbol" w:hAnsi="Symbol" w:hint="default"/>
      </w:rPr>
    </w:lvl>
    <w:lvl w:ilvl="1" w:tplc="2B3AD8A4">
      <w:numFmt w:val="bullet"/>
      <w:lvlText w:val="•"/>
      <w:lvlJc w:val="left"/>
      <w:pPr>
        <w:ind w:left="1800" w:hanging="72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4D85482"/>
    <w:multiLevelType w:val="hybridMultilevel"/>
    <w:tmpl w:val="906E66F2"/>
    <w:lvl w:ilvl="0" w:tplc="B136D9C0">
      <w:start w:val="9"/>
      <w:numFmt w:val="bullet"/>
      <w:lvlText w:val="-"/>
      <w:lvlJc w:val="left"/>
      <w:pPr>
        <w:ind w:left="1287" w:hanging="360"/>
      </w:pPr>
      <w:rPr>
        <w:rFonts w:ascii="Times New Roman" w:eastAsia="Times New Roman" w:hAnsi="Times New Roman" w:hint="default"/>
        <w:b/>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4">
    <w:nsid w:val="45575E04"/>
    <w:multiLevelType w:val="hybridMultilevel"/>
    <w:tmpl w:val="E698EDD0"/>
    <w:lvl w:ilvl="0" w:tplc="FFFFFFFF">
      <w:start w:val="1"/>
      <w:numFmt w:val="upperLetter"/>
      <w:lvlText w:val="%1."/>
      <w:lvlJc w:val="left"/>
      <w:pPr>
        <w:ind w:left="644" w:hanging="360"/>
      </w:pPr>
      <w:rPr>
        <w:rFonts w:cs="Times New Roman" w:hint="default"/>
      </w:rPr>
    </w:lvl>
    <w:lvl w:ilvl="1" w:tplc="04180003" w:tentative="1">
      <w:start w:val="1"/>
      <w:numFmt w:val="lowerLetter"/>
      <w:lvlText w:val="%2."/>
      <w:lvlJc w:val="left"/>
      <w:pPr>
        <w:ind w:left="1364" w:hanging="360"/>
      </w:pPr>
      <w:rPr>
        <w:rFonts w:cs="Times New Roman"/>
      </w:rPr>
    </w:lvl>
    <w:lvl w:ilvl="2" w:tplc="04180005" w:tentative="1">
      <w:start w:val="1"/>
      <w:numFmt w:val="lowerRoman"/>
      <w:lvlText w:val="%3."/>
      <w:lvlJc w:val="right"/>
      <w:pPr>
        <w:ind w:left="2084" w:hanging="180"/>
      </w:pPr>
      <w:rPr>
        <w:rFonts w:cs="Times New Roman"/>
      </w:rPr>
    </w:lvl>
    <w:lvl w:ilvl="3" w:tplc="04180001" w:tentative="1">
      <w:start w:val="1"/>
      <w:numFmt w:val="decimal"/>
      <w:lvlText w:val="%4."/>
      <w:lvlJc w:val="left"/>
      <w:pPr>
        <w:ind w:left="2804" w:hanging="360"/>
      </w:pPr>
      <w:rPr>
        <w:rFonts w:cs="Times New Roman"/>
      </w:rPr>
    </w:lvl>
    <w:lvl w:ilvl="4" w:tplc="04180003" w:tentative="1">
      <w:start w:val="1"/>
      <w:numFmt w:val="lowerLetter"/>
      <w:lvlText w:val="%5."/>
      <w:lvlJc w:val="left"/>
      <w:pPr>
        <w:ind w:left="3524" w:hanging="360"/>
      </w:pPr>
      <w:rPr>
        <w:rFonts w:cs="Times New Roman"/>
      </w:rPr>
    </w:lvl>
    <w:lvl w:ilvl="5" w:tplc="04180005" w:tentative="1">
      <w:start w:val="1"/>
      <w:numFmt w:val="lowerRoman"/>
      <w:lvlText w:val="%6."/>
      <w:lvlJc w:val="right"/>
      <w:pPr>
        <w:ind w:left="4244" w:hanging="180"/>
      </w:pPr>
      <w:rPr>
        <w:rFonts w:cs="Times New Roman"/>
      </w:rPr>
    </w:lvl>
    <w:lvl w:ilvl="6" w:tplc="04180001" w:tentative="1">
      <w:start w:val="1"/>
      <w:numFmt w:val="decimal"/>
      <w:lvlText w:val="%7."/>
      <w:lvlJc w:val="left"/>
      <w:pPr>
        <w:ind w:left="4964" w:hanging="360"/>
      </w:pPr>
      <w:rPr>
        <w:rFonts w:cs="Times New Roman"/>
      </w:rPr>
    </w:lvl>
    <w:lvl w:ilvl="7" w:tplc="04180003" w:tentative="1">
      <w:start w:val="1"/>
      <w:numFmt w:val="lowerLetter"/>
      <w:lvlText w:val="%8."/>
      <w:lvlJc w:val="left"/>
      <w:pPr>
        <w:ind w:left="5684" w:hanging="360"/>
      </w:pPr>
      <w:rPr>
        <w:rFonts w:cs="Times New Roman"/>
      </w:rPr>
    </w:lvl>
    <w:lvl w:ilvl="8" w:tplc="04180005" w:tentative="1">
      <w:start w:val="1"/>
      <w:numFmt w:val="lowerRoman"/>
      <w:lvlText w:val="%9."/>
      <w:lvlJc w:val="right"/>
      <w:pPr>
        <w:ind w:left="6404" w:hanging="180"/>
      </w:pPr>
      <w:rPr>
        <w:rFonts w:cs="Times New Roman"/>
      </w:rPr>
    </w:lvl>
  </w:abstractNum>
  <w:abstractNum w:abstractNumId="55">
    <w:nsid w:val="471A6941"/>
    <w:multiLevelType w:val="hybridMultilevel"/>
    <w:tmpl w:val="629096E8"/>
    <w:lvl w:ilvl="0" w:tplc="D3CE15C0">
      <w:start w:val="9"/>
      <w:numFmt w:val="bullet"/>
      <w:lvlText w:val="-"/>
      <w:lvlJc w:val="left"/>
      <w:pPr>
        <w:ind w:left="360" w:hanging="360"/>
      </w:pPr>
      <w:rPr>
        <w:rFonts w:ascii="Times New Roman" w:eastAsia="Times New Roman" w:hAnsi="Times New Roman" w:hint="default"/>
        <w:b/>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6">
    <w:nsid w:val="49CB2B5F"/>
    <w:multiLevelType w:val="hybridMultilevel"/>
    <w:tmpl w:val="B1B4EAE8"/>
    <w:lvl w:ilvl="0" w:tplc="FFFFFFFF">
      <w:start w:val="1"/>
      <w:numFmt w:val="bullet"/>
      <w:lvlText w:val=""/>
      <w:lvlJc w:val="left"/>
      <w:pPr>
        <w:ind w:left="928" w:hanging="360"/>
      </w:pPr>
      <w:rPr>
        <w:rFonts w:ascii="Wingdings" w:hAnsi="Wingdings" w:hint="default"/>
        <w:b w:val="0"/>
        <w:color w:val="auto"/>
        <w:sz w:val="32"/>
      </w:rPr>
    </w:lvl>
    <w:lvl w:ilvl="1" w:tplc="FFFFFFFF">
      <w:start w:val="1"/>
      <w:numFmt w:val="bullet"/>
      <w:lvlText w:val="o"/>
      <w:lvlJc w:val="left"/>
      <w:pPr>
        <w:ind w:left="1648" w:hanging="360"/>
      </w:pPr>
      <w:rPr>
        <w:rFonts w:ascii="Courier New" w:hAnsi="Courier New" w:hint="default"/>
      </w:rPr>
    </w:lvl>
    <w:lvl w:ilvl="2" w:tplc="FFFFFFFF">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57">
    <w:nsid w:val="4A6D0242"/>
    <w:multiLevelType w:val="hybridMultilevel"/>
    <w:tmpl w:val="E698EDD0"/>
    <w:lvl w:ilvl="0" w:tplc="D3CE15C0">
      <w:start w:val="1"/>
      <w:numFmt w:val="upperLetter"/>
      <w:lvlText w:val="%1."/>
      <w:lvlJc w:val="left"/>
      <w:pPr>
        <w:ind w:left="502" w:hanging="360"/>
      </w:pPr>
      <w:rPr>
        <w:rFonts w:cs="Times New Roman" w:hint="default"/>
      </w:rPr>
    </w:lvl>
    <w:lvl w:ilvl="1" w:tplc="04180003" w:tentative="1">
      <w:start w:val="1"/>
      <w:numFmt w:val="lowerLetter"/>
      <w:lvlText w:val="%2."/>
      <w:lvlJc w:val="left"/>
      <w:pPr>
        <w:ind w:left="1222" w:hanging="360"/>
      </w:pPr>
      <w:rPr>
        <w:rFonts w:cs="Times New Roman"/>
      </w:rPr>
    </w:lvl>
    <w:lvl w:ilvl="2" w:tplc="04180005" w:tentative="1">
      <w:start w:val="1"/>
      <w:numFmt w:val="lowerRoman"/>
      <w:lvlText w:val="%3."/>
      <w:lvlJc w:val="right"/>
      <w:pPr>
        <w:ind w:left="1942" w:hanging="180"/>
      </w:pPr>
      <w:rPr>
        <w:rFonts w:cs="Times New Roman"/>
      </w:rPr>
    </w:lvl>
    <w:lvl w:ilvl="3" w:tplc="04180001" w:tentative="1">
      <w:start w:val="1"/>
      <w:numFmt w:val="decimal"/>
      <w:lvlText w:val="%4."/>
      <w:lvlJc w:val="left"/>
      <w:pPr>
        <w:ind w:left="2662" w:hanging="360"/>
      </w:pPr>
      <w:rPr>
        <w:rFonts w:cs="Times New Roman"/>
      </w:rPr>
    </w:lvl>
    <w:lvl w:ilvl="4" w:tplc="04180003" w:tentative="1">
      <w:start w:val="1"/>
      <w:numFmt w:val="lowerLetter"/>
      <w:lvlText w:val="%5."/>
      <w:lvlJc w:val="left"/>
      <w:pPr>
        <w:ind w:left="3382" w:hanging="360"/>
      </w:pPr>
      <w:rPr>
        <w:rFonts w:cs="Times New Roman"/>
      </w:rPr>
    </w:lvl>
    <w:lvl w:ilvl="5" w:tplc="04180005" w:tentative="1">
      <w:start w:val="1"/>
      <w:numFmt w:val="lowerRoman"/>
      <w:lvlText w:val="%6."/>
      <w:lvlJc w:val="right"/>
      <w:pPr>
        <w:ind w:left="4102" w:hanging="180"/>
      </w:pPr>
      <w:rPr>
        <w:rFonts w:cs="Times New Roman"/>
      </w:rPr>
    </w:lvl>
    <w:lvl w:ilvl="6" w:tplc="04180001" w:tentative="1">
      <w:start w:val="1"/>
      <w:numFmt w:val="decimal"/>
      <w:lvlText w:val="%7."/>
      <w:lvlJc w:val="left"/>
      <w:pPr>
        <w:ind w:left="4822" w:hanging="360"/>
      </w:pPr>
      <w:rPr>
        <w:rFonts w:cs="Times New Roman"/>
      </w:rPr>
    </w:lvl>
    <w:lvl w:ilvl="7" w:tplc="04180003" w:tentative="1">
      <w:start w:val="1"/>
      <w:numFmt w:val="lowerLetter"/>
      <w:lvlText w:val="%8."/>
      <w:lvlJc w:val="left"/>
      <w:pPr>
        <w:ind w:left="5542" w:hanging="360"/>
      </w:pPr>
      <w:rPr>
        <w:rFonts w:cs="Times New Roman"/>
      </w:rPr>
    </w:lvl>
    <w:lvl w:ilvl="8" w:tplc="04180005" w:tentative="1">
      <w:start w:val="1"/>
      <w:numFmt w:val="lowerRoman"/>
      <w:lvlText w:val="%9."/>
      <w:lvlJc w:val="right"/>
      <w:pPr>
        <w:ind w:left="6262" w:hanging="180"/>
      </w:pPr>
      <w:rPr>
        <w:rFonts w:cs="Times New Roman"/>
      </w:rPr>
    </w:lvl>
  </w:abstractNum>
  <w:abstractNum w:abstractNumId="58">
    <w:nsid w:val="4BF06FD4"/>
    <w:multiLevelType w:val="hybridMultilevel"/>
    <w:tmpl w:val="E14E1C16"/>
    <w:lvl w:ilvl="0" w:tplc="04090003">
      <w:start w:val="1"/>
      <w:numFmt w:val="bullet"/>
      <w:lvlText w:val="o"/>
      <w:lvlJc w:val="left"/>
      <w:pPr>
        <w:ind w:left="1429" w:hanging="360"/>
      </w:pPr>
      <w:rPr>
        <w:rFonts w:ascii="Courier New" w:hAnsi="Courier New" w:cs="Courier New"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9">
    <w:nsid w:val="4C8C5142"/>
    <w:multiLevelType w:val="hybridMultilevel"/>
    <w:tmpl w:val="4CA4B29A"/>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nsid w:val="4F6E7B36"/>
    <w:multiLevelType w:val="hybridMultilevel"/>
    <w:tmpl w:val="E698EDD0"/>
    <w:lvl w:ilvl="0" w:tplc="04090001">
      <w:start w:val="1"/>
      <w:numFmt w:val="upperLetter"/>
      <w:lvlText w:val="%1."/>
      <w:lvlJc w:val="left"/>
      <w:pPr>
        <w:ind w:left="786" w:hanging="360"/>
      </w:pPr>
      <w:rPr>
        <w:rFonts w:cs="Times New Roman" w:hint="default"/>
      </w:rPr>
    </w:lvl>
    <w:lvl w:ilvl="1" w:tplc="04090003" w:tentative="1">
      <w:start w:val="1"/>
      <w:numFmt w:val="lowerLetter"/>
      <w:lvlText w:val="%2."/>
      <w:lvlJc w:val="left"/>
      <w:pPr>
        <w:ind w:left="1506" w:hanging="360"/>
      </w:pPr>
      <w:rPr>
        <w:rFonts w:cs="Times New Roman"/>
      </w:rPr>
    </w:lvl>
    <w:lvl w:ilvl="2" w:tplc="04090005" w:tentative="1">
      <w:start w:val="1"/>
      <w:numFmt w:val="lowerRoman"/>
      <w:lvlText w:val="%3."/>
      <w:lvlJc w:val="right"/>
      <w:pPr>
        <w:ind w:left="2226" w:hanging="180"/>
      </w:pPr>
      <w:rPr>
        <w:rFonts w:cs="Times New Roman"/>
      </w:rPr>
    </w:lvl>
    <w:lvl w:ilvl="3" w:tplc="04090001" w:tentative="1">
      <w:start w:val="1"/>
      <w:numFmt w:val="decimal"/>
      <w:lvlText w:val="%4."/>
      <w:lvlJc w:val="left"/>
      <w:pPr>
        <w:ind w:left="2946" w:hanging="360"/>
      </w:pPr>
      <w:rPr>
        <w:rFonts w:cs="Times New Roman"/>
      </w:rPr>
    </w:lvl>
    <w:lvl w:ilvl="4" w:tplc="04090003" w:tentative="1">
      <w:start w:val="1"/>
      <w:numFmt w:val="lowerLetter"/>
      <w:lvlText w:val="%5."/>
      <w:lvlJc w:val="left"/>
      <w:pPr>
        <w:ind w:left="3666" w:hanging="360"/>
      </w:pPr>
      <w:rPr>
        <w:rFonts w:cs="Times New Roman"/>
      </w:rPr>
    </w:lvl>
    <w:lvl w:ilvl="5" w:tplc="04090005" w:tentative="1">
      <w:start w:val="1"/>
      <w:numFmt w:val="lowerRoman"/>
      <w:lvlText w:val="%6."/>
      <w:lvlJc w:val="right"/>
      <w:pPr>
        <w:ind w:left="4386" w:hanging="180"/>
      </w:pPr>
      <w:rPr>
        <w:rFonts w:cs="Times New Roman"/>
      </w:rPr>
    </w:lvl>
    <w:lvl w:ilvl="6" w:tplc="04090001" w:tentative="1">
      <w:start w:val="1"/>
      <w:numFmt w:val="decimal"/>
      <w:lvlText w:val="%7."/>
      <w:lvlJc w:val="left"/>
      <w:pPr>
        <w:ind w:left="5106" w:hanging="360"/>
      </w:pPr>
      <w:rPr>
        <w:rFonts w:cs="Times New Roman"/>
      </w:rPr>
    </w:lvl>
    <w:lvl w:ilvl="7" w:tplc="04090003" w:tentative="1">
      <w:start w:val="1"/>
      <w:numFmt w:val="lowerLetter"/>
      <w:lvlText w:val="%8."/>
      <w:lvlJc w:val="left"/>
      <w:pPr>
        <w:ind w:left="5826" w:hanging="360"/>
      </w:pPr>
      <w:rPr>
        <w:rFonts w:cs="Times New Roman"/>
      </w:rPr>
    </w:lvl>
    <w:lvl w:ilvl="8" w:tplc="04090005" w:tentative="1">
      <w:start w:val="1"/>
      <w:numFmt w:val="lowerRoman"/>
      <w:lvlText w:val="%9."/>
      <w:lvlJc w:val="right"/>
      <w:pPr>
        <w:ind w:left="6546" w:hanging="180"/>
      </w:pPr>
      <w:rPr>
        <w:rFonts w:cs="Times New Roman"/>
      </w:rPr>
    </w:lvl>
  </w:abstractNum>
  <w:abstractNum w:abstractNumId="61">
    <w:nsid w:val="50732373"/>
    <w:multiLevelType w:val="hybridMultilevel"/>
    <w:tmpl w:val="59904F46"/>
    <w:lvl w:ilvl="0" w:tplc="04090015">
      <w:start w:val="1"/>
      <w:numFmt w:val="bullet"/>
      <w:lvlText w:val=""/>
      <w:lvlJc w:val="left"/>
      <w:pPr>
        <w:tabs>
          <w:tab w:val="num" w:pos="540"/>
        </w:tabs>
        <w:ind w:left="510" w:firstLine="3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2">
    <w:nsid w:val="55655A21"/>
    <w:multiLevelType w:val="hybridMultilevel"/>
    <w:tmpl w:val="00CA8DF2"/>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nsid w:val="56500B65"/>
    <w:multiLevelType w:val="hybridMultilevel"/>
    <w:tmpl w:val="A3384270"/>
    <w:lvl w:ilvl="0" w:tplc="0418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64">
    <w:nsid w:val="56595964"/>
    <w:multiLevelType w:val="hybridMultilevel"/>
    <w:tmpl w:val="CBDC63E8"/>
    <w:lvl w:ilvl="0" w:tplc="97924416">
      <w:start w:val="1"/>
      <w:numFmt w:val="upperLetter"/>
      <w:lvlText w:val="%1."/>
      <w:lvlJc w:val="left"/>
      <w:pPr>
        <w:ind w:left="720" w:hanging="360"/>
      </w:pPr>
      <w:rPr>
        <w:rFonts w:cs="Times New Roman" w:hint="default"/>
      </w:rPr>
    </w:lvl>
    <w:lvl w:ilvl="1" w:tplc="04180003" w:tentative="1">
      <w:start w:val="1"/>
      <w:numFmt w:val="lowerLetter"/>
      <w:lvlText w:val="%2."/>
      <w:lvlJc w:val="left"/>
      <w:pPr>
        <w:ind w:left="1440" w:hanging="360"/>
      </w:pPr>
      <w:rPr>
        <w:rFonts w:cs="Times New Roman"/>
      </w:rPr>
    </w:lvl>
    <w:lvl w:ilvl="2" w:tplc="04180005" w:tentative="1">
      <w:start w:val="1"/>
      <w:numFmt w:val="lowerRoman"/>
      <w:lvlText w:val="%3."/>
      <w:lvlJc w:val="right"/>
      <w:pPr>
        <w:ind w:left="2160" w:hanging="180"/>
      </w:pPr>
      <w:rPr>
        <w:rFonts w:cs="Times New Roman"/>
      </w:rPr>
    </w:lvl>
    <w:lvl w:ilvl="3" w:tplc="04180001" w:tentative="1">
      <w:start w:val="1"/>
      <w:numFmt w:val="decimal"/>
      <w:lvlText w:val="%4."/>
      <w:lvlJc w:val="left"/>
      <w:pPr>
        <w:ind w:left="2880" w:hanging="360"/>
      </w:pPr>
      <w:rPr>
        <w:rFonts w:cs="Times New Roman"/>
      </w:rPr>
    </w:lvl>
    <w:lvl w:ilvl="4" w:tplc="04180003" w:tentative="1">
      <w:start w:val="1"/>
      <w:numFmt w:val="lowerLetter"/>
      <w:lvlText w:val="%5."/>
      <w:lvlJc w:val="left"/>
      <w:pPr>
        <w:ind w:left="3600" w:hanging="360"/>
      </w:pPr>
      <w:rPr>
        <w:rFonts w:cs="Times New Roman"/>
      </w:rPr>
    </w:lvl>
    <w:lvl w:ilvl="5" w:tplc="04180005" w:tentative="1">
      <w:start w:val="1"/>
      <w:numFmt w:val="lowerRoman"/>
      <w:lvlText w:val="%6."/>
      <w:lvlJc w:val="right"/>
      <w:pPr>
        <w:ind w:left="4320" w:hanging="180"/>
      </w:pPr>
      <w:rPr>
        <w:rFonts w:cs="Times New Roman"/>
      </w:rPr>
    </w:lvl>
    <w:lvl w:ilvl="6" w:tplc="04180001" w:tentative="1">
      <w:start w:val="1"/>
      <w:numFmt w:val="decimal"/>
      <w:lvlText w:val="%7."/>
      <w:lvlJc w:val="left"/>
      <w:pPr>
        <w:ind w:left="5040" w:hanging="360"/>
      </w:pPr>
      <w:rPr>
        <w:rFonts w:cs="Times New Roman"/>
      </w:rPr>
    </w:lvl>
    <w:lvl w:ilvl="7" w:tplc="04180003" w:tentative="1">
      <w:start w:val="1"/>
      <w:numFmt w:val="lowerLetter"/>
      <w:lvlText w:val="%8."/>
      <w:lvlJc w:val="left"/>
      <w:pPr>
        <w:ind w:left="5760" w:hanging="360"/>
      </w:pPr>
      <w:rPr>
        <w:rFonts w:cs="Times New Roman"/>
      </w:rPr>
    </w:lvl>
    <w:lvl w:ilvl="8" w:tplc="04180005" w:tentative="1">
      <w:start w:val="1"/>
      <w:numFmt w:val="lowerRoman"/>
      <w:lvlText w:val="%9."/>
      <w:lvlJc w:val="right"/>
      <w:pPr>
        <w:ind w:left="6480" w:hanging="180"/>
      </w:pPr>
      <w:rPr>
        <w:rFonts w:cs="Times New Roman"/>
      </w:rPr>
    </w:lvl>
  </w:abstractNum>
  <w:abstractNum w:abstractNumId="65">
    <w:nsid w:val="578975A7"/>
    <w:multiLevelType w:val="hybridMultilevel"/>
    <w:tmpl w:val="AE64BCE0"/>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6">
    <w:nsid w:val="58C243C4"/>
    <w:multiLevelType w:val="hybridMultilevel"/>
    <w:tmpl w:val="06BA75A2"/>
    <w:lvl w:ilvl="0" w:tplc="04180001">
      <w:start w:val="1"/>
      <w:numFmt w:val="upperLetter"/>
      <w:lvlText w:val="%1."/>
      <w:lvlJc w:val="left"/>
      <w:pPr>
        <w:ind w:left="450" w:hanging="360"/>
      </w:pPr>
      <w:rPr>
        <w:rFonts w:cs="Times New Roman" w:hint="default"/>
      </w:rPr>
    </w:lvl>
    <w:lvl w:ilvl="1" w:tplc="04180003" w:tentative="1">
      <w:start w:val="1"/>
      <w:numFmt w:val="lowerLetter"/>
      <w:lvlText w:val="%2."/>
      <w:lvlJc w:val="left"/>
      <w:pPr>
        <w:ind w:left="1170" w:hanging="360"/>
      </w:pPr>
      <w:rPr>
        <w:rFonts w:cs="Times New Roman"/>
      </w:rPr>
    </w:lvl>
    <w:lvl w:ilvl="2" w:tplc="04180005" w:tentative="1">
      <w:start w:val="1"/>
      <w:numFmt w:val="lowerRoman"/>
      <w:lvlText w:val="%3."/>
      <w:lvlJc w:val="right"/>
      <w:pPr>
        <w:ind w:left="1890" w:hanging="180"/>
      </w:pPr>
      <w:rPr>
        <w:rFonts w:cs="Times New Roman"/>
      </w:rPr>
    </w:lvl>
    <w:lvl w:ilvl="3" w:tplc="04180001" w:tentative="1">
      <w:start w:val="1"/>
      <w:numFmt w:val="decimal"/>
      <w:lvlText w:val="%4."/>
      <w:lvlJc w:val="left"/>
      <w:pPr>
        <w:ind w:left="2610" w:hanging="360"/>
      </w:pPr>
      <w:rPr>
        <w:rFonts w:cs="Times New Roman"/>
      </w:rPr>
    </w:lvl>
    <w:lvl w:ilvl="4" w:tplc="04180003" w:tentative="1">
      <w:start w:val="1"/>
      <w:numFmt w:val="lowerLetter"/>
      <w:lvlText w:val="%5."/>
      <w:lvlJc w:val="left"/>
      <w:pPr>
        <w:ind w:left="3330" w:hanging="360"/>
      </w:pPr>
      <w:rPr>
        <w:rFonts w:cs="Times New Roman"/>
      </w:rPr>
    </w:lvl>
    <w:lvl w:ilvl="5" w:tplc="04180005" w:tentative="1">
      <w:start w:val="1"/>
      <w:numFmt w:val="lowerRoman"/>
      <w:lvlText w:val="%6."/>
      <w:lvlJc w:val="right"/>
      <w:pPr>
        <w:ind w:left="4050" w:hanging="180"/>
      </w:pPr>
      <w:rPr>
        <w:rFonts w:cs="Times New Roman"/>
      </w:rPr>
    </w:lvl>
    <w:lvl w:ilvl="6" w:tplc="04180001" w:tentative="1">
      <w:start w:val="1"/>
      <w:numFmt w:val="decimal"/>
      <w:lvlText w:val="%7."/>
      <w:lvlJc w:val="left"/>
      <w:pPr>
        <w:ind w:left="4770" w:hanging="360"/>
      </w:pPr>
      <w:rPr>
        <w:rFonts w:cs="Times New Roman"/>
      </w:rPr>
    </w:lvl>
    <w:lvl w:ilvl="7" w:tplc="04180003" w:tentative="1">
      <w:start w:val="1"/>
      <w:numFmt w:val="lowerLetter"/>
      <w:lvlText w:val="%8."/>
      <w:lvlJc w:val="left"/>
      <w:pPr>
        <w:ind w:left="5490" w:hanging="360"/>
      </w:pPr>
      <w:rPr>
        <w:rFonts w:cs="Times New Roman"/>
      </w:rPr>
    </w:lvl>
    <w:lvl w:ilvl="8" w:tplc="04180005" w:tentative="1">
      <w:start w:val="1"/>
      <w:numFmt w:val="lowerRoman"/>
      <w:lvlText w:val="%9."/>
      <w:lvlJc w:val="right"/>
      <w:pPr>
        <w:ind w:left="6210" w:hanging="180"/>
      </w:pPr>
      <w:rPr>
        <w:rFonts w:cs="Times New Roman"/>
      </w:rPr>
    </w:lvl>
  </w:abstractNum>
  <w:abstractNum w:abstractNumId="67">
    <w:nsid w:val="58F02EDD"/>
    <w:multiLevelType w:val="hybridMultilevel"/>
    <w:tmpl w:val="07F6CE8E"/>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nsid w:val="5B6F7B62"/>
    <w:multiLevelType w:val="hybridMultilevel"/>
    <w:tmpl w:val="E81E887E"/>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9">
    <w:nsid w:val="64821B75"/>
    <w:multiLevelType w:val="hybridMultilevel"/>
    <w:tmpl w:val="ED22F13A"/>
    <w:lvl w:ilvl="0" w:tplc="A61ABB7C">
      <w:start w:val="2"/>
      <w:numFmt w:val="bullet"/>
      <w:lvlText w:val="-"/>
      <w:lvlJc w:val="left"/>
      <w:pPr>
        <w:ind w:left="720" w:hanging="360"/>
      </w:pPr>
      <w:rPr>
        <w:rFonts w:ascii="Arial" w:eastAsia="Times New Roman" w:hAnsi="Aria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0">
    <w:nsid w:val="64D76688"/>
    <w:multiLevelType w:val="hybridMultilevel"/>
    <w:tmpl w:val="70B8DAAA"/>
    <w:lvl w:ilvl="0" w:tplc="04090015">
      <w:start w:val="1"/>
      <w:numFmt w:val="bullet"/>
      <w:lvlText w:val="-"/>
      <w:lvlJc w:val="left"/>
      <w:pPr>
        <w:tabs>
          <w:tab w:val="num" w:pos="720"/>
        </w:tabs>
        <w:ind w:left="720" w:hanging="360"/>
      </w:pPr>
      <w:rPr>
        <w:rFonts w:ascii="Times New Roman" w:eastAsia="Times New Roman" w:hAnsi="Times New Roman"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1">
    <w:nsid w:val="66435CEE"/>
    <w:multiLevelType w:val="hybridMultilevel"/>
    <w:tmpl w:val="D17889A4"/>
    <w:lvl w:ilvl="0" w:tplc="04090005">
      <w:numFmt w:val="bullet"/>
      <w:lvlText w:val="-"/>
      <w:lvlJc w:val="left"/>
      <w:pPr>
        <w:ind w:left="720" w:hanging="360"/>
      </w:pPr>
      <w:rPr>
        <w:rFonts w:ascii="Calibri" w:eastAsia="Calibri" w:hAnsi="Calibri" w:cs="Times New Roman" w:hint="default"/>
        <w:b w:val="0"/>
        <w:color w:val="auto"/>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7852405"/>
    <w:multiLevelType w:val="hybridMultilevel"/>
    <w:tmpl w:val="9CC4AC3C"/>
    <w:lvl w:ilvl="0" w:tplc="9B12AEAC">
      <w:start w:val="1"/>
      <w:numFmt w:val="bullet"/>
      <w:pStyle w:val="1bullet"/>
      <w:lvlText w:val=""/>
      <w:lvlJc w:val="left"/>
      <w:pPr>
        <w:ind w:left="810" w:hanging="360"/>
      </w:pPr>
      <w:rPr>
        <w:rFonts w:ascii="Symbol" w:hAnsi="Symbol"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3">
    <w:nsid w:val="683C1E8A"/>
    <w:multiLevelType w:val="hybridMultilevel"/>
    <w:tmpl w:val="CBDC63E8"/>
    <w:lvl w:ilvl="0" w:tplc="BD26E458">
      <w:start w:val="1"/>
      <w:numFmt w:val="upperLetter"/>
      <w:lvlText w:val="%1."/>
      <w:lvlJc w:val="left"/>
      <w:pPr>
        <w:ind w:left="720" w:hanging="360"/>
      </w:pPr>
      <w:rPr>
        <w:rFonts w:cs="Times New Roman" w:hint="default"/>
      </w:rPr>
    </w:lvl>
    <w:lvl w:ilvl="1" w:tplc="9C1C5980" w:tentative="1">
      <w:start w:val="1"/>
      <w:numFmt w:val="lowerLetter"/>
      <w:lvlText w:val="%2."/>
      <w:lvlJc w:val="left"/>
      <w:pPr>
        <w:ind w:left="1440" w:hanging="360"/>
      </w:pPr>
      <w:rPr>
        <w:rFonts w:cs="Times New Roman"/>
      </w:rPr>
    </w:lvl>
    <w:lvl w:ilvl="2" w:tplc="F63E7488" w:tentative="1">
      <w:start w:val="1"/>
      <w:numFmt w:val="lowerRoman"/>
      <w:lvlText w:val="%3."/>
      <w:lvlJc w:val="right"/>
      <w:pPr>
        <w:ind w:left="2160" w:hanging="180"/>
      </w:pPr>
      <w:rPr>
        <w:rFonts w:cs="Times New Roman"/>
      </w:rPr>
    </w:lvl>
    <w:lvl w:ilvl="3" w:tplc="29FAA390" w:tentative="1">
      <w:start w:val="1"/>
      <w:numFmt w:val="decimal"/>
      <w:lvlText w:val="%4."/>
      <w:lvlJc w:val="left"/>
      <w:pPr>
        <w:ind w:left="2880" w:hanging="360"/>
      </w:pPr>
      <w:rPr>
        <w:rFonts w:cs="Times New Roman"/>
      </w:rPr>
    </w:lvl>
    <w:lvl w:ilvl="4" w:tplc="32AEB326" w:tentative="1">
      <w:start w:val="1"/>
      <w:numFmt w:val="lowerLetter"/>
      <w:lvlText w:val="%5."/>
      <w:lvlJc w:val="left"/>
      <w:pPr>
        <w:ind w:left="3600" w:hanging="360"/>
      </w:pPr>
      <w:rPr>
        <w:rFonts w:cs="Times New Roman"/>
      </w:rPr>
    </w:lvl>
    <w:lvl w:ilvl="5" w:tplc="2C4E08B6" w:tentative="1">
      <w:start w:val="1"/>
      <w:numFmt w:val="lowerRoman"/>
      <w:lvlText w:val="%6."/>
      <w:lvlJc w:val="right"/>
      <w:pPr>
        <w:ind w:left="4320" w:hanging="180"/>
      </w:pPr>
      <w:rPr>
        <w:rFonts w:cs="Times New Roman"/>
      </w:rPr>
    </w:lvl>
    <w:lvl w:ilvl="6" w:tplc="9670C634" w:tentative="1">
      <w:start w:val="1"/>
      <w:numFmt w:val="decimal"/>
      <w:lvlText w:val="%7."/>
      <w:lvlJc w:val="left"/>
      <w:pPr>
        <w:ind w:left="5040" w:hanging="360"/>
      </w:pPr>
      <w:rPr>
        <w:rFonts w:cs="Times New Roman"/>
      </w:rPr>
    </w:lvl>
    <w:lvl w:ilvl="7" w:tplc="6318FB5E" w:tentative="1">
      <w:start w:val="1"/>
      <w:numFmt w:val="lowerLetter"/>
      <w:lvlText w:val="%8."/>
      <w:lvlJc w:val="left"/>
      <w:pPr>
        <w:ind w:left="5760" w:hanging="360"/>
      </w:pPr>
      <w:rPr>
        <w:rFonts w:cs="Times New Roman"/>
      </w:rPr>
    </w:lvl>
    <w:lvl w:ilvl="8" w:tplc="E604EC8E" w:tentative="1">
      <w:start w:val="1"/>
      <w:numFmt w:val="lowerRoman"/>
      <w:lvlText w:val="%9."/>
      <w:lvlJc w:val="right"/>
      <w:pPr>
        <w:ind w:left="6480" w:hanging="180"/>
      </w:pPr>
      <w:rPr>
        <w:rFonts w:cs="Times New Roman"/>
      </w:rPr>
    </w:lvl>
  </w:abstractNum>
  <w:abstractNum w:abstractNumId="74">
    <w:nsid w:val="692C0F59"/>
    <w:multiLevelType w:val="hybridMultilevel"/>
    <w:tmpl w:val="5D609584"/>
    <w:lvl w:ilvl="0" w:tplc="BB62280A">
      <w:start w:val="1"/>
      <w:numFmt w:val="bullet"/>
      <w:lvlText w:val=""/>
      <w:lvlJc w:val="left"/>
      <w:pPr>
        <w:tabs>
          <w:tab w:val="num" w:pos="720"/>
        </w:tabs>
        <w:ind w:left="720" w:hanging="360"/>
      </w:pPr>
      <w:rPr>
        <w:rFonts w:ascii="Wingdings" w:hAnsi="Wingdings" w:hint="default"/>
      </w:rPr>
    </w:lvl>
    <w:lvl w:ilvl="1" w:tplc="04090003">
      <w:numFmt w:val="bullet"/>
      <w:lvlText w:val="-"/>
      <w:lvlJc w:val="left"/>
      <w:pPr>
        <w:ind w:left="1440" w:hanging="360"/>
      </w:pPr>
      <w:rPr>
        <w:rFonts w:ascii="Arial" w:eastAsia="SimSun" w:hAnsi="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
      <w:lvlJc w:val="left"/>
      <w:pPr>
        <w:tabs>
          <w:tab w:val="num" w:pos="3600"/>
        </w:tabs>
        <w:ind w:left="3600" w:hanging="360"/>
      </w:pPr>
      <w:rPr>
        <w:rFonts w:ascii="Wingdings" w:hAnsi="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Wingdings" w:hAnsi="Wingdings" w:hint="default"/>
      </w:rPr>
    </w:lvl>
    <w:lvl w:ilvl="7" w:tplc="04090003" w:tentative="1">
      <w:start w:val="1"/>
      <w:numFmt w:val="bullet"/>
      <w:lvlText w:val=""/>
      <w:lvlJc w:val="left"/>
      <w:pPr>
        <w:tabs>
          <w:tab w:val="num" w:pos="5760"/>
        </w:tabs>
        <w:ind w:left="5760" w:hanging="360"/>
      </w:pPr>
      <w:rPr>
        <w:rFonts w:ascii="Wingdings" w:hAnsi="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69732CDE"/>
    <w:multiLevelType w:val="hybridMultilevel"/>
    <w:tmpl w:val="00CCD3F6"/>
    <w:lvl w:ilvl="0" w:tplc="04090015">
      <w:start w:val="1"/>
      <w:numFmt w:val="bullet"/>
      <w:pStyle w:val="1bull1"/>
      <w:lvlText w:val=""/>
      <w:lvlJc w:val="left"/>
      <w:pPr>
        <w:ind w:left="6" w:hanging="360"/>
      </w:pPr>
      <w:rPr>
        <w:rFonts w:ascii="Symbol" w:hAnsi="Symbol" w:hint="default"/>
      </w:rPr>
    </w:lvl>
    <w:lvl w:ilvl="1" w:tplc="04090019">
      <w:start w:val="1"/>
      <w:numFmt w:val="bullet"/>
      <w:lvlText w:val="o"/>
      <w:lvlJc w:val="left"/>
      <w:pPr>
        <w:ind w:left="726" w:hanging="360"/>
      </w:pPr>
      <w:rPr>
        <w:rFonts w:ascii="Courier New" w:hAnsi="Courier New" w:hint="default"/>
      </w:rPr>
    </w:lvl>
    <w:lvl w:ilvl="2" w:tplc="0409001B">
      <w:start w:val="1"/>
      <w:numFmt w:val="bullet"/>
      <w:lvlText w:val=""/>
      <w:lvlJc w:val="left"/>
      <w:pPr>
        <w:ind w:left="1446" w:hanging="360"/>
      </w:pPr>
      <w:rPr>
        <w:rFonts w:ascii="Wingdings" w:hAnsi="Wingdings" w:hint="default"/>
      </w:rPr>
    </w:lvl>
    <w:lvl w:ilvl="3" w:tplc="0409000F" w:tentative="1">
      <w:start w:val="1"/>
      <w:numFmt w:val="bullet"/>
      <w:lvlText w:val=""/>
      <w:lvlJc w:val="left"/>
      <w:pPr>
        <w:ind w:left="2166" w:hanging="360"/>
      </w:pPr>
      <w:rPr>
        <w:rFonts w:ascii="Symbol" w:hAnsi="Symbol" w:hint="default"/>
      </w:rPr>
    </w:lvl>
    <w:lvl w:ilvl="4" w:tplc="04090019" w:tentative="1">
      <w:start w:val="1"/>
      <w:numFmt w:val="bullet"/>
      <w:lvlText w:val="o"/>
      <w:lvlJc w:val="left"/>
      <w:pPr>
        <w:ind w:left="2886" w:hanging="360"/>
      </w:pPr>
      <w:rPr>
        <w:rFonts w:ascii="Courier New" w:hAnsi="Courier New" w:hint="default"/>
      </w:rPr>
    </w:lvl>
    <w:lvl w:ilvl="5" w:tplc="0409001B" w:tentative="1">
      <w:start w:val="1"/>
      <w:numFmt w:val="bullet"/>
      <w:lvlText w:val=""/>
      <w:lvlJc w:val="left"/>
      <w:pPr>
        <w:ind w:left="3606" w:hanging="360"/>
      </w:pPr>
      <w:rPr>
        <w:rFonts w:ascii="Wingdings" w:hAnsi="Wingdings" w:hint="default"/>
      </w:rPr>
    </w:lvl>
    <w:lvl w:ilvl="6" w:tplc="0409000F" w:tentative="1">
      <w:start w:val="1"/>
      <w:numFmt w:val="bullet"/>
      <w:lvlText w:val=""/>
      <w:lvlJc w:val="left"/>
      <w:pPr>
        <w:ind w:left="4326" w:hanging="360"/>
      </w:pPr>
      <w:rPr>
        <w:rFonts w:ascii="Symbol" w:hAnsi="Symbol" w:hint="default"/>
      </w:rPr>
    </w:lvl>
    <w:lvl w:ilvl="7" w:tplc="04090019" w:tentative="1">
      <w:start w:val="1"/>
      <w:numFmt w:val="bullet"/>
      <w:lvlText w:val="o"/>
      <w:lvlJc w:val="left"/>
      <w:pPr>
        <w:ind w:left="5046" w:hanging="360"/>
      </w:pPr>
      <w:rPr>
        <w:rFonts w:ascii="Courier New" w:hAnsi="Courier New" w:hint="default"/>
      </w:rPr>
    </w:lvl>
    <w:lvl w:ilvl="8" w:tplc="0409001B" w:tentative="1">
      <w:start w:val="1"/>
      <w:numFmt w:val="bullet"/>
      <w:lvlText w:val=""/>
      <w:lvlJc w:val="left"/>
      <w:pPr>
        <w:ind w:left="5766" w:hanging="360"/>
      </w:pPr>
      <w:rPr>
        <w:rFonts w:ascii="Wingdings" w:hAnsi="Wingdings" w:hint="default"/>
      </w:rPr>
    </w:lvl>
  </w:abstractNum>
  <w:abstractNum w:abstractNumId="76">
    <w:nsid w:val="6A1204BE"/>
    <w:multiLevelType w:val="hybridMultilevel"/>
    <w:tmpl w:val="44109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nsid w:val="6A1D2B77"/>
    <w:multiLevelType w:val="hybridMultilevel"/>
    <w:tmpl w:val="39F4CF9A"/>
    <w:lvl w:ilvl="0" w:tplc="2AC42D9A">
      <w:numFmt w:val="bullet"/>
      <w:lvlText w:val="-"/>
      <w:lvlJc w:val="left"/>
      <w:pPr>
        <w:ind w:left="1287" w:hanging="360"/>
      </w:pPr>
      <w:rPr>
        <w:rFonts w:ascii="Arial" w:eastAsia="Times New Roman" w:hAnsi="Arial" w:cs="Aria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8">
    <w:nsid w:val="6A5810AC"/>
    <w:multiLevelType w:val="hybridMultilevel"/>
    <w:tmpl w:val="9A4241D0"/>
    <w:lvl w:ilvl="0" w:tplc="FEAEF2C2">
      <w:start w:val="1"/>
      <w:numFmt w:val="upperLetter"/>
      <w:lvlText w:val="%1."/>
      <w:lvlJc w:val="left"/>
      <w:pPr>
        <w:ind w:left="720" w:hanging="360"/>
      </w:pPr>
      <w:rPr>
        <w:rFonts w:cs="Times New Roman" w:hint="default"/>
      </w:rPr>
    </w:lvl>
    <w:lvl w:ilvl="1" w:tplc="684247B8" w:tentative="1">
      <w:start w:val="1"/>
      <w:numFmt w:val="lowerLetter"/>
      <w:lvlText w:val="%2."/>
      <w:lvlJc w:val="left"/>
      <w:pPr>
        <w:ind w:left="1440" w:hanging="360"/>
      </w:pPr>
      <w:rPr>
        <w:rFonts w:cs="Times New Roman"/>
      </w:rPr>
    </w:lvl>
    <w:lvl w:ilvl="2" w:tplc="DED6701A" w:tentative="1">
      <w:start w:val="1"/>
      <w:numFmt w:val="lowerRoman"/>
      <w:lvlText w:val="%3."/>
      <w:lvlJc w:val="right"/>
      <w:pPr>
        <w:ind w:left="2160" w:hanging="180"/>
      </w:pPr>
      <w:rPr>
        <w:rFonts w:cs="Times New Roman"/>
      </w:rPr>
    </w:lvl>
    <w:lvl w:ilvl="3" w:tplc="FE00D8C8" w:tentative="1">
      <w:start w:val="1"/>
      <w:numFmt w:val="decimal"/>
      <w:lvlText w:val="%4."/>
      <w:lvlJc w:val="left"/>
      <w:pPr>
        <w:ind w:left="2880" w:hanging="360"/>
      </w:pPr>
      <w:rPr>
        <w:rFonts w:cs="Times New Roman"/>
      </w:rPr>
    </w:lvl>
    <w:lvl w:ilvl="4" w:tplc="30DCBC9C" w:tentative="1">
      <w:start w:val="1"/>
      <w:numFmt w:val="lowerLetter"/>
      <w:lvlText w:val="%5."/>
      <w:lvlJc w:val="left"/>
      <w:pPr>
        <w:ind w:left="3600" w:hanging="360"/>
      </w:pPr>
      <w:rPr>
        <w:rFonts w:cs="Times New Roman"/>
      </w:rPr>
    </w:lvl>
    <w:lvl w:ilvl="5" w:tplc="2FF06EBA" w:tentative="1">
      <w:start w:val="1"/>
      <w:numFmt w:val="lowerRoman"/>
      <w:lvlText w:val="%6."/>
      <w:lvlJc w:val="right"/>
      <w:pPr>
        <w:ind w:left="4320" w:hanging="180"/>
      </w:pPr>
      <w:rPr>
        <w:rFonts w:cs="Times New Roman"/>
      </w:rPr>
    </w:lvl>
    <w:lvl w:ilvl="6" w:tplc="34E6E784" w:tentative="1">
      <w:start w:val="1"/>
      <w:numFmt w:val="decimal"/>
      <w:lvlText w:val="%7."/>
      <w:lvlJc w:val="left"/>
      <w:pPr>
        <w:ind w:left="5040" w:hanging="360"/>
      </w:pPr>
      <w:rPr>
        <w:rFonts w:cs="Times New Roman"/>
      </w:rPr>
    </w:lvl>
    <w:lvl w:ilvl="7" w:tplc="342A9DB8" w:tentative="1">
      <w:start w:val="1"/>
      <w:numFmt w:val="lowerLetter"/>
      <w:lvlText w:val="%8."/>
      <w:lvlJc w:val="left"/>
      <w:pPr>
        <w:ind w:left="5760" w:hanging="360"/>
      </w:pPr>
      <w:rPr>
        <w:rFonts w:cs="Times New Roman"/>
      </w:rPr>
    </w:lvl>
    <w:lvl w:ilvl="8" w:tplc="0B9A94A8" w:tentative="1">
      <w:start w:val="1"/>
      <w:numFmt w:val="lowerRoman"/>
      <w:lvlText w:val="%9."/>
      <w:lvlJc w:val="right"/>
      <w:pPr>
        <w:ind w:left="6480" w:hanging="180"/>
      </w:pPr>
      <w:rPr>
        <w:rFonts w:cs="Times New Roman"/>
      </w:rPr>
    </w:lvl>
  </w:abstractNum>
  <w:abstractNum w:abstractNumId="79">
    <w:nsid w:val="6AC84BB2"/>
    <w:multiLevelType w:val="hybridMultilevel"/>
    <w:tmpl w:val="CBDC63E8"/>
    <w:lvl w:ilvl="0" w:tplc="44DC19DA">
      <w:start w:val="1"/>
      <w:numFmt w:val="upperLetter"/>
      <w:lvlText w:val="%1."/>
      <w:lvlJc w:val="left"/>
      <w:pPr>
        <w:ind w:left="720" w:hanging="360"/>
      </w:pPr>
      <w:rPr>
        <w:rFonts w:cs="Times New Roman" w:hint="default"/>
      </w:rPr>
    </w:lvl>
    <w:lvl w:ilvl="1" w:tplc="E574320A"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80">
    <w:nsid w:val="6EC00730"/>
    <w:multiLevelType w:val="hybridMultilevel"/>
    <w:tmpl w:val="B29C8E4E"/>
    <w:lvl w:ilvl="0" w:tplc="04090015">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1">
    <w:nsid w:val="6F4A3722"/>
    <w:multiLevelType w:val="hybridMultilevel"/>
    <w:tmpl w:val="C98C84B2"/>
    <w:lvl w:ilvl="0" w:tplc="04090005">
      <w:numFmt w:val="bullet"/>
      <w:lvlText w:val="-"/>
      <w:lvlJc w:val="left"/>
      <w:pPr>
        <w:ind w:left="1080" w:hanging="360"/>
      </w:pPr>
      <w:rPr>
        <w:rFonts w:ascii="Calibri" w:eastAsia="Calibri" w:hAnsi="Calibri" w:cs="Times New Roman" w:hint="default"/>
        <w:b w:val="0"/>
        <w:color w:val="auto"/>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nsid w:val="6F6E2500"/>
    <w:multiLevelType w:val="hybridMultilevel"/>
    <w:tmpl w:val="5D9EF30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3">
    <w:nsid w:val="72335ECB"/>
    <w:multiLevelType w:val="hybridMultilevel"/>
    <w:tmpl w:val="B6B25022"/>
    <w:lvl w:ilvl="0" w:tplc="CE48576C">
      <w:start w:val="1"/>
      <w:numFmt w:val="bullet"/>
      <w:lvlText w:val="-"/>
      <w:lvlJc w:val="left"/>
      <w:pPr>
        <w:ind w:left="1354" w:hanging="360"/>
      </w:pPr>
      <w:rPr>
        <w:rFonts w:ascii="Times New Roman" w:eastAsia="Times New Roman" w:hAnsi="Times New Roman" w:cs="Times New Roman"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84">
    <w:nsid w:val="73A72E46"/>
    <w:multiLevelType w:val="hybridMultilevel"/>
    <w:tmpl w:val="E2B866FE"/>
    <w:lvl w:ilvl="0" w:tplc="04090001">
      <w:start w:val="1"/>
      <w:numFmt w:val="bullet"/>
      <w:lvlText w:val=""/>
      <w:lvlJc w:val="left"/>
      <w:pPr>
        <w:tabs>
          <w:tab w:val="num" w:pos="540"/>
        </w:tabs>
        <w:ind w:left="510" w:firstLine="30"/>
      </w:pPr>
      <w:rPr>
        <w:rFonts w:ascii="Symbol" w:hAnsi="Symbol" w:hint="default"/>
      </w:rPr>
    </w:lvl>
    <w:lvl w:ilvl="1" w:tplc="0409000F"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nsid w:val="73FB4265"/>
    <w:multiLevelType w:val="hybridMultilevel"/>
    <w:tmpl w:val="B96A9634"/>
    <w:lvl w:ilvl="0" w:tplc="A7840C8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nsid w:val="75675376"/>
    <w:multiLevelType w:val="hybridMultilevel"/>
    <w:tmpl w:val="56648EEC"/>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nsid w:val="78BB63BA"/>
    <w:multiLevelType w:val="hybridMultilevel"/>
    <w:tmpl w:val="40A69D12"/>
    <w:lvl w:ilvl="0" w:tplc="28DCE51C">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9C07EC3"/>
    <w:multiLevelType w:val="hybridMultilevel"/>
    <w:tmpl w:val="76E841A4"/>
    <w:lvl w:ilvl="0" w:tplc="1146092C">
      <w:start w:val="1"/>
      <w:numFmt w:val="upperLetter"/>
      <w:lvlText w:val="%1."/>
      <w:lvlJc w:val="left"/>
      <w:pPr>
        <w:ind w:left="720" w:hanging="360"/>
      </w:pPr>
      <w:rPr>
        <w:rFonts w:cs="Times New Roman" w:hint="default"/>
      </w:rPr>
    </w:lvl>
    <w:lvl w:ilvl="1" w:tplc="04180003" w:tentative="1">
      <w:start w:val="1"/>
      <w:numFmt w:val="lowerLetter"/>
      <w:lvlText w:val="%2."/>
      <w:lvlJc w:val="left"/>
      <w:pPr>
        <w:ind w:left="1440" w:hanging="360"/>
      </w:pPr>
      <w:rPr>
        <w:rFonts w:cs="Times New Roman"/>
      </w:rPr>
    </w:lvl>
    <w:lvl w:ilvl="2" w:tplc="04180005" w:tentative="1">
      <w:start w:val="1"/>
      <w:numFmt w:val="lowerRoman"/>
      <w:lvlText w:val="%3."/>
      <w:lvlJc w:val="right"/>
      <w:pPr>
        <w:ind w:left="2160" w:hanging="180"/>
      </w:pPr>
      <w:rPr>
        <w:rFonts w:cs="Times New Roman"/>
      </w:rPr>
    </w:lvl>
    <w:lvl w:ilvl="3" w:tplc="04180001" w:tentative="1">
      <w:start w:val="1"/>
      <w:numFmt w:val="decimal"/>
      <w:lvlText w:val="%4."/>
      <w:lvlJc w:val="left"/>
      <w:pPr>
        <w:ind w:left="2880" w:hanging="360"/>
      </w:pPr>
      <w:rPr>
        <w:rFonts w:cs="Times New Roman"/>
      </w:rPr>
    </w:lvl>
    <w:lvl w:ilvl="4" w:tplc="04180003" w:tentative="1">
      <w:start w:val="1"/>
      <w:numFmt w:val="lowerLetter"/>
      <w:lvlText w:val="%5."/>
      <w:lvlJc w:val="left"/>
      <w:pPr>
        <w:ind w:left="3600" w:hanging="360"/>
      </w:pPr>
      <w:rPr>
        <w:rFonts w:cs="Times New Roman"/>
      </w:rPr>
    </w:lvl>
    <w:lvl w:ilvl="5" w:tplc="04180005" w:tentative="1">
      <w:start w:val="1"/>
      <w:numFmt w:val="lowerRoman"/>
      <w:lvlText w:val="%6."/>
      <w:lvlJc w:val="right"/>
      <w:pPr>
        <w:ind w:left="4320" w:hanging="180"/>
      </w:pPr>
      <w:rPr>
        <w:rFonts w:cs="Times New Roman"/>
      </w:rPr>
    </w:lvl>
    <w:lvl w:ilvl="6" w:tplc="04180001" w:tentative="1">
      <w:start w:val="1"/>
      <w:numFmt w:val="decimal"/>
      <w:lvlText w:val="%7."/>
      <w:lvlJc w:val="left"/>
      <w:pPr>
        <w:ind w:left="5040" w:hanging="360"/>
      </w:pPr>
      <w:rPr>
        <w:rFonts w:cs="Times New Roman"/>
      </w:rPr>
    </w:lvl>
    <w:lvl w:ilvl="7" w:tplc="04180003" w:tentative="1">
      <w:start w:val="1"/>
      <w:numFmt w:val="lowerLetter"/>
      <w:lvlText w:val="%8."/>
      <w:lvlJc w:val="left"/>
      <w:pPr>
        <w:ind w:left="5760" w:hanging="360"/>
      </w:pPr>
      <w:rPr>
        <w:rFonts w:cs="Times New Roman"/>
      </w:rPr>
    </w:lvl>
    <w:lvl w:ilvl="8" w:tplc="04180005" w:tentative="1">
      <w:start w:val="1"/>
      <w:numFmt w:val="lowerRoman"/>
      <w:lvlText w:val="%9."/>
      <w:lvlJc w:val="right"/>
      <w:pPr>
        <w:ind w:left="6480" w:hanging="180"/>
      </w:pPr>
      <w:rPr>
        <w:rFonts w:cs="Times New Roman"/>
      </w:rPr>
    </w:lvl>
  </w:abstractNum>
  <w:abstractNum w:abstractNumId="89">
    <w:nsid w:val="7AC36917"/>
    <w:multiLevelType w:val="hybridMultilevel"/>
    <w:tmpl w:val="94E0F1EC"/>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0">
    <w:nsid w:val="7AEC7132"/>
    <w:multiLevelType w:val="hybridMultilevel"/>
    <w:tmpl w:val="C7DA9F52"/>
    <w:lvl w:ilvl="0" w:tplc="CE48576C">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7F2E6513"/>
    <w:multiLevelType w:val="hybridMultilevel"/>
    <w:tmpl w:val="B442D036"/>
    <w:lvl w:ilvl="0" w:tplc="FFFFFFFF">
      <w:start w:val="1"/>
      <w:numFmt w:val="bullet"/>
      <w:lvlText w:val="o"/>
      <w:lvlJc w:val="left"/>
      <w:pPr>
        <w:tabs>
          <w:tab w:val="num" w:pos="1789"/>
        </w:tabs>
        <w:ind w:left="1789" w:hanging="360"/>
      </w:pPr>
      <w:rPr>
        <w:rFonts w:ascii="Courier New" w:hAnsi="Courier New" w:hint="default"/>
      </w:rPr>
    </w:lvl>
    <w:lvl w:ilvl="1" w:tplc="FFFFFFFF">
      <w:numFmt w:val="bullet"/>
      <w:lvlText w:val="-"/>
      <w:lvlJc w:val="left"/>
      <w:pPr>
        <w:ind w:left="2509" w:hanging="360"/>
      </w:pPr>
      <w:rPr>
        <w:rFonts w:ascii="Times New Roman" w:eastAsia="Times New Roman" w:hAnsi="Times New Roman" w:hint="default"/>
      </w:rPr>
    </w:lvl>
    <w:lvl w:ilvl="2" w:tplc="FFFFFFFF" w:tentative="1">
      <w:start w:val="1"/>
      <w:numFmt w:val="bullet"/>
      <w:lvlText w:val=""/>
      <w:lvlJc w:val="left"/>
      <w:pPr>
        <w:tabs>
          <w:tab w:val="num" w:pos="3229"/>
        </w:tabs>
        <w:ind w:left="3229" w:hanging="360"/>
      </w:pPr>
      <w:rPr>
        <w:rFonts w:ascii="Wingdings" w:hAnsi="Wingdings" w:hint="default"/>
      </w:rPr>
    </w:lvl>
    <w:lvl w:ilvl="3" w:tplc="FFFFFFFF" w:tentative="1">
      <w:start w:val="1"/>
      <w:numFmt w:val="bullet"/>
      <w:lvlText w:val=""/>
      <w:lvlJc w:val="left"/>
      <w:pPr>
        <w:tabs>
          <w:tab w:val="num" w:pos="3949"/>
        </w:tabs>
        <w:ind w:left="3949" w:hanging="360"/>
      </w:pPr>
      <w:rPr>
        <w:rFonts w:ascii="Symbol" w:hAnsi="Symbol" w:hint="default"/>
      </w:rPr>
    </w:lvl>
    <w:lvl w:ilvl="4" w:tplc="FFFFFFFF" w:tentative="1">
      <w:start w:val="1"/>
      <w:numFmt w:val="bullet"/>
      <w:lvlText w:val="o"/>
      <w:lvlJc w:val="left"/>
      <w:pPr>
        <w:tabs>
          <w:tab w:val="num" w:pos="4669"/>
        </w:tabs>
        <w:ind w:left="4669" w:hanging="360"/>
      </w:pPr>
      <w:rPr>
        <w:rFonts w:ascii="Courier New" w:hAnsi="Courier New" w:hint="default"/>
      </w:rPr>
    </w:lvl>
    <w:lvl w:ilvl="5" w:tplc="FFFFFFFF" w:tentative="1">
      <w:start w:val="1"/>
      <w:numFmt w:val="bullet"/>
      <w:lvlText w:val=""/>
      <w:lvlJc w:val="left"/>
      <w:pPr>
        <w:tabs>
          <w:tab w:val="num" w:pos="5389"/>
        </w:tabs>
        <w:ind w:left="5389" w:hanging="360"/>
      </w:pPr>
      <w:rPr>
        <w:rFonts w:ascii="Wingdings" w:hAnsi="Wingdings" w:hint="default"/>
      </w:rPr>
    </w:lvl>
    <w:lvl w:ilvl="6" w:tplc="FFFFFFFF" w:tentative="1">
      <w:start w:val="1"/>
      <w:numFmt w:val="bullet"/>
      <w:lvlText w:val=""/>
      <w:lvlJc w:val="left"/>
      <w:pPr>
        <w:tabs>
          <w:tab w:val="num" w:pos="6109"/>
        </w:tabs>
        <w:ind w:left="6109" w:hanging="360"/>
      </w:pPr>
      <w:rPr>
        <w:rFonts w:ascii="Symbol" w:hAnsi="Symbol" w:hint="default"/>
      </w:rPr>
    </w:lvl>
    <w:lvl w:ilvl="7" w:tplc="FFFFFFFF" w:tentative="1">
      <w:start w:val="1"/>
      <w:numFmt w:val="bullet"/>
      <w:lvlText w:val="o"/>
      <w:lvlJc w:val="left"/>
      <w:pPr>
        <w:tabs>
          <w:tab w:val="num" w:pos="6829"/>
        </w:tabs>
        <w:ind w:left="6829" w:hanging="360"/>
      </w:pPr>
      <w:rPr>
        <w:rFonts w:ascii="Courier New" w:hAnsi="Courier New" w:hint="default"/>
      </w:rPr>
    </w:lvl>
    <w:lvl w:ilvl="8" w:tplc="FFFFFFFF" w:tentative="1">
      <w:start w:val="1"/>
      <w:numFmt w:val="bullet"/>
      <w:lvlText w:val=""/>
      <w:lvlJc w:val="left"/>
      <w:pPr>
        <w:tabs>
          <w:tab w:val="num" w:pos="7549"/>
        </w:tabs>
        <w:ind w:left="7549" w:hanging="360"/>
      </w:pPr>
      <w:rPr>
        <w:rFonts w:ascii="Wingdings" w:hAnsi="Wingdings" w:hint="default"/>
      </w:rPr>
    </w:lvl>
  </w:abstractNum>
  <w:num w:numId="1">
    <w:abstractNumId w:val="25"/>
  </w:num>
  <w:num w:numId="2">
    <w:abstractNumId w:val="75"/>
  </w:num>
  <w:num w:numId="3">
    <w:abstractNumId w:val="26"/>
  </w:num>
  <w:num w:numId="4">
    <w:abstractNumId w:val="91"/>
  </w:num>
  <w:num w:numId="5">
    <w:abstractNumId w:val="15"/>
  </w:num>
  <w:num w:numId="6">
    <w:abstractNumId w:val="89"/>
  </w:num>
  <w:num w:numId="7">
    <w:abstractNumId w:val="28"/>
  </w:num>
  <w:num w:numId="8">
    <w:abstractNumId w:val="74"/>
  </w:num>
  <w:num w:numId="9">
    <w:abstractNumId w:val="66"/>
  </w:num>
  <w:num w:numId="10">
    <w:abstractNumId w:val="22"/>
  </w:num>
  <w:num w:numId="11">
    <w:abstractNumId w:val="68"/>
  </w:num>
  <w:num w:numId="12">
    <w:abstractNumId w:val="3"/>
  </w:num>
  <w:num w:numId="13">
    <w:abstractNumId w:val="57"/>
  </w:num>
  <w:num w:numId="14">
    <w:abstractNumId w:val="42"/>
  </w:num>
  <w:num w:numId="15">
    <w:abstractNumId w:val="49"/>
  </w:num>
  <w:num w:numId="16">
    <w:abstractNumId w:val="60"/>
  </w:num>
  <w:num w:numId="17">
    <w:abstractNumId w:val="54"/>
  </w:num>
  <w:num w:numId="18">
    <w:abstractNumId w:val="8"/>
  </w:num>
  <w:num w:numId="19">
    <w:abstractNumId w:val="45"/>
  </w:num>
  <w:num w:numId="20">
    <w:abstractNumId w:val="70"/>
  </w:num>
  <w:num w:numId="21">
    <w:abstractNumId w:val="34"/>
  </w:num>
  <w:num w:numId="22">
    <w:abstractNumId w:val="73"/>
  </w:num>
  <w:num w:numId="23">
    <w:abstractNumId w:val="27"/>
  </w:num>
  <w:num w:numId="24">
    <w:abstractNumId w:val="0"/>
  </w:num>
  <w:num w:numId="25">
    <w:abstractNumId w:val="48"/>
  </w:num>
  <w:num w:numId="26">
    <w:abstractNumId w:val="64"/>
  </w:num>
  <w:num w:numId="27">
    <w:abstractNumId w:val="33"/>
  </w:num>
  <w:num w:numId="28">
    <w:abstractNumId w:val="79"/>
  </w:num>
  <w:num w:numId="29">
    <w:abstractNumId w:val="37"/>
  </w:num>
  <w:num w:numId="30">
    <w:abstractNumId w:val="23"/>
  </w:num>
  <w:num w:numId="31">
    <w:abstractNumId w:val="88"/>
  </w:num>
  <w:num w:numId="32">
    <w:abstractNumId w:val="4"/>
  </w:num>
  <w:num w:numId="33">
    <w:abstractNumId w:val="11"/>
  </w:num>
  <w:num w:numId="34">
    <w:abstractNumId w:val="21"/>
  </w:num>
  <w:num w:numId="35">
    <w:abstractNumId w:val="69"/>
  </w:num>
  <w:num w:numId="36">
    <w:abstractNumId w:val="51"/>
  </w:num>
  <w:num w:numId="37">
    <w:abstractNumId w:val="39"/>
  </w:num>
  <w:num w:numId="38">
    <w:abstractNumId w:val="20"/>
  </w:num>
  <w:num w:numId="39">
    <w:abstractNumId w:val="84"/>
  </w:num>
  <w:num w:numId="40">
    <w:abstractNumId w:val="41"/>
  </w:num>
  <w:num w:numId="41">
    <w:abstractNumId w:val="61"/>
  </w:num>
  <w:num w:numId="42">
    <w:abstractNumId w:val="14"/>
  </w:num>
  <w:num w:numId="43">
    <w:abstractNumId w:val="6"/>
  </w:num>
  <w:num w:numId="44">
    <w:abstractNumId w:val="29"/>
  </w:num>
  <w:num w:numId="45">
    <w:abstractNumId w:val="78"/>
  </w:num>
  <w:num w:numId="46">
    <w:abstractNumId w:val="80"/>
  </w:num>
  <w:num w:numId="47">
    <w:abstractNumId w:val="16"/>
  </w:num>
  <w:num w:numId="48">
    <w:abstractNumId w:val="19"/>
  </w:num>
  <w:num w:numId="49">
    <w:abstractNumId w:val="18"/>
  </w:num>
  <w:num w:numId="50">
    <w:abstractNumId w:val="82"/>
  </w:num>
  <w:num w:numId="51">
    <w:abstractNumId w:val="56"/>
  </w:num>
  <w:num w:numId="52">
    <w:abstractNumId w:val="38"/>
  </w:num>
  <w:num w:numId="53">
    <w:abstractNumId w:val="5"/>
  </w:num>
  <w:num w:numId="54">
    <w:abstractNumId w:val="53"/>
  </w:num>
  <w:num w:numId="55">
    <w:abstractNumId w:val="31"/>
  </w:num>
  <w:num w:numId="56">
    <w:abstractNumId w:val="55"/>
  </w:num>
  <w:num w:numId="57">
    <w:abstractNumId w:val="32"/>
  </w:num>
  <w:num w:numId="58">
    <w:abstractNumId w:val="40"/>
  </w:num>
  <w:num w:numId="59">
    <w:abstractNumId w:val="36"/>
  </w:num>
  <w:num w:numId="60">
    <w:abstractNumId w:val="44"/>
  </w:num>
  <w:num w:numId="61">
    <w:abstractNumId w:val="35"/>
  </w:num>
  <w:num w:numId="62">
    <w:abstractNumId w:val="72"/>
  </w:num>
  <w:num w:numId="63">
    <w:abstractNumId w:val="12"/>
  </w:num>
  <w:num w:numId="64">
    <w:abstractNumId w:val="63"/>
  </w:num>
  <w:num w:numId="65">
    <w:abstractNumId w:val="77"/>
  </w:num>
  <w:num w:numId="66">
    <w:abstractNumId w:val="30"/>
  </w:num>
  <w:num w:numId="67">
    <w:abstractNumId w:val="52"/>
  </w:num>
  <w:num w:numId="68">
    <w:abstractNumId w:val="62"/>
  </w:num>
  <w:num w:numId="69">
    <w:abstractNumId w:val="65"/>
  </w:num>
  <w:num w:numId="70">
    <w:abstractNumId w:val="76"/>
  </w:num>
  <w:num w:numId="71">
    <w:abstractNumId w:val="71"/>
  </w:num>
  <w:num w:numId="72">
    <w:abstractNumId w:val="24"/>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0"/>
  </w:num>
  <w:num w:numId="75">
    <w:abstractNumId w:val="47"/>
  </w:num>
  <w:num w:numId="76">
    <w:abstractNumId w:val="90"/>
  </w:num>
  <w:num w:numId="77">
    <w:abstractNumId w:val="50"/>
  </w:num>
  <w:num w:numId="78">
    <w:abstractNumId w:val="58"/>
  </w:num>
  <w:num w:numId="79">
    <w:abstractNumId w:val="7"/>
  </w:num>
  <w:num w:numId="80">
    <w:abstractNumId w:val="67"/>
  </w:num>
  <w:num w:numId="81">
    <w:abstractNumId w:val="86"/>
  </w:num>
  <w:num w:numId="82">
    <w:abstractNumId w:val="59"/>
  </w:num>
  <w:num w:numId="83">
    <w:abstractNumId w:val="46"/>
  </w:num>
  <w:num w:numId="84">
    <w:abstractNumId w:val="17"/>
  </w:num>
  <w:num w:numId="85">
    <w:abstractNumId w:val="43"/>
  </w:num>
  <w:num w:numId="86">
    <w:abstractNumId w:val="83"/>
  </w:num>
  <w:num w:numId="87">
    <w:abstractNumId w:val="9"/>
  </w:num>
  <w:num w:numId="88">
    <w:abstractNumId w:val="87"/>
  </w:num>
  <w:num w:numId="89">
    <w:abstractNumId w:val="81"/>
  </w:num>
  <w:num w:numId="90">
    <w:abstractNumId w:val="8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2C66"/>
    <w:rsid w:val="000002B4"/>
    <w:rsid w:val="00000DE0"/>
    <w:rsid w:val="000013D8"/>
    <w:rsid w:val="0000155D"/>
    <w:rsid w:val="000021D6"/>
    <w:rsid w:val="00002858"/>
    <w:rsid w:val="00004321"/>
    <w:rsid w:val="0000458A"/>
    <w:rsid w:val="00006A9A"/>
    <w:rsid w:val="00007463"/>
    <w:rsid w:val="00011B95"/>
    <w:rsid w:val="00012744"/>
    <w:rsid w:val="000127CF"/>
    <w:rsid w:val="00012B16"/>
    <w:rsid w:val="00012C6D"/>
    <w:rsid w:val="000133E2"/>
    <w:rsid w:val="000154AB"/>
    <w:rsid w:val="000158EB"/>
    <w:rsid w:val="00015D58"/>
    <w:rsid w:val="00020F24"/>
    <w:rsid w:val="000216D9"/>
    <w:rsid w:val="00025022"/>
    <w:rsid w:val="0002554A"/>
    <w:rsid w:val="0002625E"/>
    <w:rsid w:val="00026A4C"/>
    <w:rsid w:val="00027AB5"/>
    <w:rsid w:val="00027B1C"/>
    <w:rsid w:val="0003116C"/>
    <w:rsid w:val="00035616"/>
    <w:rsid w:val="00035C05"/>
    <w:rsid w:val="000364A1"/>
    <w:rsid w:val="00036D1A"/>
    <w:rsid w:val="00040174"/>
    <w:rsid w:val="000402FF"/>
    <w:rsid w:val="0004089C"/>
    <w:rsid w:val="00040E84"/>
    <w:rsid w:val="00041F6F"/>
    <w:rsid w:val="000420D8"/>
    <w:rsid w:val="0004478F"/>
    <w:rsid w:val="00045FBC"/>
    <w:rsid w:val="00047F26"/>
    <w:rsid w:val="000504AD"/>
    <w:rsid w:val="00052FCB"/>
    <w:rsid w:val="000552B0"/>
    <w:rsid w:val="000554BF"/>
    <w:rsid w:val="0005726D"/>
    <w:rsid w:val="00060348"/>
    <w:rsid w:val="00060665"/>
    <w:rsid w:val="00060D2C"/>
    <w:rsid w:val="00060F4A"/>
    <w:rsid w:val="000618B7"/>
    <w:rsid w:val="000625BB"/>
    <w:rsid w:val="00064B43"/>
    <w:rsid w:val="00065C7C"/>
    <w:rsid w:val="000702AB"/>
    <w:rsid w:val="0007072D"/>
    <w:rsid w:val="00070C57"/>
    <w:rsid w:val="00071150"/>
    <w:rsid w:val="00071B72"/>
    <w:rsid w:val="00071D89"/>
    <w:rsid w:val="000726D2"/>
    <w:rsid w:val="00073ACB"/>
    <w:rsid w:val="000758A8"/>
    <w:rsid w:val="00075926"/>
    <w:rsid w:val="00075F93"/>
    <w:rsid w:val="000770EE"/>
    <w:rsid w:val="000775FC"/>
    <w:rsid w:val="0008001D"/>
    <w:rsid w:val="000804C0"/>
    <w:rsid w:val="000830F2"/>
    <w:rsid w:val="00086D29"/>
    <w:rsid w:val="00087035"/>
    <w:rsid w:val="0009051B"/>
    <w:rsid w:val="000923A1"/>
    <w:rsid w:val="00092734"/>
    <w:rsid w:val="00092F4F"/>
    <w:rsid w:val="000935BE"/>
    <w:rsid w:val="000946BE"/>
    <w:rsid w:val="0009497B"/>
    <w:rsid w:val="00096D38"/>
    <w:rsid w:val="000A07B9"/>
    <w:rsid w:val="000A1242"/>
    <w:rsid w:val="000A13A2"/>
    <w:rsid w:val="000A153E"/>
    <w:rsid w:val="000A280C"/>
    <w:rsid w:val="000A4564"/>
    <w:rsid w:val="000A4B52"/>
    <w:rsid w:val="000A5A9E"/>
    <w:rsid w:val="000A5BF6"/>
    <w:rsid w:val="000A5CCA"/>
    <w:rsid w:val="000A6FB0"/>
    <w:rsid w:val="000B0AB4"/>
    <w:rsid w:val="000B12F4"/>
    <w:rsid w:val="000B2C29"/>
    <w:rsid w:val="000B5151"/>
    <w:rsid w:val="000B5160"/>
    <w:rsid w:val="000B55ED"/>
    <w:rsid w:val="000B596D"/>
    <w:rsid w:val="000C2412"/>
    <w:rsid w:val="000C296E"/>
    <w:rsid w:val="000C2F35"/>
    <w:rsid w:val="000C31B8"/>
    <w:rsid w:val="000C455A"/>
    <w:rsid w:val="000C5A3F"/>
    <w:rsid w:val="000C618B"/>
    <w:rsid w:val="000C6667"/>
    <w:rsid w:val="000C7CDD"/>
    <w:rsid w:val="000D21A2"/>
    <w:rsid w:val="000D2632"/>
    <w:rsid w:val="000D3364"/>
    <w:rsid w:val="000D3792"/>
    <w:rsid w:val="000D565A"/>
    <w:rsid w:val="000E14B6"/>
    <w:rsid w:val="000E1D92"/>
    <w:rsid w:val="000E1EC8"/>
    <w:rsid w:val="000E1F8C"/>
    <w:rsid w:val="000E234D"/>
    <w:rsid w:val="000E44FF"/>
    <w:rsid w:val="000E466C"/>
    <w:rsid w:val="000E47E0"/>
    <w:rsid w:val="000E597D"/>
    <w:rsid w:val="000E65C3"/>
    <w:rsid w:val="000E780B"/>
    <w:rsid w:val="000E7B92"/>
    <w:rsid w:val="000F00B3"/>
    <w:rsid w:val="000F1794"/>
    <w:rsid w:val="000F36F5"/>
    <w:rsid w:val="000F3880"/>
    <w:rsid w:val="000F4945"/>
    <w:rsid w:val="000F693A"/>
    <w:rsid w:val="00100E33"/>
    <w:rsid w:val="0010403F"/>
    <w:rsid w:val="00104564"/>
    <w:rsid w:val="00106937"/>
    <w:rsid w:val="00107D9F"/>
    <w:rsid w:val="00110392"/>
    <w:rsid w:val="00110E59"/>
    <w:rsid w:val="001110C7"/>
    <w:rsid w:val="001111CE"/>
    <w:rsid w:val="001141B0"/>
    <w:rsid w:val="0011644C"/>
    <w:rsid w:val="00120A86"/>
    <w:rsid w:val="00123B0B"/>
    <w:rsid w:val="00124014"/>
    <w:rsid w:val="00125919"/>
    <w:rsid w:val="00126AC6"/>
    <w:rsid w:val="00126D66"/>
    <w:rsid w:val="00126E98"/>
    <w:rsid w:val="00127892"/>
    <w:rsid w:val="00130B24"/>
    <w:rsid w:val="0013321B"/>
    <w:rsid w:val="001378D5"/>
    <w:rsid w:val="00140BBF"/>
    <w:rsid w:val="00140C07"/>
    <w:rsid w:val="0014144A"/>
    <w:rsid w:val="0014249E"/>
    <w:rsid w:val="00144F91"/>
    <w:rsid w:val="00145C08"/>
    <w:rsid w:val="00146024"/>
    <w:rsid w:val="00146548"/>
    <w:rsid w:val="001467AA"/>
    <w:rsid w:val="00147583"/>
    <w:rsid w:val="00147CFE"/>
    <w:rsid w:val="001514B3"/>
    <w:rsid w:val="00152A07"/>
    <w:rsid w:val="00153601"/>
    <w:rsid w:val="00153EC3"/>
    <w:rsid w:val="00154471"/>
    <w:rsid w:val="00154692"/>
    <w:rsid w:val="0015489D"/>
    <w:rsid w:val="00154BF9"/>
    <w:rsid w:val="00155578"/>
    <w:rsid w:val="00155BAC"/>
    <w:rsid w:val="00155E32"/>
    <w:rsid w:val="00160675"/>
    <w:rsid w:val="00161584"/>
    <w:rsid w:val="0016205E"/>
    <w:rsid w:val="0016351C"/>
    <w:rsid w:val="001635DE"/>
    <w:rsid w:val="00163779"/>
    <w:rsid w:val="00164A41"/>
    <w:rsid w:val="00164DF9"/>
    <w:rsid w:val="00165A44"/>
    <w:rsid w:val="00165D6F"/>
    <w:rsid w:val="001665CD"/>
    <w:rsid w:val="00166813"/>
    <w:rsid w:val="00166F65"/>
    <w:rsid w:val="001673FD"/>
    <w:rsid w:val="00172CEA"/>
    <w:rsid w:val="00173541"/>
    <w:rsid w:val="00173FE1"/>
    <w:rsid w:val="001740EC"/>
    <w:rsid w:val="00174F3E"/>
    <w:rsid w:val="00175471"/>
    <w:rsid w:val="00176214"/>
    <w:rsid w:val="00176ECC"/>
    <w:rsid w:val="00177917"/>
    <w:rsid w:val="001810EA"/>
    <w:rsid w:val="001818C5"/>
    <w:rsid w:val="00183CB9"/>
    <w:rsid w:val="00183D66"/>
    <w:rsid w:val="00183FCA"/>
    <w:rsid w:val="001851AA"/>
    <w:rsid w:val="0018594D"/>
    <w:rsid w:val="00186438"/>
    <w:rsid w:val="001875CC"/>
    <w:rsid w:val="00187F95"/>
    <w:rsid w:val="00192130"/>
    <w:rsid w:val="0019263B"/>
    <w:rsid w:val="0019287B"/>
    <w:rsid w:val="00195FD5"/>
    <w:rsid w:val="00197B6D"/>
    <w:rsid w:val="001A18CA"/>
    <w:rsid w:val="001A1DE2"/>
    <w:rsid w:val="001A2D81"/>
    <w:rsid w:val="001A305C"/>
    <w:rsid w:val="001A372A"/>
    <w:rsid w:val="001A4862"/>
    <w:rsid w:val="001A62CD"/>
    <w:rsid w:val="001A6E78"/>
    <w:rsid w:val="001A7773"/>
    <w:rsid w:val="001A7A4D"/>
    <w:rsid w:val="001B065F"/>
    <w:rsid w:val="001B3AC0"/>
    <w:rsid w:val="001B614D"/>
    <w:rsid w:val="001B6CB4"/>
    <w:rsid w:val="001B783F"/>
    <w:rsid w:val="001B7E3D"/>
    <w:rsid w:val="001C0347"/>
    <w:rsid w:val="001C03CB"/>
    <w:rsid w:val="001C1883"/>
    <w:rsid w:val="001C241F"/>
    <w:rsid w:val="001C3E11"/>
    <w:rsid w:val="001C55EE"/>
    <w:rsid w:val="001C5C3B"/>
    <w:rsid w:val="001D056B"/>
    <w:rsid w:val="001D20D3"/>
    <w:rsid w:val="001D4487"/>
    <w:rsid w:val="001D467D"/>
    <w:rsid w:val="001D4B07"/>
    <w:rsid w:val="001D4C01"/>
    <w:rsid w:val="001D5AAF"/>
    <w:rsid w:val="001D6E40"/>
    <w:rsid w:val="001E17F9"/>
    <w:rsid w:val="001E1A09"/>
    <w:rsid w:val="001E1E60"/>
    <w:rsid w:val="001E2031"/>
    <w:rsid w:val="001E2250"/>
    <w:rsid w:val="001E2C52"/>
    <w:rsid w:val="001E2DE0"/>
    <w:rsid w:val="001E2F4F"/>
    <w:rsid w:val="001E6371"/>
    <w:rsid w:val="001E6EA0"/>
    <w:rsid w:val="001E71BF"/>
    <w:rsid w:val="001E757B"/>
    <w:rsid w:val="001E7AFF"/>
    <w:rsid w:val="001E7F86"/>
    <w:rsid w:val="001F0490"/>
    <w:rsid w:val="001F256D"/>
    <w:rsid w:val="001F30A0"/>
    <w:rsid w:val="001F3152"/>
    <w:rsid w:val="001F3EED"/>
    <w:rsid w:val="001F5FD5"/>
    <w:rsid w:val="002013CD"/>
    <w:rsid w:val="002018DF"/>
    <w:rsid w:val="00202551"/>
    <w:rsid w:val="00202D71"/>
    <w:rsid w:val="002035C4"/>
    <w:rsid w:val="00203764"/>
    <w:rsid w:val="00203A2C"/>
    <w:rsid w:val="00205CB7"/>
    <w:rsid w:val="00206B0E"/>
    <w:rsid w:val="00206FAA"/>
    <w:rsid w:val="00210A98"/>
    <w:rsid w:val="0021154F"/>
    <w:rsid w:val="00212C2D"/>
    <w:rsid w:val="00212F57"/>
    <w:rsid w:val="0021433D"/>
    <w:rsid w:val="002147EB"/>
    <w:rsid w:val="00214B78"/>
    <w:rsid w:val="002177CE"/>
    <w:rsid w:val="0022191C"/>
    <w:rsid w:val="00221DF6"/>
    <w:rsid w:val="002246EC"/>
    <w:rsid w:val="002252EE"/>
    <w:rsid w:val="002254B7"/>
    <w:rsid w:val="0022652A"/>
    <w:rsid w:val="00230134"/>
    <w:rsid w:val="00231079"/>
    <w:rsid w:val="00231310"/>
    <w:rsid w:val="0023255A"/>
    <w:rsid w:val="002336A8"/>
    <w:rsid w:val="00234233"/>
    <w:rsid w:val="00235881"/>
    <w:rsid w:val="00236654"/>
    <w:rsid w:val="00237D17"/>
    <w:rsid w:val="00237F7B"/>
    <w:rsid w:val="0024141F"/>
    <w:rsid w:val="002436F0"/>
    <w:rsid w:val="00243DFF"/>
    <w:rsid w:val="0024470B"/>
    <w:rsid w:val="002448D4"/>
    <w:rsid w:val="00245C51"/>
    <w:rsid w:val="00246E4F"/>
    <w:rsid w:val="002472AB"/>
    <w:rsid w:val="00247569"/>
    <w:rsid w:val="0025006F"/>
    <w:rsid w:val="002507B6"/>
    <w:rsid w:val="00250BFB"/>
    <w:rsid w:val="00250E56"/>
    <w:rsid w:val="00253050"/>
    <w:rsid w:val="002535C6"/>
    <w:rsid w:val="00253D91"/>
    <w:rsid w:val="00254B55"/>
    <w:rsid w:val="00257D37"/>
    <w:rsid w:val="00261663"/>
    <w:rsid w:val="00261C05"/>
    <w:rsid w:val="00261F6F"/>
    <w:rsid w:val="00264137"/>
    <w:rsid w:val="002649C7"/>
    <w:rsid w:val="00265314"/>
    <w:rsid w:val="002666F6"/>
    <w:rsid w:val="0027083B"/>
    <w:rsid w:val="00270F8A"/>
    <w:rsid w:val="00271BA2"/>
    <w:rsid w:val="00271E55"/>
    <w:rsid w:val="00272573"/>
    <w:rsid w:val="0027270A"/>
    <w:rsid w:val="00273F1B"/>
    <w:rsid w:val="0027556B"/>
    <w:rsid w:val="00275809"/>
    <w:rsid w:val="00277AEE"/>
    <w:rsid w:val="002808C4"/>
    <w:rsid w:val="00281B5B"/>
    <w:rsid w:val="002820E8"/>
    <w:rsid w:val="00282B05"/>
    <w:rsid w:val="00282E0B"/>
    <w:rsid w:val="00283FE1"/>
    <w:rsid w:val="002858F7"/>
    <w:rsid w:val="002864EB"/>
    <w:rsid w:val="002867F2"/>
    <w:rsid w:val="00286951"/>
    <w:rsid w:val="00286FA1"/>
    <w:rsid w:val="00291812"/>
    <w:rsid w:val="002919DA"/>
    <w:rsid w:val="00293CB9"/>
    <w:rsid w:val="00294C52"/>
    <w:rsid w:val="00295081"/>
    <w:rsid w:val="00295520"/>
    <w:rsid w:val="00296106"/>
    <w:rsid w:val="002972A1"/>
    <w:rsid w:val="00297DBC"/>
    <w:rsid w:val="002A0690"/>
    <w:rsid w:val="002A07E8"/>
    <w:rsid w:val="002A0870"/>
    <w:rsid w:val="002A28E5"/>
    <w:rsid w:val="002A2A0C"/>
    <w:rsid w:val="002A3466"/>
    <w:rsid w:val="002A6CBB"/>
    <w:rsid w:val="002A77AF"/>
    <w:rsid w:val="002A78ED"/>
    <w:rsid w:val="002B0187"/>
    <w:rsid w:val="002B0D49"/>
    <w:rsid w:val="002B104F"/>
    <w:rsid w:val="002B1C82"/>
    <w:rsid w:val="002B3AC9"/>
    <w:rsid w:val="002B456B"/>
    <w:rsid w:val="002B6310"/>
    <w:rsid w:val="002B660F"/>
    <w:rsid w:val="002B710A"/>
    <w:rsid w:val="002B720C"/>
    <w:rsid w:val="002B7B7E"/>
    <w:rsid w:val="002B7BAF"/>
    <w:rsid w:val="002B7BCA"/>
    <w:rsid w:val="002C03FB"/>
    <w:rsid w:val="002C17C1"/>
    <w:rsid w:val="002C27F8"/>
    <w:rsid w:val="002C2897"/>
    <w:rsid w:val="002C2DC1"/>
    <w:rsid w:val="002C2FFC"/>
    <w:rsid w:val="002C4177"/>
    <w:rsid w:val="002C4433"/>
    <w:rsid w:val="002C48C4"/>
    <w:rsid w:val="002C4C14"/>
    <w:rsid w:val="002C4F93"/>
    <w:rsid w:val="002C542C"/>
    <w:rsid w:val="002C6223"/>
    <w:rsid w:val="002C62A9"/>
    <w:rsid w:val="002C63A0"/>
    <w:rsid w:val="002C66FD"/>
    <w:rsid w:val="002C7596"/>
    <w:rsid w:val="002D1BA2"/>
    <w:rsid w:val="002D1E29"/>
    <w:rsid w:val="002D4CD7"/>
    <w:rsid w:val="002D4EE0"/>
    <w:rsid w:val="002D5031"/>
    <w:rsid w:val="002D7A73"/>
    <w:rsid w:val="002E0F1D"/>
    <w:rsid w:val="002E19F4"/>
    <w:rsid w:val="002E462A"/>
    <w:rsid w:val="002E5B22"/>
    <w:rsid w:val="002E5E51"/>
    <w:rsid w:val="002E6F0A"/>
    <w:rsid w:val="002F0594"/>
    <w:rsid w:val="002F0A79"/>
    <w:rsid w:val="002F2A89"/>
    <w:rsid w:val="002F2B26"/>
    <w:rsid w:val="002F3AA8"/>
    <w:rsid w:val="002F42E5"/>
    <w:rsid w:val="002F4DBF"/>
    <w:rsid w:val="002F697D"/>
    <w:rsid w:val="002F7ED6"/>
    <w:rsid w:val="0030038A"/>
    <w:rsid w:val="003008E5"/>
    <w:rsid w:val="003025B3"/>
    <w:rsid w:val="0030372E"/>
    <w:rsid w:val="00303A34"/>
    <w:rsid w:val="0030537C"/>
    <w:rsid w:val="003067CD"/>
    <w:rsid w:val="003103B5"/>
    <w:rsid w:val="00311BE0"/>
    <w:rsid w:val="00311DAC"/>
    <w:rsid w:val="00313A32"/>
    <w:rsid w:val="0031498F"/>
    <w:rsid w:val="003154F8"/>
    <w:rsid w:val="00315644"/>
    <w:rsid w:val="003171C6"/>
    <w:rsid w:val="003176B9"/>
    <w:rsid w:val="00317DDE"/>
    <w:rsid w:val="00321510"/>
    <w:rsid w:val="00322195"/>
    <w:rsid w:val="00323DA4"/>
    <w:rsid w:val="003242E9"/>
    <w:rsid w:val="00324DE2"/>
    <w:rsid w:val="0032528A"/>
    <w:rsid w:val="00325337"/>
    <w:rsid w:val="0032661B"/>
    <w:rsid w:val="00327277"/>
    <w:rsid w:val="00327D8C"/>
    <w:rsid w:val="0033090B"/>
    <w:rsid w:val="003327E8"/>
    <w:rsid w:val="003351E8"/>
    <w:rsid w:val="003354D3"/>
    <w:rsid w:val="00335AFC"/>
    <w:rsid w:val="00341F99"/>
    <w:rsid w:val="00341FD7"/>
    <w:rsid w:val="00342B14"/>
    <w:rsid w:val="00345AF2"/>
    <w:rsid w:val="003464A3"/>
    <w:rsid w:val="00347003"/>
    <w:rsid w:val="00347945"/>
    <w:rsid w:val="00347983"/>
    <w:rsid w:val="003509F2"/>
    <w:rsid w:val="00350D7D"/>
    <w:rsid w:val="0035137F"/>
    <w:rsid w:val="00351F2B"/>
    <w:rsid w:val="0035294C"/>
    <w:rsid w:val="003532AD"/>
    <w:rsid w:val="00353874"/>
    <w:rsid w:val="00353AB9"/>
    <w:rsid w:val="00353D01"/>
    <w:rsid w:val="0035406D"/>
    <w:rsid w:val="003542E7"/>
    <w:rsid w:val="00355CBE"/>
    <w:rsid w:val="00355D4F"/>
    <w:rsid w:val="00356459"/>
    <w:rsid w:val="00356C71"/>
    <w:rsid w:val="00357796"/>
    <w:rsid w:val="00361314"/>
    <w:rsid w:val="00361CE0"/>
    <w:rsid w:val="00362C67"/>
    <w:rsid w:val="00362EE0"/>
    <w:rsid w:val="0036663C"/>
    <w:rsid w:val="003701C1"/>
    <w:rsid w:val="003705A7"/>
    <w:rsid w:val="00370CF9"/>
    <w:rsid w:val="003716FE"/>
    <w:rsid w:val="00371CB5"/>
    <w:rsid w:val="003722F6"/>
    <w:rsid w:val="00373430"/>
    <w:rsid w:val="00374677"/>
    <w:rsid w:val="00374DBD"/>
    <w:rsid w:val="00375E8C"/>
    <w:rsid w:val="003767B6"/>
    <w:rsid w:val="00377854"/>
    <w:rsid w:val="0038158F"/>
    <w:rsid w:val="00381675"/>
    <w:rsid w:val="00382309"/>
    <w:rsid w:val="00382A15"/>
    <w:rsid w:val="003842E2"/>
    <w:rsid w:val="0038601A"/>
    <w:rsid w:val="00386784"/>
    <w:rsid w:val="00386C18"/>
    <w:rsid w:val="0039069F"/>
    <w:rsid w:val="00390ABB"/>
    <w:rsid w:val="00390C4C"/>
    <w:rsid w:val="003910C5"/>
    <w:rsid w:val="00391BDD"/>
    <w:rsid w:val="00391E20"/>
    <w:rsid w:val="0039264A"/>
    <w:rsid w:val="003935B0"/>
    <w:rsid w:val="003943AA"/>
    <w:rsid w:val="00394AEC"/>
    <w:rsid w:val="00394FFC"/>
    <w:rsid w:val="00395AC8"/>
    <w:rsid w:val="003966E9"/>
    <w:rsid w:val="00397471"/>
    <w:rsid w:val="0039776C"/>
    <w:rsid w:val="003A06AB"/>
    <w:rsid w:val="003A0B28"/>
    <w:rsid w:val="003A0FB6"/>
    <w:rsid w:val="003A1F6D"/>
    <w:rsid w:val="003A2BE5"/>
    <w:rsid w:val="003A407A"/>
    <w:rsid w:val="003A771C"/>
    <w:rsid w:val="003A7F86"/>
    <w:rsid w:val="003B00A5"/>
    <w:rsid w:val="003B03BA"/>
    <w:rsid w:val="003B0528"/>
    <w:rsid w:val="003B0A59"/>
    <w:rsid w:val="003B2F29"/>
    <w:rsid w:val="003B450C"/>
    <w:rsid w:val="003B7042"/>
    <w:rsid w:val="003B755D"/>
    <w:rsid w:val="003C025D"/>
    <w:rsid w:val="003C0D0A"/>
    <w:rsid w:val="003C378A"/>
    <w:rsid w:val="003C3EE0"/>
    <w:rsid w:val="003C53AF"/>
    <w:rsid w:val="003C6371"/>
    <w:rsid w:val="003C67EA"/>
    <w:rsid w:val="003D0827"/>
    <w:rsid w:val="003D123D"/>
    <w:rsid w:val="003D21C8"/>
    <w:rsid w:val="003D2FC1"/>
    <w:rsid w:val="003D42CA"/>
    <w:rsid w:val="003D52E5"/>
    <w:rsid w:val="003D636E"/>
    <w:rsid w:val="003D68E9"/>
    <w:rsid w:val="003E1E89"/>
    <w:rsid w:val="003E3C60"/>
    <w:rsid w:val="003E46BB"/>
    <w:rsid w:val="003E6421"/>
    <w:rsid w:val="003E6BA3"/>
    <w:rsid w:val="003E6FF4"/>
    <w:rsid w:val="003F0B46"/>
    <w:rsid w:val="003F10EA"/>
    <w:rsid w:val="003F130E"/>
    <w:rsid w:val="003F2868"/>
    <w:rsid w:val="003F2F9B"/>
    <w:rsid w:val="003F366F"/>
    <w:rsid w:val="003F4A72"/>
    <w:rsid w:val="003F4FC5"/>
    <w:rsid w:val="003F512F"/>
    <w:rsid w:val="003F5F21"/>
    <w:rsid w:val="003F7649"/>
    <w:rsid w:val="003F76C4"/>
    <w:rsid w:val="003F7CEC"/>
    <w:rsid w:val="00401767"/>
    <w:rsid w:val="0040187D"/>
    <w:rsid w:val="004026D9"/>
    <w:rsid w:val="004027AE"/>
    <w:rsid w:val="0040300A"/>
    <w:rsid w:val="00403C6C"/>
    <w:rsid w:val="00405CE5"/>
    <w:rsid w:val="00405D09"/>
    <w:rsid w:val="004068C5"/>
    <w:rsid w:val="0040697A"/>
    <w:rsid w:val="00411A89"/>
    <w:rsid w:val="00413318"/>
    <w:rsid w:val="0041611C"/>
    <w:rsid w:val="004162D0"/>
    <w:rsid w:val="004163C5"/>
    <w:rsid w:val="00416E17"/>
    <w:rsid w:val="0042062E"/>
    <w:rsid w:val="004223C2"/>
    <w:rsid w:val="004231A4"/>
    <w:rsid w:val="00423FFA"/>
    <w:rsid w:val="004240C1"/>
    <w:rsid w:val="0042414D"/>
    <w:rsid w:val="0042463C"/>
    <w:rsid w:val="00425061"/>
    <w:rsid w:val="004250D1"/>
    <w:rsid w:val="004256D4"/>
    <w:rsid w:val="0042748E"/>
    <w:rsid w:val="0043076C"/>
    <w:rsid w:val="004314D8"/>
    <w:rsid w:val="0043168C"/>
    <w:rsid w:val="00432AA4"/>
    <w:rsid w:val="004334CD"/>
    <w:rsid w:val="00434810"/>
    <w:rsid w:val="00434CAB"/>
    <w:rsid w:val="00434D86"/>
    <w:rsid w:val="0043561F"/>
    <w:rsid w:val="00435721"/>
    <w:rsid w:val="004361A8"/>
    <w:rsid w:val="00436BA3"/>
    <w:rsid w:val="004405F2"/>
    <w:rsid w:val="004436A6"/>
    <w:rsid w:val="004438B2"/>
    <w:rsid w:val="004455DD"/>
    <w:rsid w:val="00445848"/>
    <w:rsid w:val="00446DC9"/>
    <w:rsid w:val="00447F24"/>
    <w:rsid w:val="00450FCE"/>
    <w:rsid w:val="00451684"/>
    <w:rsid w:val="00452E8F"/>
    <w:rsid w:val="00453134"/>
    <w:rsid w:val="004543E2"/>
    <w:rsid w:val="00454FC8"/>
    <w:rsid w:val="004565FD"/>
    <w:rsid w:val="00456DB7"/>
    <w:rsid w:val="00457A68"/>
    <w:rsid w:val="00457E71"/>
    <w:rsid w:val="0046003F"/>
    <w:rsid w:val="00460421"/>
    <w:rsid w:val="00461821"/>
    <w:rsid w:val="004627E4"/>
    <w:rsid w:val="00462CE0"/>
    <w:rsid w:val="00462D09"/>
    <w:rsid w:val="00463D39"/>
    <w:rsid w:val="004642E1"/>
    <w:rsid w:val="00464DEA"/>
    <w:rsid w:val="00465C67"/>
    <w:rsid w:val="00465CDD"/>
    <w:rsid w:val="0046750D"/>
    <w:rsid w:val="004679B5"/>
    <w:rsid w:val="00470CA9"/>
    <w:rsid w:val="0047251B"/>
    <w:rsid w:val="004726E0"/>
    <w:rsid w:val="00472D78"/>
    <w:rsid w:val="00473920"/>
    <w:rsid w:val="00474A5E"/>
    <w:rsid w:val="00475014"/>
    <w:rsid w:val="00475199"/>
    <w:rsid w:val="004776F6"/>
    <w:rsid w:val="00477CD8"/>
    <w:rsid w:val="004800DF"/>
    <w:rsid w:val="00480669"/>
    <w:rsid w:val="00481741"/>
    <w:rsid w:val="00482093"/>
    <w:rsid w:val="0048266E"/>
    <w:rsid w:val="00482A9B"/>
    <w:rsid w:val="00482F17"/>
    <w:rsid w:val="00483387"/>
    <w:rsid w:val="00483B9F"/>
    <w:rsid w:val="00483E3A"/>
    <w:rsid w:val="004840DF"/>
    <w:rsid w:val="00485479"/>
    <w:rsid w:val="0048602C"/>
    <w:rsid w:val="004918F1"/>
    <w:rsid w:val="00493D11"/>
    <w:rsid w:val="00493FBA"/>
    <w:rsid w:val="004940D2"/>
    <w:rsid w:val="00495BFA"/>
    <w:rsid w:val="00495D55"/>
    <w:rsid w:val="00497244"/>
    <w:rsid w:val="00497FAC"/>
    <w:rsid w:val="004A0D53"/>
    <w:rsid w:val="004A25C3"/>
    <w:rsid w:val="004A4275"/>
    <w:rsid w:val="004A473A"/>
    <w:rsid w:val="004A58C3"/>
    <w:rsid w:val="004B0DE6"/>
    <w:rsid w:val="004B35D5"/>
    <w:rsid w:val="004B3C9C"/>
    <w:rsid w:val="004B4546"/>
    <w:rsid w:val="004B557B"/>
    <w:rsid w:val="004B6097"/>
    <w:rsid w:val="004B7BDE"/>
    <w:rsid w:val="004C0412"/>
    <w:rsid w:val="004C09AD"/>
    <w:rsid w:val="004C4607"/>
    <w:rsid w:val="004C4C3B"/>
    <w:rsid w:val="004C54AE"/>
    <w:rsid w:val="004C67E6"/>
    <w:rsid w:val="004C7210"/>
    <w:rsid w:val="004D15C6"/>
    <w:rsid w:val="004D1695"/>
    <w:rsid w:val="004D4CD8"/>
    <w:rsid w:val="004D53BA"/>
    <w:rsid w:val="004D5A9A"/>
    <w:rsid w:val="004D683A"/>
    <w:rsid w:val="004D7DAA"/>
    <w:rsid w:val="004E0454"/>
    <w:rsid w:val="004E045A"/>
    <w:rsid w:val="004E1053"/>
    <w:rsid w:val="004E10F1"/>
    <w:rsid w:val="004E115E"/>
    <w:rsid w:val="004E19B9"/>
    <w:rsid w:val="004E3DEE"/>
    <w:rsid w:val="004E42A5"/>
    <w:rsid w:val="004E53FE"/>
    <w:rsid w:val="004E568D"/>
    <w:rsid w:val="004E68A8"/>
    <w:rsid w:val="004E6B38"/>
    <w:rsid w:val="004E6BD7"/>
    <w:rsid w:val="004F0887"/>
    <w:rsid w:val="004F134E"/>
    <w:rsid w:val="004F2406"/>
    <w:rsid w:val="004F2EAD"/>
    <w:rsid w:val="004F37FB"/>
    <w:rsid w:val="004F436C"/>
    <w:rsid w:val="004F52FE"/>
    <w:rsid w:val="004F57F5"/>
    <w:rsid w:val="004F59A0"/>
    <w:rsid w:val="004F5ED5"/>
    <w:rsid w:val="004F646C"/>
    <w:rsid w:val="004F72D0"/>
    <w:rsid w:val="004F779F"/>
    <w:rsid w:val="005000BC"/>
    <w:rsid w:val="0050028F"/>
    <w:rsid w:val="00500671"/>
    <w:rsid w:val="005017F8"/>
    <w:rsid w:val="00502866"/>
    <w:rsid w:val="0050332E"/>
    <w:rsid w:val="00503EFF"/>
    <w:rsid w:val="005100BE"/>
    <w:rsid w:val="00510450"/>
    <w:rsid w:val="005106AD"/>
    <w:rsid w:val="0051362F"/>
    <w:rsid w:val="00516708"/>
    <w:rsid w:val="00516DBF"/>
    <w:rsid w:val="005211EE"/>
    <w:rsid w:val="00523356"/>
    <w:rsid w:val="00523F03"/>
    <w:rsid w:val="0052483C"/>
    <w:rsid w:val="00525204"/>
    <w:rsid w:val="00527325"/>
    <w:rsid w:val="0053108D"/>
    <w:rsid w:val="00532340"/>
    <w:rsid w:val="005324F0"/>
    <w:rsid w:val="00532DBA"/>
    <w:rsid w:val="00534C84"/>
    <w:rsid w:val="00534D25"/>
    <w:rsid w:val="0054109A"/>
    <w:rsid w:val="00541212"/>
    <w:rsid w:val="00541488"/>
    <w:rsid w:val="005417D0"/>
    <w:rsid w:val="00542F9B"/>
    <w:rsid w:val="005431BF"/>
    <w:rsid w:val="00543AD8"/>
    <w:rsid w:val="00545156"/>
    <w:rsid w:val="00550A00"/>
    <w:rsid w:val="00550C5B"/>
    <w:rsid w:val="0055152B"/>
    <w:rsid w:val="0055187C"/>
    <w:rsid w:val="00551C9D"/>
    <w:rsid w:val="005523ED"/>
    <w:rsid w:val="00552999"/>
    <w:rsid w:val="00553344"/>
    <w:rsid w:val="00553551"/>
    <w:rsid w:val="00553E46"/>
    <w:rsid w:val="0055797C"/>
    <w:rsid w:val="00560422"/>
    <w:rsid w:val="00560D48"/>
    <w:rsid w:val="005637FD"/>
    <w:rsid w:val="00563867"/>
    <w:rsid w:val="0056435D"/>
    <w:rsid w:val="00564A3E"/>
    <w:rsid w:val="00565A5C"/>
    <w:rsid w:val="00565D29"/>
    <w:rsid w:val="00566993"/>
    <w:rsid w:val="005672E5"/>
    <w:rsid w:val="00571623"/>
    <w:rsid w:val="00573696"/>
    <w:rsid w:val="005736AF"/>
    <w:rsid w:val="005736C1"/>
    <w:rsid w:val="00575607"/>
    <w:rsid w:val="00575BBA"/>
    <w:rsid w:val="0057783A"/>
    <w:rsid w:val="0058077F"/>
    <w:rsid w:val="00582F64"/>
    <w:rsid w:val="005841B6"/>
    <w:rsid w:val="005906C3"/>
    <w:rsid w:val="0059176B"/>
    <w:rsid w:val="0059186B"/>
    <w:rsid w:val="00591D80"/>
    <w:rsid w:val="00592F77"/>
    <w:rsid w:val="00594014"/>
    <w:rsid w:val="00594997"/>
    <w:rsid w:val="0059655D"/>
    <w:rsid w:val="005A1312"/>
    <w:rsid w:val="005A24CE"/>
    <w:rsid w:val="005A29D9"/>
    <w:rsid w:val="005A2B03"/>
    <w:rsid w:val="005A2D23"/>
    <w:rsid w:val="005A3655"/>
    <w:rsid w:val="005A67EA"/>
    <w:rsid w:val="005A78F2"/>
    <w:rsid w:val="005A7B2A"/>
    <w:rsid w:val="005B0C15"/>
    <w:rsid w:val="005B381C"/>
    <w:rsid w:val="005B3F91"/>
    <w:rsid w:val="005B66D9"/>
    <w:rsid w:val="005C16E8"/>
    <w:rsid w:val="005C17E8"/>
    <w:rsid w:val="005C1A5B"/>
    <w:rsid w:val="005C2C6A"/>
    <w:rsid w:val="005C5380"/>
    <w:rsid w:val="005C76B7"/>
    <w:rsid w:val="005D18F2"/>
    <w:rsid w:val="005D2055"/>
    <w:rsid w:val="005D2073"/>
    <w:rsid w:val="005D20B8"/>
    <w:rsid w:val="005D28D3"/>
    <w:rsid w:val="005D29E2"/>
    <w:rsid w:val="005D3027"/>
    <w:rsid w:val="005D3179"/>
    <w:rsid w:val="005D322B"/>
    <w:rsid w:val="005D43C1"/>
    <w:rsid w:val="005D4664"/>
    <w:rsid w:val="005D594D"/>
    <w:rsid w:val="005D5E68"/>
    <w:rsid w:val="005D6E41"/>
    <w:rsid w:val="005D7D0C"/>
    <w:rsid w:val="005E04B2"/>
    <w:rsid w:val="005E256C"/>
    <w:rsid w:val="005E447D"/>
    <w:rsid w:val="005E4DF9"/>
    <w:rsid w:val="005E4EBB"/>
    <w:rsid w:val="005E5439"/>
    <w:rsid w:val="005E6B8E"/>
    <w:rsid w:val="005E72D0"/>
    <w:rsid w:val="005F4273"/>
    <w:rsid w:val="005F4EEB"/>
    <w:rsid w:val="005F6A32"/>
    <w:rsid w:val="005F6ACF"/>
    <w:rsid w:val="005F7528"/>
    <w:rsid w:val="005F7DE7"/>
    <w:rsid w:val="00600D44"/>
    <w:rsid w:val="00602D29"/>
    <w:rsid w:val="0060494C"/>
    <w:rsid w:val="00605153"/>
    <w:rsid w:val="00605FD7"/>
    <w:rsid w:val="006113C9"/>
    <w:rsid w:val="0061283E"/>
    <w:rsid w:val="00620AA7"/>
    <w:rsid w:val="00620FA3"/>
    <w:rsid w:val="00621332"/>
    <w:rsid w:val="0062204E"/>
    <w:rsid w:val="00622932"/>
    <w:rsid w:val="00622C66"/>
    <w:rsid w:val="00623F82"/>
    <w:rsid w:val="00625112"/>
    <w:rsid w:val="00625408"/>
    <w:rsid w:val="006258E2"/>
    <w:rsid w:val="006271A4"/>
    <w:rsid w:val="00630372"/>
    <w:rsid w:val="00630747"/>
    <w:rsid w:val="006308F6"/>
    <w:rsid w:val="006318BD"/>
    <w:rsid w:val="00631D25"/>
    <w:rsid w:val="00632F2B"/>
    <w:rsid w:val="0063400D"/>
    <w:rsid w:val="006340B6"/>
    <w:rsid w:val="0063415D"/>
    <w:rsid w:val="00634F5F"/>
    <w:rsid w:val="00635755"/>
    <w:rsid w:val="00635F38"/>
    <w:rsid w:val="00636913"/>
    <w:rsid w:val="00637AE6"/>
    <w:rsid w:val="006404C5"/>
    <w:rsid w:val="00640893"/>
    <w:rsid w:val="00641B89"/>
    <w:rsid w:val="00642DC5"/>
    <w:rsid w:val="006432DA"/>
    <w:rsid w:val="0064433F"/>
    <w:rsid w:val="00644A01"/>
    <w:rsid w:val="00647278"/>
    <w:rsid w:val="00647372"/>
    <w:rsid w:val="00647692"/>
    <w:rsid w:val="00652A70"/>
    <w:rsid w:val="006532BB"/>
    <w:rsid w:val="00654406"/>
    <w:rsid w:val="0065528D"/>
    <w:rsid w:val="0065627E"/>
    <w:rsid w:val="0065680D"/>
    <w:rsid w:val="00656A4F"/>
    <w:rsid w:val="00656C72"/>
    <w:rsid w:val="00656D47"/>
    <w:rsid w:val="00660756"/>
    <w:rsid w:val="0066086D"/>
    <w:rsid w:val="00663887"/>
    <w:rsid w:val="00663939"/>
    <w:rsid w:val="00664A76"/>
    <w:rsid w:val="0066586A"/>
    <w:rsid w:val="00670C61"/>
    <w:rsid w:val="006722A7"/>
    <w:rsid w:val="00672663"/>
    <w:rsid w:val="006733EB"/>
    <w:rsid w:val="00673448"/>
    <w:rsid w:val="00675840"/>
    <w:rsid w:val="006765EE"/>
    <w:rsid w:val="0068043B"/>
    <w:rsid w:val="006822C0"/>
    <w:rsid w:val="006823FE"/>
    <w:rsid w:val="00682BE3"/>
    <w:rsid w:val="00683E07"/>
    <w:rsid w:val="00685590"/>
    <w:rsid w:val="00686B56"/>
    <w:rsid w:val="0068705F"/>
    <w:rsid w:val="0068716F"/>
    <w:rsid w:val="00687AE1"/>
    <w:rsid w:val="006902C8"/>
    <w:rsid w:val="006903BE"/>
    <w:rsid w:val="006921F7"/>
    <w:rsid w:val="00693D46"/>
    <w:rsid w:val="00694265"/>
    <w:rsid w:val="006953B4"/>
    <w:rsid w:val="00695FF5"/>
    <w:rsid w:val="00696383"/>
    <w:rsid w:val="00696698"/>
    <w:rsid w:val="00697F1B"/>
    <w:rsid w:val="006A0A76"/>
    <w:rsid w:val="006A0B81"/>
    <w:rsid w:val="006A1978"/>
    <w:rsid w:val="006A1C32"/>
    <w:rsid w:val="006A1FFD"/>
    <w:rsid w:val="006A2298"/>
    <w:rsid w:val="006A360E"/>
    <w:rsid w:val="006A3E0B"/>
    <w:rsid w:val="006A450E"/>
    <w:rsid w:val="006A5A88"/>
    <w:rsid w:val="006A6BAF"/>
    <w:rsid w:val="006A71A1"/>
    <w:rsid w:val="006A7BF8"/>
    <w:rsid w:val="006B0998"/>
    <w:rsid w:val="006B1467"/>
    <w:rsid w:val="006B15D6"/>
    <w:rsid w:val="006B1DFC"/>
    <w:rsid w:val="006B1DFF"/>
    <w:rsid w:val="006B28E6"/>
    <w:rsid w:val="006B381B"/>
    <w:rsid w:val="006B416A"/>
    <w:rsid w:val="006B47DF"/>
    <w:rsid w:val="006B5515"/>
    <w:rsid w:val="006B7856"/>
    <w:rsid w:val="006C0433"/>
    <w:rsid w:val="006C0EB0"/>
    <w:rsid w:val="006C10E6"/>
    <w:rsid w:val="006C1237"/>
    <w:rsid w:val="006C283F"/>
    <w:rsid w:val="006C2C8E"/>
    <w:rsid w:val="006C4290"/>
    <w:rsid w:val="006C44B5"/>
    <w:rsid w:val="006C595E"/>
    <w:rsid w:val="006C634D"/>
    <w:rsid w:val="006C6C56"/>
    <w:rsid w:val="006C6CDD"/>
    <w:rsid w:val="006C78C4"/>
    <w:rsid w:val="006D2A9B"/>
    <w:rsid w:val="006D3C10"/>
    <w:rsid w:val="006D41B6"/>
    <w:rsid w:val="006D493C"/>
    <w:rsid w:val="006D506C"/>
    <w:rsid w:val="006D5E68"/>
    <w:rsid w:val="006D65E2"/>
    <w:rsid w:val="006D7439"/>
    <w:rsid w:val="006D77EE"/>
    <w:rsid w:val="006E0979"/>
    <w:rsid w:val="006E2612"/>
    <w:rsid w:val="006E4117"/>
    <w:rsid w:val="006E4358"/>
    <w:rsid w:val="006E53B5"/>
    <w:rsid w:val="006E5BCA"/>
    <w:rsid w:val="006E5E7D"/>
    <w:rsid w:val="006E7103"/>
    <w:rsid w:val="006F0FD5"/>
    <w:rsid w:val="006F11A5"/>
    <w:rsid w:val="006F2536"/>
    <w:rsid w:val="006F2AD4"/>
    <w:rsid w:val="006F438E"/>
    <w:rsid w:val="006F485E"/>
    <w:rsid w:val="006F52EB"/>
    <w:rsid w:val="006F67C7"/>
    <w:rsid w:val="006F788A"/>
    <w:rsid w:val="0070044C"/>
    <w:rsid w:val="00701133"/>
    <w:rsid w:val="007019EB"/>
    <w:rsid w:val="00702AED"/>
    <w:rsid w:val="00702D49"/>
    <w:rsid w:val="007036C4"/>
    <w:rsid w:val="00703EFC"/>
    <w:rsid w:val="0070410B"/>
    <w:rsid w:val="00704414"/>
    <w:rsid w:val="0070484C"/>
    <w:rsid w:val="007059A7"/>
    <w:rsid w:val="007063FF"/>
    <w:rsid w:val="00710FE3"/>
    <w:rsid w:val="0071102C"/>
    <w:rsid w:val="00711739"/>
    <w:rsid w:val="007126F1"/>
    <w:rsid w:val="007156DB"/>
    <w:rsid w:val="007178FC"/>
    <w:rsid w:val="00717DEB"/>
    <w:rsid w:val="00720120"/>
    <w:rsid w:val="00720835"/>
    <w:rsid w:val="00720DC3"/>
    <w:rsid w:val="00722BD8"/>
    <w:rsid w:val="0072379B"/>
    <w:rsid w:val="00723BBA"/>
    <w:rsid w:val="00723BFF"/>
    <w:rsid w:val="00726553"/>
    <w:rsid w:val="00726982"/>
    <w:rsid w:val="00726C82"/>
    <w:rsid w:val="007276FD"/>
    <w:rsid w:val="00730F63"/>
    <w:rsid w:val="00731151"/>
    <w:rsid w:val="007322C1"/>
    <w:rsid w:val="00733076"/>
    <w:rsid w:val="007331A3"/>
    <w:rsid w:val="007339CE"/>
    <w:rsid w:val="00740191"/>
    <w:rsid w:val="00741584"/>
    <w:rsid w:val="0074228C"/>
    <w:rsid w:val="00742A1A"/>
    <w:rsid w:val="00743610"/>
    <w:rsid w:val="00745073"/>
    <w:rsid w:val="007459B8"/>
    <w:rsid w:val="00745ACE"/>
    <w:rsid w:val="007477DE"/>
    <w:rsid w:val="007502A4"/>
    <w:rsid w:val="0075192C"/>
    <w:rsid w:val="00753DD5"/>
    <w:rsid w:val="00754C13"/>
    <w:rsid w:val="00755147"/>
    <w:rsid w:val="007569E4"/>
    <w:rsid w:val="00756CC9"/>
    <w:rsid w:val="00756E8D"/>
    <w:rsid w:val="00761047"/>
    <w:rsid w:val="007636D3"/>
    <w:rsid w:val="00766E06"/>
    <w:rsid w:val="00766F43"/>
    <w:rsid w:val="00767DA8"/>
    <w:rsid w:val="00772064"/>
    <w:rsid w:val="00774BE7"/>
    <w:rsid w:val="00775976"/>
    <w:rsid w:val="0077616D"/>
    <w:rsid w:val="00777989"/>
    <w:rsid w:val="0078090E"/>
    <w:rsid w:val="0078175E"/>
    <w:rsid w:val="00782B3A"/>
    <w:rsid w:val="00783A28"/>
    <w:rsid w:val="00783C94"/>
    <w:rsid w:val="007840EF"/>
    <w:rsid w:val="00784D6D"/>
    <w:rsid w:val="007852B3"/>
    <w:rsid w:val="00785BA8"/>
    <w:rsid w:val="00790120"/>
    <w:rsid w:val="007902F2"/>
    <w:rsid w:val="0079509D"/>
    <w:rsid w:val="00795178"/>
    <w:rsid w:val="00795C35"/>
    <w:rsid w:val="00796641"/>
    <w:rsid w:val="00796F2F"/>
    <w:rsid w:val="007A007C"/>
    <w:rsid w:val="007A02E5"/>
    <w:rsid w:val="007A36EC"/>
    <w:rsid w:val="007A4F5D"/>
    <w:rsid w:val="007A5A23"/>
    <w:rsid w:val="007A7DBA"/>
    <w:rsid w:val="007B09E7"/>
    <w:rsid w:val="007B10AF"/>
    <w:rsid w:val="007B13ED"/>
    <w:rsid w:val="007B2814"/>
    <w:rsid w:val="007B284C"/>
    <w:rsid w:val="007B2E6D"/>
    <w:rsid w:val="007B43E6"/>
    <w:rsid w:val="007B4B76"/>
    <w:rsid w:val="007B54E1"/>
    <w:rsid w:val="007B5AEC"/>
    <w:rsid w:val="007B627E"/>
    <w:rsid w:val="007B6CA0"/>
    <w:rsid w:val="007B788F"/>
    <w:rsid w:val="007C2798"/>
    <w:rsid w:val="007C36C6"/>
    <w:rsid w:val="007C4182"/>
    <w:rsid w:val="007C41F5"/>
    <w:rsid w:val="007C5A39"/>
    <w:rsid w:val="007C600D"/>
    <w:rsid w:val="007C6B7C"/>
    <w:rsid w:val="007C7011"/>
    <w:rsid w:val="007C711C"/>
    <w:rsid w:val="007C754B"/>
    <w:rsid w:val="007D07C5"/>
    <w:rsid w:val="007D3AC3"/>
    <w:rsid w:val="007D438E"/>
    <w:rsid w:val="007D5F54"/>
    <w:rsid w:val="007D5FA3"/>
    <w:rsid w:val="007D76AC"/>
    <w:rsid w:val="007E0498"/>
    <w:rsid w:val="007E0CD1"/>
    <w:rsid w:val="007E0D38"/>
    <w:rsid w:val="007E1A99"/>
    <w:rsid w:val="007E1F2C"/>
    <w:rsid w:val="007E403D"/>
    <w:rsid w:val="007E43EA"/>
    <w:rsid w:val="007E4433"/>
    <w:rsid w:val="007E53F7"/>
    <w:rsid w:val="007E55FF"/>
    <w:rsid w:val="007E59B7"/>
    <w:rsid w:val="007E629F"/>
    <w:rsid w:val="007E7863"/>
    <w:rsid w:val="007F016E"/>
    <w:rsid w:val="007F0876"/>
    <w:rsid w:val="007F390D"/>
    <w:rsid w:val="007F44AF"/>
    <w:rsid w:val="007F4C62"/>
    <w:rsid w:val="007F5467"/>
    <w:rsid w:val="007F5A26"/>
    <w:rsid w:val="007F5AF9"/>
    <w:rsid w:val="007F5ED8"/>
    <w:rsid w:val="007F61A7"/>
    <w:rsid w:val="00802006"/>
    <w:rsid w:val="00803823"/>
    <w:rsid w:val="0080744E"/>
    <w:rsid w:val="00807C9D"/>
    <w:rsid w:val="00807EAA"/>
    <w:rsid w:val="008100B7"/>
    <w:rsid w:val="008117D0"/>
    <w:rsid w:val="008156A3"/>
    <w:rsid w:val="0081635B"/>
    <w:rsid w:val="00820BCA"/>
    <w:rsid w:val="008235F0"/>
    <w:rsid w:val="008237BC"/>
    <w:rsid w:val="0082456B"/>
    <w:rsid w:val="00824821"/>
    <w:rsid w:val="0082562A"/>
    <w:rsid w:val="0082575A"/>
    <w:rsid w:val="00827744"/>
    <w:rsid w:val="008301D9"/>
    <w:rsid w:val="00830558"/>
    <w:rsid w:val="00830B69"/>
    <w:rsid w:val="0083125D"/>
    <w:rsid w:val="0083125F"/>
    <w:rsid w:val="00831871"/>
    <w:rsid w:val="00833785"/>
    <w:rsid w:val="00834BAF"/>
    <w:rsid w:val="00834E18"/>
    <w:rsid w:val="008355C5"/>
    <w:rsid w:val="00835C6D"/>
    <w:rsid w:val="00836CF1"/>
    <w:rsid w:val="00840240"/>
    <w:rsid w:val="008406C2"/>
    <w:rsid w:val="00843124"/>
    <w:rsid w:val="00844FC2"/>
    <w:rsid w:val="00846789"/>
    <w:rsid w:val="008469D0"/>
    <w:rsid w:val="00846DA5"/>
    <w:rsid w:val="0084704A"/>
    <w:rsid w:val="00847834"/>
    <w:rsid w:val="008479AF"/>
    <w:rsid w:val="0085010F"/>
    <w:rsid w:val="0085019F"/>
    <w:rsid w:val="00852DFD"/>
    <w:rsid w:val="00853825"/>
    <w:rsid w:val="008545E5"/>
    <w:rsid w:val="00854F19"/>
    <w:rsid w:val="008558C4"/>
    <w:rsid w:val="008558EF"/>
    <w:rsid w:val="00855E93"/>
    <w:rsid w:val="00857105"/>
    <w:rsid w:val="0085744C"/>
    <w:rsid w:val="00857FC0"/>
    <w:rsid w:val="008616EA"/>
    <w:rsid w:val="00863B39"/>
    <w:rsid w:val="00863E3A"/>
    <w:rsid w:val="008640AE"/>
    <w:rsid w:val="00865365"/>
    <w:rsid w:val="00867115"/>
    <w:rsid w:val="008673C3"/>
    <w:rsid w:val="00871201"/>
    <w:rsid w:val="0087121D"/>
    <w:rsid w:val="00871F9F"/>
    <w:rsid w:val="0087266F"/>
    <w:rsid w:val="00872C57"/>
    <w:rsid w:val="00874014"/>
    <w:rsid w:val="00874D1F"/>
    <w:rsid w:val="00877567"/>
    <w:rsid w:val="00877643"/>
    <w:rsid w:val="00882A9F"/>
    <w:rsid w:val="00883A82"/>
    <w:rsid w:val="0088505C"/>
    <w:rsid w:val="00887272"/>
    <w:rsid w:val="008876B8"/>
    <w:rsid w:val="00890F53"/>
    <w:rsid w:val="008914C8"/>
    <w:rsid w:val="00891EE9"/>
    <w:rsid w:val="00892708"/>
    <w:rsid w:val="00892A12"/>
    <w:rsid w:val="00892A4D"/>
    <w:rsid w:val="00892A8D"/>
    <w:rsid w:val="00892BBD"/>
    <w:rsid w:val="008956E9"/>
    <w:rsid w:val="0089584B"/>
    <w:rsid w:val="008A18B6"/>
    <w:rsid w:val="008A2111"/>
    <w:rsid w:val="008A33EF"/>
    <w:rsid w:val="008A4988"/>
    <w:rsid w:val="008A52B8"/>
    <w:rsid w:val="008A6CC1"/>
    <w:rsid w:val="008A6EB1"/>
    <w:rsid w:val="008A7510"/>
    <w:rsid w:val="008A7B99"/>
    <w:rsid w:val="008B0ACD"/>
    <w:rsid w:val="008B1509"/>
    <w:rsid w:val="008B1E74"/>
    <w:rsid w:val="008B665F"/>
    <w:rsid w:val="008B7EEB"/>
    <w:rsid w:val="008C037D"/>
    <w:rsid w:val="008C18CC"/>
    <w:rsid w:val="008C54BD"/>
    <w:rsid w:val="008C5637"/>
    <w:rsid w:val="008C60ED"/>
    <w:rsid w:val="008C7781"/>
    <w:rsid w:val="008D07F1"/>
    <w:rsid w:val="008D1EC8"/>
    <w:rsid w:val="008D2584"/>
    <w:rsid w:val="008D4D9D"/>
    <w:rsid w:val="008D62B8"/>
    <w:rsid w:val="008E5532"/>
    <w:rsid w:val="008E5BC6"/>
    <w:rsid w:val="008E7D61"/>
    <w:rsid w:val="008E7E71"/>
    <w:rsid w:val="008F0976"/>
    <w:rsid w:val="008F4705"/>
    <w:rsid w:val="008F57AA"/>
    <w:rsid w:val="008F5949"/>
    <w:rsid w:val="008F6DB4"/>
    <w:rsid w:val="00900474"/>
    <w:rsid w:val="00901F16"/>
    <w:rsid w:val="0090361D"/>
    <w:rsid w:val="00903866"/>
    <w:rsid w:val="00904CD6"/>
    <w:rsid w:val="0090607E"/>
    <w:rsid w:val="0090627E"/>
    <w:rsid w:val="00906736"/>
    <w:rsid w:val="00906ED9"/>
    <w:rsid w:val="009072F4"/>
    <w:rsid w:val="0090779F"/>
    <w:rsid w:val="00910FC4"/>
    <w:rsid w:val="00910FF3"/>
    <w:rsid w:val="009111F0"/>
    <w:rsid w:val="009119F4"/>
    <w:rsid w:val="00913253"/>
    <w:rsid w:val="00913460"/>
    <w:rsid w:val="0091386E"/>
    <w:rsid w:val="00913BC5"/>
    <w:rsid w:val="00913D05"/>
    <w:rsid w:val="009144B0"/>
    <w:rsid w:val="00914E75"/>
    <w:rsid w:val="009171B7"/>
    <w:rsid w:val="009171C7"/>
    <w:rsid w:val="00917575"/>
    <w:rsid w:val="009217AB"/>
    <w:rsid w:val="009227B8"/>
    <w:rsid w:val="0092553D"/>
    <w:rsid w:val="00926730"/>
    <w:rsid w:val="009272CE"/>
    <w:rsid w:val="0092794C"/>
    <w:rsid w:val="00935220"/>
    <w:rsid w:val="00935AAF"/>
    <w:rsid w:val="009372CD"/>
    <w:rsid w:val="00940B76"/>
    <w:rsid w:val="00942368"/>
    <w:rsid w:val="00942424"/>
    <w:rsid w:val="00942FE7"/>
    <w:rsid w:val="00944851"/>
    <w:rsid w:val="00945A94"/>
    <w:rsid w:val="00945F74"/>
    <w:rsid w:val="00945F84"/>
    <w:rsid w:val="009520AC"/>
    <w:rsid w:val="009520EC"/>
    <w:rsid w:val="009524C4"/>
    <w:rsid w:val="0095282D"/>
    <w:rsid w:val="00952B19"/>
    <w:rsid w:val="00953D2C"/>
    <w:rsid w:val="00953D2E"/>
    <w:rsid w:val="009543D2"/>
    <w:rsid w:val="00954CC9"/>
    <w:rsid w:val="00956A8E"/>
    <w:rsid w:val="00956F65"/>
    <w:rsid w:val="0095726A"/>
    <w:rsid w:val="009601E0"/>
    <w:rsid w:val="009606A6"/>
    <w:rsid w:val="0096080D"/>
    <w:rsid w:val="00962025"/>
    <w:rsid w:val="00963818"/>
    <w:rsid w:val="00963B16"/>
    <w:rsid w:val="00963DD8"/>
    <w:rsid w:val="00964352"/>
    <w:rsid w:val="009652CF"/>
    <w:rsid w:val="00965FBD"/>
    <w:rsid w:val="00967987"/>
    <w:rsid w:val="00970B30"/>
    <w:rsid w:val="00970BFE"/>
    <w:rsid w:val="0097123D"/>
    <w:rsid w:val="00971EBF"/>
    <w:rsid w:val="00973FD2"/>
    <w:rsid w:val="0097413E"/>
    <w:rsid w:val="009753A9"/>
    <w:rsid w:val="0097571C"/>
    <w:rsid w:val="009765B9"/>
    <w:rsid w:val="0097678B"/>
    <w:rsid w:val="00976FCA"/>
    <w:rsid w:val="009770E1"/>
    <w:rsid w:val="00977688"/>
    <w:rsid w:val="009808DC"/>
    <w:rsid w:val="00980AA4"/>
    <w:rsid w:val="00981682"/>
    <w:rsid w:val="00981ACB"/>
    <w:rsid w:val="00982225"/>
    <w:rsid w:val="00982C0B"/>
    <w:rsid w:val="009841DF"/>
    <w:rsid w:val="009847BB"/>
    <w:rsid w:val="00985C00"/>
    <w:rsid w:val="00985CD4"/>
    <w:rsid w:val="00985F08"/>
    <w:rsid w:val="00987A5E"/>
    <w:rsid w:val="00990887"/>
    <w:rsid w:val="00993DBB"/>
    <w:rsid w:val="00994373"/>
    <w:rsid w:val="009959F5"/>
    <w:rsid w:val="009969F8"/>
    <w:rsid w:val="009A0E68"/>
    <w:rsid w:val="009A1F6F"/>
    <w:rsid w:val="009A1F89"/>
    <w:rsid w:val="009A206A"/>
    <w:rsid w:val="009A2244"/>
    <w:rsid w:val="009A242C"/>
    <w:rsid w:val="009A2B0A"/>
    <w:rsid w:val="009A4416"/>
    <w:rsid w:val="009A7611"/>
    <w:rsid w:val="009B0930"/>
    <w:rsid w:val="009B1869"/>
    <w:rsid w:val="009B1A8E"/>
    <w:rsid w:val="009B2120"/>
    <w:rsid w:val="009B2D9C"/>
    <w:rsid w:val="009B3687"/>
    <w:rsid w:val="009B4247"/>
    <w:rsid w:val="009B45CE"/>
    <w:rsid w:val="009B7C11"/>
    <w:rsid w:val="009C1E40"/>
    <w:rsid w:val="009C32D9"/>
    <w:rsid w:val="009C3F59"/>
    <w:rsid w:val="009C432C"/>
    <w:rsid w:val="009C489E"/>
    <w:rsid w:val="009C5E00"/>
    <w:rsid w:val="009C606F"/>
    <w:rsid w:val="009D11A6"/>
    <w:rsid w:val="009D3D95"/>
    <w:rsid w:val="009D4F50"/>
    <w:rsid w:val="009D7814"/>
    <w:rsid w:val="009D7C70"/>
    <w:rsid w:val="009E0649"/>
    <w:rsid w:val="009E0777"/>
    <w:rsid w:val="009E0A36"/>
    <w:rsid w:val="009E140A"/>
    <w:rsid w:val="009E184C"/>
    <w:rsid w:val="009E265E"/>
    <w:rsid w:val="009E41C3"/>
    <w:rsid w:val="009E4801"/>
    <w:rsid w:val="009E7013"/>
    <w:rsid w:val="009E7615"/>
    <w:rsid w:val="009F0B45"/>
    <w:rsid w:val="009F10A0"/>
    <w:rsid w:val="009F143C"/>
    <w:rsid w:val="009F1693"/>
    <w:rsid w:val="009F2387"/>
    <w:rsid w:val="009F311E"/>
    <w:rsid w:val="009F32B9"/>
    <w:rsid w:val="009F3832"/>
    <w:rsid w:val="009F3BC9"/>
    <w:rsid w:val="009F3CCD"/>
    <w:rsid w:val="009F4066"/>
    <w:rsid w:val="009F462B"/>
    <w:rsid w:val="009F5124"/>
    <w:rsid w:val="009F6330"/>
    <w:rsid w:val="009F7533"/>
    <w:rsid w:val="009F7EFA"/>
    <w:rsid w:val="00A00393"/>
    <w:rsid w:val="00A00E4A"/>
    <w:rsid w:val="00A01090"/>
    <w:rsid w:val="00A018B9"/>
    <w:rsid w:val="00A02C2E"/>
    <w:rsid w:val="00A04190"/>
    <w:rsid w:val="00A04233"/>
    <w:rsid w:val="00A04462"/>
    <w:rsid w:val="00A04531"/>
    <w:rsid w:val="00A04985"/>
    <w:rsid w:val="00A10832"/>
    <w:rsid w:val="00A11D43"/>
    <w:rsid w:val="00A13B5A"/>
    <w:rsid w:val="00A1562E"/>
    <w:rsid w:val="00A159EE"/>
    <w:rsid w:val="00A1601B"/>
    <w:rsid w:val="00A2038C"/>
    <w:rsid w:val="00A2288C"/>
    <w:rsid w:val="00A22896"/>
    <w:rsid w:val="00A25241"/>
    <w:rsid w:val="00A26C46"/>
    <w:rsid w:val="00A27BF4"/>
    <w:rsid w:val="00A303DC"/>
    <w:rsid w:val="00A30A22"/>
    <w:rsid w:val="00A30E4B"/>
    <w:rsid w:val="00A310BC"/>
    <w:rsid w:val="00A315EF"/>
    <w:rsid w:val="00A33143"/>
    <w:rsid w:val="00A3332C"/>
    <w:rsid w:val="00A33CF9"/>
    <w:rsid w:val="00A343FD"/>
    <w:rsid w:val="00A34EDE"/>
    <w:rsid w:val="00A3790B"/>
    <w:rsid w:val="00A41BB9"/>
    <w:rsid w:val="00A41BDD"/>
    <w:rsid w:val="00A426D5"/>
    <w:rsid w:val="00A431D9"/>
    <w:rsid w:val="00A43E0A"/>
    <w:rsid w:val="00A43F29"/>
    <w:rsid w:val="00A43FBC"/>
    <w:rsid w:val="00A44650"/>
    <w:rsid w:val="00A4595F"/>
    <w:rsid w:val="00A466E8"/>
    <w:rsid w:val="00A47FE2"/>
    <w:rsid w:val="00A50F2F"/>
    <w:rsid w:val="00A525BE"/>
    <w:rsid w:val="00A52B30"/>
    <w:rsid w:val="00A52B51"/>
    <w:rsid w:val="00A52C16"/>
    <w:rsid w:val="00A55D93"/>
    <w:rsid w:val="00A56D16"/>
    <w:rsid w:val="00A60EDC"/>
    <w:rsid w:val="00A6167C"/>
    <w:rsid w:val="00A62151"/>
    <w:rsid w:val="00A64AED"/>
    <w:rsid w:val="00A67055"/>
    <w:rsid w:val="00A679BF"/>
    <w:rsid w:val="00A701FF"/>
    <w:rsid w:val="00A73104"/>
    <w:rsid w:val="00A73E2C"/>
    <w:rsid w:val="00A741C3"/>
    <w:rsid w:val="00A74853"/>
    <w:rsid w:val="00A76425"/>
    <w:rsid w:val="00A76A78"/>
    <w:rsid w:val="00A77E0C"/>
    <w:rsid w:val="00A8008C"/>
    <w:rsid w:val="00A80B54"/>
    <w:rsid w:val="00A81CD6"/>
    <w:rsid w:val="00A823E9"/>
    <w:rsid w:val="00A831B1"/>
    <w:rsid w:val="00A83893"/>
    <w:rsid w:val="00A84B10"/>
    <w:rsid w:val="00A8538E"/>
    <w:rsid w:val="00A855B1"/>
    <w:rsid w:val="00A85A83"/>
    <w:rsid w:val="00A861F4"/>
    <w:rsid w:val="00A91A19"/>
    <w:rsid w:val="00A91E9C"/>
    <w:rsid w:val="00A926B1"/>
    <w:rsid w:val="00A9271F"/>
    <w:rsid w:val="00A94A82"/>
    <w:rsid w:val="00A95E9A"/>
    <w:rsid w:val="00A96634"/>
    <w:rsid w:val="00A968E1"/>
    <w:rsid w:val="00A97346"/>
    <w:rsid w:val="00A97647"/>
    <w:rsid w:val="00A9768B"/>
    <w:rsid w:val="00AA0447"/>
    <w:rsid w:val="00AA08F1"/>
    <w:rsid w:val="00AA0902"/>
    <w:rsid w:val="00AA0A03"/>
    <w:rsid w:val="00AA30C2"/>
    <w:rsid w:val="00AA30D2"/>
    <w:rsid w:val="00AA4A5A"/>
    <w:rsid w:val="00AA4B59"/>
    <w:rsid w:val="00AA5A5E"/>
    <w:rsid w:val="00AA6948"/>
    <w:rsid w:val="00AA6A6F"/>
    <w:rsid w:val="00AA6FDC"/>
    <w:rsid w:val="00AA792E"/>
    <w:rsid w:val="00AA7EE2"/>
    <w:rsid w:val="00AB0C46"/>
    <w:rsid w:val="00AB1FB0"/>
    <w:rsid w:val="00AB2EE7"/>
    <w:rsid w:val="00AB4003"/>
    <w:rsid w:val="00AB46E4"/>
    <w:rsid w:val="00AB5650"/>
    <w:rsid w:val="00AB5A56"/>
    <w:rsid w:val="00AB6959"/>
    <w:rsid w:val="00AC1FD5"/>
    <w:rsid w:val="00AC21D0"/>
    <w:rsid w:val="00AC226A"/>
    <w:rsid w:val="00AC2F02"/>
    <w:rsid w:val="00AC2F38"/>
    <w:rsid w:val="00AC3400"/>
    <w:rsid w:val="00AC40C1"/>
    <w:rsid w:val="00AC508F"/>
    <w:rsid w:val="00AC512C"/>
    <w:rsid w:val="00AC6305"/>
    <w:rsid w:val="00AC6AAC"/>
    <w:rsid w:val="00AC6C75"/>
    <w:rsid w:val="00AC6CB7"/>
    <w:rsid w:val="00AC6F99"/>
    <w:rsid w:val="00AC7570"/>
    <w:rsid w:val="00AD06D8"/>
    <w:rsid w:val="00AD1E3E"/>
    <w:rsid w:val="00AD2AC2"/>
    <w:rsid w:val="00AD31BB"/>
    <w:rsid w:val="00AD61F2"/>
    <w:rsid w:val="00AD6BF4"/>
    <w:rsid w:val="00AD7D46"/>
    <w:rsid w:val="00AE1F26"/>
    <w:rsid w:val="00AE2FAF"/>
    <w:rsid w:val="00AE46EE"/>
    <w:rsid w:val="00AE540A"/>
    <w:rsid w:val="00AE5F59"/>
    <w:rsid w:val="00AE762B"/>
    <w:rsid w:val="00AE766A"/>
    <w:rsid w:val="00AF013A"/>
    <w:rsid w:val="00AF27D0"/>
    <w:rsid w:val="00AF2B38"/>
    <w:rsid w:val="00AF4A08"/>
    <w:rsid w:val="00AF4B58"/>
    <w:rsid w:val="00AF4E68"/>
    <w:rsid w:val="00AF6CB8"/>
    <w:rsid w:val="00AF7B44"/>
    <w:rsid w:val="00AF7F7B"/>
    <w:rsid w:val="00B0067D"/>
    <w:rsid w:val="00B011C7"/>
    <w:rsid w:val="00B01AAC"/>
    <w:rsid w:val="00B02DCF"/>
    <w:rsid w:val="00B02F0D"/>
    <w:rsid w:val="00B04FCD"/>
    <w:rsid w:val="00B055B5"/>
    <w:rsid w:val="00B13059"/>
    <w:rsid w:val="00B134BB"/>
    <w:rsid w:val="00B1365E"/>
    <w:rsid w:val="00B166BE"/>
    <w:rsid w:val="00B171EF"/>
    <w:rsid w:val="00B17EDA"/>
    <w:rsid w:val="00B209EE"/>
    <w:rsid w:val="00B21BF4"/>
    <w:rsid w:val="00B2413C"/>
    <w:rsid w:val="00B2496D"/>
    <w:rsid w:val="00B26E4A"/>
    <w:rsid w:val="00B27567"/>
    <w:rsid w:val="00B30DF0"/>
    <w:rsid w:val="00B32480"/>
    <w:rsid w:val="00B3299B"/>
    <w:rsid w:val="00B345BB"/>
    <w:rsid w:val="00B36143"/>
    <w:rsid w:val="00B36E15"/>
    <w:rsid w:val="00B36E5B"/>
    <w:rsid w:val="00B3714B"/>
    <w:rsid w:val="00B376CD"/>
    <w:rsid w:val="00B37CEA"/>
    <w:rsid w:val="00B401BC"/>
    <w:rsid w:val="00B41413"/>
    <w:rsid w:val="00B42B51"/>
    <w:rsid w:val="00B44D4E"/>
    <w:rsid w:val="00B45E1B"/>
    <w:rsid w:val="00B46572"/>
    <w:rsid w:val="00B46699"/>
    <w:rsid w:val="00B468F1"/>
    <w:rsid w:val="00B47078"/>
    <w:rsid w:val="00B474B8"/>
    <w:rsid w:val="00B50FD0"/>
    <w:rsid w:val="00B529D8"/>
    <w:rsid w:val="00B5336F"/>
    <w:rsid w:val="00B5586F"/>
    <w:rsid w:val="00B55D7C"/>
    <w:rsid w:val="00B561AB"/>
    <w:rsid w:val="00B57CD6"/>
    <w:rsid w:val="00B604DA"/>
    <w:rsid w:val="00B62476"/>
    <w:rsid w:val="00B62664"/>
    <w:rsid w:val="00B63600"/>
    <w:rsid w:val="00B637C5"/>
    <w:rsid w:val="00B6394A"/>
    <w:rsid w:val="00B63C48"/>
    <w:rsid w:val="00B63ED8"/>
    <w:rsid w:val="00B648AC"/>
    <w:rsid w:val="00B656A6"/>
    <w:rsid w:val="00B6591D"/>
    <w:rsid w:val="00B70A35"/>
    <w:rsid w:val="00B70B61"/>
    <w:rsid w:val="00B71DB2"/>
    <w:rsid w:val="00B721B3"/>
    <w:rsid w:val="00B72634"/>
    <w:rsid w:val="00B737AF"/>
    <w:rsid w:val="00B7702F"/>
    <w:rsid w:val="00B80FC2"/>
    <w:rsid w:val="00B81645"/>
    <w:rsid w:val="00B81C96"/>
    <w:rsid w:val="00B821D3"/>
    <w:rsid w:val="00B84055"/>
    <w:rsid w:val="00B8438A"/>
    <w:rsid w:val="00B846B6"/>
    <w:rsid w:val="00B84ADC"/>
    <w:rsid w:val="00B856BE"/>
    <w:rsid w:val="00B85E96"/>
    <w:rsid w:val="00B90138"/>
    <w:rsid w:val="00B9128C"/>
    <w:rsid w:val="00B92C04"/>
    <w:rsid w:val="00B93263"/>
    <w:rsid w:val="00B941F5"/>
    <w:rsid w:val="00B944E5"/>
    <w:rsid w:val="00B95600"/>
    <w:rsid w:val="00B96767"/>
    <w:rsid w:val="00B97C7F"/>
    <w:rsid w:val="00BA0B49"/>
    <w:rsid w:val="00BA0E84"/>
    <w:rsid w:val="00BA12FE"/>
    <w:rsid w:val="00BA2365"/>
    <w:rsid w:val="00BA2F12"/>
    <w:rsid w:val="00BA3857"/>
    <w:rsid w:val="00BA48EB"/>
    <w:rsid w:val="00BA4927"/>
    <w:rsid w:val="00BA694A"/>
    <w:rsid w:val="00BA75D6"/>
    <w:rsid w:val="00BB14E8"/>
    <w:rsid w:val="00BB18A1"/>
    <w:rsid w:val="00BB1ED0"/>
    <w:rsid w:val="00BB35E4"/>
    <w:rsid w:val="00BB3919"/>
    <w:rsid w:val="00BB40F7"/>
    <w:rsid w:val="00BB51D2"/>
    <w:rsid w:val="00BB58B7"/>
    <w:rsid w:val="00BB5EFD"/>
    <w:rsid w:val="00BB679E"/>
    <w:rsid w:val="00BB7988"/>
    <w:rsid w:val="00BC083C"/>
    <w:rsid w:val="00BC0D93"/>
    <w:rsid w:val="00BC18B0"/>
    <w:rsid w:val="00BC33B7"/>
    <w:rsid w:val="00BC41D9"/>
    <w:rsid w:val="00BC45EB"/>
    <w:rsid w:val="00BC473A"/>
    <w:rsid w:val="00BC6637"/>
    <w:rsid w:val="00BC688C"/>
    <w:rsid w:val="00BC7647"/>
    <w:rsid w:val="00BC7907"/>
    <w:rsid w:val="00BD1025"/>
    <w:rsid w:val="00BD26FB"/>
    <w:rsid w:val="00BD31A4"/>
    <w:rsid w:val="00BD4C82"/>
    <w:rsid w:val="00BD4FA9"/>
    <w:rsid w:val="00BD54EB"/>
    <w:rsid w:val="00BD5A94"/>
    <w:rsid w:val="00BD6FA3"/>
    <w:rsid w:val="00BD7ED6"/>
    <w:rsid w:val="00BD7F54"/>
    <w:rsid w:val="00BE0F6B"/>
    <w:rsid w:val="00BE11AB"/>
    <w:rsid w:val="00BE15B5"/>
    <w:rsid w:val="00BE175B"/>
    <w:rsid w:val="00BE1866"/>
    <w:rsid w:val="00BE2E59"/>
    <w:rsid w:val="00BE32D7"/>
    <w:rsid w:val="00BE5327"/>
    <w:rsid w:val="00BE6630"/>
    <w:rsid w:val="00BE6D46"/>
    <w:rsid w:val="00BE6E3E"/>
    <w:rsid w:val="00BE7871"/>
    <w:rsid w:val="00BF02E3"/>
    <w:rsid w:val="00BF2681"/>
    <w:rsid w:val="00BF3CF6"/>
    <w:rsid w:val="00BF4FC3"/>
    <w:rsid w:val="00BF531B"/>
    <w:rsid w:val="00BF5527"/>
    <w:rsid w:val="00BF5771"/>
    <w:rsid w:val="00BF6B91"/>
    <w:rsid w:val="00BF6D1D"/>
    <w:rsid w:val="00C002DD"/>
    <w:rsid w:val="00C01478"/>
    <w:rsid w:val="00C016C6"/>
    <w:rsid w:val="00C02148"/>
    <w:rsid w:val="00C022B0"/>
    <w:rsid w:val="00C028C8"/>
    <w:rsid w:val="00C0327E"/>
    <w:rsid w:val="00C033EB"/>
    <w:rsid w:val="00C0411B"/>
    <w:rsid w:val="00C04F04"/>
    <w:rsid w:val="00C055CE"/>
    <w:rsid w:val="00C05D6F"/>
    <w:rsid w:val="00C06101"/>
    <w:rsid w:val="00C06C87"/>
    <w:rsid w:val="00C06FFF"/>
    <w:rsid w:val="00C07757"/>
    <w:rsid w:val="00C11290"/>
    <w:rsid w:val="00C11408"/>
    <w:rsid w:val="00C11605"/>
    <w:rsid w:val="00C129B2"/>
    <w:rsid w:val="00C14477"/>
    <w:rsid w:val="00C14A9D"/>
    <w:rsid w:val="00C1586A"/>
    <w:rsid w:val="00C1664F"/>
    <w:rsid w:val="00C16B9F"/>
    <w:rsid w:val="00C178BB"/>
    <w:rsid w:val="00C20497"/>
    <w:rsid w:val="00C22167"/>
    <w:rsid w:val="00C22A81"/>
    <w:rsid w:val="00C23A37"/>
    <w:rsid w:val="00C23BD4"/>
    <w:rsid w:val="00C252E5"/>
    <w:rsid w:val="00C2530B"/>
    <w:rsid w:val="00C256EC"/>
    <w:rsid w:val="00C25A26"/>
    <w:rsid w:val="00C27687"/>
    <w:rsid w:val="00C30364"/>
    <w:rsid w:val="00C30D36"/>
    <w:rsid w:val="00C31077"/>
    <w:rsid w:val="00C33191"/>
    <w:rsid w:val="00C3406C"/>
    <w:rsid w:val="00C34A09"/>
    <w:rsid w:val="00C34B68"/>
    <w:rsid w:val="00C36702"/>
    <w:rsid w:val="00C400BE"/>
    <w:rsid w:val="00C40573"/>
    <w:rsid w:val="00C40F16"/>
    <w:rsid w:val="00C417FD"/>
    <w:rsid w:val="00C4296C"/>
    <w:rsid w:val="00C447DF"/>
    <w:rsid w:val="00C4580C"/>
    <w:rsid w:val="00C47443"/>
    <w:rsid w:val="00C4762D"/>
    <w:rsid w:val="00C5008B"/>
    <w:rsid w:val="00C50DAF"/>
    <w:rsid w:val="00C50FA3"/>
    <w:rsid w:val="00C51059"/>
    <w:rsid w:val="00C512D8"/>
    <w:rsid w:val="00C532D6"/>
    <w:rsid w:val="00C53629"/>
    <w:rsid w:val="00C55BA9"/>
    <w:rsid w:val="00C55EFC"/>
    <w:rsid w:val="00C565E2"/>
    <w:rsid w:val="00C574FE"/>
    <w:rsid w:val="00C6036A"/>
    <w:rsid w:val="00C6177E"/>
    <w:rsid w:val="00C638BA"/>
    <w:rsid w:val="00C63962"/>
    <w:rsid w:val="00C63DE5"/>
    <w:rsid w:val="00C652AC"/>
    <w:rsid w:val="00C65318"/>
    <w:rsid w:val="00C65D0A"/>
    <w:rsid w:val="00C65E7E"/>
    <w:rsid w:val="00C663B3"/>
    <w:rsid w:val="00C67056"/>
    <w:rsid w:val="00C7192B"/>
    <w:rsid w:val="00C72661"/>
    <w:rsid w:val="00C81179"/>
    <w:rsid w:val="00C81CEF"/>
    <w:rsid w:val="00C82BF7"/>
    <w:rsid w:val="00C83216"/>
    <w:rsid w:val="00C85F52"/>
    <w:rsid w:val="00C862C5"/>
    <w:rsid w:val="00C86E6B"/>
    <w:rsid w:val="00C87A51"/>
    <w:rsid w:val="00C908E3"/>
    <w:rsid w:val="00C90D84"/>
    <w:rsid w:val="00C9222B"/>
    <w:rsid w:val="00C92710"/>
    <w:rsid w:val="00C932D5"/>
    <w:rsid w:val="00C95858"/>
    <w:rsid w:val="00CA1B2A"/>
    <w:rsid w:val="00CA1D7D"/>
    <w:rsid w:val="00CA2156"/>
    <w:rsid w:val="00CA3E77"/>
    <w:rsid w:val="00CA58DD"/>
    <w:rsid w:val="00CA5BA9"/>
    <w:rsid w:val="00CA7542"/>
    <w:rsid w:val="00CB0016"/>
    <w:rsid w:val="00CB03C6"/>
    <w:rsid w:val="00CB2673"/>
    <w:rsid w:val="00CB36B6"/>
    <w:rsid w:val="00CB4E16"/>
    <w:rsid w:val="00CB736F"/>
    <w:rsid w:val="00CB751A"/>
    <w:rsid w:val="00CB779B"/>
    <w:rsid w:val="00CC1AB7"/>
    <w:rsid w:val="00CC1D87"/>
    <w:rsid w:val="00CC1EFD"/>
    <w:rsid w:val="00CC29F7"/>
    <w:rsid w:val="00CC2E9F"/>
    <w:rsid w:val="00CC37B5"/>
    <w:rsid w:val="00CC47AD"/>
    <w:rsid w:val="00CC4DBD"/>
    <w:rsid w:val="00CC5968"/>
    <w:rsid w:val="00CC61AD"/>
    <w:rsid w:val="00CC67BD"/>
    <w:rsid w:val="00CC6A34"/>
    <w:rsid w:val="00CD0327"/>
    <w:rsid w:val="00CD3E2D"/>
    <w:rsid w:val="00CD4F64"/>
    <w:rsid w:val="00CD50B3"/>
    <w:rsid w:val="00CD5D1E"/>
    <w:rsid w:val="00CD72C6"/>
    <w:rsid w:val="00CE0E8F"/>
    <w:rsid w:val="00CE324C"/>
    <w:rsid w:val="00CE37AA"/>
    <w:rsid w:val="00CE405A"/>
    <w:rsid w:val="00CE415D"/>
    <w:rsid w:val="00CE53EE"/>
    <w:rsid w:val="00CE57C8"/>
    <w:rsid w:val="00CE608D"/>
    <w:rsid w:val="00CE6487"/>
    <w:rsid w:val="00CF0DA2"/>
    <w:rsid w:val="00CF2185"/>
    <w:rsid w:val="00CF21FF"/>
    <w:rsid w:val="00CF22DA"/>
    <w:rsid w:val="00CF4379"/>
    <w:rsid w:val="00CF5FDC"/>
    <w:rsid w:val="00CF6CB3"/>
    <w:rsid w:val="00CF79C8"/>
    <w:rsid w:val="00CF7D4C"/>
    <w:rsid w:val="00CF7F85"/>
    <w:rsid w:val="00D00290"/>
    <w:rsid w:val="00D01080"/>
    <w:rsid w:val="00D0159C"/>
    <w:rsid w:val="00D01B33"/>
    <w:rsid w:val="00D01D7F"/>
    <w:rsid w:val="00D032C0"/>
    <w:rsid w:val="00D0393E"/>
    <w:rsid w:val="00D042D2"/>
    <w:rsid w:val="00D04AB3"/>
    <w:rsid w:val="00D055C0"/>
    <w:rsid w:val="00D0578F"/>
    <w:rsid w:val="00D0604A"/>
    <w:rsid w:val="00D068B7"/>
    <w:rsid w:val="00D07F13"/>
    <w:rsid w:val="00D10AC0"/>
    <w:rsid w:val="00D10CCE"/>
    <w:rsid w:val="00D10FE9"/>
    <w:rsid w:val="00D111E0"/>
    <w:rsid w:val="00D12E00"/>
    <w:rsid w:val="00D13BEB"/>
    <w:rsid w:val="00D163D2"/>
    <w:rsid w:val="00D16E07"/>
    <w:rsid w:val="00D21888"/>
    <w:rsid w:val="00D22F34"/>
    <w:rsid w:val="00D25C12"/>
    <w:rsid w:val="00D2694A"/>
    <w:rsid w:val="00D26A95"/>
    <w:rsid w:val="00D271DF"/>
    <w:rsid w:val="00D27FF4"/>
    <w:rsid w:val="00D30CBF"/>
    <w:rsid w:val="00D314ED"/>
    <w:rsid w:val="00D31C51"/>
    <w:rsid w:val="00D32271"/>
    <w:rsid w:val="00D32FE2"/>
    <w:rsid w:val="00D3336F"/>
    <w:rsid w:val="00D343ED"/>
    <w:rsid w:val="00D3446D"/>
    <w:rsid w:val="00D359D7"/>
    <w:rsid w:val="00D37348"/>
    <w:rsid w:val="00D37655"/>
    <w:rsid w:val="00D378F7"/>
    <w:rsid w:val="00D4122B"/>
    <w:rsid w:val="00D4159B"/>
    <w:rsid w:val="00D41BBB"/>
    <w:rsid w:val="00D4335A"/>
    <w:rsid w:val="00D45603"/>
    <w:rsid w:val="00D461EE"/>
    <w:rsid w:val="00D47CC8"/>
    <w:rsid w:val="00D519FC"/>
    <w:rsid w:val="00D52538"/>
    <w:rsid w:val="00D54C98"/>
    <w:rsid w:val="00D57DFE"/>
    <w:rsid w:val="00D6105B"/>
    <w:rsid w:val="00D61366"/>
    <w:rsid w:val="00D620AA"/>
    <w:rsid w:val="00D6236C"/>
    <w:rsid w:val="00D62AFB"/>
    <w:rsid w:val="00D639BB"/>
    <w:rsid w:val="00D641F1"/>
    <w:rsid w:val="00D67ACD"/>
    <w:rsid w:val="00D70503"/>
    <w:rsid w:val="00D71279"/>
    <w:rsid w:val="00D7136C"/>
    <w:rsid w:val="00D714DE"/>
    <w:rsid w:val="00D7247C"/>
    <w:rsid w:val="00D74853"/>
    <w:rsid w:val="00D74A4B"/>
    <w:rsid w:val="00D77E22"/>
    <w:rsid w:val="00D81184"/>
    <w:rsid w:val="00D8148D"/>
    <w:rsid w:val="00D81B00"/>
    <w:rsid w:val="00D81D41"/>
    <w:rsid w:val="00D8299A"/>
    <w:rsid w:val="00D8749E"/>
    <w:rsid w:val="00D9045D"/>
    <w:rsid w:val="00D9223B"/>
    <w:rsid w:val="00D92C3E"/>
    <w:rsid w:val="00D941EB"/>
    <w:rsid w:val="00D9480E"/>
    <w:rsid w:val="00D94E7C"/>
    <w:rsid w:val="00D95115"/>
    <w:rsid w:val="00D956C6"/>
    <w:rsid w:val="00DA1E6D"/>
    <w:rsid w:val="00DA5502"/>
    <w:rsid w:val="00DA5B53"/>
    <w:rsid w:val="00DA600F"/>
    <w:rsid w:val="00DA7190"/>
    <w:rsid w:val="00DA72B3"/>
    <w:rsid w:val="00DA7D6E"/>
    <w:rsid w:val="00DA7E4E"/>
    <w:rsid w:val="00DB15AF"/>
    <w:rsid w:val="00DB1747"/>
    <w:rsid w:val="00DB31AC"/>
    <w:rsid w:val="00DB37E7"/>
    <w:rsid w:val="00DB4A7D"/>
    <w:rsid w:val="00DB5A67"/>
    <w:rsid w:val="00DB67F0"/>
    <w:rsid w:val="00DB7099"/>
    <w:rsid w:val="00DB7356"/>
    <w:rsid w:val="00DB76B3"/>
    <w:rsid w:val="00DB78A0"/>
    <w:rsid w:val="00DB78A5"/>
    <w:rsid w:val="00DC06C8"/>
    <w:rsid w:val="00DC0E7E"/>
    <w:rsid w:val="00DC174A"/>
    <w:rsid w:val="00DC2135"/>
    <w:rsid w:val="00DC394A"/>
    <w:rsid w:val="00DC69E3"/>
    <w:rsid w:val="00DC7C8B"/>
    <w:rsid w:val="00DD0552"/>
    <w:rsid w:val="00DD1141"/>
    <w:rsid w:val="00DD2B00"/>
    <w:rsid w:val="00DD3E47"/>
    <w:rsid w:val="00DD3F94"/>
    <w:rsid w:val="00DD46ED"/>
    <w:rsid w:val="00DD51C7"/>
    <w:rsid w:val="00DD5646"/>
    <w:rsid w:val="00DD6083"/>
    <w:rsid w:val="00DD7966"/>
    <w:rsid w:val="00DE0997"/>
    <w:rsid w:val="00DE1268"/>
    <w:rsid w:val="00DE1AD4"/>
    <w:rsid w:val="00DE272E"/>
    <w:rsid w:val="00DE361E"/>
    <w:rsid w:val="00DE38F2"/>
    <w:rsid w:val="00DE3AF9"/>
    <w:rsid w:val="00DE4115"/>
    <w:rsid w:val="00DE4162"/>
    <w:rsid w:val="00DE7E58"/>
    <w:rsid w:val="00DF0715"/>
    <w:rsid w:val="00DF07E4"/>
    <w:rsid w:val="00DF0A7F"/>
    <w:rsid w:val="00DF18B1"/>
    <w:rsid w:val="00DF4350"/>
    <w:rsid w:val="00DF4443"/>
    <w:rsid w:val="00DF4589"/>
    <w:rsid w:val="00DF4FCB"/>
    <w:rsid w:val="00DF50FE"/>
    <w:rsid w:val="00DF53D7"/>
    <w:rsid w:val="00DF7288"/>
    <w:rsid w:val="00E00293"/>
    <w:rsid w:val="00E00621"/>
    <w:rsid w:val="00E02ADA"/>
    <w:rsid w:val="00E044E3"/>
    <w:rsid w:val="00E053F1"/>
    <w:rsid w:val="00E0564A"/>
    <w:rsid w:val="00E05A48"/>
    <w:rsid w:val="00E05BF7"/>
    <w:rsid w:val="00E060C3"/>
    <w:rsid w:val="00E0622C"/>
    <w:rsid w:val="00E0722F"/>
    <w:rsid w:val="00E07342"/>
    <w:rsid w:val="00E073AC"/>
    <w:rsid w:val="00E07865"/>
    <w:rsid w:val="00E10593"/>
    <w:rsid w:val="00E10C58"/>
    <w:rsid w:val="00E12732"/>
    <w:rsid w:val="00E13070"/>
    <w:rsid w:val="00E13AA6"/>
    <w:rsid w:val="00E13D07"/>
    <w:rsid w:val="00E153F5"/>
    <w:rsid w:val="00E17FB2"/>
    <w:rsid w:val="00E216FA"/>
    <w:rsid w:val="00E22F7A"/>
    <w:rsid w:val="00E233A7"/>
    <w:rsid w:val="00E24FA7"/>
    <w:rsid w:val="00E25E19"/>
    <w:rsid w:val="00E26A83"/>
    <w:rsid w:val="00E27383"/>
    <w:rsid w:val="00E31414"/>
    <w:rsid w:val="00E314E0"/>
    <w:rsid w:val="00E320BC"/>
    <w:rsid w:val="00E32D3D"/>
    <w:rsid w:val="00E33E40"/>
    <w:rsid w:val="00E340D9"/>
    <w:rsid w:val="00E34835"/>
    <w:rsid w:val="00E348FB"/>
    <w:rsid w:val="00E34909"/>
    <w:rsid w:val="00E34BCE"/>
    <w:rsid w:val="00E35D55"/>
    <w:rsid w:val="00E363C8"/>
    <w:rsid w:val="00E40D06"/>
    <w:rsid w:val="00E4137F"/>
    <w:rsid w:val="00E43166"/>
    <w:rsid w:val="00E4328F"/>
    <w:rsid w:val="00E45321"/>
    <w:rsid w:val="00E45AA4"/>
    <w:rsid w:val="00E45BCE"/>
    <w:rsid w:val="00E45CE9"/>
    <w:rsid w:val="00E4668F"/>
    <w:rsid w:val="00E46E03"/>
    <w:rsid w:val="00E50A98"/>
    <w:rsid w:val="00E51397"/>
    <w:rsid w:val="00E51D09"/>
    <w:rsid w:val="00E5207A"/>
    <w:rsid w:val="00E529BD"/>
    <w:rsid w:val="00E5318E"/>
    <w:rsid w:val="00E53488"/>
    <w:rsid w:val="00E54676"/>
    <w:rsid w:val="00E54D2C"/>
    <w:rsid w:val="00E56E78"/>
    <w:rsid w:val="00E57525"/>
    <w:rsid w:val="00E579A8"/>
    <w:rsid w:val="00E605A2"/>
    <w:rsid w:val="00E62664"/>
    <w:rsid w:val="00E6271E"/>
    <w:rsid w:val="00E62FDB"/>
    <w:rsid w:val="00E63505"/>
    <w:rsid w:val="00E644B3"/>
    <w:rsid w:val="00E6466C"/>
    <w:rsid w:val="00E64CA1"/>
    <w:rsid w:val="00E67A41"/>
    <w:rsid w:val="00E703AD"/>
    <w:rsid w:val="00E71678"/>
    <w:rsid w:val="00E72099"/>
    <w:rsid w:val="00E72361"/>
    <w:rsid w:val="00E724CC"/>
    <w:rsid w:val="00E738EE"/>
    <w:rsid w:val="00E73955"/>
    <w:rsid w:val="00E73B97"/>
    <w:rsid w:val="00E74C37"/>
    <w:rsid w:val="00E7712B"/>
    <w:rsid w:val="00E77B12"/>
    <w:rsid w:val="00E8044B"/>
    <w:rsid w:val="00E80B0C"/>
    <w:rsid w:val="00E817F4"/>
    <w:rsid w:val="00E81E68"/>
    <w:rsid w:val="00E82970"/>
    <w:rsid w:val="00E82B6F"/>
    <w:rsid w:val="00E82D66"/>
    <w:rsid w:val="00E84EC8"/>
    <w:rsid w:val="00E85020"/>
    <w:rsid w:val="00E85051"/>
    <w:rsid w:val="00E869BA"/>
    <w:rsid w:val="00E869CE"/>
    <w:rsid w:val="00E86CF0"/>
    <w:rsid w:val="00E90235"/>
    <w:rsid w:val="00E9113D"/>
    <w:rsid w:val="00E91481"/>
    <w:rsid w:val="00E916CB"/>
    <w:rsid w:val="00E91A35"/>
    <w:rsid w:val="00E9287F"/>
    <w:rsid w:val="00E942F0"/>
    <w:rsid w:val="00E9456E"/>
    <w:rsid w:val="00E94C33"/>
    <w:rsid w:val="00E96856"/>
    <w:rsid w:val="00E97A6D"/>
    <w:rsid w:val="00E97E81"/>
    <w:rsid w:val="00EA0908"/>
    <w:rsid w:val="00EA0EA6"/>
    <w:rsid w:val="00EA3B27"/>
    <w:rsid w:val="00EA3EB1"/>
    <w:rsid w:val="00EA49AA"/>
    <w:rsid w:val="00EA5700"/>
    <w:rsid w:val="00EA57E7"/>
    <w:rsid w:val="00EA5D33"/>
    <w:rsid w:val="00EA6608"/>
    <w:rsid w:val="00EA6D7F"/>
    <w:rsid w:val="00EA7A8E"/>
    <w:rsid w:val="00EA7FF0"/>
    <w:rsid w:val="00EB0146"/>
    <w:rsid w:val="00EB0351"/>
    <w:rsid w:val="00EB0964"/>
    <w:rsid w:val="00EB1331"/>
    <w:rsid w:val="00EB1947"/>
    <w:rsid w:val="00EB2972"/>
    <w:rsid w:val="00EB307C"/>
    <w:rsid w:val="00EB3691"/>
    <w:rsid w:val="00EB3F54"/>
    <w:rsid w:val="00EB43A3"/>
    <w:rsid w:val="00EB5208"/>
    <w:rsid w:val="00EB5DB6"/>
    <w:rsid w:val="00EB623D"/>
    <w:rsid w:val="00EB6491"/>
    <w:rsid w:val="00EB6FDF"/>
    <w:rsid w:val="00EB7166"/>
    <w:rsid w:val="00EC00C1"/>
    <w:rsid w:val="00EC051A"/>
    <w:rsid w:val="00EC2687"/>
    <w:rsid w:val="00EC2F16"/>
    <w:rsid w:val="00EC42E1"/>
    <w:rsid w:val="00EC4A7C"/>
    <w:rsid w:val="00EC54B7"/>
    <w:rsid w:val="00EC57D7"/>
    <w:rsid w:val="00EC6A38"/>
    <w:rsid w:val="00ED0D97"/>
    <w:rsid w:val="00ED20E1"/>
    <w:rsid w:val="00ED26C6"/>
    <w:rsid w:val="00ED3BEB"/>
    <w:rsid w:val="00ED46CD"/>
    <w:rsid w:val="00ED6E86"/>
    <w:rsid w:val="00ED718E"/>
    <w:rsid w:val="00ED7470"/>
    <w:rsid w:val="00EE50DA"/>
    <w:rsid w:val="00EE5B18"/>
    <w:rsid w:val="00EE61DD"/>
    <w:rsid w:val="00EE6E08"/>
    <w:rsid w:val="00EE6FB5"/>
    <w:rsid w:val="00EE7387"/>
    <w:rsid w:val="00EF4E85"/>
    <w:rsid w:val="00F00336"/>
    <w:rsid w:val="00F011C7"/>
    <w:rsid w:val="00F048D7"/>
    <w:rsid w:val="00F04D92"/>
    <w:rsid w:val="00F04E70"/>
    <w:rsid w:val="00F05B15"/>
    <w:rsid w:val="00F0628D"/>
    <w:rsid w:val="00F06B26"/>
    <w:rsid w:val="00F06FD6"/>
    <w:rsid w:val="00F10DA2"/>
    <w:rsid w:val="00F1116E"/>
    <w:rsid w:val="00F112B7"/>
    <w:rsid w:val="00F120DD"/>
    <w:rsid w:val="00F123D5"/>
    <w:rsid w:val="00F12C1A"/>
    <w:rsid w:val="00F13804"/>
    <w:rsid w:val="00F13887"/>
    <w:rsid w:val="00F13B8A"/>
    <w:rsid w:val="00F13C20"/>
    <w:rsid w:val="00F14D59"/>
    <w:rsid w:val="00F15812"/>
    <w:rsid w:val="00F2235A"/>
    <w:rsid w:val="00F23E78"/>
    <w:rsid w:val="00F2602F"/>
    <w:rsid w:val="00F26243"/>
    <w:rsid w:val="00F262C0"/>
    <w:rsid w:val="00F27DE6"/>
    <w:rsid w:val="00F31EE8"/>
    <w:rsid w:val="00F3227B"/>
    <w:rsid w:val="00F32606"/>
    <w:rsid w:val="00F371C8"/>
    <w:rsid w:val="00F37F6C"/>
    <w:rsid w:val="00F44A35"/>
    <w:rsid w:val="00F44FA9"/>
    <w:rsid w:val="00F45118"/>
    <w:rsid w:val="00F4517E"/>
    <w:rsid w:val="00F45A93"/>
    <w:rsid w:val="00F50D38"/>
    <w:rsid w:val="00F51159"/>
    <w:rsid w:val="00F51232"/>
    <w:rsid w:val="00F51AC1"/>
    <w:rsid w:val="00F51C78"/>
    <w:rsid w:val="00F52479"/>
    <w:rsid w:val="00F5496B"/>
    <w:rsid w:val="00F549B4"/>
    <w:rsid w:val="00F5744D"/>
    <w:rsid w:val="00F60926"/>
    <w:rsid w:val="00F60D3D"/>
    <w:rsid w:val="00F61AEA"/>
    <w:rsid w:val="00F61B43"/>
    <w:rsid w:val="00F62B76"/>
    <w:rsid w:val="00F62F3E"/>
    <w:rsid w:val="00F63FE6"/>
    <w:rsid w:val="00F67CDB"/>
    <w:rsid w:val="00F67F84"/>
    <w:rsid w:val="00F701B0"/>
    <w:rsid w:val="00F7099E"/>
    <w:rsid w:val="00F72BBE"/>
    <w:rsid w:val="00F73422"/>
    <w:rsid w:val="00F74431"/>
    <w:rsid w:val="00F746AF"/>
    <w:rsid w:val="00F74ED6"/>
    <w:rsid w:val="00F75105"/>
    <w:rsid w:val="00F751DC"/>
    <w:rsid w:val="00F75EFE"/>
    <w:rsid w:val="00F76B71"/>
    <w:rsid w:val="00F774AD"/>
    <w:rsid w:val="00F7760A"/>
    <w:rsid w:val="00F80095"/>
    <w:rsid w:val="00F803AF"/>
    <w:rsid w:val="00F80829"/>
    <w:rsid w:val="00F80A2E"/>
    <w:rsid w:val="00F81BBA"/>
    <w:rsid w:val="00F81D5C"/>
    <w:rsid w:val="00F842BF"/>
    <w:rsid w:val="00F84B3E"/>
    <w:rsid w:val="00F8509C"/>
    <w:rsid w:val="00F851AF"/>
    <w:rsid w:val="00F85A3B"/>
    <w:rsid w:val="00F85D03"/>
    <w:rsid w:val="00F87D71"/>
    <w:rsid w:val="00F91640"/>
    <w:rsid w:val="00F91CEA"/>
    <w:rsid w:val="00F9204C"/>
    <w:rsid w:val="00F920F3"/>
    <w:rsid w:val="00F94D4F"/>
    <w:rsid w:val="00F94EF7"/>
    <w:rsid w:val="00F952E3"/>
    <w:rsid w:val="00F966B9"/>
    <w:rsid w:val="00F96881"/>
    <w:rsid w:val="00F96CB1"/>
    <w:rsid w:val="00F976F8"/>
    <w:rsid w:val="00FA02E3"/>
    <w:rsid w:val="00FA1350"/>
    <w:rsid w:val="00FA1E40"/>
    <w:rsid w:val="00FA6BA4"/>
    <w:rsid w:val="00FA7E6E"/>
    <w:rsid w:val="00FB03EE"/>
    <w:rsid w:val="00FB0C94"/>
    <w:rsid w:val="00FB1697"/>
    <w:rsid w:val="00FB2599"/>
    <w:rsid w:val="00FB2955"/>
    <w:rsid w:val="00FB2E65"/>
    <w:rsid w:val="00FB2F3A"/>
    <w:rsid w:val="00FB401F"/>
    <w:rsid w:val="00FB510A"/>
    <w:rsid w:val="00FB65F5"/>
    <w:rsid w:val="00FB6E9A"/>
    <w:rsid w:val="00FB76BB"/>
    <w:rsid w:val="00FB7C62"/>
    <w:rsid w:val="00FC04FE"/>
    <w:rsid w:val="00FC11E6"/>
    <w:rsid w:val="00FC21AE"/>
    <w:rsid w:val="00FC2784"/>
    <w:rsid w:val="00FC2798"/>
    <w:rsid w:val="00FC28FB"/>
    <w:rsid w:val="00FC2CED"/>
    <w:rsid w:val="00FC3081"/>
    <w:rsid w:val="00FC3175"/>
    <w:rsid w:val="00FC36BD"/>
    <w:rsid w:val="00FC3EC2"/>
    <w:rsid w:val="00FC5497"/>
    <w:rsid w:val="00FC5C86"/>
    <w:rsid w:val="00FC6A99"/>
    <w:rsid w:val="00FC7363"/>
    <w:rsid w:val="00FC744C"/>
    <w:rsid w:val="00FC77E0"/>
    <w:rsid w:val="00FD06C0"/>
    <w:rsid w:val="00FD17D8"/>
    <w:rsid w:val="00FD1A65"/>
    <w:rsid w:val="00FD1F3D"/>
    <w:rsid w:val="00FD25DC"/>
    <w:rsid w:val="00FD4058"/>
    <w:rsid w:val="00FD4183"/>
    <w:rsid w:val="00FD458C"/>
    <w:rsid w:val="00FD5475"/>
    <w:rsid w:val="00FD6406"/>
    <w:rsid w:val="00FD7117"/>
    <w:rsid w:val="00FE03AC"/>
    <w:rsid w:val="00FE0512"/>
    <w:rsid w:val="00FE2D83"/>
    <w:rsid w:val="00FE4F4E"/>
    <w:rsid w:val="00FE5B52"/>
    <w:rsid w:val="00FE7338"/>
    <w:rsid w:val="00FF0E30"/>
    <w:rsid w:val="00FF1A15"/>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locked="1" w:qFormat="1"/>
    <w:lsdException w:name="annotation text" w:semiHidden="1" w:unhideWhenUsed="1"/>
    <w:lsdException w:name="header" w:locked="1" w:qFormat="1"/>
    <w:lsdException w:name="footer" w:semiHidden="1" w:unhideWhenUsed="1" w:qFormat="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iPriority="0" w:unhideWhenUsed="1"/>
    <w:lsdException w:name="footnote reference" w:lock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qFormat="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locked="1" w:uiPriority="22" w:qFormat="1"/>
    <w:lsdException w:name="Emphasis" w:locked="1" w:qFormat="1"/>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iPriority="0"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qFormat="1"/>
    <w:lsdException w:name="Table Grid" w:locked="1"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22C66"/>
    <w:rPr>
      <w:rFonts w:eastAsia="SimSun"/>
      <w:sz w:val="24"/>
      <w:szCs w:val="24"/>
      <w:lang w:val="en-GB"/>
    </w:rPr>
  </w:style>
  <w:style w:type="paragraph" w:styleId="Heading1">
    <w:name w:val="heading 1"/>
    <w:basedOn w:val="Normal"/>
    <w:next w:val="Normal"/>
    <w:link w:val="Heading1Char"/>
    <w:uiPriority w:val="99"/>
    <w:qFormat/>
    <w:rsid w:val="0071102C"/>
    <w:pPr>
      <w:keepNext/>
      <w:spacing w:before="240" w:after="60"/>
      <w:outlineLvl w:val="0"/>
    </w:pPr>
    <w:rPr>
      <w:rFonts w:ascii="Cambria" w:eastAsia="Times New Roman" w:hAnsi="Cambria"/>
      <w:b/>
      <w:bCs/>
      <w:kern w:val="32"/>
      <w:sz w:val="32"/>
      <w:szCs w:val="32"/>
      <w:lang w:val="en-US"/>
    </w:rPr>
  </w:style>
  <w:style w:type="paragraph" w:styleId="Heading2">
    <w:name w:val="heading 2"/>
    <w:aliases w:val="a Titlu 2 Char,a Titlu 2 Char Char Char,a Titlu 2 Char1 Char,a Titlu 2 Char Char Char Char,Heading 21,Heading 21 Char"/>
    <w:basedOn w:val="Normal"/>
    <w:link w:val="Heading2Char"/>
    <w:uiPriority w:val="99"/>
    <w:qFormat/>
    <w:rsid w:val="0071102C"/>
    <w:pPr>
      <w:spacing w:before="100" w:beforeAutospacing="1" w:after="100" w:afterAutospacing="1"/>
      <w:outlineLvl w:val="1"/>
    </w:pPr>
    <w:rPr>
      <w:rFonts w:eastAsia="Times New Roman"/>
      <w:b/>
      <w:bCs/>
      <w:sz w:val="36"/>
      <w:szCs w:val="36"/>
      <w:lang w:val="ro-RO" w:eastAsia="ro-RO"/>
    </w:rPr>
  </w:style>
  <w:style w:type="paragraph" w:styleId="Heading3">
    <w:name w:val="heading 3"/>
    <w:basedOn w:val="Normal"/>
    <w:next w:val="Normal"/>
    <w:link w:val="Heading3Char"/>
    <w:qFormat/>
    <w:locked/>
    <w:rsid w:val="004B3C9C"/>
    <w:pPr>
      <w:keepNext/>
      <w:outlineLvl w:val="2"/>
    </w:pPr>
    <w:rPr>
      <w:rFonts w:ascii="R_Helvetica" w:eastAsia="Times New Roman" w:hAnsi="R_Helvetica"/>
      <w:szCs w:val="20"/>
      <w:lang w:val="en-US"/>
    </w:rPr>
  </w:style>
  <w:style w:type="paragraph" w:styleId="Heading4">
    <w:name w:val="heading 4"/>
    <w:basedOn w:val="Normal"/>
    <w:next w:val="Normal"/>
    <w:link w:val="Heading4Char"/>
    <w:uiPriority w:val="99"/>
    <w:qFormat/>
    <w:rsid w:val="000726D2"/>
    <w:pPr>
      <w:keepNext/>
      <w:keepLines/>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71102C"/>
    <w:pPr>
      <w:spacing w:before="240" w:after="60"/>
      <w:outlineLvl w:val="4"/>
    </w:pPr>
    <w:rPr>
      <w:rFonts w:ascii="Calibri" w:eastAsia="Times New Roman" w:hAnsi="Calibri"/>
      <w:b/>
      <w:bCs/>
      <w:i/>
      <w:iCs/>
      <w:sz w:val="26"/>
      <w:szCs w:val="26"/>
      <w:lang w:val="en-US"/>
    </w:rPr>
  </w:style>
  <w:style w:type="paragraph" w:styleId="Heading6">
    <w:name w:val="heading 6"/>
    <w:basedOn w:val="Normal"/>
    <w:next w:val="Normal"/>
    <w:link w:val="Heading6Char"/>
    <w:qFormat/>
    <w:locked/>
    <w:rsid w:val="004B3C9C"/>
    <w:pPr>
      <w:keepNext/>
      <w:outlineLvl w:val="5"/>
    </w:pPr>
    <w:rPr>
      <w:rFonts w:eastAsia="Times New Roman"/>
      <w:color w:val="FF0000"/>
      <w:szCs w:val="20"/>
      <w:lang w:val="ro-RO"/>
    </w:rPr>
  </w:style>
  <w:style w:type="paragraph" w:styleId="Heading7">
    <w:name w:val="heading 7"/>
    <w:basedOn w:val="Normal"/>
    <w:next w:val="Normal"/>
    <w:link w:val="Heading7Char"/>
    <w:qFormat/>
    <w:locked/>
    <w:rsid w:val="004B3C9C"/>
    <w:pPr>
      <w:keepNext/>
      <w:ind w:left="720"/>
      <w:jc w:val="both"/>
      <w:outlineLvl w:val="6"/>
    </w:pPr>
    <w:rPr>
      <w:rFonts w:eastAsia="Times New Roman"/>
      <w:szCs w:val="20"/>
      <w:lang w:val="ro-RO"/>
    </w:rPr>
  </w:style>
  <w:style w:type="paragraph" w:styleId="Heading8">
    <w:name w:val="heading 8"/>
    <w:basedOn w:val="Normal"/>
    <w:next w:val="Normal"/>
    <w:link w:val="Heading8Char"/>
    <w:qFormat/>
    <w:locked/>
    <w:rsid w:val="004B3C9C"/>
    <w:pPr>
      <w:keepNext/>
      <w:widowControl w:val="0"/>
      <w:autoSpaceDE w:val="0"/>
      <w:autoSpaceDN w:val="0"/>
      <w:jc w:val="center"/>
      <w:outlineLvl w:val="7"/>
    </w:pPr>
    <w:rPr>
      <w:rFonts w:ascii="R_Times" w:eastAsia="Times New Roman" w:hAnsi="R_Times"/>
      <w:b/>
      <w:bCs/>
      <w:sz w:val="28"/>
      <w:szCs w:val="28"/>
      <w:lang w:val="ro-RO"/>
    </w:rPr>
  </w:style>
  <w:style w:type="paragraph" w:styleId="Heading9">
    <w:name w:val="heading 9"/>
    <w:basedOn w:val="Normal"/>
    <w:next w:val="Normal"/>
    <w:link w:val="Heading9Char"/>
    <w:qFormat/>
    <w:locked/>
    <w:rsid w:val="004B3C9C"/>
    <w:pPr>
      <w:spacing w:before="240" w:after="60"/>
      <w:outlineLvl w:val="8"/>
    </w:pPr>
    <w:rPr>
      <w:rFonts w:ascii="Arial" w:eastAsia="Times New Roman"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qFormat/>
    <w:locked/>
    <w:rsid w:val="0071102C"/>
    <w:rPr>
      <w:rFonts w:ascii="Cambria" w:hAnsi="Cambria" w:cs="Times New Roman"/>
      <w:b/>
      <w:bCs/>
      <w:kern w:val="32"/>
      <w:sz w:val="32"/>
      <w:szCs w:val="32"/>
    </w:rPr>
  </w:style>
  <w:style w:type="character" w:customStyle="1" w:styleId="Heading2Char">
    <w:name w:val="Heading 2 Char"/>
    <w:aliases w:val="a Titlu 2 Char Char,a Titlu 2 Char Char Char Char1,a Titlu 2 Char1 Char Char,a Titlu 2 Char Char Char Char Char,Heading 21 Char1,Heading 21 Char Char"/>
    <w:link w:val="Heading2"/>
    <w:uiPriority w:val="99"/>
    <w:locked/>
    <w:rsid w:val="0071102C"/>
    <w:rPr>
      <w:rFonts w:cs="Times New Roman"/>
      <w:b/>
      <w:bCs/>
      <w:sz w:val="36"/>
      <w:szCs w:val="36"/>
      <w:lang w:val="ro-RO" w:eastAsia="ro-RO"/>
    </w:rPr>
  </w:style>
  <w:style w:type="character" w:customStyle="1" w:styleId="Heading4Char">
    <w:name w:val="Heading 4 Char"/>
    <w:link w:val="Heading4"/>
    <w:uiPriority w:val="99"/>
    <w:locked/>
    <w:rsid w:val="000726D2"/>
    <w:rPr>
      <w:rFonts w:ascii="Cambria" w:hAnsi="Cambria" w:cs="Times New Roman"/>
      <w:b/>
      <w:bCs/>
      <w:i/>
      <w:iCs/>
      <w:color w:val="4F81BD"/>
      <w:sz w:val="24"/>
      <w:szCs w:val="24"/>
      <w:lang w:val="en-GB"/>
    </w:rPr>
  </w:style>
  <w:style w:type="character" w:customStyle="1" w:styleId="Heading5Char">
    <w:name w:val="Heading 5 Char"/>
    <w:link w:val="Heading5"/>
    <w:uiPriority w:val="99"/>
    <w:locked/>
    <w:rsid w:val="0071102C"/>
    <w:rPr>
      <w:rFonts w:ascii="Calibri" w:hAnsi="Calibri" w:cs="Times New Roman"/>
      <w:b/>
      <w:bCs/>
      <w:i/>
      <w:iCs/>
      <w:sz w:val="26"/>
      <w:szCs w:val="26"/>
    </w:rPr>
  </w:style>
  <w:style w:type="paragraph" w:customStyle="1" w:styleId="Default">
    <w:name w:val="Default"/>
    <w:link w:val="DefaultChar"/>
    <w:rsid w:val="0024470B"/>
    <w:pPr>
      <w:autoSpaceDE w:val="0"/>
      <w:autoSpaceDN w:val="0"/>
      <w:adjustRightInd w:val="0"/>
    </w:pPr>
    <w:rPr>
      <w:rFonts w:ascii="Arial" w:hAnsi="Arial" w:cs="Arial"/>
      <w:color w:val="000000"/>
      <w:sz w:val="24"/>
      <w:szCs w:val="24"/>
    </w:rPr>
  </w:style>
  <w:style w:type="paragraph" w:styleId="Caption">
    <w:name w:val="caption"/>
    <w:aliases w:val="Map Char,Map Char Char Char Char,Map Char Char Char,Map Char Char"/>
    <w:basedOn w:val="Normal"/>
    <w:next w:val="Normal"/>
    <w:uiPriority w:val="99"/>
    <w:qFormat/>
    <w:rsid w:val="00012C6D"/>
    <w:rPr>
      <w:b/>
      <w:bCs/>
      <w:sz w:val="20"/>
      <w:szCs w:val="20"/>
    </w:rPr>
  </w:style>
  <w:style w:type="paragraph" w:customStyle="1" w:styleId="Arial10justify">
    <w:name w:val="Arial10 justify"/>
    <w:basedOn w:val="Normal"/>
    <w:autoRedefine/>
    <w:uiPriority w:val="99"/>
    <w:rsid w:val="00B63600"/>
    <w:pPr>
      <w:jc w:val="both"/>
    </w:pPr>
    <w:rPr>
      <w:rFonts w:ascii="Arial" w:eastAsia="Times New Roman" w:hAnsi="Arial" w:cs="Arial"/>
      <w:bCs/>
      <w:i/>
      <w:iCs/>
      <w:lang w:val="ro-RO"/>
    </w:rPr>
  </w:style>
  <w:style w:type="paragraph" w:styleId="BalloonText">
    <w:name w:val="Balloon Text"/>
    <w:basedOn w:val="Normal"/>
    <w:link w:val="BalloonTextChar"/>
    <w:uiPriority w:val="99"/>
    <w:qFormat/>
    <w:rsid w:val="00710FE3"/>
    <w:rPr>
      <w:rFonts w:ascii="Tahoma" w:hAnsi="Tahoma" w:cs="Tahoma"/>
      <w:sz w:val="16"/>
      <w:szCs w:val="16"/>
    </w:rPr>
  </w:style>
  <w:style w:type="character" w:customStyle="1" w:styleId="BalloonTextChar">
    <w:name w:val="Balloon Text Char"/>
    <w:link w:val="BalloonText"/>
    <w:uiPriority w:val="99"/>
    <w:qFormat/>
    <w:locked/>
    <w:rsid w:val="00710FE3"/>
    <w:rPr>
      <w:rFonts w:ascii="Tahoma" w:eastAsia="SimSun" w:hAnsi="Tahoma" w:cs="Tahoma"/>
      <w:sz w:val="16"/>
      <w:szCs w:val="16"/>
      <w:lang w:val="en-GB"/>
    </w:rPr>
  </w:style>
  <w:style w:type="paragraph" w:styleId="NormalWeb">
    <w:name w:val="Normal (Web)"/>
    <w:basedOn w:val="Normal"/>
    <w:uiPriority w:val="99"/>
    <w:qFormat/>
    <w:rsid w:val="00890F53"/>
    <w:pPr>
      <w:spacing w:before="100" w:beforeAutospacing="1" w:after="100" w:afterAutospacing="1"/>
    </w:pPr>
    <w:rPr>
      <w:rFonts w:eastAsia="Times New Roman"/>
      <w:lang w:val="en-US"/>
    </w:rPr>
  </w:style>
  <w:style w:type="paragraph" w:styleId="Header">
    <w:name w:val="header"/>
    <w:basedOn w:val="Normal"/>
    <w:link w:val="HeaderChar"/>
    <w:uiPriority w:val="99"/>
    <w:qFormat/>
    <w:rsid w:val="003F0B46"/>
    <w:pPr>
      <w:tabs>
        <w:tab w:val="center" w:pos="4680"/>
        <w:tab w:val="right" w:pos="9360"/>
      </w:tabs>
    </w:pPr>
  </w:style>
  <w:style w:type="character" w:customStyle="1" w:styleId="HeaderChar">
    <w:name w:val="Header Char"/>
    <w:link w:val="Header"/>
    <w:uiPriority w:val="99"/>
    <w:qFormat/>
    <w:locked/>
    <w:rsid w:val="003F0B46"/>
    <w:rPr>
      <w:rFonts w:eastAsia="SimSun" w:cs="Times New Roman"/>
      <w:sz w:val="24"/>
      <w:szCs w:val="24"/>
      <w:lang w:val="en-GB"/>
    </w:rPr>
  </w:style>
  <w:style w:type="paragraph" w:styleId="Footer">
    <w:name w:val="footer"/>
    <w:aliases w:val=" Char Char Char Char Char, Char Char Char Char, Char Char Char Char Char Char Char, Char Char Char Char Char Char,Footer1 Char Char,Footer1 Char Char Char Char,Footer1 Char"/>
    <w:basedOn w:val="Normal"/>
    <w:link w:val="FooterChar"/>
    <w:uiPriority w:val="99"/>
    <w:qFormat/>
    <w:rsid w:val="003F0B46"/>
    <w:pPr>
      <w:tabs>
        <w:tab w:val="center" w:pos="4680"/>
        <w:tab w:val="right" w:pos="9360"/>
      </w:tabs>
    </w:pPr>
  </w:style>
  <w:style w:type="character" w:customStyle="1" w:styleId="FooterChar">
    <w:name w:val="Footer Char"/>
    <w:aliases w:val=" Char Char Char Char Char Char1, Char Char Char Char Char1, Char Char Char Char Char Char Char Char, Char Char Char Char Char Char Char1,Footer1 Char Char Char,Footer1 Char Char Char Char Char,Footer1 Char Char1"/>
    <w:link w:val="Footer"/>
    <w:uiPriority w:val="99"/>
    <w:qFormat/>
    <w:locked/>
    <w:rsid w:val="003F0B46"/>
    <w:rPr>
      <w:rFonts w:eastAsia="SimSun" w:cs="Times New Roman"/>
      <w:sz w:val="24"/>
      <w:szCs w:val="24"/>
      <w:lang w:val="en-GB"/>
    </w:rPr>
  </w:style>
  <w:style w:type="character" w:styleId="Hyperlink">
    <w:name w:val="Hyperlink"/>
    <w:uiPriority w:val="99"/>
    <w:rsid w:val="00F75105"/>
    <w:rPr>
      <w:rFonts w:cs="Times New Roman"/>
      <w:color w:val="0000FF"/>
      <w:u w:val="single"/>
    </w:rPr>
  </w:style>
  <w:style w:type="paragraph" w:customStyle="1" w:styleId="1bull1">
    <w:name w:val="1 bull 1"/>
    <w:basedOn w:val="Normal"/>
    <w:uiPriority w:val="99"/>
    <w:rsid w:val="00F75105"/>
    <w:pPr>
      <w:numPr>
        <w:numId w:val="2"/>
      </w:numPr>
      <w:spacing w:line="276" w:lineRule="auto"/>
      <w:ind w:left="1037" w:hanging="357"/>
      <w:jc w:val="both"/>
    </w:pPr>
    <w:rPr>
      <w:rFonts w:ascii="Calibri" w:eastAsia="Times New Roman" w:hAnsi="Calibri"/>
      <w:szCs w:val="22"/>
      <w:lang w:val="ro-RO"/>
    </w:rPr>
  </w:style>
  <w:style w:type="paragraph" w:customStyle="1" w:styleId="1text">
    <w:name w:val="1 text"/>
    <w:basedOn w:val="Normal"/>
    <w:qFormat/>
    <w:rsid w:val="00F75105"/>
    <w:pPr>
      <w:spacing w:before="120" w:after="120" w:line="276" w:lineRule="auto"/>
      <w:ind w:firstLine="720"/>
      <w:jc w:val="both"/>
    </w:pPr>
    <w:rPr>
      <w:rFonts w:ascii="Calibri" w:eastAsia="Times New Roman" w:hAnsi="Calibri" w:cs="Arial"/>
      <w:color w:val="000000"/>
      <w:shd w:val="clear" w:color="auto" w:fill="FFFFFF"/>
      <w:lang w:val="ro-RO"/>
    </w:rPr>
  </w:style>
  <w:style w:type="paragraph" w:styleId="NoSpacing">
    <w:name w:val="No Spacing"/>
    <w:link w:val="NoSpacingChar"/>
    <w:qFormat/>
    <w:rsid w:val="00A310BC"/>
    <w:rPr>
      <w:rFonts w:ascii="Calibri" w:hAnsi="Calibri"/>
      <w:sz w:val="22"/>
      <w:szCs w:val="22"/>
      <w:lang w:val="ro-RO"/>
    </w:rPr>
  </w:style>
  <w:style w:type="paragraph" w:customStyle="1" w:styleId="Frspaiere1">
    <w:name w:val="Fără spațiere1"/>
    <w:uiPriority w:val="99"/>
    <w:rsid w:val="002A0870"/>
    <w:rPr>
      <w:sz w:val="24"/>
      <w:szCs w:val="24"/>
      <w:lang w:val="ro-RO"/>
    </w:rPr>
  </w:style>
  <w:style w:type="paragraph" w:styleId="BodyText2">
    <w:name w:val="Body Text 2"/>
    <w:basedOn w:val="Normal"/>
    <w:link w:val="BodyText2Char"/>
    <w:uiPriority w:val="99"/>
    <w:rsid w:val="0009051B"/>
    <w:pPr>
      <w:spacing w:after="120" w:line="480" w:lineRule="auto"/>
      <w:ind w:left="720"/>
      <w:jc w:val="both"/>
    </w:pPr>
    <w:rPr>
      <w:rFonts w:eastAsia="Times New Roman"/>
      <w:lang w:val="ro-RO"/>
    </w:rPr>
  </w:style>
  <w:style w:type="character" w:customStyle="1" w:styleId="BodyText2Char">
    <w:name w:val="Body Text 2 Char"/>
    <w:link w:val="BodyText2"/>
    <w:uiPriority w:val="99"/>
    <w:locked/>
    <w:rsid w:val="0009051B"/>
    <w:rPr>
      <w:rFonts w:cs="Times New Roman"/>
      <w:sz w:val="24"/>
      <w:szCs w:val="24"/>
      <w:lang w:val="ro-RO"/>
    </w:rPr>
  </w:style>
  <w:style w:type="table" w:styleId="TableGrid">
    <w:name w:val="Table Grid"/>
    <w:basedOn w:val="TableNormal"/>
    <w:uiPriority w:val="99"/>
    <w:qFormat/>
    <w:rsid w:val="00335AF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eading 2_sj,List_Paragraph,Multilevel para_II,List Paragraph1,Normal bullet 2,body 2,Forth level,lp1,Heading x1,Lista 1,lp11,List Paragraph11,Header bold,bullets,Arial,EU,List Paragraph3,Lettre d'introduction,List Paragraph111,lp,Dot pt"/>
    <w:basedOn w:val="Normal"/>
    <w:link w:val="ListParagraphChar"/>
    <w:uiPriority w:val="34"/>
    <w:qFormat/>
    <w:rsid w:val="00335AFC"/>
    <w:pPr>
      <w:ind w:left="720"/>
      <w:contextualSpacing/>
    </w:pPr>
    <w:rPr>
      <w:rFonts w:eastAsia="Times New Roman"/>
      <w:lang w:val="en-US"/>
    </w:rPr>
  </w:style>
  <w:style w:type="paragraph" w:customStyle="1" w:styleId="CharChar1">
    <w:name w:val="Char Char1"/>
    <w:basedOn w:val="Normal"/>
    <w:uiPriority w:val="99"/>
    <w:rsid w:val="0071102C"/>
    <w:rPr>
      <w:rFonts w:eastAsia="Times New Roman"/>
      <w:lang w:val="pl-PL" w:eastAsia="pl-PL"/>
    </w:rPr>
  </w:style>
  <w:style w:type="paragraph" w:customStyle="1" w:styleId="Caracter">
    <w:name w:val="Caracter"/>
    <w:basedOn w:val="Normal"/>
    <w:uiPriority w:val="99"/>
    <w:rsid w:val="0071102C"/>
    <w:rPr>
      <w:rFonts w:eastAsia="Times New Roman"/>
      <w:noProof/>
      <w:lang w:val="pl-PL" w:eastAsia="pl-PL"/>
    </w:rPr>
  </w:style>
  <w:style w:type="paragraph" w:styleId="BodyText">
    <w:name w:val="Body Text"/>
    <w:aliases w:val="Body Text Char Char,block style Caracter Caracter,block style Caracter"/>
    <w:basedOn w:val="Normal"/>
    <w:link w:val="BodyTextChar"/>
    <w:uiPriority w:val="99"/>
    <w:rsid w:val="0071102C"/>
    <w:pPr>
      <w:spacing w:after="120"/>
    </w:pPr>
    <w:rPr>
      <w:rFonts w:eastAsia="Times New Roman"/>
      <w:lang w:val="en-US"/>
    </w:rPr>
  </w:style>
  <w:style w:type="character" w:customStyle="1" w:styleId="BodyTextChar">
    <w:name w:val="Body Text Char"/>
    <w:aliases w:val="Body Text Char Char Char1,block style Caracter Caracter Char,block style Caracter Char"/>
    <w:link w:val="BodyText"/>
    <w:uiPriority w:val="99"/>
    <w:locked/>
    <w:rsid w:val="0071102C"/>
    <w:rPr>
      <w:rFonts w:cs="Times New Roman"/>
      <w:sz w:val="24"/>
      <w:szCs w:val="24"/>
    </w:rPr>
  </w:style>
  <w:style w:type="character" w:styleId="Strong">
    <w:name w:val="Strong"/>
    <w:uiPriority w:val="22"/>
    <w:qFormat/>
    <w:rsid w:val="0071102C"/>
    <w:rPr>
      <w:rFonts w:cs="Times New Roman"/>
      <w:b/>
      <w:bCs/>
    </w:rPr>
  </w:style>
  <w:style w:type="character" w:customStyle="1" w:styleId="link-external">
    <w:name w:val="link-external"/>
    <w:uiPriority w:val="99"/>
    <w:rsid w:val="0071102C"/>
    <w:rPr>
      <w:rFonts w:cs="Times New Roman"/>
    </w:rPr>
  </w:style>
  <w:style w:type="character" w:customStyle="1" w:styleId="languagecodes">
    <w:name w:val="languagecodes"/>
    <w:uiPriority w:val="99"/>
    <w:rsid w:val="0071102C"/>
    <w:rPr>
      <w:rFonts w:cs="Times New Roman"/>
    </w:rPr>
  </w:style>
  <w:style w:type="paragraph" w:customStyle="1" w:styleId="mediu">
    <w:name w:val="mediu"/>
    <w:basedOn w:val="Normal"/>
    <w:uiPriority w:val="99"/>
    <w:rsid w:val="0071102C"/>
    <w:pPr>
      <w:spacing w:before="100" w:beforeAutospacing="1" w:after="100" w:afterAutospacing="1"/>
      <w:ind w:firstLine="711"/>
      <w:jc w:val="both"/>
    </w:pPr>
    <w:rPr>
      <w:rFonts w:eastAsia="Times New Roman"/>
      <w:lang w:val="ro-RO" w:eastAsia="ro-RO"/>
    </w:rPr>
  </w:style>
  <w:style w:type="character" w:styleId="Emphasis">
    <w:name w:val="Emphasis"/>
    <w:uiPriority w:val="99"/>
    <w:qFormat/>
    <w:rsid w:val="0071102C"/>
    <w:rPr>
      <w:rFonts w:cs="Times New Roman"/>
      <w:i/>
      <w:iCs/>
    </w:rPr>
  </w:style>
  <w:style w:type="paragraph" w:styleId="Title">
    <w:name w:val="Title"/>
    <w:basedOn w:val="Normal"/>
    <w:link w:val="TitleChar"/>
    <w:uiPriority w:val="99"/>
    <w:qFormat/>
    <w:rsid w:val="0071102C"/>
    <w:pPr>
      <w:jc w:val="center"/>
    </w:pPr>
    <w:rPr>
      <w:rFonts w:ascii="Arial" w:eastAsia="Times New Roman" w:hAnsi="Arial" w:cs="Arial"/>
      <w:b/>
      <w:bCs/>
      <w:sz w:val="32"/>
      <w:szCs w:val="20"/>
      <w:lang w:val="ro-RO"/>
    </w:rPr>
  </w:style>
  <w:style w:type="character" w:customStyle="1" w:styleId="TitleChar">
    <w:name w:val="Title Char"/>
    <w:link w:val="Title"/>
    <w:uiPriority w:val="99"/>
    <w:locked/>
    <w:rsid w:val="0071102C"/>
    <w:rPr>
      <w:rFonts w:ascii="Arial" w:hAnsi="Arial" w:cs="Arial"/>
      <w:b/>
      <w:bCs/>
      <w:sz w:val="32"/>
      <w:lang w:val="ro-RO"/>
    </w:rPr>
  </w:style>
  <w:style w:type="paragraph" w:customStyle="1" w:styleId="CharChar">
    <w:name w:val="Char Char"/>
    <w:basedOn w:val="Normal"/>
    <w:uiPriority w:val="99"/>
    <w:rsid w:val="0071102C"/>
    <w:rPr>
      <w:rFonts w:ascii="Arial" w:eastAsia="Times New Roman" w:hAnsi="Arial" w:cs="Arial"/>
      <w:lang w:val="pl-PL" w:eastAsia="pl-PL"/>
    </w:rPr>
  </w:style>
  <w:style w:type="paragraph" w:styleId="FootnoteText">
    <w:name w:val="footnote text"/>
    <w:aliases w:val="M Footnotes,Podrozdział,Footnote Text Char Char,Fußnote,fn,FT,ft,SD Footnote Text,Footnote Text AG,Note de bas de page Car Car,Note de bas de page Car Car Car Car Car,Note de bas de page Car Car Car Car,o,Footnote,WB-Fußnotentext,Geneva 9"/>
    <w:basedOn w:val="Normal"/>
    <w:link w:val="FootnoteTextChar"/>
    <w:uiPriority w:val="99"/>
    <w:qFormat/>
    <w:rsid w:val="0071102C"/>
    <w:pPr>
      <w:spacing w:after="200" w:line="276" w:lineRule="auto"/>
    </w:pPr>
    <w:rPr>
      <w:rFonts w:ascii="Calibri" w:eastAsia="Times New Roman" w:hAnsi="Calibri"/>
      <w:sz w:val="20"/>
      <w:szCs w:val="20"/>
      <w:lang w:val="en-US"/>
    </w:rPr>
  </w:style>
  <w:style w:type="character" w:customStyle="1" w:styleId="FootnoteTextChar">
    <w:name w:val="Footnote Text Char"/>
    <w:aliases w:val="M Footnotes Char,Podrozdział Char,Footnote Text Char Char Char,Fußnote Char,fn Char,FT Char,ft Char,SD Footnote Text Char,Footnote Text AG Char,Note de bas de page Car Car Char,Note de bas de page Car Car Car Car Car Char,o Char"/>
    <w:link w:val="FootnoteText"/>
    <w:uiPriority w:val="99"/>
    <w:qFormat/>
    <w:locked/>
    <w:rsid w:val="0071102C"/>
    <w:rPr>
      <w:rFonts w:ascii="Calibri" w:hAnsi="Calibri" w:cs="Times New Roman"/>
    </w:rPr>
  </w:style>
  <w:style w:type="character" w:styleId="FootnoteReference">
    <w:name w:val="footnote reference"/>
    <w:aliases w:val="fr,Footnote Reference Superscript,Footnote Reference/,Footnote Reference text,Footnote symbol,Voetnootverwijzing,footnote ref,FR,Fußnotenzeichen diss neu,Times 10 Point,Exposant 3 Point,Odwołanie przypisu,number,SUPERS,16 Point,ftref"/>
    <w:link w:val="ftrefCharCharCharCharCharCharCharCharChar"/>
    <w:uiPriority w:val="99"/>
    <w:qFormat/>
    <w:rsid w:val="0071102C"/>
    <w:rPr>
      <w:rFonts w:cs="Times New Roman"/>
      <w:vertAlign w:val="superscript"/>
    </w:rPr>
  </w:style>
  <w:style w:type="paragraph" w:customStyle="1" w:styleId="Char">
    <w:name w:val="Char"/>
    <w:basedOn w:val="Normal"/>
    <w:uiPriority w:val="99"/>
    <w:rsid w:val="0071102C"/>
    <w:rPr>
      <w:rFonts w:eastAsia="Times New Roman"/>
      <w:lang w:val="pl-PL" w:eastAsia="pl-PL"/>
    </w:rPr>
  </w:style>
  <w:style w:type="character" w:customStyle="1" w:styleId="apple-converted-space">
    <w:name w:val="apple-converted-space"/>
    <w:rsid w:val="0071102C"/>
  </w:style>
  <w:style w:type="paragraph" w:styleId="HTMLPreformatted">
    <w:name w:val="HTML Preformatted"/>
    <w:basedOn w:val="Normal"/>
    <w:link w:val="HTMLPreformattedChar"/>
    <w:uiPriority w:val="99"/>
    <w:rsid w:val="00711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link w:val="HTMLPreformatted"/>
    <w:uiPriority w:val="99"/>
    <w:locked/>
    <w:rsid w:val="0071102C"/>
    <w:rPr>
      <w:rFonts w:ascii="Courier New" w:hAnsi="Courier New" w:cs="Courier New"/>
    </w:rPr>
  </w:style>
  <w:style w:type="character" w:customStyle="1" w:styleId="emphasischar">
    <w:name w:val="emphasis__char"/>
    <w:uiPriority w:val="99"/>
    <w:rsid w:val="0071102C"/>
    <w:rPr>
      <w:rFonts w:cs="Times New Roman"/>
    </w:rPr>
  </w:style>
  <w:style w:type="paragraph" w:customStyle="1" w:styleId="Char2">
    <w:name w:val="Char2"/>
    <w:basedOn w:val="Normal"/>
    <w:uiPriority w:val="99"/>
    <w:rsid w:val="00AA30D2"/>
    <w:pPr>
      <w:tabs>
        <w:tab w:val="left" w:pos="709"/>
      </w:tabs>
    </w:pPr>
    <w:rPr>
      <w:rFonts w:ascii="Tahoma" w:eastAsia="Times New Roman" w:hAnsi="Tahoma"/>
      <w:lang w:val="pl-PL" w:eastAsia="pl-PL"/>
    </w:rPr>
  </w:style>
  <w:style w:type="paragraph" w:customStyle="1" w:styleId="Char1">
    <w:name w:val="Char1"/>
    <w:basedOn w:val="Normal"/>
    <w:uiPriority w:val="99"/>
    <w:rsid w:val="00247569"/>
    <w:pPr>
      <w:tabs>
        <w:tab w:val="left" w:pos="709"/>
      </w:tabs>
    </w:pPr>
    <w:rPr>
      <w:rFonts w:ascii="Tahoma" w:eastAsia="Times New Roman" w:hAnsi="Tahoma"/>
      <w:lang w:val="pl-PL" w:eastAsia="pl-PL"/>
    </w:rPr>
  </w:style>
  <w:style w:type="paragraph" w:customStyle="1" w:styleId="1text2">
    <w:name w:val="1 text 2"/>
    <w:basedOn w:val="Normal"/>
    <w:uiPriority w:val="99"/>
    <w:qFormat/>
    <w:rsid w:val="000935BE"/>
    <w:pPr>
      <w:spacing w:before="240"/>
      <w:jc w:val="both"/>
    </w:pPr>
    <w:rPr>
      <w:rFonts w:ascii="Arial" w:eastAsia="Times New Roman" w:hAnsi="Arial"/>
      <w:iCs/>
      <w:lang w:val="ro-RO"/>
    </w:rPr>
  </w:style>
  <w:style w:type="paragraph" w:customStyle="1" w:styleId="1tabeltitlu">
    <w:name w:val="1 tabel titlu"/>
    <w:basedOn w:val="Normal"/>
    <w:uiPriority w:val="99"/>
    <w:qFormat/>
    <w:rsid w:val="000935BE"/>
    <w:pPr>
      <w:spacing w:before="240" w:after="120"/>
      <w:jc w:val="center"/>
    </w:pPr>
    <w:rPr>
      <w:rFonts w:ascii="Arial" w:eastAsia="Times New Roman" w:hAnsi="Arial" w:cs="Arial"/>
      <w:b/>
      <w:sz w:val="22"/>
      <w:lang w:val="ro-RO" w:eastAsia="ro-RO"/>
    </w:rPr>
  </w:style>
  <w:style w:type="paragraph" w:styleId="BodyTextIndent">
    <w:name w:val="Body Text Indent"/>
    <w:basedOn w:val="Normal"/>
    <w:link w:val="BodyTextIndentChar"/>
    <w:uiPriority w:val="99"/>
    <w:qFormat/>
    <w:rsid w:val="000935BE"/>
    <w:pPr>
      <w:spacing w:after="120" w:line="276" w:lineRule="auto"/>
      <w:ind w:left="360"/>
    </w:pPr>
    <w:rPr>
      <w:rFonts w:ascii="Calibri" w:eastAsia="Times New Roman" w:hAnsi="Calibri"/>
      <w:sz w:val="22"/>
      <w:szCs w:val="22"/>
      <w:lang w:val="en-US"/>
    </w:rPr>
  </w:style>
  <w:style w:type="character" w:customStyle="1" w:styleId="BodyTextIndentChar">
    <w:name w:val="Body Text Indent Char"/>
    <w:link w:val="BodyTextIndent"/>
    <w:uiPriority w:val="99"/>
    <w:qFormat/>
    <w:locked/>
    <w:rsid w:val="000935BE"/>
    <w:rPr>
      <w:rFonts w:ascii="Calibri" w:hAnsi="Calibri" w:cs="Times New Roman"/>
      <w:sz w:val="22"/>
      <w:szCs w:val="22"/>
    </w:rPr>
  </w:style>
  <w:style w:type="paragraph" w:customStyle="1" w:styleId="Listparagraf1">
    <w:name w:val="Listă paragraf1"/>
    <w:basedOn w:val="Normal"/>
    <w:link w:val="ListparagrafCaracter2"/>
    <w:uiPriority w:val="99"/>
    <w:qFormat/>
    <w:rsid w:val="000D2632"/>
    <w:pPr>
      <w:spacing w:after="200" w:line="276" w:lineRule="auto"/>
      <w:ind w:left="720"/>
      <w:contextualSpacing/>
    </w:pPr>
    <w:rPr>
      <w:rFonts w:ascii="Calibri" w:eastAsia="Times New Roman" w:hAnsi="Calibri"/>
      <w:sz w:val="22"/>
      <w:szCs w:val="20"/>
    </w:rPr>
  </w:style>
  <w:style w:type="character" w:customStyle="1" w:styleId="ListparagrafCaracter2">
    <w:name w:val="Listă paragraf Caracter2"/>
    <w:link w:val="Listparagraf1"/>
    <w:uiPriority w:val="99"/>
    <w:locked/>
    <w:rsid w:val="000D2632"/>
    <w:rPr>
      <w:rFonts w:ascii="Calibri" w:hAnsi="Calibri"/>
      <w:sz w:val="22"/>
    </w:rPr>
  </w:style>
  <w:style w:type="paragraph" w:customStyle="1" w:styleId="H4">
    <w:name w:val="H4"/>
    <w:basedOn w:val="Normal"/>
    <w:next w:val="Normal"/>
    <w:uiPriority w:val="99"/>
    <w:rsid w:val="000726D2"/>
    <w:pPr>
      <w:keepNext/>
      <w:suppressAutoHyphens/>
      <w:spacing w:before="100" w:after="100"/>
    </w:pPr>
    <w:rPr>
      <w:rFonts w:eastAsia="Times New Roman"/>
      <w:b/>
      <w:szCs w:val="20"/>
      <w:lang w:val="en-US" w:eastAsia="ar-SA"/>
    </w:rPr>
  </w:style>
  <w:style w:type="character" w:customStyle="1" w:styleId="HeaderChar1">
    <w:name w:val="Header Char1"/>
    <w:basedOn w:val="DefaultParagraphFont"/>
    <w:uiPriority w:val="99"/>
    <w:semiHidden/>
    <w:rsid w:val="009A2B0A"/>
  </w:style>
  <w:style w:type="character" w:customStyle="1" w:styleId="FooterChar1">
    <w:name w:val="Footer Char1"/>
    <w:basedOn w:val="DefaultParagraphFont"/>
    <w:uiPriority w:val="99"/>
    <w:semiHidden/>
    <w:rsid w:val="009A2B0A"/>
  </w:style>
  <w:style w:type="character" w:styleId="CommentReference">
    <w:name w:val="annotation reference"/>
    <w:uiPriority w:val="99"/>
    <w:unhideWhenUsed/>
    <w:rsid w:val="009A2B0A"/>
    <w:rPr>
      <w:sz w:val="16"/>
      <w:szCs w:val="16"/>
    </w:rPr>
  </w:style>
  <w:style w:type="paragraph" w:styleId="CommentText">
    <w:name w:val="annotation text"/>
    <w:basedOn w:val="Normal"/>
    <w:link w:val="CommentTextChar"/>
    <w:uiPriority w:val="99"/>
    <w:unhideWhenUsed/>
    <w:rsid w:val="009A2B0A"/>
    <w:pPr>
      <w:spacing w:after="160"/>
    </w:pPr>
    <w:rPr>
      <w:rFonts w:ascii="Calibri" w:eastAsia="Calibri" w:hAnsi="Calibri"/>
      <w:sz w:val="20"/>
      <w:szCs w:val="20"/>
      <w:lang w:val="ro-RO"/>
    </w:rPr>
  </w:style>
  <w:style w:type="character" w:customStyle="1" w:styleId="CommentTextChar">
    <w:name w:val="Comment Text Char"/>
    <w:link w:val="CommentText"/>
    <w:uiPriority w:val="99"/>
    <w:rsid w:val="009A2B0A"/>
    <w:rPr>
      <w:rFonts w:ascii="Calibri" w:eastAsia="Calibri" w:hAnsi="Calibri" w:cs="Times New Roman"/>
      <w:lang w:eastAsia="en-US"/>
    </w:rPr>
  </w:style>
  <w:style w:type="paragraph" w:styleId="CommentSubject">
    <w:name w:val="annotation subject"/>
    <w:basedOn w:val="CommentText"/>
    <w:next w:val="CommentText"/>
    <w:link w:val="CommentSubjectChar"/>
    <w:uiPriority w:val="99"/>
    <w:unhideWhenUsed/>
    <w:rsid w:val="009A2B0A"/>
    <w:rPr>
      <w:b/>
      <w:bCs/>
    </w:rPr>
  </w:style>
  <w:style w:type="character" w:customStyle="1" w:styleId="CommentSubjectChar">
    <w:name w:val="Comment Subject Char"/>
    <w:link w:val="CommentSubject"/>
    <w:uiPriority w:val="99"/>
    <w:rsid w:val="009A2B0A"/>
    <w:rPr>
      <w:rFonts w:ascii="Calibri" w:eastAsia="Calibri" w:hAnsi="Calibri" w:cs="Times New Roman"/>
      <w:b/>
      <w:bCs/>
      <w:lang w:eastAsia="en-US"/>
    </w:rPr>
  </w:style>
  <w:style w:type="paragraph" w:styleId="BodyTextIndent2">
    <w:name w:val="Body Text Indent 2"/>
    <w:basedOn w:val="Normal"/>
    <w:link w:val="BodyTextIndent2Char"/>
    <w:unhideWhenUsed/>
    <w:rsid w:val="004B3C9C"/>
    <w:pPr>
      <w:spacing w:after="120" w:line="480" w:lineRule="auto"/>
      <w:ind w:left="360"/>
    </w:pPr>
  </w:style>
  <w:style w:type="character" w:customStyle="1" w:styleId="BodyTextIndent2Char">
    <w:name w:val="Body Text Indent 2 Char"/>
    <w:link w:val="BodyTextIndent2"/>
    <w:rsid w:val="004B3C9C"/>
    <w:rPr>
      <w:rFonts w:eastAsia="SimSun"/>
      <w:sz w:val="24"/>
      <w:szCs w:val="24"/>
      <w:lang w:val="en-GB" w:eastAsia="en-US"/>
    </w:rPr>
  </w:style>
  <w:style w:type="character" w:customStyle="1" w:styleId="Heading3Char">
    <w:name w:val="Heading 3 Char"/>
    <w:link w:val="Heading3"/>
    <w:qFormat/>
    <w:rsid w:val="004B3C9C"/>
    <w:rPr>
      <w:rFonts w:ascii="R_Helvetica" w:hAnsi="R_Helvetica"/>
      <w:sz w:val="24"/>
      <w:lang w:val="en-US" w:eastAsia="en-US"/>
    </w:rPr>
  </w:style>
  <w:style w:type="character" w:customStyle="1" w:styleId="Heading6Char">
    <w:name w:val="Heading 6 Char"/>
    <w:link w:val="Heading6"/>
    <w:rsid w:val="004B3C9C"/>
    <w:rPr>
      <w:color w:val="FF0000"/>
      <w:sz w:val="24"/>
      <w:lang w:eastAsia="en-US"/>
    </w:rPr>
  </w:style>
  <w:style w:type="character" w:customStyle="1" w:styleId="Heading7Char">
    <w:name w:val="Heading 7 Char"/>
    <w:link w:val="Heading7"/>
    <w:rsid w:val="004B3C9C"/>
    <w:rPr>
      <w:sz w:val="24"/>
      <w:lang w:eastAsia="en-US"/>
    </w:rPr>
  </w:style>
  <w:style w:type="character" w:customStyle="1" w:styleId="Heading8Char">
    <w:name w:val="Heading 8 Char"/>
    <w:link w:val="Heading8"/>
    <w:rsid w:val="004B3C9C"/>
    <w:rPr>
      <w:rFonts w:ascii="R_Times" w:hAnsi="R_Times"/>
      <w:b/>
      <w:bCs/>
      <w:sz w:val="28"/>
      <w:szCs w:val="28"/>
      <w:lang w:eastAsia="en-US"/>
    </w:rPr>
  </w:style>
  <w:style w:type="character" w:customStyle="1" w:styleId="Heading9Char">
    <w:name w:val="Heading 9 Char"/>
    <w:link w:val="Heading9"/>
    <w:qFormat/>
    <w:rsid w:val="004B3C9C"/>
    <w:rPr>
      <w:rFonts w:ascii="Arial" w:hAnsi="Arial" w:cs="Arial"/>
      <w:sz w:val="22"/>
      <w:szCs w:val="22"/>
      <w:lang w:val="en-US" w:eastAsia="en-US"/>
    </w:rPr>
  </w:style>
  <w:style w:type="paragraph" w:styleId="PlainText">
    <w:name w:val="Plain Text"/>
    <w:basedOn w:val="Normal"/>
    <w:link w:val="PlainTextChar"/>
    <w:rsid w:val="004B3C9C"/>
    <w:rPr>
      <w:rFonts w:ascii="Courier New" w:eastAsia="Times New Roman" w:hAnsi="Courier New"/>
      <w:sz w:val="20"/>
      <w:szCs w:val="20"/>
      <w:lang w:val="fr-FR"/>
    </w:rPr>
  </w:style>
  <w:style w:type="character" w:customStyle="1" w:styleId="PlainTextChar">
    <w:name w:val="Plain Text Char"/>
    <w:link w:val="PlainText"/>
    <w:rsid w:val="004B3C9C"/>
    <w:rPr>
      <w:rFonts w:ascii="Courier New" w:hAnsi="Courier New"/>
      <w:lang w:val="fr-FR"/>
    </w:rPr>
  </w:style>
  <w:style w:type="character" w:styleId="PageNumber">
    <w:name w:val="page number"/>
    <w:basedOn w:val="DefaultParagraphFont"/>
    <w:rsid w:val="004B3C9C"/>
  </w:style>
  <w:style w:type="paragraph" w:styleId="BodyTextFirstIndent">
    <w:name w:val="Body Text First Indent"/>
    <w:basedOn w:val="BodyText"/>
    <w:link w:val="BodyTextFirstIndentChar"/>
    <w:rsid w:val="004B3C9C"/>
    <w:pPr>
      <w:ind w:firstLine="210"/>
    </w:pPr>
  </w:style>
  <w:style w:type="character" w:customStyle="1" w:styleId="BodyTextFirstIndentChar">
    <w:name w:val="Body Text First Indent Char"/>
    <w:link w:val="BodyTextFirstIndent"/>
    <w:rsid w:val="004B3C9C"/>
    <w:rPr>
      <w:rFonts w:cs="Times New Roman"/>
      <w:sz w:val="24"/>
      <w:szCs w:val="24"/>
      <w:lang w:val="en-US" w:eastAsia="en-US"/>
    </w:rPr>
  </w:style>
  <w:style w:type="paragraph" w:styleId="BodyTextFirstIndent2">
    <w:name w:val="Body Text First Indent 2"/>
    <w:basedOn w:val="BodyTextIndent"/>
    <w:link w:val="BodyTextFirstIndent2Char"/>
    <w:rsid w:val="004B3C9C"/>
    <w:pPr>
      <w:spacing w:line="240" w:lineRule="auto"/>
      <w:ind w:firstLine="210"/>
    </w:pPr>
    <w:rPr>
      <w:rFonts w:ascii="Times New Roman" w:hAnsi="Times New Roman"/>
      <w:sz w:val="24"/>
      <w:szCs w:val="24"/>
    </w:rPr>
  </w:style>
  <w:style w:type="character" w:customStyle="1" w:styleId="BodyTextFirstIndent2Char">
    <w:name w:val="Body Text First Indent 2 Char"/>
    <w:link w:val="BodyTextFirstIndent2"/>
    <w:rsid w:val="004B3C9C"/>
    <w:rPr>
      <w:rFonts w:ascii="Calibri" w:hAnsi="Calibri" w:cs="Times New Roman"/>
      <w:sz w:val="24"/>
      <w:szCs w:val="24"/>
      <w:lang w:val="en-US" w:eastAsia="en-US"/>
    </w:rPr>
  </w:style>
  <w:style w:type="paragraph" w:styleId="BodyTextIndent3">
    <w:name w:val="Body Text Indent 3"/>
    <w:basedOn w:val="Normal"/>
    <w:link w:val="BodyTextIndent3Char"/>
    <w:rsid w:val="004B3C9C"/>
    <w:pPr>
      <w:ind w:left="120"/>
      <w:jc w:val="both"/>
    </w:pPr>
    <w:rPr>
      <w:rFonts w:ascii="R_Helvetica" w:eastAsia="Times New Roman" w:hAnsi="R_Helvetica"/>
      <w:szCs w:val="20"/>
      <w:lang w:val="en-US"/>
    </w:rPr>
  </w:style>
  <w:style w:type="character" w:customStyle="1" w:styleId="BodyTextIndent3Char">
    <w:name w:val="Body Text Indent 3 Char"/>
    <w:link w:val="BodyTextIndent3"/>
    <w:rsid w:val="004B3C9C"/>
    <w:rPr>
      <w:rFonts w:ascii="R_Helvetica" w:hAnsi="R_Helvetica"/>
      <w:sz w:val="24"/>
      <w:lang w:val="en-US" w:eastAsia="en-US"/>
    </w:rPr>
  </w:style>
  <w:style w:type="paragraph" w:styleId="BodyText3">
    <w:name w:val="Body Text 3"/>
    <w:basedOn w:val="Normal"/>
    <w:link w:val="BodyText3Char"/>
    <w:rsid w:val="004B3C9C"/>
    <w:pPr>
      <w:jc w:val="both"/>
    </w:pPr>
    <w:rPr>
      <w:rFonts w:ascii="R_Helvetica" w:eastAsia="Times New Roman" w:hAnsi="R_Helvetica"/>
      <w:sz w:val="22"/>
      <w:szCs w:val="20"/>
      <w:lang w:val="en-US"/>
    </w:rPr>
  </w:style>
  <w:style w:type="character" w:customStyle="1" w:styleId="BodyText3Char">
    <w:name w:val="Body Text 3 Char"/>
    <w:link w:val="BodyText3"/>
    <w:rsid w:val="004B3C9C"/>
    <w:rPr>
      <w:rFonts w:ascii="R_Helvetica" w:hAnsi="R_Helvetica"/>
      <w:sz w:val="22"/>
      <w:lang w:val="en-US" w:eastAsia="en-US"/>
    </w:rPr>
  </w:style>
  <w:style w:type="character" w:styleId="FollowedHyperlink">
    <w:name w:val="FollowedHyperlink"/>
    <w:rsid w:val="004B3C9C"/>
    <w:rPr>
      <w:color w:val="800080"/>
      <w:u w:val="single"/>
    </w:rPr>
  </w:style>
  <w:style w:type="paragraph" w:styleId="Subtitle">
    <w:name w:val="Subtitle"/>
    <w:basedOn w:val="Normal"/>
    <w:link w:val="SubtitleChar"/>
    <w:qFormat/>
    <w:locked/>
    <w:rsid w:val="004B3C9C"/>
    <w:pPr>
      <w:jc w:val="center"/>
    </w:pPr>
    <w:rPr>
      <w:rFonts w:ascii="Arial" w:eastAsia="Times New Roman" w:hAnsi="Arial" w:cs="Arial"/>
      <w:sz w:val="28"/>
      <w:szCs w:val="20"/>
      <w:lang w:val="ro-RO"/>
    </w:rPr>
  </w:style>
  <w:style w:type="character" w:customStyle="1" w:styleId="SubtitleChar">
    <w:name w:val="Subtitle Char"/>
    <w:link w:val="Subtitle"/>
    <w:rsid w:val="004B3C9C"/>
    <w:rPr>
      <w:rFonts w:ascii="Arial" w:hAnsi="Arial" w:cs="Arial"/>
      <w:sz w:val="28"/>
      <w:lang w:eastAsia="en-US"/>
    </w:rPr>
  </w:style>
  <w:style w:type="paragraph" w:customStyle="1" w:styleId="bulet1">
    <w:name w:val="bulet 1"/>
    <w:basedOn w:val="ListParagraph"/>
    <w:qFormat/>
    <w:rsid w:val="004B3C9C"/>
    <w:pPr>
      <w:numPr>
        <w:numId w:val="61"/>
      </w:numPr>
      <w:tabs>
        <w:tab w:val="num" w:pos="360"/>
      </w:tabs>
      <w:spacing w:before="120" w:after="120"/>
      <w:ind w:firstLine="0"/>
      <w:jc w:val="both"/>
    </w:pPr>
    <w:rPr>
      <w:rFonts w:ascii="Arial" w:hAnsi="Arial" w:cs="Arial"/>
      <w:lang w:eastAsia="ro-RO"/>
    </w:rPr>
  </w:style>
  <w:style w:type="character" w:customStyle="1" w:styleId="ListParagraphChar">
    <w:name w:val="List Paragraph Char"/>
    <w:aliases w:val="Heading 2_sj Char,List_Paragraph Char,Multilevel para_II Char,List Paragraph1 Char,Normal bullet 2 Char,body 2 Char,Forth level Char,lp1 Char,Heading x1 Char,Lista 1 Char,lp11 Char,List Paragraph11 Char,Header bold Char,bullets Char"/>
    <w:link w:val="ListParagraph"/>
    <w:uiPriority w:val="99"/>
    <w:qFormat/>
    <w:rsid w:val="004B3C9C"/>
    <w:rPr>
      <w:sz w:val="24"/>
      <w:szCs w:val="24"/>
      <w:lang w:val="en-US" w:eastAsia="en-US"/>
    </w:rPr>
  </w:style>
  <w:style w:type="paragraph" w:customStyle="1" w:styleId="textscris">
    <w:name w:val="text scris"/>
    <w:basedOn w:val="Normal"/>
    <w:qFormat/>
    <w:rsid w:val="004B3C9C"/>
    <w:pPr>
      <w:spacing w:before="120" w:after="120"/>
      <w:ind w:firstLine="720"/>
      <w:jc w:val="both"/>
    </w:pPr>
    <w:rPr>
      <w:rFonts w:ascii="Arial" w:eastAsia="Calibri" w:hAnsi="Arial" w:cs="Arial"/>
      <w:lang w:val="en-US"/>
    </w:rPr>
  </w:style>
  <w:style w:type="paragraph" w:customStyle="1" w:styleId="1titlu">
    <w:name w:val="1 titlu"/>
    <w:basedOn w:val="Heading1"/>
    <w:qFormat/>
    <w:rsid w:val="004B3C9C"/>
    <w:pPr>
      <w:tabs>
        <w:tab w:val="num" w:pos="360"/>
        <w:tab w:val="num" w:pos="720"/>
      </w:tabs>
      <w:spacing w:before="600" w:after="600"/>
      <w:jc w:val="center"/>
      <w:textAlignment w:val="top"/>
    </w:pPr>
    <w:rPr>
      <w:rFonts w:ascii="Arial Bold" w:hAnsi="Arial Bold" w:cs="Arial"/>
      <w:caps/>
      <w:kern w:val="0"/>
      <w:szCs w:val="24"/>
      <w:lang w:val="ro-RO"/>
    </w:rPr>
  </w:style>
  <w:style w:type="paragraph" w:customStyle="1" w:styleId="1bullet">
    <w:name w:val="1_bullet"/>
    <w:basedOn w:val="Normal"/>
    <w:qFormat/>
    <w:rsid w:val="004B3C9C"/>
    <w:pPr>
      <w:numPr>
        <w:numId w:val="62"/>
      </w:numPr>
      <w:spacing w:line="276" w:lineRule="auto"/>
      <w:jc w:val="both"/>
    </w:pPr>
    <w:rPr>
      <w:rFonts w:eastAsia="Times New Roman"/>
      <w:lang w:val="ro-RO"/>
    </w:rPr>
  </w:style>
  <w:style w:type="paragraph" w:customStyle="1" w:styleId="1text0">
    <w:name w:val="1_text"/>
    <w:basedOn w:val="Normal"/>
    <w:qFormat/>
    <w:rsid w:val="004B3C9C"/>
    <w:pPr>
      <w:spacing w:before="120" w:after="120" w:line="276" w:lineRule="auto"/>
      <w:ind w:firstLine="709"/>
      <w:jc w:val="both"/>
    </w:pPr>
    <w:rPr>
      <w:rFonts w:eastAsia="Times New Roman"/>
      <w:lang w:val="ro-RO"/>
    </w:rPr>
  </w:style>
  <w:style w:type="paragraph" w:customStyle="1" w:styleId="1textMeto">
    <w:name w:val="1_text_Meto"/>
    <w:basedOn w:val="Normal"/>
    <w:qFormat/>
    <w:rsid w:val="004B3C9C"/>
    <w:pPr>
      <w:spacing w:before="120" w:after="120" w:line="276" w:lineRule="auto"/>
      <w:ind w:firstLine="709"/>
      <w:jc w:val="both"/>
    </w:pPr>
    <w:rPr>
      <w:rFonts w:eastAsia="Calibri" w:cs="Arial"/>
      <w:bCs/>
      <w:szCs w:val="26"/>
      <w:lang w:val="ro-RO" w:eastAsia="ro-RO"/>
    </w:rPr>
  </w:style>
  <w:style w:type="table" w:customStyle="1" w:styleId="TableGrid1">
    <w:name w:val="Table Grid1"/>
    <w:basedOn w:val="TableNormal"/>
    <w:next w:val="TableGrid"/>
    <w:uiPriority w:val="59"/>
    <w:rsid w:val="00CA3E77"/>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B5EFD"/>
  </w:style>
  <w:style w:type="paragraph" w:customStyle="1" w:styleId="CaracterCaracterCharCharCharCharCharChar">
    <w:name w:val="Caracter Caracter Char Char Char Char Char Char"/>
    <w:basedOn w:val="Normal"/>
    <w:rsid w:val="00BB5EFD"/>
    <w:rPr>
      <w:rFonts w:eastAsia="Times New Roman"/>
      <w:lang w:val="pl-PL" w:eastAsia="pl-PL"/>
    </w:rPr>
  </w:style>
  <w:style w:type="paragraph" w:customStyle="1" w:styleId="CharCharCharCharCharCharCharCharCharChar">
    <w:name w:val="Char Char Char Char Char Char Char Char Char Char"/>
    <w:basedOn w:val="Normal"/>
    <w:rsid w:val="00BB5EFD"/>
    <w:rPr>
      <w:rFonts w:eastAsia="Times New Roman"/>
      <w:lang w:val="pl-PL" w:eastAsia="pl-PL"/>
    </w:rPr>
  </w:style>
  <w:style w:type="paragraph" w:customStyle="1" w:styleId="CaracterCaracterCharCharCharChar1CharCharChar1Char">
    <w:name w:val="Caracter Caracter Char Char Char Char1 Char Char Char1 Char"/>
    <w:basedOn w:val="Normal"/>
    <w:rsid w:val="00BB5EFD"/>
    <w:rPr>
      <w:rFonts w:eastAsia="Times New Roman"/>
      <w:lang w:val="pl-PL" w:eastAsia="pl-PL"/>
    </w:rPr>
  </w:style>
  <w:style w:type="character" w:customStyle="1" w:styleId="BodyTextChar1">
    <w:name w:val="Body Text Char1"/>
    <w:aliases w:val="Body Text Char Char Char"/>
    <w:rsid w:val="00BB5EFD"/>
    <w:rPr>
      <w:rFonts w:ascii="Arial" w:eastAsia="Times New Roman" w:hAnsi="Arial" w:cs="Arial"/>
      <w:sz w:val="24"/>
      <w:szCs w:val="24"/>
      <w:lang w:val="fr-FR"/>
    </w:rPr>
  </w:style>
  <w:style w:type="paragraph" w:customStyle="1" w:styleId="H1">
    <w:name w:val="H1"/>
    <w:basedOn w:val="Heading1"/>
    <w:next w:val="Heading1"/>
    <w:link w:val="H1Char"/>
    <w:rsid w:val="00BB5EFD"/>
    <w:pPr>
      <w:keepNext w:val="0"/>
      <w:tabs>
        <w:tab w:val="left" w:pos="567"/>
      </w:tabs>
      <w:spacing w:before="0" w:after="0"/>
      <w:jc w:val="both"/>
    </w:pPr>
    <w:rPr>
      <w:rFonts w:ascii="Arial" w:hAnsi="Arial" w:cs="Arial"/>
      <w:bCs w:val="0"/>
      <w:kern w:val="0"/>
      <w:sz w:val="24"/>
      <w:szCs w:val="24"/>
      <w:lang w:val="ro-RO"/>
    </w:rPr>
  </w:style>
  <w:style w:type="character" w:customStyle="1" w:styleId="H1Char">
    <w:name w:val="H1 Char"/>
    <w:link w:val="H1"/>
    <w:rsid w:val="00BB5EFD"/>
    <w:rPr>
      <w:rFonts w:ascii="Arial" w:hAnsi="Arial" w:cs="Arial"/>
      <w:b/>
      <w:sz w:val="24"/>
      <w:szCs w:val="24"/>
      <w:lang w:val="ro-RO"/>
    </w:rPr>
  </w:style>
  <w:style w:type="paragraph" w:customStyle="1" w:styleId="H2CharCharCharCharChar">
    <w:name w:val="H2 Char Char Char Char Char"/>
    <w:basedOn w:val="Heading2"/>
    <w:link w:val="H2CharCharCharCharCharChar"/>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H2CharCharCharCharCharChar">
    <w:name w:val="H2 Char Char Char Char Char Char"/>
    <w:link w:val="H2CharCharCharCharChar"/>
    <w:rsid w:val="00BB5EFD"/>
    <w:rPr>
      <w:rFonts w:ascii="Arial" w:hAnsi="Arial" w:cs="Arial"/>
      <w:b/>
      <w:i/>
      <w:sz w:val="24"/>
      <w:szCs w:val="24"/>
      <w:lang w:val="ro-RO"/>
    </w:rPr>
  </w:style>
  <w:style w:type="paragraph" w:customStyle="1" w:styleId="H3CharCharCharCharChar">
    <w:name w:val="H3 Char Char Char Char Char"/>
    <w:basedOn w:val="Normal"/>
    <w:next w:val="Heading3"/>
    <w:link w:val="H3CharCharCharCharCharChar"/>
    <w:rsid w:val="00BB5EFD"/>
    <w:pPr>
      <w:tabs>
        <w:tab w:val="left" w:pos="567"/>
      </w:tabs>
    </w:pPr>
    <w:rPr>
      <w:rFonts w:ascii="Arial" w:eastAsia="Times New Roman" w:hAnsi="Arial" w:cs="Arial"/>
      <w:b/>
      <w:i/>
      <w:lang w:val="ro-RO"/>
    </w:rPr>
  </w:style>
  <w:style w:type="character" w:customStyle="1" w:styleId="H3CharCharCharCharCharChar">
    <w:name w:val="H3 Char Char Char Char Char Char"/>
    <w:link w:val="H3CharCharCharCharChar"/>
    <w:rsid w:val="00BB5EFD"/>
    <w:rPr>
      <w:rFonts w:ascii="Arial" w:hAnsi="Arial" w:cs="Arial"/>
      <w:b/>
      <w:i/>
      <w:sz w:val="24"/>
      <w:szCs w:val="24"/>
      <w:lang w:val="ro-RO"/>
    </w:rPr>
  </w:style>
  <w:style w:type="paragraph" w:customStyle="1" w:styleId="CaracterCaracter">
    <w:name w:val="Caracter Caracter"/>
    <w:basedOn w:val="Normal"/>
    <w:qFormat/>
    <w:rsid w:val="00BB5EFD"/>
    <w:rPr>
      <w:rFonts w:eastAsia="Times New Roman"/>
      <w:lang w:val="pl-PL" w:eastAsia="pl-PL"/>
    </w:rPr>
  </w:style>
  <w:style w:type="paragraph" w:styleId="List">
    <w:name w:val="List"/>
    <w:basedOn w:val="Normal"/>
    <w:rsid w:val="00BB5EFD"/>
    <w:pPr>
      <w:ind w:left="360" w:hanging="360"/>
    </w:pPr>
    <w:rPr>
      <w:rFonts w:eastAsia="Times New Roman"/>
      <w:sz w:val="28"/>
      <w:lang w:val="fr-FR"/>
    </w:rPr>
  </w:style>
  <w:style w:type="paragraph" w:styleId="ListBullet">
    <w:name w:val="List Bullet"/>
    <w:basedOn w:val="Normal"/>
    <w:autoRedefine/>
    <w:rsid w:val="00BB5EFD"/>
    <w:pPr>
      <w:tabs>
        <w:tab w:val="num" w:pos="720"/>
      </w:tabs>
      <w:ind w:left="720" w:hanging="360"/>
    </w:pPr>
    <w:rPr>
      <w:rFonts w:eastAsia="Times New Roman"/>
      <w:sz w:val="28"/>
      <w:lang w:val="fr-FR"/>
    </w:rPr>
  </w:style>
  <w:style w:type="paragraph" w:styleId="ListBullet2">
    <w:name w:val="List Bullet 2"/>
    <w:basedOn w:val="Normal"/>
    <w:autoRedefine/>
    <w:rsid w:val="00BB5EFD"/>
    <w:pPr>
      <w:tabs>
        <w:tab w:val="num" w:pos="720"/>
      </w:tabs>
      <w:ind w:left="720" w:hanging="360"/>
    </w:pPr>
    <w:rPr>
      <w:rFonts w:eastAsia="Times New Roman"/>
      <w:sz w:val="28"/>
      <w:lang w:val="fr-FR"/>
    </w:rPr>
  </w:style>
  <w:style w:type="paragraph" w:styleId="ListBullet3">
    <w:name w:val="List Bullet 3"/>
    <w:basedOn w:val="Normal"/>
    <w:autoRedefine/>
    <w:rsid w:val="00BB5EFD"/>
    <w:pPr>
      <w:tabs>
        <w:tab w:val="num" w:pos="1080"/>
      </w:tabs>
      <w:ind w:left="1080" w:hanging="360"/>
    </w:pPr>
    <w:rPr>
      <w:rFonts w:eastAsia="Times New Roman"/>
      <w:sz w:val="28"/>
      <w:lang w:val="fr-FR"/>
    </w:rPr>
  </w:style>
  <w:style w:type="paragraph" w:styleId="ListBullet4">
    <w:name w:val="List Bullet 4"/>
    <w:basedOn w:val="Normal"/>
    <w:autoRedefine/>
    <w:rsid w:val="00BB5EFD"/>
    <w:pPr>
      <w:tabs>
        <w:tab w:val="num" w:pos="1440"/>
      </w:tabs>
      <w:ind w:left="1440" w:hanging="360"/>
    </w:pPr>
    <w:rPr>
      <w:rFonts w:eastAsia="Times New Roman"/>
      <w:sz w:val="28"/>
      <w:lang w:val="fr-FR"/>
    </w:rPr>
  </w:style>
  <w:style w:type="paragraph" w:styleId="ListContinue">
    <w:name w:val="List Continue"/>
    <w:basedOn w:val="Normal"/>
    <w:rsid w:val="00BB5EFD"/>
    <w:pPr>
      <w:spacing w:after="120"/>
      <w:ind w:left="360"/>
    </w:pPr>
    <w:rPr>
      <w:rFonts w:eastAsia="Times New Roman"/>
      <w:sz w:val="28"/>
      <w:lang w:val="fr-FR"/>
    </w:rPr>
  </w:style>
  <w:style w:type="paragraph" w:customStyle="1" w:styleId="H3">
    <w:name w:val="H3"/>
    <w:basedOn w:val="Normal"/>
    <w:next w:val="Heading3"/>
    <w:rsid w:val="00BB5EFD"/>
    <w:pPr>
      <w:tabs>
        <w:tab w:val="left" w:pos="567"/>
      </w:tabs>
    </w:pPr>
    <w:rPr>
      <w:rFonts w:ascii="Arial" w:eastAsia="Times New Roman" w:hAnsi="Arial" w:cs="Arial"/>
      <w:b/>
      <w:i/>
      <w:lang w:val="ro-RO"/>
    </w:rPr>
  </w:style>
  <w:style w:type="paragraph" w:customStyle="1" w:styleId="H4CharCharCharCharChar">
    <w:name w:val="H4 Char Char Char Char Char"/>
    <w:basedOn w:val="Heading4"/>
    <w:next w:val="Heading4"/>
    <w:link w:val="H4CharCharCharCharCharChar"/>
    <w:rsid w:val="00BB5EFD"/>
    <w:pPr>
      <w:keepLines w:val="0"/>
      <w:tabs>
        <w:tab w:val="left" w:pos="567"/>
      </w:tabs>
      <w:spacing w:before="240" w:after="60"/>
    </w:pPr>
    <w:rPr>
      <w:rFonts w:ascii="Arial" w:hAnsi="Arial" w:cs="Arial"/>
      <w:iCs w:val="0"/>
      <w:color w:val="auto"/>
      <w:szCs w:val="28"/>
      <w:lang w:val="ro-RO"/>
    </w:rPr>
  </w:style>
  <w:style w:type="character" w:customStyle="1" w:styleId="H4CharCharCharCharCharChar">
    <w:name w:val="H4 Char Char Char Char Char Char"/>
    <w:link w:val="H4CharCharCharCharChar"/>
    <w:rsid w:val="00BB5EFD"/>
    <w:rPr>
      <w:rFonts w:ascii="Arial" w:hAnsi="Arial" w:cs="Arial"/>
      <w:b/>
      <w:bCs/>
      <w:i/>
      <w:sz w:val="24"/>
      <w:szCs w:val="28"/>
      <w:lang w:val="ro-RO"/>
    </w:rPr>
  </w:style>
  <w:style w:type="paragraph" w:customStyle="1" w:styleId="xl32">
    <w:name w:val="xl32"/>
    <w:basedOn w:val="Normal"/>
    <w:rsid w:val="00BB5EFD"/>
    <w:pPr>
      <w:pBdr>
        <w:left w:val="single" w:sz="6" w:space="0" w:color="auto"/>
        <w:right w:val="single" w:sz="6" w:space="0" w:color="auto"/>
      </w:pBdr>
      <w:overflowPunct w:val="0"/>
      <w:autoSpaceDE w:val="0"/>
      <w:autoSpaceDN w:val="0"/>
      <w:adjustRightInd w:val="0"/>
      <w:spacing w:before="100" w:after="100"/>
      <w:textAlignment w:val="baseline"/>
    </w:pPr>
    <w:rPr>
      <w:rFonts w:eastAsia="Times New Roman"/>
      <w:szCs w:val="20"/>
    </w:rPr>
  </w:style>
  <w:style w:type="paragraph" w:customStyle="1" w:styleId="H3Char">
    <w:name w:val="H3 Char"/>
    <w:basedOn w:val="Normal"/>
    <w:next w:val="Heading3"/>
    <w:rsid w:val="00BB5EFD"/>
    <w:pPr>
      <w:tabs>
        <w:tab w:val="left" w:pos="567"/>
      </w:tabs>
    </w:pPr>
    <w:rPr>
      <w:rFonts w:ascii="Arial" w:eastAsia="Times New Roman" w:hAnsi="Arial" w:cs="Arial"/>
      <w:b/>
      <w:i/>
      <w:lang w:val="ro-RO"/>
    </w:rPr>
  </w:style>
  <w:style w:type="paragraph" w:customStyle="1" w:styleId="xl24">
    <w:name w:val="xl24"/>
    <w:basedOn w:val="Normal"/>
    <w:rsid w:val="00BB5EFD"/>
    <w:pPr>
      <w:spacing w:before="100" w:beforeAutospacing="1" w:after="100" w:afterAutospacing="1"/>
      <w:textAlignment w:val="top"/>
    </w:pPr>
    <w:rPr>
      <w:rFonts w:ascii="Arial" w:eastAsia="Arial Unicode MS" w:hAnsi="Arial" w:cs="Arial"/>
      <w:sz w:val="16"/>
      <w:szCs w:val="16"/>
    </w:rPr>
  </w:style>
  <w:style w:type="paragraph" w:customStyle="1" w:styleId="raspuns">
    <w:name w:val="raspuns"/>
    <w:basedOn w:val="Normal"/>
    <w:rsid w:val="00BB5EFD"/>
    <w:pPr>
      <w:pBdr>
        <w:bottom w:val="single" w:sz="12" w:space="11" w:color="B7C0AD"/>
      </w:pBdr>
      <w:spacing w:before="100" w:beforeAutospacing="1" w:after="100" w:afterAutospacing="1"/>
      <w:jc w:val="both"/>
    </w:pPr>
    <w:rPr>
      <w:rFonts w:ascii="Arial Unicode MS" w:eastAsia="Arial Unicode MS" w:hAnsi="Arial Unicode MS" w:cs="Arial Unicode MS"/>
    </w:rPr>
  </w:style>
  <w:style w:type="paragraph" w:customStyle="1" w:styleId="H4Char">
    <w:name w:val="H4 Char"/>
    <w:basedOn w:val="Heading4"/>
    <w:next w:val="Heading4"/>
    <w:rsid w:val="00BB5EFD"/>
    <w:pPr>
      <w:keepLines w:val="0"/>
      <w:tabs>
        <w:tab w:val="left" w:pos="567"/>
      </w:tabs>
      <w:spacing w:before="240" w:after="60"/>
    </w:pPr>
    <w:rPr>
      <w:rFonts w:ascii="Arial" w:hAnsi="Arial" w:cs="Arial"/>
      <w:iCs w:val="0"/>
      <w:color w:val="auto"/>
      <w:szCs w:val="28"/>
      <w:lang w:val="ro-RO"/>
    </w:rPr>
  </w:style>
  <w:style w:type="paragraph" w:customStyle="1" w:styleId="xl41">
    <w:name w:val="xl41"/>
    <w:basedOn w:val="Normal"/>
    <w:rsid w:val="00BB5EFD"/>
    <w:pPr>
      <w:pBdr>
        <w:left w:val="single" w:sz="6" w:space="0" w:color="auto"/>
        <w:bottom w:val="single" w:sz="6" w:space="0" w:color="auto"/>
      </w:pBdr>
      <w:overflowPunct w:val="0"/>
      <w:autoSpaceDE w:val="0"/>
      <w:autoSpaceDN w:val="0"/>
      <w:adjustRightInd w:val="0"/>
      <w:spacing w:before="100" w:after="100"/>
      <w:jc w:val="center"/>
      <w:textAlignment w:val="baseline"/>
    </w:pPr>
    <w:rPr>
      <w:rFonts w:eastAsia="Times New Roman"/>
      <w:szCs w:val="20"/>
      <w:lang w:val="ro-RO" w:eastAsia="ro-RO"/>
    </w:rPr>
  </w:style>
  <w:style w:type="paragraph" w:customStyle="1" w:styleId="NormalWeb3">
    <w:name w:val="Normal (Web)3"/>
    <w:basedOn w:val="Normal"/>
    <w:rsid w:val="00BB5EFD"/>
    <w:pPr>
      <w:spacing w:before="100" w:beforeAutospacing="1" w:after="100" w:afterAutospacing="1"/>
      <w:jc w:val="both"/>
    </w:pPr>
    <w:rPr>
      <w:rFonts w:ascii="Verdana" w:eastAsia="Times New Roman" w:hAnsi="Verdana"/>
      <w:sz w:val="18"/>
      <w:szCs w:val="18"/>
      <w:lang w:val="en-US"/>
    </w:rPr>
  </w:style>
  <w:style w:type="paragraph" w:styleId="EnvelopeReturn">
    <w:name w:val="envelope return"/>
    <w:basedOn w:val="Normal"/>
    <w:rsid w:val="00BB5EFD"/>
    <w:pPr>
      <w:spacing w:before="100" w:beforeAutospacing="1"/>
    </w:pPr>
    <w:rPr>
      <w:rFonts w:ascii="Avalon" w:eastAsia="Times New Roman" w:hAnsi="Avalon"/>
      <w:szCs w:val="20"/>
      <w:lang w:val="de-DE"/>
    </w:rPr>
  </w:style>
  <w:style w:type="paragraph" w:customStyle="1" w:styleId="Tabelleninhalt">
    <w:name w:val="Tabelleninhalt"/>
    <w:basedOn w:val="Normal"/>
    <w:rsid w:val="00BB5EFD"/>
    <w:pPr>
      <w:widowControl w:val="0"/>
      <w:spacing w:after="40"/>
    </w:pPr>
    <w:rPr>
      <w:rFonts w:ascii="Arial" w:eastAsia="Times New Roman" w:hAnsi="Arial" w:cs="Arial"/>
      <w:sz w:val="22"/>
      <w:szCs w:val="22"/>
      <w:lang w:eastAsia="de-DE"/>
    </w:rPr>
  </w:style>
  <w:style w:type="paragraph" w:customStyle="1" w:styleId="NormalArial">
    <w:name w:val="Normal + Arial"/>
    <w:aliases w:val="Bold,Centered,Justified"/>
    <w:basedOn w:val="Normal"/>
    <w:rsid w:val="00BB5EFD"/>
    <w:pPr>
      <w:jc w:val="center"/>
    </w:pPr>
    <w:rPr>
      <w:rFonts w:ascii="Arial" w:eastAsia="Times New Roman" w:hAnsi="Arial" w:cs="Arial"/>
      <w:b/>
      <w:bCs/>
      <w:lang w:val="en-US"/>
    </w:rPr>
  </w:style>
  <w:style w:type="paragraph" w:customStyle="1" w:styleId="H2">
    <w:name w:val="H2"/>
    <w:basedOn w:val="Heading2"/>
    <w:link w:val="H2Char"/>
    <w:rsid w:val="00BB5EFD"/>
    <w:pPr>
      <w:tabs>
        <w:tab w:val="left" w:pos="567"/>
      </w:tabs>
      <w:spacing w:before="0" w:beforeAutospacing="0" w:after="0" w:afterAutospacing="0"/>
    </w:pPr>
    <w:rPr>
      <w:rFonts w:ascii="Arial" w:hAnsi="Arial"/>
      <w:bCs w:val="0"/>
      <w:i/>
      <w:sz w:val="24"/>
      <w:szCs w:val="24"/>
      <w:lang w:eastAsia="x-none"/>
    </w:rPr>
  </w:style>
  <w:style w:type="character" w:customStyle="1" w:styleId="H2Char">
    <w:name w:val="H2 Char"/>
    <w:link w:val="H2"/>
    <w:rsid w:val="00BB5EFD"/>
    <w:rPr>
      <w:rFonts w:ascii="Arial" w:hAnsi="Arial"/>
      <w:b/>
      <w:i/>
      <w:sz w:val="24"/>
      <w:szCs w:val="24"/>
      <w:lang w:val="ro-RO" w:eastAsia="x-none"/>
    </w:rPr>
  </w:style>
  <w:style w:type="paragraph" w:styleId="List3">
    <w:name w:val="List 3"/>
    <w:basedOn w:val="Normal"/>
    <w:rsid w:val="00BB5EFD"/>
    <w:pPr>
      <w:ind w:left="849" w:hanging="283"/>
    </w:pPr>
    <w:rPr>
      <w:rFonts w:eastAsia="Times New Roman"/>
      <w:lang w:val="en-US"/>
    </w:rPr>
  </w:style>
  <w:style w:type="paragraph" w:customStyle="1" w:styleId="text">
    <w:name w:val="text"/>
    <w:basedOn w:val="Normal"/>
    <w:rsid w:val="00BB5EFD"/>
    <w:pPr>
      <w:spacing w:before="100" w:beforeAutospacing="1" w:after="100" w:afterAutospacing="1"/>
    </w:pPr>
    <w:rPr>
      <w:rFonts w:eastAsia="Times New Roman"/>
      <w:lang w:val="ro-RO" w:eastAsia="ro-RO"/>
    </w:rPr>
  </w:style>
  <w:style w:type="paragraph" w:customStyle="1" w:styleId="Textdetabel">
    <w:name w:val="Text de tabel"/>
    <w:basedOn w:val="Normal"/>
    <w:rsid w:val="00BB5EFD"/>
    <w:pPr>
      <w:jc w:val="both"/>
    </w:pPr>
    <w:rPr>
      <w:rFonts w:eastAsia="Times New Roman"/>
      <w:sz w:val="20"/>
      <w:szCs w:val="20"/>
      <w:lang w:val="ro-RO"/>
    </w:rPr>
  </w:style>
  <w:style w:type="paragraph" w:customStyle="1" w:styleId="CharCharCharCharCharChar1">
    <w:name w:val="Char Char Char Char Char Char1"/>
    <w:basedOn w:val="Normal"/>
    <w:rsid w:val="00BB5EFD"/>
    <w:rPr>
      <w:rFonts w:eastAsia="Times New Roman"/>
      <w:lang w:val="pl-PL" w:eastAsia="pl-PL"/>
    </w:rPr>
  </w:style>
  <w:style w:type="paragraph" w:customStyle="1" w:styleId="BodyText21">
    <w:name w:val="Body Text 21"/>
    <w:basedOn w:val="Normal"/>
    <w:rsid w:val="00BB5EFD"/>
    <w:pPr>
      <w:overflowPunct w:val="0"/>
      <w:autoSpaceDE w:val="0"/>
      <w:autoSpaceDN w:val="0"/>
      <w:adjustRightInd w:val="0"/>
      <w:spacing w:before="120" w:after="120"/>
      <w:ind w:firstLine="720"/>
      <w:jc w:val="both"/>
      <w:textAlignment w:val="baseline"/>
    </w:pPr>
    <w:rPr>
      <w:rFonts w:ascii="Arial" w:eastAsia="Times New Roman" w:hAnsi="Arial"/>
      <w:szCs w:val="20"/>
    </w:rPr>
  </w:style>
  <w:style w:type="paragraph" w:customStyle="1" w:styleId="CharCharCaracterCaracter">
    <w:name w:val="Char Char Caracter Caracter"/>
    <w:basedOn w:val="Normal"/>
    <w:rsid w:val="00BB5EFD"/>
    <w:rPr>
      <w:rFonts w:eastAsia="Times New Roman"/>
      <w:lang w:val="pl-PL" w:eastAsia="pl-PL"/>
    </w:rPr>
  </w:style>
  <w:style w:type="paragraph" w:customStyle="1" w:styleId="CaracterCaracterCharCharCharChar">
    <w:name w:val="Caracter Caracter Char Char Char Char"/>
    <w:basedOn w:val="Normal"/>
    <w:rsid w:val="00BB5EFD"/>
    <w:rPr>
      <w:rFonts w:eastAsia="Times New Roman"/>
      <w:lang w:val="pl-PL" w:eastAsia="pl-PL"/>
    </w:rPr>
  </w:style>
  <w:style w:type="paragraph" w:customStyle="1" w:styleId="H3CharChar">
    <w:name w:val="H3 Char Char"/>
    <w:basedOn w:val="Normal"/>
    <w:next w:val="Heading3"/>
    <w:link w:val="H3CharCharChar"/>
    <w:rsid w:val="00BB5EFD"/>
    <w:pPr>
      <w:tabs>
        <w:tab w:val="left" w:pos="567"/>
      </w:tabs>
    </w:pPr>
    <w:rPr>
      <w:rFonts w:ascii="Arial" w:eastAsia="Times New Roman" w:hAnsi="Arial" w:cs="Arial"/>
      <w:b/>
      <w:i/>
      <w:lang w:val="ro-RO"/>
    </w:rPr>
  </w:style>
  <w:style w:type="character" w:customStyle="1" w:styleId="H3CharCharChar">
    <w:name w:val="H3 Char Char Char"/>
    <w:link w:val="H3CharChar"/>
    <w:rsid w:val="00BB5EFD"/>
    <w:rPr>
      <w:rFonts w:ascii="Arial" w:hAnsi="Arial" w:cs="Arial"/>
      <w:b/>
      <w:i/>
      <w:sz w:val="24"/>
      <w:szCs w:val="24"/>
      <w:lang w:val="ro-RO"/>
    </w:rPr>
  </w:style>
  <w:style w:type="table" w:styleId="TableGrid10">
    <w:name w:val="Table Grid 1"/>
    <w:basedOn w:val="TableNormal"/>
    <w:rsid w:val="00BB5EF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H2CharChar">
    <w:name w:val="H2 Char Char"/>
    <w:basedOn w:val="Heading2"/>
    <w:link w:val="H2CharCharChar"/>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H2CharCharChar">
    <w:name w:val="H2 Char Char Char"/>
    <w:link w:val="H2CharChar"/>
    <w:rsid w:val="00BB5EFD"/>
    <w:rPr>
      <w:rFonts w:ascii="Arial" w:hAnsi="Arial" w:cs="Arial"/>
      <w:b/>
      <w:i/>
      <w:sz w:val="24"/>
      <w:szCs w:val="24"/>
      <w:lang w:val="ro-RO"/>
    </w:rPr>
  </w:style>
  <w:style w:type="paragraph" w:customStyle="1" w:styleId="H4CharChar">
    <w:name w:val="H4 Char Char"/>
    <w:basedOn w:val="Heading4"/>
    <w:next w:val="Heading4"/>
    <w:link w:val="H4CharCharChar"/>
    <w:rsid w:val="00BB5EFD"/>
    <w:pPr>
      <w:keepLines w:val="0"/>
      <w:tabs>
        <w:tab w:val="left" w:pos="567"/>
      </w:tabs>
      <w:spacing w:before="240" w:after="60"/>
    </w:pPr>
    <w:rPr>
      <w:rFonts w:ascii="Arial" w:hAnsi="Arial" w:cs="Arial"/>
      <w:iCs w:val="0"/>
      <w:color w:val="auto"/>
      <w:szCs w:val="28"/>
      <w:lang w:val="ro-RO"/>
    </w:rPr>
  </w:style>
  <w:style w:type="character" w:customStyle="1" w:styleId="H4CharCharChar">
    <w:name w:val="H4 Char Char Char"/>
    <w:link w:val="H4CharChar"/>
    <w:rsid w:val="00BB5EFD"/>
    <w:rPr>
      <w:rFonts w:ascii="Arial" w:hAnsi="Arial" w:cs="Arial"/>
      <w:b/>
      <w:bCs/>
      <w:i/>
      <w:sz w:val="24"/>
      <w:szCs w:val="28"/>
      <w:lang w:val="ro-RO"/>
    </w:rPr>
  </w:style>
  <w:style w:type="paragraph" w:customStyle="1" w:styleId="CharCharChar1">
    <w:name w:val="Char Char Char1"/>
    <w:basedOn w:val="Normal"/>
    <w:rsid w:val="00BB5EFD"/>
    <w:rPr>
      <w:rFonts w:eastAsia="Times New Roman"/>
      <w:lang w:val="pl-PL" w:eastAsia="pl-PL"/>
    </w:rPr>
  </w:style>
  <w:style w:type="paragraph" w:customStyle="1" w:styleId="H2CharCharCharChar">
    <w:name w:val="H2 Char Char Char Char"/>
    <w:basedOn w:val="Heading2"/>
    <w:link w:val="H2CharCharCharCharChar1"/>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H2CharCharCharCharChar1">
    <w:name w:val="H2 Char Char Char Char Char1"/>
    <w:link w:val="H2CharCharCharChar"/>
    <w:rsid w:val="00BB5EFD"/>
    <w:rPr>
      <w:rFonts w:ascii="Arial" w:hAnsi="Arial" w:cs="Arial"/>
      <w:b/>
      <w:i/>
      <w:sz w:val="24"/>
      <w:szCs w:val="24"/>
      <w:lang w:val="ro-RO"/>
    </w:rPr>
  </w:style>
  <w:style w:type="paragraph" w:customStyle="1" w:styleId="Titlu1">
    <w:name w:val="Titlu1"/>
    <w:basedOn w:val="Normal"/>
    <w:next w:val="BodyText"/>
    <w:rsid w:val="00BB5EFD"/>
    <w:pPr>
      <w:keepNext/>
      <w:suppressAutoHyphens/>
      <w:spacing w:before="240" w:after="120"/>
    </w:pPr>
    <w:rPr>
      <w:rFonts w:ascii="Arial" w:eastAsia="MS Mincho" w:hAnsi="Arial" w:cs="Tahoma"/>
      <w:sz w:val="28"/>
      <w:szCs w:val="28"/>
      <w:lang w:val="en-US" w:eastAsia="ar-SA"/>
    </w:rPr>
  </w:style>
  <w:style w:type="paragraph" w:customStyle="1" w:styleId="Subtitrare">
    <w:name w:val="Subtitrare"/>
    <w:basedOn w:val="Normal"/>
    <w:rsid w:val="00BB5EFD"/>
    <w:pPr>
      <w:suppressLineNumbers/>
      <w:suppressAutoHyphens/>
      <w:spacing w:before="120" w:after="120"/>
    </w:pPr>
    <w:rPr>
      <w:rFonts w:eastAsia="Times New Roman" w:cs="Tahoma"/>
      <w:i/>
      <w:iCs/>
      <w:lang w:val="en-US" w:eastAsia="ar-SA"/>
    </w:rPr>
  </w:style>
  <w:style w:type="paragraph" w:customStyle="1" w:styleId="Index">
    <w:name w:val="Index"/>
    <w:basedOn w:val="Normal"/>
    <w:rsid w:val="00BB5EFD"/>
    <w:pPr>
      <w:suppressLineNumbers/>
      <w:suppressAutoHyphens/>
    </w:pPr>
    <w:rPr>
      <w:rFonts w:eastAsia="Times New Roman" w:cs="Tahoma"/>
      <w:lang w:val="en-US" w:eastAsia="ar-SA"/>
    </w:rPr>
  </w:style>
  <w:style w:type="paragraph" w:customStyle="1" w:styleId="font5">
    <w:name w:val="font5"/>
    <w:basedOn w:val="Normal"/>
    <w:rsid w:val="00BB5EFD"/>
    <w:pPr>
      <w:suppressAutoHyphens/>
      <w:spacing w:before="280" w:after="280"/>
    </w:pPr>
    <w:rPr>
      <w:rFonts w:ascii="Tahoma" w:eastAsia="Arial Unicode MS" w:hAnsi="Tahoma" w:cs="Tahoma"/>
      <w:color w:val="000000"/>
      <w:sz w:val="16"/>
      <w:szCs w:val="16"/>
      <w:lang w:eastAsia="ar-SA"/>
    </w:rPr>
  </w:style>
  <w:style w:type="paragraph" w:customStyle="1" w:styleId="font6">
    <w:name w:val="font6"/>
    <w:basedOn w:val="Normal"/>
    <w:rsid w:val="00BB5EFD"/>
    <w:pPr>
      <w:suppressAutoHyphens/>
      <w:spacing w:before="280" w:after="280"/>
    </w:pPr>
    <w:rPr>
      <w:rFonts w:ascii="Tahoma" w:eastAsia="Arial Unicode MS" w:hAnsi="Tahoma" w:cs="Tahoma"/>
      <w:b/>
      <w:bCs/>
      <w:color w:val="000000"/>
      <w:sz w:val="16"/>
      <w:szCs w:val="16"/>
      <w:lang w:eastAsia="ar-SA"/>
    </w:rPr>
  </w:style>
  <w:style w:type="paragraph" w:customStyle="1" w:styleId="xl25">
    <w:name w:val="xl25"/>
    <w:basedOn w:val="Normal"/>
    <w:rsid w:val="00BB5EFD"/>
    <w:pPr>
      <w:suppressAutoHyphens/>
      <w:spacing w:before="280" w:after="280"/>
    </w:pPr>
    <w:rPr>
      <w:rFonts w:ascii="Arial" w:eastAsia="Arial Unicode MS" w:hAnsi="Arial" w:cs="Arial"/>
      <w:sz w:val="16"/>
      <w:szCs w:val="16"/>
      <w:lang w:eastAsia="ar-SA"/>
    </w:rPr>
  </w:style>
  <w:style w:type="paragraph" w:customStyle="1" w:styleId="Coninuttabel">
    <w:name w:val="Conținut tabel"/>
    <w:basedOn w:val="Normal"/>
    <w:rsid w:val="00BB5EFD"/>
    <w:pPr>
      <w:suppressLineNumbers/>
      <w:suppressAutoHyphens/>
    </w:pPr>
    <w:rPr>
      <w:rFonts w:eastAsia="Times New Roman"/>
      <w:lang w:val="en-US" w:eastAsia="ar-SA"/>
    </w:rPr>
  </w:style>
  <w:style w:type="paragraph" w:customStyle="1" w:styleId="Titludetabel">
    <w:name w:val="Titlu de tabel"/>
    <w:basedOn w:val="Coninuttabel"/>
    <w:rsid w:val="00BB5EFD"/>
    <w:pPr>
      <w:jc w:val="center"/>
    </w:pPr>
    <w:rPr>
      <w:b/>
      <w:bCs/>
    </w:rPr>
  </w:style>
  <w:style w:type="paragraph" w:customStyle="1" w:styleId="Cuprinscadru">
    <w:name w:val="Cuprins cadru"/>
    <w:basedOn w:val="BodyText"/>
    <w:rsid w:val="00BB5EFD"/>
    <w:pPr>
      <w:suppressAutoHyphens/>
    </w:pPr>
    <w:rPr>
      <w:lang w:eastAsia="ar-SA"/>
    </w:rPr>
  </w:style>
  <w:style w:type="paragraph" w:customStyle="1" w:styleId="char0">
    <w:name w:val="char"/>
    <w:basedOn w:val="Normal"/>
    <w:rsid w:val="00BB5EFD"/>
    <w:rPr>
      <w:rFonts w:eastAsia="Times New Roman"/>
      <w:lang w:val="en-US"/>
    </w:rPr>
  </w:style>
  <w:style w:type="paragraph" w:customStyle="1" w:styleId="CaracterCaracterCharCaracterCaracter">
    <w:name w:val="Caracter Caracter Char Caracter Caracter"/>
    <w:basedOn w:val="Normal"/>
    <w:rsid w:val="00BB5EFD"/>
    <w:rPr>
      <w:rFonts w:eastAsia="Times New Roman"/>
      <w:lang w:val="pl-PL" w:eastAsia="pl-PL"/>
    </w:rPr>
  </w:style>
  <w:style w:type="paragraph" w:customStyle="1" w:styleId="CharCharChar">
    <w:name w:val="Char Char Char"/>
    <w:basedOn w:val="Normal"/>
    <w:rsid w:val="00BB5EFD"/>
    <w:rPr>
      <w:rFonts w:eastAsia="Times New Roman"/>
      <w:lang w:val="pl-PL" w:eastAsia="pl-PL"/>
    </w:rPr>
  </w:style>
  <w:style w:type="paragraph" w:customStyle="1" w:styleId="CompanyName">
    <w:name w:val="Company Name"/>
    <w:basedOn w:val="Normal"/>
    <w:rsid w:val="00BB5EFD"/>
    <w:pPr>
      <w:keepNext/>
      <w:keepLines/>
      <w:spacing w:line="220" w:lineRule="atLeast"/>
    </w:pPr>
    <w:rPr>
      <w:rFonts w:ascii="Arial Black" w:eastAsia="Times New Roman" w:hAnsi="Arial Black"/>
      <w:spacing w:val="-25"/>
      <w:kern w:val="28"/>
      <w:sz w:val="32"/>
      <w:szCs w:val="20"/>
      <w:lang w:val="en-US"/>
    </w:rPr>
  </w:style>
  <w:style w:type="paragraph" w:customStyle="1" w:styleId="CaracterCaracterCharCharCaracterCaracterCharChar">
    <w:name w:val="Caracter Caracter Char Char Caracter Caracter Char Char"/>
    <w:basedOn w:val="Normal"/>
    <w:rsid w:val="00BB5EFD"/>
    <w:rPr>
      <w:rFonts w:eastAsia="Times New Roman"/>
      <w:lang w:val="pl-PL" w:eastAsia="pl-PL"/>
    </w:rPr>
  </w:style>
  <w:style w:type="paragraph" w:customStyle="1" w:styleId="Heading22">
    <w:name w:val="Heading 22"/>
    <w:basedOn w:val="Normal"/>
    <w:rsid w:val="00BB5EFD"/>
    <w:pPr>
      <w:spacing w:before="100" w:beforeAutospacing="1" w:after="100" w:afterAutospacing="1"/>
      <w:outlineLvl w:val="2"/>
    </w:pPr>
    <w:rPr>
      <w:rFonts w:ascii="Georgia" w:eastAsia="Times New Roman" w:hAnsi="Georgia"/>
      <w:b/>
      <w:bCs/>
      <w:color w:val="479127"/>
      <w:sz w:val="27"/>
      <w:szCs w:val="27"/>
      <w:lang w:val="ro-RO" w:eastAsia="ro-RO"/>
    </w:rPr>
  </w:style>
  <w:style w:type="paragraph" w:customStyle="1" w:styleId="CharChar1CaracterCaracterCharCharCaracterCaracterCharCharCaracterCaracter">
    <w:name w:val="Char Char1 Caracter Caracter Char Char Caracter Caracter Char Char Caracter Caracter"/>
    <w:basedOn w:val="Normal"/>
    <w:rsid w:val="00BB5EFD"/>
    <w:rPr>
      <w:rFonts w:eastAsia="Times New Roman"/>
      <w:lang w:val="pl-PL" w:eastAsia="pl-PL"/>
    </w:rPr>
  </w:style>
  <w:style w:type="paragraph" w:customStyle="1" w:styleId="1">
    <w:name w:val="1"/>
    <w:basedOn w:val="Normal"/>
    <w:rsid w:val="00BB5EFD"/>
    <w:rPr>
      <w:rFonts w:eastAsia="Times New Roman"/>
      <w:lang w:val="pl-PL" w:eastAsia="pl-PL"/>
    </w:rPr>
  </w:style>
  <w:style w:type="paragraph" w:customStyle="1" w:styleId="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w:basedOn w:val="Normal"/>
    <w:rsid w:val="00BB5EFD"/>
    <w:rPr>
      <w:rFonts w:eastAsia="Times New Roman"/>
      <w:lang w:val="pl-PL" w:eastAsia="pl-PL"/>
    </w:rPr>
  </w:style>
  <w:style w:type="paragraph" w:customStyle="1" w:styleId="CaracterCaracterChar">
    <w:name w:val="Caracter Caracter Char"/>
    <w:basedOn w:val="Normal"/>
    <w:rsid w:val="00BB5EFD"/>
    <w:rPr>
      <w:rFonts w:eastAsia="Times New Roman"/>
      <w:lang w:val="pl-PL" w:eastAsia="pl-PL"/>
    </w:rPr>
  </w:style>
  <w:style w:type="paragraph" w:styleId="TOC1">
    <w:name w:val="toc 1"/>
    <w:basedOn w:val="Normal"/>
    <w:next w:val="Normal"/>
    <w:autoRedefine/>
    <w:uiPriority w:val="39"/>
    <w:qFormat/>
    <w:locked/>
    <w:rsid w:val="003A1F6D"/>
    <w:pPr>
      <w:tabs>
        <w:tab w:val="right" w:leader="dot" w:pos="9060"/>
      </w:tabs>
    </w:pPr>
    <w:rPr>
      <w:rFonts w:ascii="Arial" w:eastAsia="Times New Roman" w:hAnsi="Arial" w:cs="Arial"/>
      <w:bCs/>
      <w:noProof/>
      <w:kern w:val="32"/>
      <w:lang w:val="pt-BR"/>
    </w:rPr>
  </w:style>
  <w:style w:type="paragraph" w:styleId="TOC2">
    <w:name w:val="toc 2"/>
    <w:basedOn w:val="Normal"/>
    <w:next w:val="Normal"/>
    <w:autoRedefine/>
    <w:uiPriority w:val="39"/>
    <w:qFormat/>
    <w:locked/>
    <w:rsid w:val="00BB5EFD"/>
    <w:pPr>
      <w:ind w:left="240"/>
    </w:pPr>
    <w:rPr>
      <w:rFonts w:eastAsia="Times New Roman"/>
      <w:lang w:val="en-US"/>
    </w:rPr>
  </w:style>
  <w:style w:type="paragraph" w:styleId="TOC3">
    <w:name w:val="toc 3"/>
    <w:basedOn w:val="Normal"/>
    <w:next w:val="Normal"/>
    <w:autoRedefine/>
    <w:uiPriority w:val="39"/>
    <w:locked/>
    <w:rsid w:val="00BB5EFD"/>
    <w:pPr>
      <w:ind w:left="480"/>
    </w:pPr>
    <w:rPr>
      <w:rFonts w:eastAsia="Times New Roman"/>
      <w:lang w:val="en-US"/>
    </w:rPr>
  </w:style>
  <w:style w:type="paragraph" w:customStyle="1" w:styleId="CaracterCaracterCharCharCharChar1CharCharChar">
    <w:name w:val="Caracter Caracter Char Char Char Char1 Char Char Char"/>
    <w:basedOn w:val="Normal"/>
    <w:rsid w:val="00BB5EFD"/>
    <w:rPr>
      <w:rFonts w:eastAsia="Times New Roman"/>
      <w:lang w:val="pl-PL" w:eastAsia="pl-PL"/>
    </w:rPr>
  </w:style>
  <w:style w:type="paragraph" w:customStyle="1" w:styleId="CharCharCharCharCharCharCharCharChar">
    <w:name w:val="Char Char Char Char Char Char Char Char Char"/>
    <w:basedOn w:val="Normal"/>
    <w:rsid w:val="00BB5EFD"/>
    <w:rPr>
      <w:rFonts w:eastAsia="Times New Roman"/>
      <w:lang w:val="pl-PL" w:eastAsia="pl-PL"/>
    </w:rPr>
  </w:style>
  <w:style w:type="paragraph" w:customStyle="1" w:styleId="CaracterCaracterCharCaracterCaracterChar">
    <w:name w:val="Caracter Caracter Char Caracter Caracter Char"/>
    <w:basedOn w:val="Normal"/>
    <w:rsid w:val="00BB5EFD"/>
    <w:rPr>
      <w:rFonts w:eastAsia="Times New Roman"/>
      <w:lang w:val="pl-PL" w:eastAsia="pl-PL"/>
    </w:rPr>
  </w:style>
  <w:style w:type="paragraph" w:customStyle="1" w:styleId="CaracterCaracterCharCharCharChar1">
    <w:name w:val="Caracter Caracter Char Char Char Char1"/>
    <w:basedOn w:val="Normal"/>
    <w:rsid w:val="00BB5EFD"/>
    <w:rPr>
      <w:rFonts w:eastAsia="Times New Roman"/>
      <w:lang w:val="pl-PL" w:eastAsia="pl-PL"/>
    </w:rPr>
  </w:style>
  <w:style w:type="paragraph" w:customStyle="1" w:styleId="CaracterCaracterCharCharCharChar1CharCharChar1CharCharCharChar">
    <w:name w:val="Caracter Caracter Char Char Char Char1 Char Char Char1 Char Char Char Char"/>
    <w:basedOn w:val="Normal"/>
    <w:rsid w:val="00BB5EFD"/>
    <w:rPr>
      <w:rFonts w:eastAsia="Times New Roman"/>
      <w:lang w:val="pl-PL" w:eastAsia="pl-PL"/>
    </w:rPr>
  </w:style>
  <w:style w:type="paragraph" w:customStyle="1" w:styleId="CaracterCaracterCharChar">
    <w:name w:val="Caracter Caracter Char Char"/>
    <w:basedOn w:val="Normal"/>
    <w:rsid w:val="00BB5EFD"/>
    <w:rPr>
      <w:rFonts w:eastAsia="Times New Roman"/>
      <w:lang w:val="pl-PL" w:eastAsia="pl-PL"/>
    </w:rPr>
  </w:style>
  <w:style w:type="paragraph" w:customStyle="1" w:styleId="AAAA">
    <w:name w:val="AAAA"/>
    <w:basedOn w:val="Normal"/>
    <w:rsid w:val="00BB5EFD"/>
    <w:pPr>
      <w:widowControl w:val="0"/>
      <w:numPr>
        <w:ilvl w:val="12"/>
      </w:numPr>
      <w:spacing w:before="240" w:after="200" w:line="276" w:lineRule="auto"/>
      <w:ind w:left="1080"/>
      <w:jc w:val="both"/>
    </w:pPr>
    <w:rPr>
      <w:rFonts w:ascii="Calibri" w:eastAsia="Times New Roman" w:hAnsi="Calibri"/>
      <w:sz w:val="23"/>
      <w:szCs w:val="22"/>
      <w:lang w:val="ro-RO" w:bidi="en-US"/>
    </w:rPr>
  </w:style>
  <w:style w:type="character" w:customStyle="1" w:styleId="st">
    <w:name w:val="st"/>
    <w:basedOn w:val="DefaultParagraphFont"/>
    <w:rsid w:val="00BB5EFD"/>
  </w:style>
  <w:style w:type="table" w:styleId="TableGrid4">
    <w:name w:val="Table Grid 4"/>
    <w:basedOn w:val="TableNormal"/>
    <w:rsid w:val="00BB5EFD"/>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paragraph" w:customStyle="1" w:styleId="CaracterCaracterCharCharCharChar1Char">
    <w:name w:val="Caracter Caracter Char Char Char Char1 Char"/>
    <w:basedOn w:val="Normal"/>
    <w:rsid w:val="00BB5EFD"/>
    <w:rPr>
      <w:rFonts w:eastAsia="Times New Roman"/>
      <w:lang w:val="pl-PL" w:eastAsia="pl-PL"/>
    </w:rPr>
  </w:style>
  <w:style w:type="paragraph" w:styleId="TOC4">
    <w:name w:val="toc 4"/>
    <w:basedOn w:val="Normal"/>
    <w:next w:val="Normal"/>
    <w:autoRedefine/>
    <w:uiPriority w:val="39"/>
    <w:locked/>
    <w:rsid w:val="00BB5EFD"/>
    <w:pPr>
      <w:ind w:left="720"/>
    </w:pPr>
    <w:rPr>
      <w:rFonts w:eastAsia="Times New Roman"/>
      <w:lang w:val="ro-RO" w:eastAsia="ro-RO"/>
    </w:rPr>
  </w:style>
  <w:style w:type="paragraph" w:styleId="TOC5">
    <w:name w:val="toc 5"/>
    <w:basedOn w:val="Normal"/>
    <w:next w:val="Normal"/>
    <w:autoRedefine/>
    <w:uiPriority w:val="39"/>
    <w:locked/>
    <w:rsid w:val="00BB5EFD"/>
    <w:pPr>
      <w:ind w:left="960"/>
    </w:pPr>
    <w:rPr>
      <w:rFonts w:eastAsia="Times New Roman"/>
      <w:lang w:val="ro-RO" w:eastAsia="ro-RO"/>
    </w:rPr>
  </w:style>
  <w:style w:type="paragraph" w:styleId="TOC6">
    <w:name w:val="toc 6"/>
    <w:basedOn w:val="Normal"/>
    <w:next w:val="Normal"/>
    <w:autoRedefine/>
    <w:uiPriority w:val="39"/>
    <w:locked/>
    <w:rsid w:val="00BB5EFD"/>
    <w:pPr>
      <w:ind w:left="1200"/>
    </w:pPr>
    <w:rPr>
      <w:rFonts w:eastAsia="Times New Roman"/>
      <w:lang w:val="ro-RO" w:eastAsia="ro-RO"/>
    </w:rPr>
  </w:style>
  <w:style w:type="paragraph" w:styleId="TOC7">
    <w:name w:val="toc 7"/>
    <w:basedOn w:val="Normal"/>
    <w:next w:val="Normal"/>
    <w:autoRedefine/>
    <w:uiPriority w:val="39"/>
    <w:locked/>
    <w:rsid w:val="00BB5EFD"/>
    <w:pPr>
      <w:ind w:left="1440"/>
    </w:pPr>
    <w:rPr>
      <w:rFonts w:eastAsia="Times New Roman"/>
      <w:lang w:val="ro-RO" w:eastAsia="ro-RO"/>
    </w:rPr>
  </w:style>
  <w:style w:type="paragraph" w:styleId="TOC8">
    <w:name w:val="toc 8"/>
    <w:basedOn w:val="Normal"/>
    <w:next w:val="Normal"/>
    <w:autoRedefine/>
    <w:uiPriority w:val="39"/>
    <w:locked/>
    <w:rsid w:val="00BB5EFD"/>
    <w:pPr>
      <w:ind w:left="1680"/>
    </w:pPr>
    <w:rPr>
      <w:rFonts w:eastAsia="Times New Roman"/>
      <w:lang w:val="ro-RO" w:eastAsia="ro-RO"/>
    </w:rPr>
  </w:style>
  <w:style w:type="paragraph" w:styleId="TOC9">
    <w:name w:val="toc 9"/>
    <w:basedOn w:val="Normal"/>
    <w:next w:val="Normal"/>
    <w:autoRedefine/>
    <w:uiPriority w:val="39"/>
    <w:locked/>
    <w:rsid w:val="00BB5EFD"/>
    <w:pPr>
      <w:ind w:left="1920"/>
    </w:pPr>
    <w:rPr>
      <w:rFonts w:eastAsia="Times New Roman"/>
      <w:lang w:val="ro-RO" w:eastAsia="ro-RO"/>
    </w:rPr>
  </w:style>
  <w:style w:type="paragraph" w:styleId="DocumentMap">
    <w:name w:val="Document Map"/>
    <w:basedOn w:val="Normal"/>
    <w:link w:val="DocumentMapChar"/>
    <w:semiHidden/>
    <w:qFormat/>
    <w:rsid w:val="00BB5EFD"/>
    <w:pPr>
      <w:shd w:val="clear" w:color="auto" w:fill="000080"/>
    </w:pPr>
    <w:rPr>
      <w:rFonts w:ascii="Tahoma" w:eastAsia="Times New Roman" w:hAnsi="Tahoma" w:cs="Tahoma"/>
      <w:lang w:val="en-US"/>
    </w:rPr>
  </w:style>
  <w:style w:type="character" w:customStyle="1" w:styleId="DocumentMapChar">
    <w:name w:val="Document Map Char"/>
    <w:basedOn w:val="DefaultParagraphFont"/>
    <w:link w:val="DocumentMap"/>
    <w:semiHidden/>
    <w:qFormat/>
    <w:rsid w:val="00BB5EFD"/>
    <w:rPr>
      <w:rFonts w:ascii="Tahoma" w:hAnsi="Tahoma" w:cs="Tahoma"/>
      <w:sz w:val="24"/>
      <w:szCs w:val="24"/>
      <w:shd w:val="clear" w:color="auto" w:fill="000080"/>
    </w:rPr>
  </w:style>
  <w:style w:type="paragraph" w:customStyle="1" w:styleId="yiv1616271018msonormal">
    <w:name w:val="yiv1616271018msonormal"/>
    <w:basedOn w:val="Normal"/>
    <w:rsid w:val="00BB5EFD"/>
    <w:pPr>
      <w:spacing w:before="100" w:beforeAutospacing="1" w:after="100" w:afterAutospacing="1"/>
    </w:pPr>
    <w:rPr>
      <w:rFonts w:eastAsia="Times New Roman"/>
      <w:lang w:val="ro-RO" w:eastAsia="ro-RO"/>
    </w:rPr>
  </w:style>
  <w:style w:type="character" w:customStyle="1" w:styleId="sttpar1">
    <w:name w:val="st_tpar1"/>
    <w:rsid w:val="00BB5EFD"/>
    <w:rPr>
      <w:color w:val="000000"/>
    </w:rPr>
  </w:style>
  <w:style w:type="character" w:customStyle="1" w:styleId="tli1">
    <w:name w:val="tli1"/>
    <w:basedOn w:val="DefaultParagraphFont"/>
    <w:rsid w:val="00BB5EFD"/>
  </w:style>
  <w:style w:type="character" w:customStyle="1" w:styleId="ln2tlitera">
    <w:name w:val="ln2tlitera"/>
    <w:basedOn w:val="DefaultParagraphFont"/>
    <w:rsid w:val="00BB5EFD"/>
  </w:style>
  <w:style w:type="character" w:customStyle="1" w:styleId="articlebodycontroversabody">
    <w:name w:val="article_body controversa_body"/>
    <w:basedOn w:val="DefaultParagraphFont"/>
    <w:rsid w:val="00BB5EFD"/>
  </w:style>
  <w:style w:type="character" w:customStyle="1" w:styleId="WW8Num2z0">
    <w:name w:val="WW8Num2z0"/>
    <w:rsid w:val="00BB5EFD"/>
    <w:rPr>
      <w:rFonts w:ascii="Symbol" w:hAnsi="Symbol"/>
    </w:rPr>
  </w:style>
  <w:style w:type="character" w:customStyle="1" w:styleId="WW8Num3z0">
    <w:name w:val="WW8Num3z0"/>
    <w:rsid w:val="00BB5EFD"/>
    <w:rPr>
      <w:rFonts w:ascii="Symbol" w:hAnsi="Symbol"/>
    </w:rPr>
  </w:style>
  <w:style w:type="character" w:customStyle="1" w:styleId="WW8Num4z0">
    <w:name w:val="WW8Num4z0"/>
    <w:rsid w:val="00BB5EFD"/>
    <w:rPr>
      <w:rFonts w:ascii="Symbol" w:hAnsi="Symbol"/>
    </w:rPr>
  </w:style>
  <w:style w:type="character" w:customStyle="1" w:styleId="WW8Num5z0">
    <w:name w:val="WW8Num5z0"/>
    <w:rsid w:val="00BB5EFD"/>
    <w:rPr>
      <w:rFonts w:ascii="Symbol" w:hAnsi="Symbol"/>
    </w:rPr>
  </w:style>
  <w:style w:type="character" w:customStyle="1" w:styleId="WW8Num8z0">
    <w:name w:val="WW8Num8z0"/>
    <w:rsid w:val="00BB5EFD"/>
    <w:rPr>
      <w:rFonts w:ascii="Times New Roman" w:eastAsia="Times New Roman" w:hAnsi="Times New Roman" w:cs="Times New Roman"/>
    </w:rPr>
  </w:style>
  <w:style w:type="character" w:customStyle="1" w:styleId="WW8Num9z0">
    <w:name w:val="WW8Num9z0"/>
    <w:rsid w:val="00BB5EFD"/>
    <w:rPr>
      <w:rFonts w:ascii="Times New Roman" w:eastAsia="Times New Roman" w:hAnsi="Times New Roman" w:cs="Times New Roman"/>
    </w:rPr>
  </w:style>
  <w:style w:type="character" w:customStyle="1" w:styleId="WW8Num10z0">
    <w:name w:val="WW8Num10z0"/>
    <w:rsid w:val="00BB5EFD"/>
    <w:rPr>
      <w:rFonts w:ascii="Symbol" w:hAnsi="Symbol"/>
    </w:rPr>
  </w:style>
  <w:style w:type="character" w:customStyle="1" w:styleId="WW8Num11z0">
    <w:name w:val="WW8Num11z0"/>
    <w:rsid w:val="00BB5EFD"/>
    <w:rPr>
      <w:rFonts w:ascii="Symbol" w:hAnsi="Symbol"/>
      <w:sz w:val="20"/>
    </w:rPr>
  </w:style>
  <w:style w:type="character" w:customStyle="1" w:styleId="WW8Num12z0">
    <w:name w:val="WW8Num12z0"/>
    <w:rsid w:val="00BB5EFD"/>
    <w:rPr>
      <w:rFonts w:ascii="Times New Roman" w:hAnsi="Times New Roman" w:cs="Times New Roman"/>
    </w:rPr>
  </w:style>
  <w:style w:type="character" w:customStyle="1" w:styleId="WW8Num13z0">
    <w:name w:val="WW8Num13z0"/>
    <w:rsid w:val="00BB5EFD"/>
    <w:rPr>
      <w:rFonts w:ascii="Times New Roman" w:eastAsia="Times New Roman" w:hAnsi="Times New Roman" w:cs="Times New Roman"/>
    </w:rPr>
  </w:style>
  <w:style w:type="character" w:customStyle="1" w:styleId="WW8Num14z0">
    <w:name w:val="WW8Num14z0"/>
    <w:rsid w:val="00BB5EFD"/>
    <w:rPr>
      <w:rFonts w:ascii="Times New Roman" w:eastAsia="Times New Roman" w:hAnsi="Times New Roman" w:cs="Times New Roman"/>
    </w:rPr>
  </w:style>
  <w:style w:type="character" w:customStyle="1" w:styleId="WW8Num15z0">
    <w:name w:val="WW8Num15z0"/>
    <w:rsid w:val="00BB5EFD"/>
    <w:rPr>
      <w:rFonts w:ascii="Times New Roman" w:eastAsia="Times New Roman" w:hAnsi="Times New Roman" w:cs="Times New Roman"/>
    </w:rPr>
  </w:style>
  <w:style w:type="character" w:customStyle="1" w:styleId="Absatz-Standardschriftart">
    <w:name w:val="Absatz-Standardschriftart"/>
    <w:rsid w:val="00BB5EFD"/>
  </w:style>
  <w:style w:type="character" w:customStyle="1" w:styleId="WW8Num1z0">
    <w:name w:val="WW8Num1z0"/>
    <w:rsid w:val="00BB5EFD"/>
    <w:rPr>
      <w:rFonts w:ascii="Symbol" w:hAnsi="Symbol"/>
    </w:rPr>
  </w:style>
  <w:style w:type="character" w:customStyle="1" w:styleId="WW8Num7z1">
    <w:name w:val="WW8Num7z1"/>
    <w:rsid w:val="00BB5EFD"/>
    <w:rPr>
      <w:rFonts w:ascii="Courier New" w:hAnsi="Courier New"/>
    </w:rPr>
  </w:style>
  <w:style w:type="character" w:customStyle="1" w:styleId="WW8Num7z2">
    <w:name w:val="WW8Num7z2"/>
    <w:rsid w:val="00BB5EFD"/>
    <w:rPr>
      <w:rFonts w:ascii="Wingdings" w:hAnsi="Wingdings"/>
    </w:rPr>
  </w:style>
  <w:style w:type="character" w:customStyle="1" w:styleId="WW8Num7z3">
    <w:name w:val="WW8Num7z3"/>
    <w:rsid w:val="00BB5EFD"/>
    <w:rPr>
      <w:rFonts w:ascii="Symbol" w:hAnsi="Symbol"/>
    </w:rPr>
  </w:style>
  <w:style w:type="character" w:customStyle="1" w:styleId="WW8Num8z1">
    <w:name w:val="WW8Num8z1"/>
    <w:rsid w:val="00BB5EFD"/>
    <w:rPr>
      <w:rFonts w:ascii="Courier New" w:hAnsi="Courier New"/>
    </w:rPr>
  </w:style>
  <w:style w:type="character" w:customStyle="1" w:styleId="WW8Num8z2">
    <w:name w:val="WW8Num8z2"/>
    <w:rsid w:val="00BB5EFD"/>
    <w:rPr>
      <w:rFonts w:ascii="Wingdings" w:hAnsi="Wingdings"/>
    </w:rPr>
  </w:style>
  <w:style w:type="character" w:customStyle="1" w:styleId="WW8Num8z3">
    <w:name w:val="WW8Num8z3"/>
    <w:rsid w:val="00BB5EFD"/>
    <w:rPr>
      <w:rFonts w:ascii="Symbol" w:hAnsi="Symbol"/>
    </w:rPr>
  </w:style>
  <w:style w:type="character" w:customStyle="1" w:styleId="WW8Num9z1">
    <w:name w:val="WW8Num9z1"/>
    <w:rsid w:val="00BB5EFD"/>
    <w:rPr>
      <w:rFonts w:ascii="Courier New" w:hAnsi="Courier New"/>
    </w:rPr>
  </w:style>
  <w:style w:type="character" w:customStyle="1" w:styleId="WW8Num9z2">
    <w:name w:val="WW8Num9z2"/>
    <w:rsid w:val="00BB5EFD"/>
    <w:rPr>
      <w:rFonts w:ascii="Wingdings" w:hAnsi="Wingdings"/>
    </w:rPr>
  </w:style>
  <w:style w:type="character" w:customStyle="1" w:styleId="WW8Num9z3">
    <w:name w:val="WW8Num9z3"/>
    <w:rsid w:val="00BB5EFD"/>
    <w:rPr>
      <w:rFonts w:ascii="Symbol" w:hAnsi="Symbol"/>
    </w:rPr>
  </w:style>
  <w:style w:type="character" w:customStyle="1" w:styleId="WW8Num10z1">
    <w:name w:val="WW8Num10z1"/>
    <w:rsid w:val="00BB5EFD"/>
    <w:rPr>
      <w:rFonts w:ascii="Courier New" w:hAnsi="Courier New" w:cs="Courier New"/>
    </w:rPr>
  </w:style>
  <w:style w:type="character" w:customStyle="1" w:styleId="WW8Num10z2">
    <w:name w:val="WW8Num10z2"/>
    <w:rsid w:val="00BB5EFD"/>
    <w:rPr>
      <w:rFonts w:ascii="Wingdings" w:hAnsi="Wingdings"/>
    </w:rPr>
  </w:style>
  <w:style w:type="character" w:customStyle="1" w:styleId="WW8Num13z1">
    <w:name w:val="WW8Num13z1"/>
    <w:rsid w:val="00BB5EFD"/>
    <w:rPr>
      <w:rFonts w:ascii="Courier New" w:hAnsi="Courier New"/>
    </w:rPr>
  </w:style>
  <w:style w:type="character" w:customStyle="1" w:styleId="WW8Num13z2">
    <w:name w:val="WW8Num13z2"/>
    <w:rsid w:val="00BB5EFD"/>
    <w:rPr>
      <w:rFonts w:ascii="Wingdings" w:hAnsi="Wingdings"/>
    </w:rPr>
  </w:style>
  <w:style w:type="character" w:customStyle="1" w:styleId="WW8Num13z3">
    <w:name w:val="WW8Num13z3"/>
    <w:rsid w:val="00BB5EFD"/>
    <w:rPr>
      <w:rFonts w:ascii="Symbol" w:hAnsi="Symbol"/>
    </w:rPr>
  </w:style>
  <w:style w:type="character" w:customStyle="1" w:styleId="WW8Num14z1">
    <w:name w:val="WW8Num14z1"/>
    <w:rsid w:val="00BB5EFD"/>
    <w:rPr>
      <w:rFonts w:ascii="Courier New" w:hAnsi="Courier New"/>
    </w:rPr>
  </w:style>
  <w:style w:type="character" w:customStyle="1" w:styleId="WW8Num14z2">
    <w:name w:val="WW8Num14z2"/>
    <w:rsid w:val="00BB5EFD"/>
    <w:rPr>
      <w:rFonts w:ascii="Wingdings" w:hAnsi="Wingdings"/>
    </w:rPr>
  </w:style>
  <w:style w:type="character" w:customStyle="1" w:styleId="WW8Num14z3">
    <w:name w:val="WW8Num14z3"/>
    <w:rsid w:val="00BB5EFD"/>
    <w:rPr>
      <w:rFonts w:ascii="Symbol" w:hAnsi="Symbol"/>
    </w:rPr>
  </w:style>
  <w:style w:type="character" w:customStyle="1" w:styleId="WW8Num15z1">
    <w:name w:val="WW8Num15z1"/>
    <w:rsid w:val="00BB5EFD"/>
    <w:rPr>
      <w:rFonts w:ascii="Courier New" w:hAnsi="Courier New"/>
    </w:rPr>
  </w:style>
  <w:style w:type="character" w:customStyle="1" w:styleId="WW8Num15z2">
    <w:name w:val="WW8Num15z2"/>
    <w:rsid w:val="00BB5EFD"/>
    <w:rPr>
      <w:rFonts w:ascii="Wingdings" w:hAnsi="Wingdings"/>
    </w:rPr>
  </w:style>
  <w:style w:type="character" w:customStyle="1" w:styleId="WW8Num15z3">
    <w:name w:val="WW8Num15z3"/>
    <w:rsid w:val="00BB5EFD"/>
    <w:rPr>
      <w:rFonts w:ascii="Symbol" w:hAnsi="Symbol"/>
    </w:rPr>
  </w:style>
  <w:style w:type="character" w:customStyle="1" w:styleId="WW8Num16z0">
    <w:name w:val="WW8Num16z0"/>
    <w:rsid w:val="00BB5EFD"/>
    <w:rPr>
      <w:rFonts w:ascii="Symbol" w:hAnsi="Symbol"/>
      <w:sz w:val="20"/>
    </w:rPr>
  </w:style>
  <w:style w:type="character" w:customStyle="1" w:styleId="WW8Num16z1">
    <w:name w:val="WW8Num16z1"/>
    <w:rsid w:val="00BB5EFD"/>
    <w:rPr>
      <w:rFonts w:ascii="Courier New" w:hAnsi="Courier New"/>
      <w:sz w:val="20"/>
    </w:rPr>
  </w:style>
  <w:style w:type="character" w:customStyle="1" w:styleId="WW8Num16z2">
    <w:name w:val="WW8Num16z2"/>
    <w:rsid w:val="00BB5EFD"/>
    <w:rPr>
      <w:rFonts w:ascii="Wingdings" w:hAnsi="Wingdings"/>
      <w:sz w:val="20"/>
    </w:rPr>
  </w:style>
  <w:style w:type="character" w:customStyle="1" w:styleId="clsteaserboxbody">
    <w:name w:val="clsteaserboxbody"/>
    <w:basedOn w:val="DefaultParagraphFont"/>
    <w:rsid w:val="00BB5EFD"/>
  </w:style>
  <w:style w:type="character" w:customStyle="1" w:styleId="textstyle21">
    <w:name w:val="textstyle21"/>
    <w:rsid w:val="00BB5EFD"/>
    <w:rPr>
      <w:rFonts w:ascii="Times New Roman" w:hAnsi="Times New Roman" w:cs="Times New Roman" w:hint="default"/>
      <w:b w:val="0"/>
      <w:bCs w:val="0"/>
      <w:i/>
      <w:iCs/>
      <w:strike w:val="0"/>
      <w:dstrike w:val="0"/>
      <w:color w:val="000000"/>
      <w:sz w:val="20"/>
      <w:szCs w:val="20"/>
      <w:u w:val="none"/>
      <w:effect w:val="none"/>
    </w:rPr>
  </w:style>
  <w:style w:type="character" w:customStyle="1" w:styleId="H3CharCharChar1">
    <w:name w:val="H3 Char Char Char1"/>
    <w:rsid w:val="00BB5EFD"/>
    <w:rPr>
      <w:rFonts w:ascii="Arial" w:hAnsi="Arial" w:cs="Arial"/>
      <w:b/>
      <w:i/>
      <w:sz w:val="24"/>
      <w:szCs w:val="24"/>
      <w:lang w:val="ro-RO" w:eastAsia="en-US" w:bidi="ar-SA"/>
    </w:rPr>
  </w:style>
  <w:style w:type="character" w:customStyle="1" w:styleId="H2CharChar1">
    <w:name w:val="H2 Char Char1"/>
    <w:rsid w:val="00BB5EFD"/>
    <w:rPr>
      <w:rFonts w:ascii="Arial" w:hAnsi="Arial" w:cs="Arial"/>
      <w:b/>
      <w:i/>
      <w:sz w:val="24"/>
      <w:szCs w:val="24"/>
      <w:lang w:val="ro-RO" w:eastAsia="en-US" w:bidi="ar-SA"/>
    </w:rPr>
  </w:style>
  <w:style w:type="character" w:customStyle="1" w:styleId="aTitlu2CharChar1">
    <w:name w:val="a Titlu 2 Char Char1"/>
    <w:aliases w:val="Heading 2 Char1,a Titlu 2 Char Char Char Char2,a Titlu 2 Char1 Char Char1,a Titlu 2 Char Char Char Char Char1,Heading 21 Char2,Heading 21 Char Char1"/>
    <w:rsid w:val="00BB5EFD"/>
    <w:rPr>
      <w:rFonts w:ascii="Arial" w:hAnsi="Arial" w:cs="Arial"/>
      <w:sz w:val="24"/>
      <w:szCs w:val="24"/>
      <w:lang w:val="fr-FR" w:eastAsia="en-US" w:bidi="ar-SA"/>
    </w:rPr>
  </w:style>
  <w:style w:type="paragraph" w:customStyle="1" w:styleId="H2Char1">
    <w:name w:val="H2 Char1"/>
    <w:basedOn w:val="Heading2"/>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ln2tpunct">
    <w:name w:val="ln2tpunct"/>
    <w:basedOn w:val="DefaultParagraphFont"/>
    <w:rsid w:val="00BB5EFD"/>
  </w:style>
  <w:style w:type="character" w:customStyle="1" w:styleId="ln2litera1">
    <w:name w:val="ln2litera1"/>
    <w:rsid w:val="00BB5EFD"/>
    <w:rPr>
      <w:b/>
      <w:bCs/>
      <w:color w:val="00008F"/>
    </w:rPr>
  </w:style>
  <w:style w:type="character" w:customStyle="1" w:styleId="textalbastru">
    <w:name w:val="textalbastru"/>
    <w:basedOn w:val="DefaultParagraphFont"/>
    <w:rsid w:val="00BB5EFD"/>
  </w:style>
  <w:style w:type="character" w:customStyle="1" w:styleId="yiv1616271018apple-tab-span">
    <w:name w:val="yiv1616271018apple-tab-span"/>
    <w:basedOn w:val="DefaultParagraphFont"/>
    <w:rsid w:val="00BB5EFD"/>
  </w:style>
  <w:style w:type="character" w:customStyle="1" w:styleId="BodyTextCharChar1">
    <w:name w:val="Body Text Char Char1"/>
    <w:aliases w:val="Body Text Char Char2"/>
    <w:rsid w:val="00BB5EFD"/>
    <w:rPr>
      <w:rFonts w:ascii="Arial" w:hAnsi="Arial" w:cs="Arial"/>
      <w:sz w:val="24"/>
      <w:szCs w:val="24"/>
      <w:lang w:val="fr-FR" w:eastAsia="en-US" w:bidi="ar-SA"/>
    </w:rPr>
  </w:style>
  <w:style w:type="character" w:customStyle="1" w:styleId="txtoug">
    <w:name w:val="txtoug"/>
    <w:basedOn w:val="DefaultParagraphFont"/>
    <w:rsid w:val="00BB5EFD"/>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BB5EFD"/>
    <w:rPr>
      <w:rFonts w:eastAsia="Times New Roman"/>
      <w:lang w:val="pl-PL" w:eastAsia="pl-PL"/>
    </w:rPr>
  </w:style>
  <w:style w:type="table" w:styleId="TableGrid5">
    <w:name w:val="Table Grid 5"/>
    <w:basedOn w:val="TableNormal"/>
    <w:rsid w:val="00BB5EFD"/>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yiv2219591419apple-tab-span">
    <w:name w:val="yiv2219591419apple-tab-span"/>
    <w:basedOn w:val="DefaultParagraphFont"/>
    <w:rsid w:val="00BB5EFD"/>
  </w:style>
  <w:style w:type="character" w:customStyle="1" w:styleId="ircptirciis">
    <w:name w:val="irc_pt irc_iis"/>
    <w:basedOn w:val="DefaultParagraphFont"/>
    <w:rsid w:val="00BB5EFD"/>
  </w:style>
  <w:style w:type="paragraph" w:customStyle="1" w:styleId="CM1">
    <w:name w:val="CM1"/>
    <w:basedOn w:val="Default"/>
    <w:next w:val="Default"/>
    <w:rsid w:val="00BB5EFD"/>
    <w:rPr>
      <w:rFonts w:ascii="EUAlbertina" w:hAnsi="EUAlbertina" w:cs="Times New Roman"/>
      <w:color w:val="auto"/>
    </w:rPr>
  </w:style>
  <w:style w:type="paragraph" w:customStyle="1" w:styleId="CM3">
    <w:name w:val="CM3"/>
    <w:basedOn w:val="Default"/>
    <w:next w:val="Default"/>
    <w:rsid w:val="00BB5EFD"/>
    <w:rPr>
      <w:rFonts w:ascii="EUAlbertina" w:hAnsi="EUAlbertina" w:cs="Times New Roman"/>
      <w:color w:val="auto"/>
    </w:rPr>
  </w:style>
  <w:style w:type="paragraph" w:customStyle="1" w:styleId="CM4">
    <w:name w:val="CM4"/>
    <w:basedOn w:val="Default"/>
    <w:next w:val="Default"/>
    <w:rsid w:val="00BB5EFD"/>
    <w:rPr>
      <w:rFonts w:ascii="EUAlbertina" w:hAnsi="EUAlbertina" w:cs="Times New Roman"/>
      <w:color w:val="auto"/>
    </w:rPr>
  </w:style>
  <w:style w:type="paragraph" w:customStyle="1" w:styleId="CharCharChar1CharCaracterCharCharCharCharChar1CharCharCharCaracterCaracterChar">
    <w:name w:val="Char Char Char1 Char Caracter Char Char Char Char Char1 Char Char Char Caracter Caracter Char"/>
    <w:basedOn w:val="Normal"/>
    <w:rsid w:val="00BB5EFD"/>
    <w:rPr>
      <w:rFonts w:eastAsia="Times New Roman"/>
      <w:lang w:val="pl-PL" w:eastAsia="pl-PL"/>
    </w:rPr>
  </w:style>
  <w:style w:type="table" w:styleId="TableList4">
    <w:name w:val="Table List 4"/>
    <w:basedOn w:val="TableNormal"/>
    <w:rsid w:val="00BB5EF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BB5EFD"/>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character" w:customStyle="1" w:styleId="figure-source-copyright">
    <w:name w:val="figure-source-copyright"/>
    <w:basedOn w:val="DefaultParagraphFont"/>
    <w:rsid w:val="00BB5EFD"/>
  </w:style>
  <w:style w:type="character" w:customStyle="1" w:styleId="external-link">
    <w:name w:val="external-link"/>
    <w:basedOn w:val="DefaultParagraphFont"/>
    <w:rsid w:val="00BB5EFD"/>
  </w:style>
  <w:style w:type="paragraph" w:customStyle="1" w:styleId="source">
    <w:name w:val="source"/>
    <w:basedOn w:val="Normal"/>
    <w:rsid w:val="00BB5EFD"/>
    <w:pPr>
      <w:spacing w:before="100" w:beforeAutospacing="1" w:after="100" w:afterAutospacing="1"/>
    </w:pPr>
    <w:rPr>
      <w:rFonts w:eastAsia="Times New Roman"/>
      <w:lang w:val="en-US"/>
    </w:rPr>
  </w:style>
  <w:style w:type="character" w:customStyle="1" w:styleId="text-node">
    <w:name w:val="text-node"/>
    <w:basedOn w:val="DefaultParagraphFont"/>
    <w:rsid w:val="00BB5EFD"/>
  </w:style>
  <w:style w:type="character" w:customStyle="1" w:styleId="mw-mmv-title">
    <w:name w:val="mw-mmv-title"/>
    <w:basedOn w:val="DefaultParagraphFont"/>
    <w:rsid w:val="00BB5EFD"/>
  </w:style>
  <w:style w:type="table" w:styleId="TableElegant">
    <w:name w:val="Table Elegant"/>
    <w:basedOn w:val="TableNormal"/>
    <w:rsid w:val="00BB5EF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BB5EF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Colorful2">
    <w:name w:val="Table Colorful 2"/>
    <w:basedOn w:val="TableNormal"/>
    <w:rsid w:val="00BB5EF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ntemporary">
    <w:name w:val="Table Contemporary"/>
    <w:basedOn w:val="TableNormal"/>
    <w:rsid w:val="00BB5EF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lu11">
    <w:name w:val="Titlu11"/>
    <w:basedOn w:val="Normal"/>
    <w:next w:val="BodyText"/>
    <w:rsid w:val="00BB5EFD"/>
    <w:pPr>
      <w:keepNext/>
      <w:suppressAutoHyphens/>
      <w:spacing w:before="240" w:after="120"/>
    </w:pPr>
    <w:rPr>
      <w:rFonts w:ascii="Arial" w:eastAsia="MS Mincho" w:hAnsi="Arial" w:cs="Tahoma"/>
      <w:sz w:val="28"/>
      <w:szCs w:val="28"/>
      <w:lang w:val="en-US" w:eastAsia="ar-SA"/>
    </w:rPr>
  </w:style>
  <w:style w:type="paragraph" w:customStyle="1" w:styleId="CaracterCaracterCharCharCharChar1CharCharChar1CharCharCharCharCharChar">
    <w:name w:val="Caracter Caracter Char Char Char Char1 Char Char Char1 Char Char Char Char Char Char"/>
    <w:basedOn w:val="Normal"/>
    <w:rsid w:val="00BB5EFD"/>
    <w:rPr>
      <w:rFonts w:eastAsia="Times New Roman"/>
      <w:lang w:val="pl-PL" w:eastAsia="pl-PL"/>
    </w:rPr>
  </w:style>
  <w:style w:type="numbering" w:customStyle="1" w:styleId="FrListare1">
    <w:name w:val="Fără Listare1"/>
    <w:next w:val="NoList"/>
    <w:semiHidden/>
    <w:rsid w:val="00BB5EFD"/>
  </w:style>
  <w:style w:type="character" w:customStyle="1" w:styleId="site-name">
    <w:name w:val="site-name"/>
    <w:basedOn w:val="DefaultParagraphFont"/>
    <w:rsid w:val="00BB5EFD"/>
  </w:style>
  <w:style w:type="paragraph" w:customStyle="1" w:styleId="CaracterCaracterCharCharCharCharCharChar1">
    <w:name w:val="Caracter Caracter Char Char Char Char Char Char1"/>
    <w:basedOn w:val="Normal"/>
    <w:rsid w:val="00BB5EFD"/>
    <w:rPr>
      <w:rFonts w:eastAsia="Times New Roman"/>
      <w:lang w:val="pl-PL" w:eastAsia="pl-PL"/>
    </w:rPr>
  </w:style>
  <w:style w:type="paragraph" w:customStyle="1" w:styleId="CaracterCaracterChar1">
    <w:name w:val="Caracter Caracter Char1"/>
    <w:basedOn w:val="Normal"/>
    <w:rsid w:val="00BB5EFD"/>
    <w:rPr>
      <w:rFonts w:eastAsia="Times New Roman"/>
      <w:lang w:val="pl-PL" w:eastAsia="pl-PL"/>
    </w:rPr>
  </w:style>
  <w:style w:type="character" w:styleId="PlaceholderText">
    <w:name w:val="Placeholder Text"/>
    <w:uiPriority w:val="99"/>
    <w:semiHidden/>
    <w:rsid w:val="00BB5EFD"/>
    <w:rPr>
      <w:color w:val="808080"/>
    </w:rPr>
  </w:style>
  <w:style w:type="paragraph" w:styleId="TOCHeading">
    <w:name w:val="TOC Heading"/>
    <w:basedOn w:val="Heading1"/>
    <w:next w:val="Normal"/>
    <w:uiPriority w:val="39"/>
    <w:unhideWhenUsed/>
    <w:qFormat/>
    <w:rsid w:val="00BB5EFD"/>
    <w:pPr>
      <w:keepLines/>
      <w:spacing w:before="480" w:after="0" w:line="276" w:lineRule="auto"/>
      <w:outlineLvl w:val="9"/>
    </w:pPr>
    <w:rPr>
      <w:color w:val="365F91"/>
      <w:kern w:val="0"/>
      <w:sz w:val="28"/>
      <w:szCs w:val="28"/>
    </w:rPr>
  </w:style>
  <w:style w:type="paragraph" w:customStyle="1" w:styleId="Style2">
    <w:name w:val="Style2"/>
    <w:basedOn w:val="Normal"/>
    <w:qFormat/>
    <w:rsid w:val="00BB5EFD"/>
    <w:pPr>
      <w:widowControl w:val="0"/>
      <w:autoSpaceDE w:val="0"/>
      <w:autoSpaceDN w:val="0"/>
      <w:adjustRightInd w:val="0"/>
      <w:spacing w:line="274" w:lineRule="exact"/>
      <w:ind w:firstLine="698"/>
    </w:pPr>
    <w:rPr>
      <w:rFonts w:eastAsia="Times New Roman"/>
      <w:lang w:val="ro-RO" w:eastAsia="ro-RO"/>
    </w:rPr>
  </w:style>
  <w:style w:type="character" w:customStyle="1" w:styleId="FontStyle80">
    <w:name w:val="Font Style80"/>
    <w:qFormat/>
    <w:rsid w:val="00BB5EFD"/>
    <w:rPr>
      <w:rFonts w:ascii="Times New Roman" w:hAnsi="Times New Roman" w:cs="Times New Roman"/>
      <w:sz w:val="22"/>
      <w:szCs w:val="22"/>
    </w:rPr>
  </w:style>
  <w:style w:type="character" w:customStyle="1" w:styleId="CaracterCaracter1">
    <w:name w:val="Caracter Caracter1"/>
    <w:qFormat/>
    <w:rsid w:val="00BB5EFD"/>
    <w:rPr>
      <w:lang w:val="en-US" w:eastAsia="en-US" w:bidi="ar-SA"/>
    </w:rPr>
  </w:style>
  <w:style w:type="character" w:customStyle="1" w:styleId="slitbdy">
    <w:name w:val="s_lit_bdy"/>
    <w:rsid w:val="00BB5EFD"/>
  </w:style>
  <w:style w:type="character" w:customStyle="1" w:styleId="nc684nl6">
    <w:name w:val="nc684nl6"/>
    <w:basedOn w:val="DefaultParagraphFont"/>
    <w:rsid w:val="00BB5EFD"/>
  </w:style>
  <w:style w:type="paragraph" w:customStyle="1" w:styleId="Heding2">
    <w:name w:val="Heding 2"/>
    <w:basedOn w:val="Normal"/>
    <w:link w:val="Heding2Char"/>
    <w:qFormat/>
    <w:rsid w:val="00BB5EFD"/>
    <w:pPr>
      <w:jc w:val="both"/>
      <w:outlineLvl w:val="1"/>
    </w:pPr>
    <w:rPr>
      <w:rFonts w:ascii="Arial" w:eastAsia="Times New Roman" w:hAnsi="Arial" w:cs="Arial"/>
      <w:b/>
      <w:lang w:val="fr-FR"/>
    </w:rPr>
  </w:style>
  <w:style w:type="character" w:customStyle="1" w:styleId="Heding2Char">
    <w:name w:val="Heding 2 Char"/>
    <w:basedOn w:val="DefaultParagraphFont"/>
    <w:link w:val="Heding2"/>
    <w:rsid w:val="00BB5EFD"/>
    <w:rPr>
      <w:rFonts w:ascii="Arial" w:hAnsi="Arial" w:cs="Arial"/>
      <w:b/>
      <w:sz w:val="24"/>
      <w:szCs w:val="24"/>
      <w:lang w:val="fr-FR"/>
    </w:rPr>
  </w:style>
  <w:style w:type="paragraph" w:customStyle="1" w:styleId="ep-wysiwigparagraph">
    <w:name w:val="ep-wysiwig_paragraph"/>
    <w:basedOn w:val="Normal"/>
    <w:rsid w:val="00BB5EFD"/>
    <w:pPr>
      <w:spacing w:before="100" w:beforeAutospacing="1" w:after="100" w:afterAutospacing="1"/>
    </w:pPr>
    <w:rPr>
      <w:rFonts w:eastAsia="Times New Roman"/>
      <w:lang w:val="en-US"/>
    </w:rPr>
  </w:style>
  <w:style w:type="paragraph" w:customStyle="1" w:styleId="TableParagraph">
    <w:name w:val="Table Paragraph"/>
    <w:basedOn w:val="Normal"/>
    <w:uiPriority w:val="1"/>
    <w:qFormat/>
    <w:rsid w:val="00BB5EFD"/>
    <w:pPr>
      <w:widowControl w:val="0"/>
      <w:autoSpaceDE w:val="0"/>
      <w:autoSpaceDN w:val="0"/>
      <w:ind w:left="100"/>
    </w:pPr>
    <w:rPr>
      <w:rFonts w:ascii="Tahoma" w:eastAsia="Tahoma" w:hAnsi="Tahoma" w:cs="Tahoma"/>
      <w:sz w:val="22"/>
      <w:szCs w:val="22"/>
      <w:lang w:val="ro-RO" w:eastAsia="ro-RO" w:bidi="ro-RO"/>
    </w:rPr>
  </w:style>
  <w:style w:type="character" w:customStyle="1" w:styleId="DefaultChar">
    <w:name w:val="Default Char"/>
    <w:link w:val="Default"/>
    <w:locked/>
    <w:rsid w:val="00BB5EFD"/>
    <w:rPr>
      <w:rFonts w:ascii="Arial" w:hAnsi="Arial" w:cs="Arial"/>
      <w:color w:val="000000"/>
      <w:sz w:val="24"/>
      <w:szCs w:val="24"/>
    </w:rPr>
  </w:style>
  <w:style w:type="character" w:customStyle="1" w:styleId="TabelCaracter">
    <w:name w:val="Tabel Caracter"/>
    <w:link w:val="Tabel"/>
    <w:locked/>
    <w:rsid w:val="00BB5EFD"/>
    <w:rPr>
      <w:rFonts w:ascii="Arial" w:hAnsi="Arial" w:cs="Arial"/>
      <w:sz w:val="24"/>
      <w:szCs w:val="24"/>
      <w:lang w:val="ro-RO"/>
    </w:rPr>
  </w:style>
  <w:style w:type="paragraph" w:customStyle="1" w:styleId="Tabel">
    <w:name w:val="Tabel"/>
    <w:basedOn w:val="ListParagraph"/>
    <w:link w:val="TabelCaracter"/>
    <w:qFormat/>
    <w:rsid w:val="00BB5EFD"/>
    <w:pPr>
      <w:numPr>
        <w:numId w:val="73"/>
      </w:numPr>
      <w:tabs>
        <w:tab w:val="left" w:pos="851"/>
      </w:tabs>
      <w:spacing w:before="120" w:after="120" w:line="276" w:lineRule="auto"/>
      <w:contextualSpacing w:val="0"/>
    </w:pPr>
    <w:rPr>
      <w:rFonts w:ascii="Arial" w:hAnsi="Arial" w:cs="Arial"/>
      <w:lang w:val="ro-RO"/>
    </w:rPr>
  </w:style>
  <w:style w:type="paragraph" w:styleId="Revision">
    <w:name w:val="Revision"/>
    <w:hidden/>
    <w:uiPriority w:val="99"/>
    <w:semiHidden/>
    <w:rsid w:val="007D5FA3"/>
    <w:rPr>
      <w:rFonts w:ascii="Calibri" w:eastAsia="Calibri" w:hAnsi="Calibri"/>
      <w:sz w:val="22"/>
      <w:szCs w:val="22"/>
      <w:lang w:val="ro-RO"/>
    </w:rPr>
  </w:style>
  <w:style w:type="character" w:customStyle="1" w:styleId="MeniuneNerezolvat1">
    <w:name w:val="Mențiune Nerezolvat1"/>
    <w:uiPriority w:val="99"/>
    <w:semiHidden/>
    <w:unhideWhenUsed/>
    <w:rsid w:val="007D5FA3"/>
    <w:rPr>
      <w:color w:val="605E5C"/>
      <w:shd w:val="clear" w:color="auto" w:fill="E1DFDD"/>
    </w:rPr>
  </w:style>
  <w:style w:type="paragraph" w:customStyle="1" w:styleId="msonormal0">
    <w:name w:val="msonormal"/>
    <w:basedOn w:val="Normal"/>
    <w:rsid w:val="00436BA3"/>
    <w:pPr>
      <w:spacing w:before="100" w:beforeAutospacing="1" w:after="100" w:afterAutospacing="1"/>
    </w:pPr>
    <w:rPr>
      <w:rFonts w:eastAsia="Times New Roman"/>
      <w:lang w:val="ro-RO" w:eastAsia="ro-RO"/>
    </w:rPr>
  </w:style>
  <w:style w:type="character" w:customStyle="1" w:styleId="NoSpacingChar">
    <w:name w:val="No Spacing Char"/>
    <w:link w:val="NoSpacing"/>
    <w:locked/>
    <w:rsid w:val="00436BA3"/>
    <w:rPr>
      <w:rFonts w:ascii="Calibri" w:hAnsi="Calibri"/>
      <w:sz w:val="22"/>
      <w:szCs w:val="22"/>
      <w:lang w:val="ro-RO"/>
    </w:rPr>
  </w:style>
  <w:style w:type="character" w:customStyle="1" w:styleId="UnresolvedMention">
    <w:name w:val="Unresolved Mention"/>
    <w:uiPriority w:val="99"/>
    <w:semiHidden/>
    <w:unhideWhenUsed/>
    <w:rsid w:val="00B63C48"/>
    <w:rPr>
      <w:color w:val="605E5C"/>
      <w:shd w:val="clear" w:color="auto" w:fill="E1DFDD"/>
    </w:rPr>
  </w:style>
  <w:style w:type="paragraph" w:customStyle="1" w:styleId="1Tabelr1">
    <w:name w:val="1 Tabel r1"/>
    <w:basedOn w:val="Normal"/>
    <w:qFormat/>
    <w:rsid w:val="00B63C48"/>
    <w:pPr>
      <w:jc w:val="center"/>
    </w:pPr>
    <w:rPr>
      <w:rFonts w:ascii="Calibri" w:eastAsia="Times New Roman" w:hAnsi="Calibri" w:cs="Arial"/>
      <w:b/>
      <w:bCs/>
      <w:lang w:val="ro-RO"/>
    </w:rPr>
  </w:style>
  <w:style w:type="paragraph" w:customStyle="1" w:styleId="1Tabelr2">
    <w:name w:val="1 Tabel r2"/>
    <w:basedOn w:val="Normal"/>
    <w:qFormat/>
    <w:rsid w:val="00B63C48"/>
    <w:rPr>
      <w:rFonts w:ascii="Calibri" w:eastAsia="Times New Roman" w:hAnsi="Calibri" w:cs="Arial"/>
      <w:bCs/>
      <w:sz w:val="22"/>
      <w:lang w:val="ro-RO"/>
    </w:rPr>
  </w:style>
  <w:style w:type="paragraph" w:customStyle="1" w:styleId="1tabelrest">
    <w:name w:val="1 tabel rest"/>
    <w:basedOn w:val="Normal"/>
    <w:qFormat/>
    <w:rsid w:val="00B63C48"/>
    <w:pPr>
      <w:jc w:val="center"/>
    </w:pPr>
    <w:rPr>
      <w:rFonts w:ascii="Calibri" w:eastAsia="Times New Roman" w:hAnsi="Calibri" w:cs="Arial"/>
      <w:sz w:val="22"/>
      <w:lang w:val="ro-RO"/>
    </w:rPr>
  </w:style>
  <w:style w:type="paragraph" w:customStyle="1" w:styleId="1Titlu2">
    <w:name w:val="1 Titlu 2"/>
    <w:basedOn w:val="Heading2"/>
    <w:qFormat/>
    <w:rsid w:val="00B63C48"/>
    <w:pPr>
      <w:keepNext/>
      <w:shd w:val="clear" w:color="auto" w:fill="FFFFFF"/>
      <w:spacing w:before="240" w:beforeAutospacing="0" w:after="240" w:afterAutospacing="0" w:line="276" w:lineRule="auto"/>
      <w:jc w:val="center"/>
    </w:pPr>
    <w:rPr>
      <w:rFonts w:ascii="Calibri" w:hAnsi="Calibri" w:cs="Arial"/>
      <w:iCs/>
      <w:color w:val="000000"/>
      <w:sz w:val="28"/>
      <w:szCs w:val="24"/>
      <w:lang w:val="en-US" w:eastAsia="en-US"/>
    </w:rPr>
  </w:style>
  <w:style w:type="paragraph" w:customStyle="1" w:styleId="CharCharCharCharCharCharChar">
    <w:name w:val="Char Char Char Char Char Char Char"/>
    <w:basedOn w:val="Normal"/>
    <w:rsid w:val="00B63C48"/>
    <w:rPr>
      <w:rFonts w:eastAsia="Times New Roman"/>
      <w:lang w:val="pl-PL" w:eastAsia="pl-PL"/>
    </w:rPr>
  </w:style>
  <w:style w:type="character" w:customStyle="1" w:styleId="TitleChar1">
    <w:name w:val="Title Char1"/>
    <w:aliases w:val="Title Char Char"/>
    <w:rsid w:val="00B63C48"/>
    <w:rPr>
      <w:b/>
      <w:sz w:val="28"/>
      <w:lang w:val="ro-RO"/>
    </w:rPr>
  </w:style>
  <w:style w:type="character" w:styleId="HTMLCite">
    <w:name w:val="HTML Cite"/>
    <w:uiPriority w:val="99"/>
    <w:unhideWhenUsed/>
    <w:rsid w:val="00B63C48"/>
    <w:rPr>
      <w:i/>
      <w:iCs/>
    </w:rPr>
  </w:style>
  <w:style w:type="character" w:customStyle="1" w:styleId="BodytextTimesNewRoman12pt">
    <w:name w:val="Body text + Times New Roman.12 pt"/>
    <w:rsid w:val="00B63C48"/>
    <w:rPr>
      <w:rFonts w:ascii="Times New Roman" w:eastAsia="Times New Roman" w:hAnsi="Times New Roman" w:cs="Times New Roman"/>
      <w:sz w:val="24"/>
      <w:szCs w:val="24"/>
      <w:shd w:val="clear" w:color="auto" w:fill="FFFFFF"/>
    </w:rPr>
  </w:style>
  <w:style w:type="character" w:customStyle="1" w:styleId="A5">
    <w:name w:val="A5"/>
    <w:uiPriority w:val="99"/>
    <w:rsid w:val="00B63C48"/>
    <w:rPr>
      <w:sz w:val="19"/>
      <w:szCs w:val="19"/>
    </w:rPr>
  </w:style>
  <w:style w:type="character" w:customStyle="1" w:styleId="hps">
    <w:name w:val="hps"/>
    <w:uiPriority w:val="99"/>
    <w:rsid w:val="00B63C48"/>
  </w:style>
  <w:style w:type="paragraph" w:styleId="BlockText">
    <w:name w:val="Block Text"/>
    <w:basedOn w:val="Normal"/>
    <w:rsid w:val="00B63C48"/>
    <w:pPr>
      <w:widowControl w:val="0"/>
      <w:spacing w:line="360" w:lineRule="auto"/>
      <w:ind w:left="1704" w:right="-164"/>
      <w:jc w:val="both"/>
    </w:pPr>
    <w:rPr>
      <w:rFonts w:ascii="Arial" w:eastAsia="Times New Roman" w:hAnsi="Arial"/>
      <w:szCs w:val="20"/>
      <w:lang w:val="es-ES"/>
    </w:rPr>
  </w:style>
  <w:style w:type="paragraph" w:customStyle="1" w:styleId="CharCharCharCharCharCharCharCharCharCharCharCharChar">
    <w:name w:val="Char Char Char Char Char Char Char Char Char Char Char Char Char"/>
    <w:basedOn w:val="Normal"/>
    <w:rsid w:val="00B63C48"/>
    <w:rPr>
      <w:rFonts w:eastAsia="Times New Roman"/>
      <w:lang w:val="pl-PL" w:eastAsia="pl-PL"/>
    </w:rPr>
  </w:style>
  <w:style w:type="paragraph" w:customStyle="1" w:styleId="Style3">
    <w:name w:val="Style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
    <w:name w:val="Style4"/>
    <w:basedOn w:val="Normal"/>
    <w:rsid w:val="00B63C48"/>
    <w:pPr>
      <w:widowControl w:val="0"/>
      <w:autoSpaceDE w:val="0"/>
      <w:autoSpaceDN w:val="0"/>
      <w:adjustRightInd w:val="0"/>
      <w:spacing w:line="811" w:lineRule="exact"/>
      <w:jc w:val="center"/>
    </w:pPr>
    <w:rPr>
      <w:rFonts w:ascii="Bookman Old Style" w:eastAsia="Times New Roman" w:hAnsi="Bookman Old Style"/>
      <w:lang w:val="en-US"/>
    </w:rPr>
  </w:style>
  <w:style w:type="paragraph" w:customStyle="1" w:styleId="Style10">
    <w:name w:val="Style1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1">
    <w:name w:val="Style11"/>
    <w:basedOn w:val="Normal"/>
    <w:rsid w:val="00B63C48"/>
    <w:pPr>
      <w:widowControl w:val="0"/>
      <w:autoSpaceDE w:val="0"/>
      <w:autoSpaceDN w:val="0"/>
      <w:adjustRightInd w:val="0"/>
      <w:spacing w:line="240" w:lineRule="exact"/>
      <w:jc w:val="both"/>
    </w:pPr>
    <w:rPr>
      <w:rFonts w:ascii="Bookman Old Style" w:eastAsia="Times New Roman" w:hAnsi="Bookman Old Style"/>
      <w:lang w:val="en-US"/>
    </w:rPr>
  </w:style>
  <w:style w:type="paragraph" w:customStyle="1" w:styleId="Style8">
    <w:name w:val="Style8"/>
    <w:basedOn w:val="Normal"/>
    <w:rsid w:val="00B63C48"/>
    <w:pPr>
      <w:widowControl w:val="0"/>
      <w:autoSpaceDE w:val="0"/>
      <w:autoSpaceDN w:val="0"/>
      <w:adjustRightInd w:val="0"/>
      <w:spacing w:line="240" w:lineRule="exact"/>
      <w:ind w:hanging="682"/>
    </w:pPr>
    <w:rPr>
      <w:rFonts w:ascii="Bookman Old Style" w:eastAsia="Times New Roman" w:hAnsi="Bookman Old Style"/>
      <w:lang w:val="en-US"/>
    </w:rPr>
  </w:style>
  <w:style w:type="paragraph" w:customStyle="1" w:styleId="Style9">
    <w:name w:val="Style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2">
    <w:name w:val="Style12"/>
    <w:basedOn w:val="Normal"/>
    <w:rsid w:val="00B63C48"/>
    <w:pPr>
      <w:widowControl w:val="0"/>
      <w:autoSpaceDE w:val="0"/>
      <w:autoSpaceDN w:val="0"/>
      <w:adjustRightInd w:val="0"/>
      <w:spacing w:line="262" w:lineRule="exact"/>
      <w:ind w:firstLine="106"/>
    </w:pPr>
    <w:rPr>
      <w:rFonts w:ascii="Bookman Old Style" w:eastAsia="Times New Roman" w:hAnsi="Bookman Old Style"/>
      <w:lang w:val="en-US"/>
    </w:rPr>
  </w:style>
  <w:style w:type="paragraph" w:customStyle="1" w:styleId="Style13">
    <w:name w:val="Style13"/>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5">
    <w:name w:val="Font Style15"/>
    <w:rsid w:val="00B63C48"/>
    <w:rPr>
      <w:rFonts w:ascii="Bookman Old Style" w:hAnsi="Bookman Old Style" w:cs="Bookman Old Style"/>
      <w:i/>
      <w:iCs/>
      <w:sz w:val="18"/>
      <w:szCs w:val="18"/>
    </w:rPr>
  </w:style>
  <w:style w:type="character" w:customStyle="1" w:styleId="FontStyle16">
    <w:name w:val="Font Style16"/>
    <w:rsid w:val="00B63C48"/>
    <w:rPr>
      <w:rFonts w:ascii="Bookman Old Style" w:hAnsi="Bookman Old Style" w:cs="Bookman Old Style"/>
      <w:sz w:val="20"/>
      <w:szCs w:val="20"/>
    </w:rPr>
  </w:style>
  <w:style w:type="character" w:customStyle="1" w:styleId="FontStyle17">
    <w:name w:val="Font Style17"/>
    <w:rsid w:val="00B63C48"/>
    <w:rPr>
      <w:rFonts w:ascii="Bookman Old Style" w:hAnsi="Bookman Old Style" w:cs="Bookman Old Style"/>
      <w:sz w:val="18"/>
      <w:szCs w:val="18"/>
    </w:rPr>
  </w:style>
  <w:style w:type="character" w:customStyle="1" w:styleId="FontStyle18">
    <w:name w:val="Font Style18"/>
    <w:rsid w:val="00B63C48"/>
    <w:rPr>
      <w:rFonts w:ascii="Bookman Old Style" w:hAnsi="Bookman Old Style" w:cs="Bookman Old Style"/>
      <w:sz w:val="18"/>
      <w:szCs w:val="18"/>
    </w:rPr>
  </w:style>
  <w:style w:type="character" w:customStyle="1" w:styleId="FontStyle19">
    <w:name w:val="Font Style19"/>
    <w:rsid w:val="00B63C48"/>
    <w:rPr>
      <w:rFonts w:ascii="Bookman Old Style" w:hAnsi="Bookman Old Style" w:cs="Bookman Old Style"/>
      <w:b/>
      <w:bCs/>
      <w:sz w:val="18"/>
      <w:szCs w:val="18"/>
    </w:rPr>
  </w:style>
  <w:style w:type="paragraph" w:customStyle="1" w:styleId="Style1">
    <w:name w:val="Style1"/>
    <w:basedOn w:val="Normal"/>
    <w:rsid w:val="00B63C48"/>
    <w:pPr>
      <w:widowControl w:val="0"/>
      <w:autoSpaceDE w:val="0"/>
      <w:autoSpaceDN w:val="0"/>
      <w:adjustRightInd w:val="0"/>
      <w:jc w:val="both"/>
    </w:pPr>
    <w:rPr>
      <w:rFonts w:ascii="Bookman Old Style" w:eastAsia="Times New Roman" w:hAnsi="Bookman Old Style"/>
      <w:lang w:val="en-US"/>
    </w:rPr>
  </w:style>
  <w:style w:type="character" w:customStyle="1" w:styleId="FontStyle134">
    <w:name w:val="Font Style134"/>
    <w:rsid w:val="00B63C48"/>
    <w:rPr>
      <w:rFonts w:ascii="Bookman Old Style" w:hAnsi="Bookman Old Style" w:cs="Bookman Old Style"/>
      <w:b/>
      <w:bCs/>
      <w:sz w:val="20"/>
      <w:szCs w:val="20"/>
    </w:rPr>
  </w:style>
  <w:style w:type="paragraph" w:customStyle="1" w:styleId="Style32">
    <w:name w:val="Style3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9">
    <w:name w:val="Style3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5">
    <w:name w:val="Style4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55">
    <w:name w:val="Style55"/>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93">
    <w:name w:val="Font Style93"/>
    <w:rsid w:val="00B63C48"/>
    <w:rPr>
      <w:rFonts w:ascii="Bookman Old Style" w:hAnsi="Bookman Old Style" w:cs="Bookman Old Style"/>
      <w:sz w:val="18"/>
      <w:szCs w:val="18"/>
    </w:rPr>
  </w:style>
  <w:style w:type="character" w:customStyle="1" w:styleId="FontStyle137">
    <w:name w:val="Font Style137"/>
    <w:rsid w:val="00B63C48"/>
    <w:rPr>
      <w:rFonts w:ascii="Bookman Old Style" w:hAnsi="Bookman Old Style" w:cs="Bookman Old Style"/>
      <w:sz w:val="16"/>
      <w:szCs w:val="16"/>
    </w:rPr>
  </w:style>
  <w:style w:type="character" w:customStyle="1" w:styleId="FontStyle151">
    <w:name w:val="Font Style151"/>
    <w:rsid w:val="00B63C48"/>
    <w:rPr>
      <w:rFonts w:ascii="Bookman Old Style" w:hAnsi="Bookman Old Style" w:cs="Bookman Old Style"/>
      <w:b/>
      <w:bCs/>
      <w:sz w:val="16"/>
      <w:szCs w:val="16"/>
    </w:rPr>
  </w:style>
  <w:style w:type="paragraph" w:customStyle="1" w:styleId="Style74">
    <w:name w:val="Style7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9">
    <w:name w:val="Style89"/>
    <w:basedOn w:val="Normal"/>
    <w:rsid w:val="00B63C48"/>
    <w:pPr>
      <w:widowControl w:val="0"/>
      <w:autoSpaceDE w:val="0"/>
      <w:autoSpaceDN w:val="0"/>
      <w:adjustRightInd w:val="0"/>
      <w:jc w:val="both"/>
    </w:pPr>
    <w:rPr>
      <w:rFonts w:ascii="Bookman Old Style" w:eastAsia="Times New Roman" w:hAnsi="Bookman Old Style"/>
      <w:lang w:val="en-US"/>
    </w:rPr>
  </w:style>
  <w:style w:type="paragraph" w:customStyle="1" w:styleId="Style5">
    <w:name w:val="Style5"/>
    <w:basedOn w:val="Normal"/>
    <w:rsid w:val="00B63C48"/>
    <w:pPr>
      <w:widowControl w:val="0"/>
      <w:autoSpaceDE w:val="0"/>
      <w:autoSpaceDN w:val="0"/>
      <w:adjustRightInd w:val="0"/>
      <w:spacing w:line="283" w:lineRule="exact"/>
      <w:ind w:firstLine="226"/>
    </w:pPr>
    <w:rPr>
      <w:rFonts w:ascii="Bookman Old Style" w:eastAsia="Times New Roman" w:hAnsi="Bookman Old Style"/>
      <w:lang w:val="en-US"/>
    </w:rPr>
  </w:style>
  <w:style w:type="character" w:customStyle="1" w:styleId="FontStyle130">
    <w:name w:val="Font Style130"/>
    <w:rsid w:val="00B63C48"/>
    <w:rPr>
      <w:rFonts w:ascii="Bookman Old Style" w:hAnsi="Bookman Old Style" w:cs="Bookman Old Style"/>
      <w:b/>
      <w:bCs/>
      <w:sz w:val="26"/>
      <w:szCs w:val="26"/>
    </w:rPr>
  </w:style>
  <w:style w:type="character" w:customStyle="1" w:styleId="FontStyle131">
    <w:name w:val="Font Style131"/>
    <w:rsid w:val="00B63C48"/>
    <w:rPr>
      <w:rFonts w:ascii="Bookman Old Style" w:hAnsi="Bookman Old Style" w:cs="Bookman Old Style"/>
      <w:b/>
      <w:bCs/>
      <w:spacing w:val="10"/>
      <w:sz w:val="52"/>
      <w:szCs w:val="52"/>
    </w:rPr>
  </w:style>
  <w:style w:type="character" w:customStyle="1" w:styleId="FontStyle132">
    <w:name w:val="Font Style132"/>
    <w:rsid w:val="00B63C48"/>
    <w:rPr>
      <w:rFonts w:ascii="Arial" w:hAnsi="Arial" w:cs="Arial"/>
      <w:b/>
      <w:bCs/>
      <w:spacing w:val="-20"/>
      <w:sz w:val="42"/>
      <w:szCs w:val="42"/>
    </w:rPr>
  </w:style>
  <w:style w:type="character" w:customStyle="1" w:styleId="FontStyle133">
    <w:name w:val="Font Style133"/>
    <w:rsid w:val="00B63C48"/>
    <w:rPr>
      <w:rFonts w:ascii="Bookman Old Style" w:hAnsi="Bookman Old Style" w:cs="Bookman Old Style"/>
      <w:spacing w:val="10"/>
      <w:sz w:val="44"/>
      <w:szCs w:val="44"/>
    </w:rPr>
  </w:style>
  <w:style w:type="paragraph" w:customStyle="1" w:styleId="Style6">
    <w:name w:val="Style6"/>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35">
    <w:name w:val="Font Style135"/>
    <w:rsid w:val="00B63C48"/>
    <w:rPr>
      <w:rFonts w:ascii="Arial" w:hAnsi="Arial" w:cs="Arial"/>
      <w:b/>
      <w:bCs/>
      <w:i/>
      <w:iCs/>
      <w:spacing w:val="100"/>
      <w:sz w:val="34"/>
      <w:szCs w:val="34"/>
    </w:rPr>
  </w:style>
  <w:style w:type="character" w:customStyle="1" w:styleId="FontStyle136">
    <w:name w:val="Font Style136"/>
    <w:rsid w:val="00B63C48"/>
    <w:rPr>
      <w:rFonts w:ascii="Arial" w:hAnsi="Arial" w:cs="Arial"/>
      <w:sz w:val="18"/>
      <w:szCs w:val="18"/>
    </w:rPr>
  </w:style>
  <w:style w:type="paragraph" w:customStyle="1" w:styleId="Style7">
    <w:name w:val="Style7"/>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1">
    <w:name w:val="Font Style11"/>
    <w:rsid w:val="00B63C48"/>
    <w:rPr>
      <w:rFonts w:ascii="Bookman Old Style" w:hAnsi="Bookman Old Style" w:cs="Bookman Old Style"/>
      <w:b/>
      <w:bCs/>
      <w:sz w:val="16"/>
      <w:szCs w:val="16"/>
    </w:rPr>
  </w:style>
  <w:style w:type="character" w:customStyle="1" w:styleId="FontStyle12">
    <w:name w:val="Font Style12"/>
    <w:rsid w:val="00B63C48"/>
    <w:rPr>
      <w:rFonts w:ascii="Bookman Old Style" w:hAnsi="Bookman Old Style" w:cs="Bookman Old Style"/>
      <w:sz w:val="18"/>
      <w:szCs w:val="18"/>
    </w:rPr>
  </w:style>
  <w:style w:type="paragraph" w:customStyle="1" w:styleId="Style20">
    <w:name w:val="Style20"/>
    <w:basedOn w:val="Normal"/>
    <w:rsid w:val="00B63C48"/>
    <w:pPr>
      <w:widowControl w:val="0"/>
      <w:autoSpaceDE w:val="0"/>
      <w:autoSpaceDN w:val="0"/>
      <w:adjustRightInd w:val="0"/>
      <w:spacing w:line="240" w:lineRule="exact"/>
      <w:jc w:val="both"/>
    </w:pPr>
    <w:rPr>
      <w:rFonts w:ascii="Bookman Old Style" w:eastAsia="Times New Roman" w:hAnsi="Bookman Old Style"/>
      <w:lang w:val="en-US"/>
    </w:rPr>
  </w:style>
  <w:style w:type="paragraph" w:customStyle="1" w:styleId="Style27">
    <w:name w:val="Style27"/>
    <w:basedOn w:val="Normal"/>
    <w:rsid w:val="00B63C48"/>
    <w:pPr>
      <w:widowControl w:val="0"/>
      <w:autoSpaceDE w:val="0"/>
      <w:autoSpaceDN w:val="0"/>
      <w:adjustRightInd w:val="0"/>
      <w:spacing w:line="245" w:lineRule="exact"/>
      <w:ind w:firstLine="451"/>
      <w:jc w:val="both"/>
    </w:pPr>
    <w:rPr>
      <w:rFonts w:ascii="Bookman Old Style" w:eastAsia="Times New Roman" w:hAnsi="Bookman Old Style"/>
      <w:lang w:val="en-US"/>
    </w:rPr>
  </w:style>
  <w:style w:type="paragraph" w:customStyle="1" w:styleId="Style29">
    <w:name w:val="Style2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1">
    <w:name w:val="Style3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51">
    <w:name w:val="Style51"/>
    <w:basedOn w:val="Normal"/>
    <w:rsid w:val="00B63C48"/>
    <w:pPr>
      <w:widowControl w:val="0"/>
      <w:autoSpaceDE w:val="0"/>
      <w:autoSpaceDN w:val="0"/>
      <w:adjustRightInd w:val="0"/>
      <w:spacing w:line="259" w:lineRule="exact"/>
      <w:ind w:firstLine="470"/>
      <w:jc w:val="both"/>
    </w:pPr>
    <w:rPr>
      <w:rFonts w:ascii="Bookman Old Style" w:eastAsia="Times New Roman" w:hAnsi="Bookman Old Style"/>
      <w:lang w:val="en-US"/>
    </w:rPr>
  </w:style>
  <w:style w:type="character" w:customStyle="1" w:styleId="FontStyle159">
    <w:name w:val="Font Style159"/>
    <w:rsid w:val="00B63C48"/>
    <w:rPr>
      <w:rFonts w:ascii="Bookman Old Style" w:hAnsi="Bookman Old Style" w:cs="Bookman Old Style"/>
      <w:spacing w:val="10"/>
      <w:sz w:val="12"/>
      <w:szCs w:val="12"/>
    </w:rPr>
  </w:style>
  <w:style w:type="character" w:customStyle="1" w:styleId="FontStyle162">
    <w:name w:val="Font Style162"/>
    <w:rsid w:val="00B63C48"/>
    <w:rPr>
      <w:rFonts w:ascii="Bookman Old Style" w:hAnsi="Bookman Old Style" w:cs="Bookman Old Style"/>
      <w:i/>
      <w:iCs/>
      <w:sz w:val="18"/>
      <w:szCs w:val="18"/>
    </w:rPr>
  </w:style>
  <w:style w:type="character" w:customStyle="1" w:styleId="FontStyle175">
    <w:name w:val="Font Style175"/>
    <w:rsid w:val="00B63C48"/>
    <w:rPr>
      <w:rFonts w:ascii="Arial" w:hAnsi="Arial" w:cs="Arial"/>
      <w:b/>
      <w:bCs/>
      <w:sz w:val="14"/>
      <w:szCs w:val="14"/>
    </w:rPr>
  </w:style>
  <w:style w:type="character" w:customStyle="1" w:styleId="FontStyle187">
    <w:name w:val="Font Style187"/>
    <w:rsid w:val="00B63C48"/>
    <w:rPr>
      <w:rFonts w:ascii="Bookman Old Style" w:hAnsi="Bookman Old Style" w:cs="Bookman Old Style"/>
      <w:b/>
      <w:bCs/>
      <w:sz w:val="18"/>
      <w:szCs w:val="18"/>
    </w:rPr>
  </w:style>
  <w:style w:type="character" w:customStyle="1" w:styleId="FontStyle188">
    <w:name w:val="Font Style188"/>
    <w:rsid w:val="00B63C48"/>
    <w:rPr>
      <w:rFonts w:ascii="Bookman Old Style" w:hAnsi="Bookman Old Style" w:cs="Bookman Old Style"/>
      <w:sz w:val="20"/>
      <w:szCs w:val="20"/>
    </w:rPr>
  </w:style>
  <w:style w:type="character" w:customStyle="1" w:styleId="FontStyle189">
    <w:name w:val="Font Style189"/>
    <w:rsid w:val="00B63C48"/>
    <w:rPr>
      <w:rFonts w:ascii="Bookman Old Style" w:hAnsi="Bookman Old Style" w:cs="Bookman Old Style"/>
      <w:b/>
      <w:bCs/>
      <w:spacing w:val="20"/>
      <w:sz w:val="12"/>
      <w:szCs w:val="12"/>
    </w:rPr>
  </w:style>
  <w:style w:type="character" w:customStyle="1" w:styleId="FontStyle190">
    <w:name w:val="Font Style190"/>
    <w:rsid w:val="00B63C48"/>
    <w:rPr>
      <w:rFonts w:ascii="Bookman Old Style" w:hAnsi="Bookman Old Style" w:cs="Bookman Old Style"/>
      <w:sz w:val="18"/>
      <w:szCs w:val="18"/>
    </w:rPr>
  </w:style>
  <w:style w:type="paragraph" w:customStyle="1" w:styleId="Style14">
    <w:name w:val="Style14"/>
    <w:basedOn w:val="Normal"/>
    <w:rsid w:val="00B63C48"/>
    <w:pPr>
      <w:widowControl w:val="0"/>
      <w:autoSpaceDE w:val="0"/>
      <w:autoSpaceDN w:val="0"/>
      <w:adjustRightInd w:val="0"/>
      <w:spacing w:line="216" w:lineRule="exact"/>
      <w:ind w:hanging="91"/>
      <w:jc w:val="both"/>
    </w:pPr>
    <w:rPr>
      <w:rFonts w:ascii="Bookman Old Style" w:eastAsia="Times New Roman" w:hAnsi="Bookman Old Style"/>
      <w:lang w:val="en-US"/>
    </w:rPr>
  </w:style>
  <w:style w:type="paragraph" w:customStyle="1" w:styleId="Style15">
    <w:name w:val="Style1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6">
    <w:name w:val="Style16"/>
    <w:basedOn w:val="Normal"/>
    <w:rsid w:val="00B63C48"/>
    <w:pPr>
      <w:widowControl w:val="0"/>
      <w:autoSpaceDE w:val="0"/>
      <w:autoSpaceDN w:val="0"/>
      <w:adjustRightInd w:val="0"/>
      <w:jc w:val="both"/>
    </w:pPr>
    <w:rPr>
      <w:rFonts w:ascii="Bookman Old Style" w:eastAsia="Times New Roman" w:hAnsi="Bookman Old Style"/>
      <w:lang w:val="en-US"/>
    </w:rPr>
  </w:style>
  <w:style w:type="paragraph" w:customStyle="1" w:styleId="Style17">
    <w:name w:val="Style1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8">
    <w:name w:val="Style18"/>
    <w:basedOn w:val="Normal"/>
    <w:rsid w:val="00B63C48"/>
    <w:pPr>
      <w:widowControl w:val="0"/>
      <w:autoSpaceDE w:val="0"/>
      <w:autoSpaceDN w:val="0"/>
      <w:adjustRightInd w:val="0"/>
      <w:spacing w:line="222" w:lineRule="exact"/>
      <w:ind w:hanging="682"/>
      <w:jc w:val="both"/>
    </w:pPr>
    <w:rPr>
      <w:rFonts w:ascii="Bookman Old Style" w:eastAsia="Times New Roman" w:hAnsi="Bookman Old Style"/>
      <w:lang w:val="en-US"/>
    </w:rPr>
  </w:style>
  <w:style w:type="paragraph" w:customStyle="1" w:styleId="Style19">
    <w:name w:val="Style19"/>
    <w:basedOn w:val="Normal"/>
    <w:rsid w:val="00B63C48"/>
    <w:pPr>
      <w:widowControl w:val="0"/>
      <w:autoSpaceDE w:val="0"/>
      <w:autoSpaceDN w:val="0"/>
      <w:adjustRightInd w:val="0"/>
      <w:jc w:val="both"/>
    </w:pPr>
    <w:rPr>
      <w:rFonts w:ascii="Bookman Old Style" w:eastAsia="Times New Roman" w:hAnsi="Bookman Old Style"/>
      <w:lang w:val="en-US"/>
    </w:rPr>
  </w:style>
  <w:style w:type="paragraph" w:customStyle="1" w:styleId="Style21">
    <w:name w:val="Style2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2">
    <w:name w:val="Style2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3">
    <w:name w:val="Style2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4">
    <w:name w:val="Style2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5">
    <w:name w:val="Style25"/>
    <w:basedOn w:val="Normal"/>
    <w:rsid w:val="00B63C48"/>
    <w:pPr>
      <w:widowControl w:val="0"/>
      <w:autoSpaceDE w:val="0"/>
      <w:autoSpaceDN w:val="0"/>
      <w:adjustRightInd w:val="0"/>
      <w:spacing w:line="242" w:lineRule="exact"/>
      <w:ind w:firstLine="451"/>
      <w:jc w:val="both"/>
    </w:pPr>
    <w:rPr>
      <w:rFonts w:ascii="Bookman Old Style" w:eastAsia="Times New Roman" w:hAnsi="Bookman Old Style"/>
      <w:lang w:val="en-US"/>
    </w:rPr>
  </w:style>
  <w:style w:type="paragraph" w:customStyle="1" w:styleId="Style26">
    <w:name w:val="Style2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8">
    <w:name w:val="Style28"/>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0">
    <w:name w:val="Style3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3">
    <w:name w:val="Style3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4">
    <w:name w:val="Style3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5">
    <w:name w:val="Style35"/>
    <w:basedOn w:val="Normal"/>
    <w:rsid w:val="00B63C48"/>
    <w:pPr>
      <w:widowControl w:val="0"/>
      <w:autoSpaceDE w:val="0"/>
      <w:autoSpaceDN w:val="0"/>
      <w:adjustRightInd w:val="0"/>
      <w:spacing w:line="298" w:lineRule="exact"/>
      <w:ind w:firstLine="96"/>
      <w:jc w:val="both"/>
    </w:pPr>
    <w:rPr>
      <w:rFonts w:ascii="Bookman Old Style" w:eastAsia="Times New Roman" w:hAnsi="Bookman Old Style"/>
      <w:lang w:val="en-US"/>
    </w:rPr>
  </w:style>
  <w:style w:type="paragraph" w:customStyle="1" w:styleId="Style36">
    <w:name w:val="Style3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7">
    <w:name w:val="Style37"/>
    <w:basedOn w:val="Normal"/>
    <w:rsid w:val="00B63C48"/>
    <w:pPr>
      <w:widowControl w:val="0"/>
      <w:autoSpaceDE w:val="0"/>
      <w:autoSpaceDN w:val="0"/>
      <w:adjustRightInd w:val="0"/>
      <w:spacing w:line="346" w:lineRule="exact"/>
    </w:pPr>
    <w:rPr>
      <w:rFonts w:ascii="Bookman Old Style" w:eastAsia="Times New Roman" w:hAnsi="Bookman Old Style"/>
      <w:lang w:val="en-US"/>
    </w:rPr>
  </w:style>
  <w:style w:type="paragraph" w:customStyle="1" w:styleId="Style38">
    <w:name w:val="Style38"/>
    <w:basedOn w:val="Normal"/>
    <w:rsid w:val="00B63C48"/>
    <w:pPr>
      <w:widowControl w:val="0"/>
      <w:autoSpaceDE w:val="0"/>
      <w:autoSpaceDN w:val="0"/>
      <w:adjustRightInd w:val="0"/>
      <w:spacing w:line="158" w:lineRule="exact"/>
    </w:pPr>
    <w:rPr>
      <w:rFonts w:ascii="Bookman Old Style" w:eastAsia="Times New Roman" w:hAnsi="Bookman Old Style"/>
      <w:lang w:val="en-US"/>
    </w:rPr>
  </w:style>
  <w:style w:type="paragraph" w:customStyle="1" w:styleId="Style40">
    <w:name w:val="Style4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1">
    <w:name w:val="Style4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2">
    <w:name w:val="Style4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3">
    <w:name w:val="Style43"/>
    <w:basedOn w:val="Normal"/>
    <w:rsid w:val="00B63C48"/>
    <w:pPr>
      <w:widowControl w:val="0"/>
      <w:autoSpaceDE w:val="0"/>
      <w:autoSpaceDN w:val="0"/>
      <w:adjustRightInd w:val="0"/>
      <w:spacing w:line="373" w:lineRule="exact"/>
      <w:jc w:val="both"/>
    </w:pPr>
    <w:rPr>
      <w:rFonts w:ascii="Bookman Old Style" w:eastAsia="Times New Roman" w:hAnsi="Bookman Old Style"/>
      <w:lang w:val="en-US"/>
    </w:rPr>
  </w:style>
  <w:style w:type="paragraph" w:customStyle="1" w:styleId="Style44">
    <w:name w:val="Style4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6">
    <w:name w:val="Style4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7">
    <w:name w:val="Style4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8">
    <w:name w:val="Style48"/>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9">
    <w:name w:val="Style49"/>
    <w:basedOn w:val="Normal"/>
    <w:rsid w:val="00B63C48"/>
    <w:pPr>
      <w:widowControl w:val="0"/>
      <w:autoSpaceDE w:val="0"/>
      <w:autoSpaceDN w:val="0"/>
      <w:adjustRightInd w:val="0"/>
      <w:jc w:val="center"/>
    </w:pPr>
    <w:rPr>
      <w:rFonts w:ascii="Bookman Old Style" w:eastAsia="Times New Roman" w:hAnsi="Bookman Old Style"/>
      <w:lang w:val="en-US"/>
    </w:rPr>
  </w:style>
  <w:style w:type="paragraph" w:customStyle="1" w:styleId="Style50">
    <w:name w:val="Style5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52">
    <w:name w:val="Style52"/>
    <w:basedOn w:val="Normal"/>
    <w:rsid w:val="00B63C48"/>
    <w:pPr>
      <w:widowControl w:val="0"/>
      <w:autoSpaceDE w:val="0"/>
      <w:autoSpaceDN w:val="0"/>
      <w:adjustRightInd w:val="0"/>
      <w:spacing w:line="605" w:lineRule="exact"/>
      <w:ind w:firstLine="1954"/>
    </w:pPr>
    <w:rPr>
      <w:rFonts w:ascii="Bookman Old Style" w:eastAsia="Times New Roman" w:hAnsi="Bookman Old Style"/>
      <w:lang w:val="en-US"/>
    </w:rPr>
  </w:style>
  <w:style w:type="paragraph" w:customStyle="1" w:styleId="Style53">
    <w:name w:val="Style53"/>
    <w:basedOn w:val="Normal"/>
    <w:rsid w:val="00B63C48"/>
    <w:pPr>
      <w:widowControl w:val="0"/>
      <w:autoSpaceDE w:val="0"/>
      <w:autoSpaceDN w:val="0"/>
      <w:adjustRightInd w:val="0"/>
      <w:spacing w:line="235" w:lineRule="exact"/>
      <w:ind w:firstLine="384"/>
      <w:jc w:val="both"/>
    </w:pPr>
    <w:rPr>
      <w:rFonts w:ascii="Bookman Old Style" w:eastAsia="Times New Roman" w:hAnsi="Bookman Old Style"/>
      <w:lang w:val="en-US"/>
    </w:rPr>
  </w:style>
  <w:style w:type="paragraph" w:customStyle="1" w:styleId="Style54">
    <w:name w:val="Style54"/>
    <w:basedOn w:val="Normal"/>
    <w:rsid w:val="00B63C48"/>
    <w:pPr>
      <w:widowControl w:val="0"/>
      <w:autoSpaceDE w:val="0"/>
      <w:autoSpaceDN w:val="0"/>
      <w:adjustRightInd w:val="0"/>
      <w:spacing w:line="144" w:lineRule="exact"/>
      <w:jc w:val="both"/>
    </w:pPr>
    <w:rPr>
      <w:rFonts w:ascii="Bookman Old Style" w:eastAsia="Times New Roman" w:hAnsi="Bookman Old Style"/>
      <w:lang w:val="en-US"/>
    </w:rPr>
  </w:style>
  <w:style w:type="paragraph" w:customStyle="1" w:styleId="Style56">
    <w:name w:val="Style56"/>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58">
    <w:name w:val="Font Style58"/>
    <w:rsid w:val="00B63C48"/>
    <w:rPr>
      <w:rFonts w:ascii="Bookman Old Style" w:hAnsi="Bookman Old Style" w:cs="Bookman Old Style"/>
      <w:b/>
      <w:bCs/>
      <w:sz w:val="18"/>
      <w:szCs w:val="18"/>
    </w:rPr>
  </w:style>
  <w:style w:type="character" w:customStyle="1" w:styleId="FontStyle59">
    <w:name w:val="Font Style59"/>
    <w:rsid w:val="00B63C48"/>
    <w:rPr>
      <w:rFonts w:ascii="Trebuchet MS" w:hAnsi="Trebuchet MS" w:cs="Trebuchet MS"/>
      <w:b/>
      <w:bCs/>
      <w:spacing w:val="20"/>
      <w:sz w:val="12"/>
      <w:szCs w:val="12"/>
    </w:rPr>
  </w:style>
  <w:style w:type="character" w:customStyle="1" w:styleId="FontStyle60">
    <w:name w:val="Font Style60"/>
    <w:rsid w:val="00B63C48"/>
    <w:rPr>
      <w:rFonts w:ascii="Times New Roman" w:hAnsi="Times New Roman" w:cs="Times New Roman"/>
      <w:sz w:val="12"/>
      <w:szCs w:val="12"/>
    </w:rPr>
  </w:style>
  <w:style w:type="character" w:customStyle="1" w:styleId="FontStyle61">
    <w:name w:val="Font Style61"/>
    <w:rsid w:val="00B63C48"/>
    <w:rPr>
      <w:rFonts w:ascii="Bookman Old Style" w:hAnsi="Bookman Old Style" w:cs="Bookman Old Style"/>
      <w:sz w:val="18"/>
      <w:szCs w:val="18"/>
    </w:rPr>
  </w:style>
  <w:style w:type="character" w:customStyle="1" w:styleId="FontStyle62">
    <w:name w:val="Font Style62"/>
    <w:rsid w:val="00B63C48"/>
    <w:rPr>
      <w:rFonts w:ascii="Bookman Old Style" w:hAnsi="Bookman Old Style" w:cs="Bookman Old Style"/>
      <w:sz w:val="10"/>
      <w:szCs w:val="10"/>
    </w:rPr>
  </w:style>
  <w:style w:type="character" w:customStyle="1" w:styleId="FontStyle63">
    <w:name w:val="Font Style63"/>
    <w:rsid w:val="00B63C48"/>
    <w:rPr>
      <w:rFonts w:ascii="Arial Narrow" w:hAnsi="Arial Narrow" w:cs="Arial Narrow"/>
      <w:b/>
      <w:bCs/>
      <w:sz w:val="12"/>
      <w:szCs w:val="12"/>
    </w:rPr>
  </w:style>
  <w:style w:type="character" w:customStyle="1" w:styleId="FontStyle64">
    <w:name w:val="Font Style64"/>
    <w:rsid w:val="00B63C48"/>
    <w:rPr>
      <w:rFonts w:ascii="Lucida Sans Unicode" w:hAnsi="Lucida Sans Unicode" w:cs="Lucida Sans Unicode"/>
      <w:i/>
      <w:iCs/>
      <w:spacing w:val="40"/>
      <w:sz w:val="24"/>
      <w:szCs w:val="24"/>
    </w:rPr>
  </w:style>
  <w:style w:type="character" w:customStyle="1" w:styleId="FontStyle65">
    <w:name w:val="Font Style65"/>
    <w:rsid w:val="00B63C48"/>
    <w:rPr>
      <w:rFonts w:ascii="Bookman Old Style" w:hAnsi="Bookman Old Style" w:cs="Bookman Old Style"/>
      <w:b/>
      <w:bCs/>
      <w:i/>
      <w:iCs/>
      <w:spacing w:val="-10"/>
      <w:sz w:val="18"/>
      <w:szCs w:val="18"/>
    </w:rPr>
  </w:style>
  <w:style w:type="character" w:customStyle="1" w:styleId="FontStyle66">
    <w:name w:val="Font Style66"/>
    <w:rsid w:val="00B63C48"/>
    <w:rPr>
      <w:rFonts w:ascii="Bookman Old Style" w:hAnsi="Bookman Old Style" w:cs="Bookman Old Style"/>
      <w:b/>
      <w:bCs/>
      <w:sz w:val="16"/>
      <w:szCs w:val="16"/>
    </w:rPr>
  </w:style>
  <w:style w:type="character" w:customStyle="1" w:styleId="FontStyle67">
    <w:name w:val="Font Style67"/>
    <w:rsid w:val="00B63C48"/>
    <w:rPr>
      <w:rFonts w:ascii="Bookman Old Style" w:hAnsi="Bookman Old Style" w:cs="Bookman Old Style"/>
      <w:b/>
      <w:bCs/>
      <w:sz w:val="18"/>
      <w:szCs w:val="18"/>
    </w:rPr>
  </w:style>
  <w:style w:type="character" w:customStyle="1" w:styleId="FontStyle68">
    <w:name w:val="Font Style68"/>
    <w:rsid w:val="00B63C48"/>
    <w:rPr>
      <w:rFonts w:ascii="Lucida Sans Unicode" w:hAnsi="Lucida Sans Unicode" w:cs="Lucida Sans Unicode"/>
      <w:b/>
      <w:bCs/>
      <w:sz w:val="22"/>
      <w:szCs w:val="22"/>
    </w:rPr>
  </w:style>
  <w:style w:type="character" w:customStyle="1" w:styleId="FontStyle69">
    <w:name w:val="Font Style69"/>
    <w:rsid w:val="00B63C48"/>
    <w:rPr>
      <w:rFonts w:ascii="Bookman Old Style" w:hAnsi="Bookman Old Style" w:cs="Bookman Old Style"/>
      <w:sz w:val="20"/>
      <w:szCs w:val="20"/>
    </w:rPr>
  </w:style>
  <w:style w:type="character" w:customStyle="1" w:styleId="FontStyle70">
    <w:name w:val="Font Style70"/>
    <w:rsid w:val="00B63C48"/>
    <w:rPr>
      <w:rFonts w:ascii="Lucida Sans Unicode" w:hAnsi="Lucida Sans Unicode" w:cs="Lucida Sans Unicode"/>
      <w:sz w:val="26"/>
      <w:szCs w:val="26"/>
    </w:rPr>
  </w:style>
  <w:style w:type="character" w:customStyle="1" w:styleId="FontStyle71">
    <w:name w:val="Font Style71"/>
    <w:rsid w:val="00B63C48"/>
    <w:rPr>
      <w:rFonts w:ascii="Bookman Old Style" w:hAnsi="Bookman Old Style" w:cs="Bookman Old Style"/>
      <w:sz w:val="20"/>
      <w:szCs w:val="20"/>
    </w:rPr>
  </w:style>
  <w:style w:type="character" w:customStyle="1" w:styleId="FontStyle72">
    <w:name w:val="Font Style72"/>
    <w:rsid w:val="00B63C48"/>
    <w:rPr>
      <w:rFonts w:ascii="Tahoma" w:hAnsi="Tahoma" w:cs="Tahoma"/>
      <w:b/>
      <w:bCs/>
      <w:i/>
      <w:iCs/>
      <w:sz w:val="12"/>
      <w:szCs w:val="12"/>
    </w:rPr>
  </w:style>
  <w:style w:type="character" w:customStyle="1" w:styleId="FontStyle73">
    <w:name w:val="Font Style73"/>
    <w:rsid w:val="00B63C48"/>
    <w:rPr>
      <w:rFonts w:ascii="Lucida Sans Unicode" w:hAnsi="Lucida Sans Unicode" w:cs="Lucida Sans Unicode"/>
      <w:sz w:val="10"/>
      <w:szCs w:val="10"/>
    </w:rPr>
  </w:style>
  <w:style w:type="character" w:customStyle="1" w:styleId="FontStyle74">
    <w:name w:val="Font Style74"/>
    <w:rsid w:val="00B63C48"/>
    <w:rPr>
      <w:rFonts w:ascii="Times New Roman" w:hAnsi="Times New Roman" w:cs="Times New Roman"/>
      <w:spacing w:val="10"/>
      <w:sz w:val="12"/>
      <w:szCs w:val="12"/>
    </w:rPr>
  </w:style>
  <w:style w:type="character" w:customStyle="1" w:styleId="FontStyle75">
    <w:name w:val="Font Style75"/>
    <w:rsid w:val="00B63C48"/>
    <w:rPr>
      <w:rFonts w:ascii="Lucida Sans Unicode" w:hAnsi="Lucida Sans Unicode" w:cs="Lucida Sans Unicode"/>
      <w:b/>
      <w:bCs/>
      <w:sz w:val="10"/>
      <w:szCs w:val="10"/>
    </w:rPr>
  </w:style>
  <w:style w:type="character" w:customStyle="1" w:styleId="FontStyle76">
    <w:name w:val="Font Style76"/>
    <w:rsid w:val="00B63C48"/>
    <w:rPr>
      <w:rFonts w:ascii="Arial Narrow" w:hAnsi="Arial Narrow" w:cs="Arial Narrow"/>
      <w:sz w:val="12"/>
      <w:szCs w:val="12"/>
    </w:rPr>
  </w:style>
  <w:style w:type="character" w:customStyle="1" w:styleId="FontStyle77">
    <w:name w:val="Font Style77"/>
    <w:rsid w:val="00B63C48"/>
    <w:rPr>
      <w:rFonts w:ascii="Bookman Old Style" w:hAnsi="Bookman Old Style" w:cs="Bookman Old Style"/>
      <w:sz w:val="16"/>
      <w:szCs w:val="16"/>
    </w:rPr>
  </w:style>
  <w:style w:type="character" w:customStyle="1" w:styleId="FontStyle78">
    <w:name w:val="Font Style78"/>
    <w:rsid w:val="00B63C48"/>
    <w:rPr>
      <w:rFonts w:ascii="Bookman Old Style" w:hAnsi="Bookman Old Style" w:cs="Bookman Old Style"/>
      <w:spacing w:val="-40"/>
      <w:sz w:val="38"/>
      <w:szCs w:val="38"/>
    </w:rPr>
  </w:style>
  <w:style w:type="character" w:customStyle="1" w:styleId="FontStyle79">
    <w:name w:val="Font Style79"/>
    <w:rsid w:val="00B63C48"/>
    <w:rPr>
      <w:rFonts w:ascii="Times New Roman" w:hAnsi="Times New Roman" w:cs="Times New Roman"/>
      <w:b/>
      <w:bCs/>
      <w:sz w:val="10"/>
      <w:szCs w:val="10"/>
    </w:rPr>
  </w:style>
  <w:style w:type="character" w:customStyle="1" w:styleId="FontStyle81">
    <w:name w:val="Font Style81"/>
    <w:rsid w:val="00B63C48"/>
    <w:rPr>
      <w:rFonts w:ascii="Bookman Old Style" w:hAnsi="Bookman Old Style" w:cs="Bookman Old Style"/>
      <w:b/>
      <w:bCs/>
      <w:sz w:val="16"/>
      <w:szCs w:val="16"/>
    </w:rPr>
  </w:style>
  <w:style w:type="character" w:customStyle="1" w:styleId="FontStyle82">
    <w:name w:val="Font Style82"/>
    <w:rsid w:val="00B63C48"/>
    <w:rPr>
      <w:rFonts w:ascii="Lucida Sans Unicode" w:hAnsi="Lucida Sans Unicode" w:cs="Lucida Sans Unicode"/>
      <w:spacing w:val="-20"/>
      <w:sz w:val="22"/>
      <w:szCs w:val="22"/>
    </w:rPr>
  </w:style>
  <w:style w:type="character" w:customStyle="1" w:styleId="FontStyle83">
    <w:name w:val="Font Style83"/>
    <w:rsid w:val="00B63C48"/>
    <w:rPr>
      <w:rFonts w:ascii="Bookman Old Style" w:hAnsi="Bookman Old Style" w:cs="Bookman Old Style"/>
      <w:spacing w:val="10"/>
      <w:sz w:val="14"/>
      <w:szCs w:val="14"/>
    </w:rPr>
  </w:style>
  <w:style w:type="character" w:customStyle="1" w:styleId="FontStyle84">
    <w:name w:val="Font Style84"/>
    <w:rsid w:val="00B63C48"/>
    <w:rPr>
      <w:rFonts w:ascii="Bookman Old Style" w:hAnsi="Bookman Old Style" w:cs="Bookman Old Style"/>
      <w:i/>
      <w:iCs/>
      <w:spacing w:val="10"/>
      <w:sz w:val="18"/>
      <w:szCs w:val="18"/>
    </w:rPr>
  </w:style>
  <w:style w:type="character" w:customStyle="1" w:styleId="FontStyle85">
    <w:name w:val="Font Style85"/>
    <w:rsid w:val="00B63C48"/>
    <w:rPr>
      <w:rFonts w:ascii="Lucida Sans Unicode" w:hAnsi="Lucida Sans Unicode" w:cs="Lucida Sans Unicode"/>
      <w:b/>
      <w:bCs/>
      <w:spacing w:val="20"/>
      <w:sz w:val="22"/>
      <w:szCs w:val="22"/>
    </w:rPr>
  </w:style>
  <w:style w:type="character" w:customStyle="1" w:styleId="FontStyle86">
    <w:name w:val="Font Style86"/>
    <w:rsid w:val="00B63C48"/>
    <w:rPr>
      <w:rFonts w:ascii="Lucida Sans Unicode" w:hAnsi="Lucida Sans Unicode" w:cs="Lucida Sans Unicode"/>
      <w:sz w:val="18"/>
      <w:szCs w:val="18"/>
    </w:rPr>
  </w:style>
  <w:style w:type="character" w:customStyle="1" w:styleId="FontStyle87">
    <w:name w:val="Font Style87"/>
    <w:rsid w:val="00B63C48"/>
    <w:rPr>
      <w:rFonts w:ascii="Times New Roman" w:hAnsi="Times New Roman" w:cs="Times New Roman"/>
      <w:spacing w:val="20"/>
      <w:sz w:val="14"/>
      <w:szCs w:val="14"/>
    </w:rPr>
  </w:style>
  <w:style w:type="character" w:customStyle="1" w:styleId="FontStyle88">
    <w:name w:val="Font Style88"/>
    <w:rsid w:val="00B63C48"/>
    <w:rPr>
      <w:rFonts w:ascii="Times New Roman" w:hAnsi="Times New Roman" w:cs="Times New Roman"/>
      <w:spacing w:val="20"/>
      <w:sz w:val="24"/>
      <w:szCs w:val="24"/>
    </w:rPr>
  </w:style>
  <w:style w:type="character" w:customStyle="1" w:styleId="FontStyle89">
    <w:name w:val="Font Style89"/>
    <w:rsid w:val="00B63C48"/>
    <w:rPr>
      <w:rFonts w:ascii="Lucida Sans Unicode" w:hAnsi="Lucida Sans Unicode" w:cs="Lucida Sans Unicode"/>
      <w:sz w:val="22"/>
      <w:szCs w:val="22"/>
    </w:rPr>
  </w:style>
  <w:style w:type="character" w:customStyle="1" w:styleId="FontStyle90">
    <w:name w:val="Font Style90"/>
    <w:rsid w:val="00B63C48"/>
    <w:rPr>
      <w:rFonts w:ascii="Bookman Old Style" w:hAnsi="Bookman Old Style" w:cs="Bookman Old Style"/>
      <w:sz w:val="22"/>
      <w:szCs w:val="22"/>
    </w:rPr>
  </w:style>
  <w:style w:type="character" w:customStyle="1" w:styleId="FontStyle91">
    <w:name w:val="Font Style91"/>
    <w:rsid w:val="00B63C48"/>
    <w:rPr>
      <w:rFonts w:ascii="Times New Roman" w:hAnsi="Times New Roman" w:cs="Times New Roman"/>
      <w:spacing w:val="10"/>
      <w:sz w:val="8"/>
      <w:szCs w:val="8"/>
    </w:rPr>
  </w:style>
  <w:style w:type="character" w:customStyle="1" w:styleId="FontStyle92">
    <w:name w:val="Font Style92"/>
    <w:rsid w:val="00B63C48"/>
    <w:rPr>
      <w:rFonts w:ascii="Lucida Sans Unicode" w:hAnsi="Lucida Sans Unicode" w:cs="Lucida Sans Unicode"/>
      <w:sz w:val="18"/>
      <w:szCs w:val="18"/>
    </w:rPr>
  </w:style>
  <w:style w:type="character" w:customStyle="1" w:styleId="FontStyle94">
    <w:name w:val="Font Style94"/>
    <w:rsid w:val="00B63C48"/>
    <w:rPr>
      <w:rFonts w:ascii="Bookman Old Style" w:hAnsi="Bookman Old Style" w:cs="Bookman Old Style"/>
      <w:i/>
      <w:iCs/>
      <w:sz w:val="18"/>
      <w:szCs w:val="18"/>
    </w:rPr>
  </w:style>
  <w:style w:type="character" w:customStyle="1" w:styleId="FontStyle95">
    <w:name w:val="Font Style95"/>
    <w:rsid w:val="00B63C48"/>
    <w:rPr>
      <w:rFonts w:ascii="Arial Narrow" w:hAnsi="Arial Narrow" w:cs="Arial Narrow"/>
      <w:sz w:val="28"/>
      <w:szCs w:val="28"/>
    </w:rPr>
  </w:style>
  <w:style w:type="character" w:customStyle="1" w:styleId="FontStyle101">
    <w:name w:val="Font Style101"/>
    <w:rsid w:val="00B63C48"/>
    <w:rPr>
      <w:rFonts w:ascii="Bookman Old Style" w:hAnsi="Bookman Old Style" w:cs="Bookman Old Style"/>
      <w:sz w:val="24"/>
      <w:szCs w:val="24"/>
    </w:rPr>
  </w:style>
  <w:style w:type="character" w:customStyle="1" w:styleId="FontStyle107">
    <w:name w:val="Font Style107"/>
    <w:rsid w:val="00B63C48"/>
    <w:rPr>
      <w:rFonts w:ascii="Bookman Old Style" w:hAnsi="Bookman Old Style" w:cs="Bookman Old Style"/>
      <w:b/>
      <w:bCs/>
      <w:sz w:val="16"/>
      <w:szCs w:val="16"/>
    </w:rPr>
  </w:style>
  <w:style w:type="character" w:customStyle="1" w:styleId="FontStyle105">
    <w:name w:val="Font Style105"/>
    <w:rsid w:val="00B63C48"/>
    <w:rPr>
      <w:rFonts w:ascii="Georgia" w:hAnsi="Georgia" w:cs="Georgia"/>
      <w:sz w:val="14"/>
      <w:szCs w:val="14"/>
    </w:rPr>
  </w:style>
  <w:style w:type="character" w:customStyle="1" w:styleId="FontStyle106">
    <w:name w:val="Font Style106"/>
    <w:rsid w:val="00B63C48"/>
    <w:rPr>
      <w:rFonts w:ascii="Times New Roman" w:hAnsi="Times New Roman" w:cs="Times New Roman"/>
      <w:spacing w:val="10"/>
      <w:sz w:val="12"/>
      <w:szCs w:val="12"/>
    </w:rPr>
  </w:style>
  <w:style w:type="character" w:customStyle="1" w:styleId="FontStyle110">
    <w:name w:val="Font Style110"/>
    <w:rsid w:val="00B63C48"/>
    <w:rPr>
      <w:rFonts w:ascii="Bookman Old Style" w:hAnsi="Bookman Old Style" w:cs="Bookman Old Style"/>
      <w:i/>
      <w:iCs/>
      <w:sz w:val="16"/>
      <w:szCs w:val="16"/>
    </w:rPr>
  </w:style>
  <w:style w:type="character" w:customStyle="1" w:styleId="FontStyle128">
    <w:name w:val="Font Style128"/>
    <w:rsid w:val="00B63C48"/>
    <w:rPr>
      <w:rFonts w:ascii="Bookman Old Style" w:hAnsi="Bookman Old Style" w:cs="Bookman Old Style"/>
      <w:b/>
      <w:bCs/>
      <w:spacing w:val="10"/>
      <w:sz w:val="8"/>
      <w:szCs w:val="8"/>
    </w:rPr>
  </w:style>
  <w:style w:type="character" w:customStyle="1" w:styleId="FontStyle108">
    <w:name w:val="Font Style108"/>
    <w:rsid w:val="00B63C48"/>
    <w:rPr>
      <w:rFonts w:ascii="Trebuchet MS" w:hAnsi="Trebuchet MS" w:cs="Trebuchet MS"/>
      <w:spacing w:val="-10"/>
      <w:sz w:val="14"/>
      <w:szCs w:val="14"/>
    </w:rPr>
  </w:style>
  <w:style w:type="character" w:customStyle="1" w:styleId="FontStyle156">
    <w:name w:val="Font Style156"/>
    <w:rsid w:val="00B63C48"/>
    <w:rPr>
      <w:rFonts w:ascii="Bookman Old Style" w:hAnsi="Bookman Old Style" w:cs="Bookman Old Style"/>
      <w:sz w:val="14"/>
      <w:szCs w:val="14"/>
    </w:rPr>
  </w:style>
  <w:style w:type="character" w:customStyle="1" w:styleId="FontStyle109">
    <w:name w:val="Font Style109"/>
    <w:rsid w:val="00B63C48"/>
    <w:rPr>
      <w:rFonts w:ascii="Bookman Old Style" w:hAnsi="Bookman Old Style" w:cs="Bookman Old Style"/>
      <w:smallCaps/>
      <w:sz w:val="24"/>
      <w:szCs w:val="24"/>
    </w:rPr>
  </w:style>
  <w:style w:type="paragraph" w:customStyle="1" w:styleId="Style62">
    <w:name w:val="Style6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63">
    <w:name w:val="Style63"/>
    <w:basedOn w:val="Normal"/>
    <w:rsid w:val="00B63C48"/>
    <w:pPr>
      <w:widowControl w:val="0"/>
      <w:autoSpaceDE w:val="0"/>
      <w:autoSpaceDN w:val="0"/>
      <w:adjustRightInd w:val="0"/>
      <w:spacing w:line="221" w:lineRule="exact"/>
      <w:ind w:hanging="686"/>
    </w:pPr>
    <w:rPr>
      <w:rFonts w:ascii="Bookman Old Style" w:eastAsia="Times New Roman" w:hAnsi="Bookman Old Style"/>
      <w:lang w:val="en-US"/>
    </w:rPr>
  </w:style>
  <w:style w:type="paragraph" w:customStyle="1" w:styleId="Style61">
    <w:name w:val="Style61"/>
    <w:basedOn w:val="Normal"/>
    <w:rsid w:val="00B63C48"/>
    <w:pPr>
      <w:widowControl w:val="0"/>
      <w:autoSpaceDE w:val="0"/>
      <w:autoSpaceDN w:val="0"/>
      <w:adjustRightInd w:val="0"/>
      <w:spacing w:line="242" w:lineRule="exact"/>
      <w:ind w:firstLine="456"/>
      <w:jc w:val="both"/>
    </w:pPr>
    <w:rPr>
      <w:rFonts w:ascii="Bookman Old Style" w:eastAsia="Times New Roman" w:hAnsi="Bookman Old Style"/>
      <w:lang w:val="en-US"/>
    </w:rPr>
  </w:style>
  <w:style w:type="paragraph" w:customStyle="1" w:styleId="Style64">
    <w:name w:val="Style64"/>
    <w:basedOn w:val="Normal"/>
    <w:rsid w:val="00B63C48"/>
    <w:pPr>
      <w:widowControl w:val="0"/>
      <w:autoSpaceDE w:val="0"/>
      <w:autoSpaceDN w:val="0"/>
      <w:adjustRightInd w:val="0"/>
      <w:spacing w:line="245" w:lineRule="exact"/>
      <w:ind w:firstLine="456"/>
      <w:jc w:val="both"/>
    </w:pPr>
    <w:rPr>
      <w:rFonts w:ascii="Bookman Old Style" w:eastAsia="Times New Roman" w:hAnsi="Bookman Old Style"/>
      <w:lang w:val="en-US"/>
    </w:rPr>
  </w:style>
  <w:style w:type="character" w:customStyle="1" w:styleId="FontStyle112">
    <w:name w:val="Font Style112"/>
    <w:rsid w:val="00B63C48"/>
    <w:rPr>
      <w:rFonts w:ascii="Bookman Old Style" w:hAnsi="Bookman Old Style" w:cs="Bookman Old Style"/>
      <w:sz w:val="18"/>
      <w:szCs w:val="18"/>
    </w:rPr>
  </w:style>
  <w:style w:type="character" w:customStyle="1" w:styleId="FontStyle127">
    <w:name w:val="Font Style127"/>
    <w:rsid w:val="00B63C48"/>
    <w:rPr>
      <w:rFonts w:ascii="Bookman Old Style" w:hAnsi="Bookman Old Style" w:cs="Bookman Old Style"/>
      <w:i/>
      <w:iCs/>
      <w:sz w:val="8"/>
      <w:szCs w:val="8"/>
    </w:rPr>
  </w:style>
  <w:style w:type="paragraph" w:customStyle="1" w:styleId="Style79">
    <w:name w:val="Style7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69">
    <w:name w:val="Style6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1">
    <w:name w:val="Style7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3">
    <w:name w:val="Style73"/>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18">
    <w:name w:val="Font Style118"/>
    <w:rsid w:val="00B63C48"/>
    <w:rPr>
      <w:rFonts w:ascii="Franklin Gothic Medium" w:hAnsi="Franklin Gothic Medium" w:cs="Franklin Gothic Medium"/>
      <w:b/>
      <w:bCs/>
      <w:sz w:val="12"/>
      <w:szCs w:val="12"/>
    </w:rPr>
  </w:style>
  <w:style w:type="character" w:customStyle="1" w:styleId="FontStyle149">
    <w:name w:val="Font Style149"/>
    <w:rsid w:val="00B63C48"/>
    <w:rPr>
      <w:rFonts w:ascii="Trebuchet MS" w:hAnsi="Trebuchet MS" w:cs="Trebuchet MS"/>
      <w:i/>
      <w:iCs/>
      <w:sz w:val="12"/>
      <w:szCs w:val="12"/>
    </w:rPr>
  </w:style>
  <w:style w:type="paragraph" w:customStyle="1" w:styleId="Style68">
    <w:name w:val="Style68"/>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38">
    <w:name w:val="Font Style138"/>
    <w:rsid w:val="00B63C48"/>
    <w:rPr>
      <w:rFonts w:ascii="Bookman Old Style" w:hAnsi="Bookman Old Style" w:cs="Bookman Old Style"/>
      <w:sz w:val="16"/>
      <w:szCs w:val="16"/>
    </w:rPr>
  </w:style>
  <w:style w:type="paragraph" w:customStyle="1" w:styleId="Style60">
    <w:name w:val="Style60"/>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39">
    <w:name w:val="Font Style139"/>
    <w:rsid w:val="00B63C48"/>
    <w:rPr>
      <w:rFonts w:ascii="Bookman Old Style" w:hAnsi="Bookman Old Style" w:cs="Bookman Old Style"/>
      <w:sz w:val="20"/>
      <w:szCs w:val="20"/>
    </w:rPr>
  </w:style>
  <w:style w:type="character" w:customStyle="1" w:styleId="FontStyle144">
    <w:name w:val="Font Style144"/>
    <w:rsid w:val="00B63C48"/>
    <w:rPr>
      <w:rFonts w:ascii="Bookman Old Style" w:hAnsi="Bookman Old Style" w:cs="Bookman Old Style"/>
      <w:spacing w:val="10"/>
      <w:sz w:val="20"/>
      <w:szCs w:val="20"/>
    </w:rPr>
  </w:style>
  <w:style w:type="paragraph" w:customStyle="1" w:styleId="Style59">
    <w:name w:val="Style59"/>
    <w:basedOn w:val="Normal"/>
    <w:rsid w:val="00B63C48"/>
    <w:pPr>
      <w:widowControl w:val="0"/>
      <w:autoSpaceDE w:val="0"/>
      <w:autoSpaceDN w:val="0"/>
      <w:adjustRightInd w:val="0"/>
      <w:jc w:val="both"/>
    </w:pPr>
    <w:rPr>
      <w:rFonts w:ascii="Bookman Old Style" w:eastAsia="Times New Roman" w:hAnsi="Bookman Old Style"/>
      <w:lang w:val="en-US"/>
    </w:rPr>
  </w:style>
  <w:style w:type="character" w:customStyle="1" w:styleId="FontStyle126">
    <w:name w:val="Font Style126"/>
    <w:rsid w:val="00B63C48"/>
    <w:rPr>
      <w:rFonts w:ascii="Trebuchet MS" w:hAnsi="Trebuchet MS" w:cs="Trebuchet MS"/>
      <w:b/>
      <w:bCs/>
      <w:sz w:val="20"/>
      <w:szCs w:val="20"/>
    </w:rPr>
  </w:style>
  <w:style w:type="character" w:customStyle="1" w:styleId="FontStyle150">
    <w:name w:val="Font Style150"/>
    <w:rsid w:val="00B63C48"/>
    <w:rPr>
      <w:rFonts w:ascii="Bookman Old Style" w:hAnsi="Bookman Old Style" w:cs="Bookman Old Style"/>
      <w:sz w:val="18"/>
      <w:szCs w:val="18"/>
    </w:rPr>
  </w:style>
  <w:style w:type="character" w:customStyle="1" w:styleId="FontStyle154">
    <w:name w:val="Font Style154"/>
    <w:rsid w:val="00B63C48"/>
    <w:rPr>
      <w:rFonts w:ascii="Bookman Old Style" w:hAnsi="Bookman Old Style" w:cs="Bookman Old Style"/>
      <w:sz w:val="16"/>
      <w:szCs w:val="16"/>
    </w:rPr>
  </w:style>
  <w:style w:type="character" w:customStyle="1" w:styleId="FontStyle120">
    <w:name w:val="Font Style120"/>
    <w:rsid w:val="00B63C48"/>
    <w:rPr>
      <w:rFonts w:ascii="Bookman Old Style" w:hAnsi="Bookman Old Style" w:cs="Bookman Old Style"/>
      <w:b/>
      <w:bCs/>
      <w:i/>
      <w:iCs/>
      <w:sz w:val="18"/>
      <w:szCs w:val="18"/>
    </w:rPr>
  </w:style>
  <w:style w:type="paragraph" w:customStyle="1" w:styleId="Style91">
    <w:name w:val="Style91"/>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58">
    <w:name w:val="Font Style158"/>
    <w:rsid w:val="00B63C48"/>
    <w:rPr>
      <w:rFonts w:ascii="Bookman Old Style" w:hAnsi="Bookman Old Style" w:cs="Bookman Old Style"/>
      <w:sz w:val="18"/>
      <w:szCs w:val="18"/>
    </w:rPr>
  </w:style>
  <w:style w:type="character" w:customStyle="1" w:styleId="FontStyle160">
    <w:name w:val="Font Style160"/>
    <w:rsid w:val="00B63C48"/>
    <w:rPr>
      <w:rFonts w:ascii="Bookman Old Style" w:hAnsi="Bookman Old Style" w:cs="Bookman Old Style"/>
      <w:sz w:val="16"/>
      <w:szCs w:val="16"/>
    </w:rPr>
  </w:style>
  <w:style w:type="character" w:customStyle="1" w:styleId="FontStyle100">
    <w:name w:val="Font Style100"/>
    <w:rsid w:val="00B63C48"/>
    <w:rPr>
      <w:rFonts w:ascii="Bookman Old Style" w:hAnsi="Bookman Old Style" w:cs="Bookman Old Style"/>
      <w:b/>
      <w:bCs/>
      <w:sz w:val="18"/>
      <w:szCs w:val="18"/>
    </w:rPr>
  </w:style>
  <w:style w:type="character" w:customStyle="1" w:styleId="FontStyle119">
    <w:name w:val="Font Style119"/>
    <w:rsid w:val="00B63C48"/>
    <w:rPr>
      <w:rFonts w:ascii="Bookman Old Style" w:hAnsi="Bookman Old Style" w:cs="Bookman Old Style"/>
      <w:sz w:val="16"/>
      <w:szCs w:val="16"/>
    </w:rPr>
  </w:style>
  <w:style w:type="character" w:customStyle="1" w:styleId="FontStyle99">
    <w:name w:val="Font Style99"/>
    <w:rsid w:val="00B63C48"/>
    <w:rPr>
      <w:rFonts w:ascii="Times New Roman" w:hAnsi="Times New Roman" w:cs="Times New Roman"/>
      <w:sz w:val="20"/>
      <w:szCs w:val="20"/>
    </w:rPr>
  </w:style>
  <w:style w:type="character" w:customStyle="1" w:styleId="FontStyle122">
    <w:name w:val="Font Style122"/>
    <w:rsid w:val="00B63C48"/>
    <w:rPr>
      <w:rFonts w:ascii="Arial" w:hAnsi="Arial" w:cs="Arial"/>
      <w:b/>
      <w:bCs/>
      <w:spacing w:val="30"/>
      <w:sz w:val="16"/>
      <w:szCs w:val="16"/>
    </w:rPr>
  </w:style>
  <w:style w:type="character" w:customStyle="1" w:styleId="FontStyle124">
    <w:name w:val="Font Style124"/>
    <w:rsid w:val="00B63C48"/>
    <w:rPr>
      <w:rFonts w:ascii="Arial" w:hAnsi="Arial" w:cs="Arial"/>
      <w:sz w:val="20"/>
      <w:szCs w:val="20"/>
    </w:rPr>
  </w:style>
  <w:style w:type="character" w:customStyle="1" w:styleId="FontStyle125">
    <w:name w:val="Font Style125"/>
    <w:rsid w:val="00B63C48"/>
    <w:rPr>
      <w:rFonts w:ascii="Bookman Old Style" w:hAnsi="Bookman Old Style" w:cs="Bookman Old Style"/>
      <w:b/>
      <w:bCs/>
      <w:sz w:val="10"/>
      <w:szCs w:val="10"/>
    </w:rPr>
  </w:style>
  <w:style w:type="character" w:customStyle="1" w:styleId="FontStyle121">
    <w:name w:val="Font Style121"/>
    <w:rsid w:val="00B63C48"/>
    <w:rPr>
      <w:rFonts w:ascii="Bookman Old Style" w:hAnsi="Bookman Old Style" w:cs="Bookman Old Style"/>
      <w:sz w:val="16"/>
      <w:szCs w:val="16"/>
    </w:rPr>
  </w:style>
  <w:style w:type="paragraph" w:customStyle="1" w:styleId="Style70">
    <w:name w:val="Style70"/>
    <w:basedOn w:val="Normal"/>
    <w:rsid w:val="00B63C48"/>
    <w:pPr>
      <w:widowControl w:val="0"/>
      <w:autoSpaceDE w:val="0"/>
      <w:autoSpaceDN w:val="0"/>
      <w:adjustRightInd w:val="0"/>
      <w:spacing w:line="240" w:lineRule="exact"/>
      <w:ind w:firstLine="418"/>
      <w:jc w:val="both"/>
    </w:pPr>
    <w:rPr>
      <w:rFonts w:ascii="Bookman Old Style" w:eastAsia="Times New Roman" w:hAnsi="Bookman Old Style"/>
      <w:lang w:val="en-US"/>
    </w:rPr>
  </w:style>
  <w:style w:type="paragraph" w:customStyle="1" w:styleId="Style72">
    <w:name w:val="Style72"/>
    <w:basedOn w:val="Normal"/>
    <w:rsid w:val="00B63C48"/>
    <w:pPr>
      <w:widowControl w:val="0"/>
      <w:autoSpaceDE w:val="0"/>
      <w:autoSpaceDN w:val="0"/>
      <w:adjustRightInd w:val="0"/>
      <w:spacing w:line="264" w:lineRule="exact"/>
      <w:ind w:firstLine="422"/>
      <w:jc w:val="both"/>
    </w:pPr>
    <w:rPr>
      <w:rFonts w:ascii="Bookman Old Style" w:eastAsia="Times New Roman" w:hAnsi="Bookman Old Style"/>
      <w:lang w:val="en-US"/>
    </w:rPr>
  </w:style>
  <w:style w:type="character" w:customStyle="1" w:styleId="FontStyle113">
    <w:name w:val="Font Style113"/>
    <w:rsid w:val="00B63C48"/>
    <w:rPr>
      <w:rFonts w:ascii="Bookman Old Style" w:hAnsi="Bookman Old Style" w:cs="Bookman Old Style"/>
      <w:i/>
      <w:iCs/>
      <w:spacing w:val="10"/>
      <w:sz w:val="14"/>
      <w:szCs w:val="14"/>
    </w:rPr>
  </w:style>
  <w:style w:type="character" w:customStyle="1" w:styleId="FontStyle145">
    <w:name w:val="Font Style145"/>
    <w:rsid w:val="00B63C48"/>
    <w:rPr>
      <w:rFonts w:ascii="Bookman Old Style" w:hAnsi="Bookman Old Style" w:cs="Bookman Old Style"/>
      <w:b/>
      <w:bCs/>
      <w:sz w:val="14"/>
      <w:szCs w:val="14"/>
    </w:rPr>
  </w:style>
  <w:style w:type="character" w:customStyle="1" w:styleId="FontStyle143">
    <w:name w:val="Font Style143"/>
    <w:rsid w:val="00B63C48"/>
    <w:rPr>
      <w:rFonts w:ascii="Arial" w:hAnsi="Arial" w:cs="Arial"/>
      <w:sz w:val="14"/>
      <w:szCs w:val="14"/>
    </w:rPr>
  </w:style>
  <w:style w:type="paragraph" w:customStyle="1" w:styleId="Style80">
    <w:name w:val="Style80"/>
    <w:basedOn w:val="Normal"/>
    <w:rsid w:val="00B63C48"/>
    <w:pPr>
      <w:widowControl w:val="0"/>
      <w:autoSpaceDE w:val="0"/>
      <w:autoSpaceDN w:val="0"/>
      <w:adjustRightInd w:val="0"/>
      <w:spacing w:line="350" w:lineRule="exact"/>
      <w:ind w:hanging="451"/>
    </w:pPr>
    <w:rPr>
      <w:rFonts w:ascii="Bookman Old Style" w:eastAsia="Times New Roman" w:hAnsi="Bookman Old Style"/>
      <w:lang w:val="en-US"/>
    </w:rPr>
  </w:style>
  <w:style w:type="paragraph" w:customStyle="1" w:styleId="Style82">
    <w:name w:val="Style8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4">
    <w:name w:val="Style84"/>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48">
    <w:name w:val="Font Style148"/>
    <w:rsid w:val="00B63C48"/>
    <w:rPr>
      <w:rFonts w:ascii="Bookman Old Style" w:hAnsi="Bookman Old Style" w:cs="Bookman Old Style"/>
      <w:b/>
      <w:bCs/>
      <w:sz w:val="8"/>
      <w:szCs w:val="8"/>
    </w:rPr>
  </w:style>
  <w:style w:type="character" w:customStyle="1" w:styleId="FontStyle161">
    <w:name w:val="Font Style161"/>
    <w:rsid w:val="00B63C48"/>
    <w:rPr>
      <w:rFonts w:ascii="Arial" w:hAnsi="Arial" w:cs="Arial"/>
      <w:sz w:val="18"/>
      <w:szCs w:val="18"/>
    </w:rPr>
  </w:style>
  <w:style w:type="paragraph" w:customStyle="1" w:styleId="Style92">
    <w:name w:val="Style92"/>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52">
    <w:name w:val="Font Style152"/>
    <w:rsid w:val="00B63C48"/>
    <w:rPr>
      <w:rFonts w:ascii="Bookman Old Style" w:hAnsi="Bookman Old Style" w:cs="Bookman Old Style"/>
      <w:sz w:val="10"/>
      <w:szCs w:val="10"/>
    </w:rPr>
  </w:style>
  <w:style w:type="paragraph" w:customStyle="1" w:styleId="Style65">
    <w:name w:val="Style6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7">
    <w:name w:val="Style7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7">
    <w:name w:val="Style87"/>
    <w:basedOn w:val="Normal"/>
    <w:rsid w:val="00B63C48"/>
    <w:pPr>
      <w:widowControl w:val="0"/>
      <w:autoSpaceDE w:val="0"/>
      <w:autoSpaceDN w:val="0"/>
      <w:adjustRightInd w:val="0"/>
      <w:spacing w:line="254" w:lineRule="exact"/>
      <w:ind w:firstLine="629"/>
    </w:pPr>
    <w:rPr>
      <w:rFonts w:ascii="Bookman Old Style" w:eastAsia="Times New Roman" w:hAnsi="Bookman Old Style"/>
      <w:lang w:val="en-US"/>
    </w:rPr>
  </w:style>
  <w:style w:type="paragraph" w:customStyle="1" w:styleId="Style94">
    <w:name w:val="Style94"/>
    <w:basedOn w:val="Normal"/>
    <w:rsid w:val="00B63C48"/>
    <w:pPr>
      <w:widowControl w:val="0"/>
      <w:autoSpaceDE w:val="0"/>
      <w:autoSpaceDN w:val="0"/>
      <w:adjustRightInd w:val="0"/>
      <w:spacing w:line="238" w:lineRule="exact"/>
      <w:ind w:hanging="706"/>
      <w:jc w:val="both"/>
    </w:pPr>
    <w:rPr>
      <w:rFonts w:ascii="Bookman Old Style" w:eastAsia="Times New Roman" w:hAnsi="Bookman Old Style"/>
      <w:lang w:val="en-US"/>
    </w:rPr>
  </w:style>
  <w:style w:type="character" w:customStyle="1" w:styleId="FontStyle117">
    <w:name w:val="Font Style117"/>
    <w:rsid w:val="00B63C48"/>
    <w:rPr>
      <w:rFonts w:ascii="Bookman Old Style" w:hAnsi="Bookman Old Style" w:cs="Bookman Old Style"/>
      <w:sz w:val="10"/>
      <w:szCs w:val="10"/>
    </w:rPr>
  </w:style>
  <w:style w:type="character" w:customStyle="1" w:styleId="FontStyle140">
    <w:name w:val="Font Style140"/>
    <w:rsid w:val="00B63C48"/>
    <w:rPr>
      <w:rFonts w:ascii="Century Gothic" w:hAnsi="Century Gothic" w:cs="Century Gothic"/>
      <w:b/>
      <w:bCs/>
      <w:sz w:val="12"/>
      <w:szCs w:val="12"/>
    </w:rPr>
  </w:style>
  <w:style w:type="character" w:customStyle="1" w:styleId="FontStyle141">
    <w:name w:val="Font Style141"/>
    <w:rsid w:val="00B63C48"/>
    <w:rPr>
      <w:rFonts w:ascii="Impact" w:hAnsi="Impact" w:cs="Impact"/>
      <w:sz w:val="10"/>
      <w:szCs w:val="10"/>
    </w:rPr>
  </w:style>
  <w:style w:type="paragraph" w:customStyle="1" w:styleId="Style76">
    <w:name w:val="Style7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8">
    <w:name w:val="Style78"/>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1">
    <w:name w:val="Style8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8">
    <w:name w:val="Style88"/>
    <w:basedOn w:val="Normal"/>
    <w:rsid w:val="00B63C48"/>
    <w:pPr>
      <w:widowControl w:val="0"/>
      <w:autoSpaceDE w:val="0"/>
      <w:autoSpaceDN w:val="0"/>
      <w:adjustRightInd w:val="0"/>
      <w:spacing w:line="221" w:lineRule="exact"/>
      <w:ind w:hanging="110"/>
      <w:jc w:val="both"/>
    </w:pPr>
    <w:rPr>
      <w:rFonts w:ascii="Bookman Old Style" w:eastAsia="Times New Roman" w:hAnsi="Bookman Old Style"/>
      <w:lang w:val="en-US"/>
    </w:rPr>
  </w:style>
  <w:style w:type="character" w:customStyle="1" w:styleId="FontStyle146">
    <w:name w:val="Font Style146"/>
    <w:rsid w:val="00B63C48"/>
    <w:rPr>
      <w:rFonts w:ascii="Bookman Old Style" w:hAnsi="Bookman Old Style" w:cs="Bookman Old Style"/>
      <w:i/>
      <w:iCs/>
      <w:sz w:val="20"/>
      <w:szCs w:val="20"/>
    </w:rPr>
  </w:style>
  <w:style w:type="character" w:customStyle="1" w:styleId="FontStyle147">
    <w:name w:val="Font Style147"/>
    <w:rsid w:val="00B63C48"/>
    <w:rPr>
      <w:rFonts w:ascii="Bookman Old Style" w:hAnsi="Bookman Old Style" w:cs="Bookman Old Style"/>
      <w:spacing w:val="10"/>
      <w:sz w:val="10"/>
      <w:szCs w:val="10"/>
    </w:rPr>
  </w:style>
  <w:style w:type="paragraph" w:customStyle="1" w:styleId="Style58">
    <w:name w:val="Style58"/>
    <w:basedOn w:val="Normal"/>
    <w:rsid w:val="00B63C48"/>
    <w:pPr>
      <w:widowControl w:val="0"/>
      <w:autoSpaceDE w:val="0"/>
      <w:autoSpaceDN w:val="0"/>
      <w:adjustRightInd w:val="0"/>
      <w:spacing w:line="202" w:lineRule="exact"/>
      <w:ind w:firstLine="154"/>
    </w:pPr>
    <w:rPr>
      <w:rFonts w:ascii="Bookman Old Style" w:eastAsia="Times New Roman" w:hAnsi="Bookman Old Style"/>
      <w:lang w:val="en-US"/>
    </w:rPr>
  </w:style>
  <w:style w:type="paragraph" w:customStyle="1" w:styleId="Style67">
    <w:name w:val="Style6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3">
    <w:name w:val="Style8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95">
    <w:name w:val="Style9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96">
    <w:name w:val="Style96"/>
    <w:basedOn w:val="Normal"/>
    <w:rsid w:val="00B63C48"/>
    <w:pPr>
      <w:widowControl w:val="0"/>
      <w:autoSpaceDE w:val="0"/>
      <w:autoSpaceDN w:val="0"/>
      <w:adjustRightInd w:val="0"/>
      <w:spacing w:line="360" w:lineRule="exact"/>
    </w:pPr>
    <w:rPr>
      <w:rFonts w:ascii="Bookman Old Style" w:eastAsia="Times New Roman" w:hAnsi="Bookman Old Style"/>
      <w:lang w:val="en-US"/>
    </w:rPr>
  </w:style>
  <w:style w:type="paragraph" w:customStyle="1" w:styleId="Style97">
    <w:name w:val="Style97"/>
    <w:basedOn w:val="Normal"/>
    <w:rsid w:val="00B63C48"/>
    <w:pPr>
      <w:widowControl w:val="0"/>
      <w:autoSpaceDE w:val="0"/>
      <w:autoSpaceDN w:val="0"/>
      <w:adjustRightInd w:val="0"/>
      <w:spacing w:line="384" w:lineRule="exact"/>
    </w:pPr>
    <w:rPr>
      <w:rFonts w:ascii="Bookman Old Style" w:eastAsia="Times New Roman" w:hAnsi="Bookman Old Style"/>
      <w:lang w:val="en-US"/>
    </w:rPr>
  </w:style>
  <w:style w:type="character" w:customStyle="1" w:styleId="FontStyle142">
    <w:name w:val="Font Style142"/>
    <w:rsid w:val="00B63C48"/>
    <w:rPr>
      <w:rFonts w:ascii="Arial" w:hAnsi="Arial" w:cs="Arial"/>
      <w:b/>
      <w:bCs/>
      <w:spacing w:val="10"/>
      <w:sz w:val="22"/>
      <w:szCs w:val="22"/>
    </w:rPr>
  </w:style>
  <w:style w:type="character" w:customStyle="1" w:styleId="FontStyle157">
    <w:name w:val="Font Style157"/>
    <w:rsid w:val="00B63C48"/>
    <w:rPr>
      <w:rFonts w:ascii="Bookman Old Style" w:hAnsi="Bookman Old Style" w:cs="Bookman Old Style"/>
      <w:sz w:val="16"/>
      <w:szCs w:val="16"/>
    </w:rPr>
  </w:style>
  <w:style w:type="character" w:customStyle="1" w:styleId="FontStyle204">
    <w:name w:val="Font Style204"/>
    <w:rsid w:val="00B63C48"/>
    <w:rPr>
      <w:rFonts w:ascii="Bookman Old Style" w:hAnsi="Bookman Old Style" w:cs="Bookman Old Style"/>
      <w:b/>
      <w:bCs/>
      <w:sz w:val="18"/>
      <w:szCs w:val="18"/>
    </w:rPr>
  </w:style>
  <w:style w:type="character" w:customStyle="1" w:styleId="FontStyle212">
    <w:name w:val="Font Style212"/>
    <w:rsid w:val="00B63C48"/>
    <w:rPr>
      <w:rFonts w:ascii="Bookman Old Style" w:hAnsi="Bookman Old Style" w:cs="Bookman Old Style"/>
      <w:sz w:val="18"/>
      <w:szCs w:val="18"/>
    </w:rPr>
  </w:style>
  <w:style w:type="character" w:customStyle="1" w:styleId="FontStyle172">
    <w:name w:val="Font Style172"/>
    <w:rsid w:val="00B63C48"/>
    <w:rPr>
      <w:rFonts w:ascii="Bookman Old Style" w:hAnsi="Bookman Old Style" w:cs="Bookman Old Style"/>
      <w:b/>
      <w:bCs/>
      <w:sz w:val="14"/>
      <w:szCs w:val="14"/>
    </w:rPr>
  </w:style>
  <w:style w:type="character" w:customStyle="1" w:styleId="FontStyle199">
    <w:name w:val="Font Style199"/>
    <w:rsid w:val="00B63C48"/>
    <w:rPr>
      <w:rFonts w:ascii="Bookman Old Style" w:hAnsi="Bookman Old Style" w:cs="Bookman Old Style"/>
      <w:b/>
      <w:bCs/>
      <w:i/>
      <w:iCs/>
      <w:spacing w:val="10"/>
      <w:sz w:val="20"/>
      <w:szCs w:val="20"/>
    </w:rPr>
  </w:style>
  <w:style w:type="character" w:customStyle="1" w:styleId="FontStyle205">
    <w:name w:val="Font Style205"/>
    <w:rsid w:val="00B63C48"/>
    <w:rPr>
      <w:rFonts w:ascii="Bookman Old Style" w:hAnsi="Bookman Old Style" w:cs="Bookman Old Style"/>
      <w:i/>
      <w:iCs/>
      <w:sz w:val="18"/>
      <w:szCs w:val="18"/>
    </w:rPr>
  </w:style>
  <w:style w:type="character" w:customStyle="1" w:styleId="FontStyle173">
    <w:name w:val="Font Style173"/>
    <w:rsid w:val="00B63C48"/>
    <w:rPr>
      <w:rFonts w:ascii="Georgia" w:hAnsi="Georgia" w:cs="Georgia"/>
      <w:sz w:val="18"/>
      <w:szCs w:val="18"/>
    </w:rPr>
  </w:style>
  <w:style w:type="character" w:customStyle="1" w:styleId="FontStyle208">
    <w:name w:val="Font Style208"/>
    <w:rsid w:val="00B63C48"/>
    <w:rPr>
      <w:rFonts w:ascii="Bookman Old Style" w:hAnsi="Bookman Old Style" w:cs="Bookman Old Style"/>
      <w:b/>
      <w:bCs/>
      <w:sz w:val="18"/>
      <w:szCs w:val="18"/>
    </w:rPr>
  </w:style>
  <w:style w:type="character" w:customStyle="1" w:styleId="FontStyle170">
    <w:name w:val="Font Style170"/>
    <w:rsid w:val="00B63C48"/>
    <w:rPr>
      <w:rFonts w:ascii="Bookman Old Style" w:hAnsi="Bookman Old Style" w:cs="Bookman Old Style"/>
      <w:b/>
      <w:bCs/>
      <w:sz w:val="12"/>
      <w:szCs w:val="12"/>
    </w:rPr>
  </w:style>
  <w:style w:type="character" w:customStyle="1" w:styleId="FontStyle213">
    <w:name w:val="Font Style213"/>
    <w:rsid w:val="00B63C48"/>
    <w:rPr>
      <w:rFonts w:ascii="Arial Narrow" w:hAnsi="Arial Narrow" w:cs="Arial Narrow"/>
      <w:b/>
      <w:bCs/>
      <w:sz w:val="14"/>
      <w:szCs w:val="14"/>
    </w:rPr>
  </w:style>
  <w:style w:type="character" w:customStyle="1" w:styleId="FontStyle196">
    <w:name w:val="Font Style196"/>
    <w:rsid w:val="00B63C48"/>
    <w:rPr>
      <w:rFonts w:ascii="Bookman Old Style" w:hAnsi="Bookman Old Style" w:cs="Bookman Old Style"/>
      <w:spacing w:val="20"/>
      <w:sz w:val="20"/>
      <w:szCs w:val="20"/>
    </w:rPr>
  </w:style>
  <w:style w:type="character" w:customStyle="1" w:styleId="FontStyle209">
    <w:name w:val="Font Style209"/>
    <w:rsid w:val="00B63C48"/>
    <w:rPr>
      <w:rFonts w:ascii="Arial Narrow" w:hAnsi="Arial Narrow" w:cs="Arial Narrow"/>
      <w:b/>
      <w:bCs/>
      <w:sz w:val="16"/>
      <w:szCs w:val="16"/>
    </w:rPr>
  </w:style>
  <w:style w:type="paragraph" w:customStyle="1" w:styleId="Style120">
    <w:name w:val="Style120"/>
    <w:basedOn w:val="Normal"/>
    <w:rsid w:val="00B63C48"/>
    <w:pPr>
      <w:widowControl w:val="0"/>
      <w:autoSpaceDE w:val="0"/>
      <w:autoSpaceDN w:val="0"/>
      <w:adjustRightInd w:val="0"/>
      <w:spacing w:line="221" w:lineRule="exact"/>
      <w:ind w:firstLine="744"/>
    </w:pPr>
    <w:rPr>
      <w:rFonts w:ascii="Bookman Old Style" w:eastAsia="Times New Roman" w:hAnsi="Bookman Old Style"/>
      <w:lang w:val="en-US"/>
    </w:rPr>
  </w:style>
  <w:style w:type="character" w:customStyle="1" w:styleId="FontStyle164">
    <w:name w:val="Font Style164"/>
    <w:rsid w:val="00B63C48"/>
    <w:rPr>
      <w:rFonts w:ascii="Bookman Old Style" w:hAnsi="Bookman Old Style" w:cs="Bookman Old Style"/>
      <w:sz w:val="16"/>
      <w:szCs w:val="16"/>
    </w:rPr>
  </w:style>
  <w:style w:type="paragraph" w:customStyle="1" w:styleId="Style132">
    <w:name w:val="Style132"/>
    <w:basedOn w:val="Normal"/>
    <w:rsid w:val="00B63C48"/>
    <w:pPr>
      <w:widowControl w:val="0"/>
      <w:autoSpaceDE w:val="0"/>
      <w:autoSpaceDN w:val="0"/>
      <w:adjustRightInd w:val="0"/>
      <w:spacing w:line="346" w:lineRule="exact"/>
      <w:ind w:firstLine="1142"/>
    </w:pPr>
    <w:rPr>
      <w:rFonts w:ascii="Bookman Old Style" w:eastAsia="Times New Roman" w:hAnsi="Bookman Old Style"/>
      <w:lang w:val="en-US"/>
    </w:rPr>
  </w:style>
  <w:style w:type="paragraph" w:customStyle="1" w:styleId="Style106">
    <w:name w:val="Style10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22">
    <w:name w:val="Style122"/>
    <w:basedOn w:val="Normal"/>
    <w:rsid w:val="00B63C48"/>
    <w:pPr>
      <w:widowControl w:val="0"/>
      <w:autoSpaceDE w:val="0"/>
      <w:autoSpaceDN w:val="0"/>
      <w:adjustRightInd w:val="0"/>
      <w:spacing w:line="192" w:lineRule="exact"/>
    </w:pPr>
    <w:rPr>
      <w:rFonts w:ascii="Bookman Old Style" w:eastAsia="Times New Roman" w:hAnsi="Bookman Old Style"/>
      <w:lang w:val="en-US"/>
    </w:rPr>
  </w:style>
  <w:style w:type="paragraph" w:customStyle="1" w:styleId="Style130">
    <w:name w:val="Style130"/>
    <w:basedOn w:val="Normal"/>
    <w:rsid w:val="00B63C48"/>
    <w:pPr>
      <w:widowControl w:val="0"/>
      <w:autoSpaceDE w:val="0"/>
      <w:autoSpaceDN w:val="0"/>
      <w:adjustRightInd w:val="0"/>
      <w:spacing w:line="245" w:lineRule="exact"/>
      <w:ind w:firstLine="211"/>
      <w:jc w:val="both"/>
    </w:pPr>
    <w:rPr>
      <w:rFonts w:ascii="Bookman Old Style" w:eastAsia="Times New Roman" w:hAnsi="Bookman Old Style"/>
      <w:lang w:val="en-US"/>
    </w:rPr>
  </w:style>
  <w:style w:type="character" w:customStyle="1" w:styleId="FontStyle166">
    <w:name w:val="Font Style166"/>
    <w:rsid w:val="00B63C48"/>
    <w:rPr>
      <w:rFonts w:ascii="Arial Black" w:hAnsi="Arial Black" w:cs="Arial Black"/>
      <w:spacing w:val="10"/>
      <w:sz w:val="18"/>
      <w:szCs w:val="18"/>
    </w:rPr>
  </w:style>
  <w:style w:type="character" w:customStyle="1" w:styleId="FontStyle167">
    <w:name w:val="Font Style167"/>
    <w:rsid w:val="00B63C48"/>
    <w:rPr>
      <w:rFonts w:ascii="Bookman Old Style" w:hAnsi="Bookman Old Style" w:cs="Bookman Old Style"/>
      <w:b/>
      <w:bCs/>
      <w:sz w:val="18"/>
      <w:szCs w:val="18"/>
    </w:rPr>
  </w:style>
  <w:style w:type="character" w:customStyle="1" w:styleId="FontStyle168">
    <w:name w:val="Font Style168"/>
    <w:rsid w:val="00B63C48"/>
    <w:rPr>
      <w:rFonts w:ascii="Bookman Old Style" w:hAnsi="Bookman Old Style" w:cs="Bookman Old Style"/>
      <w:b/>
      <w:bCs/>
      <w:i/>
      <w:iCs/>
      <w:sz w:val="18"/>
      <w:szCs w:val="18"/>
    </w:rPr>
  </w:style>
  <w:style w:type="character" w:customStyle="1" w:styleId="FontStyle171">
    <w:name w:val="Font Style171"/>
    <w:rsid w:val="00B63C48"/>
    <w:rPr>
      <w:rFonts w:ascii="Bookman Old Style" w:hAnsi="Bookman Old Style" w:cs="Bookman Old Style"/>
      <w:b/>
      <w:bCs/>
      <w:sz w:val="10"/>
      <w:szCs w:val="10"/>
    </w:rPr>
  </w:style>
  <w:style w:type="character" w:customStyle="1" w:styleId="FontStyle183">
    <w:name w:val="Font Style183"/>
    <w:rsid w:val="00B63C48"/>
    <w:rPr>
      <w:rFonts w:ascii="Bookman Old Style" w:hAnsi="Bookman Old Style" w:cs="Bookman Old Style"/>
      <w:b/>
      <w:bCs/>
      <w:sz w:val="10"/>
      <w:szCs w:val="10"/>
    </w:rPr>
  </w:style>
  <w:style w:type="paragraph" w:customStyle="1" w:styleId="Style101">
    <w:name w:val="Style101"/>
    <w:basedOn w:val="Normal"/>
    <w:rsid w:val="00B63C48"/>
    <w:pPr>
      <w:widowControl w:val="0"/>
      <w:autoSpaceDE w:val="0"/>
      <w:autoSpaceDN w:val="0"/>
      <w:adjustRightInd w:val="0"/>
    </w:pPr>
    <w:rPr>
      <w:rFonts w:ascii="Bookman Old Style" w:eastAsia="Times New Roman" w:hAnsi="Bookman Old Style"/>
      <w:lang w:val="en-US"/>
    </w:rPr>
  </w:style>
  <w:style w:type="table" w:styleId="TableGrid2">
    <w:name w:val="Table Grid 2"/>
    <w:basedOn w:val="TableNormal"/>
    <w:rsid w:val="00B63C48"/>
    <w:pPr>
      <w:widowControl w:val="0"/>
      <w:autoSpaceDE w:val="0"/>
      <w:autoSpaceDN w:val="0"/>
      <w:adjustRightInd w:val="0"/>
    </w:pPr>
    <w:rPr>
      <w:rFonts w:ascii="Bookman Old Style"/>
      <w:lang w:val="ro-RO" w:eastAsia="ro-R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FontStyle33">
    <w:name w:val="Font Style33"/>
    <w:rsid w:val="00B63C48"/>
    <w:rPr>
      <w:rFonts w:ascii="Times New Roman" w:hAnsi="Times New Roman" w:cs="Times New Roman"/>
      <w:b/>
      <w:bCs/>
      <w:i/>
      <w:iCs/>
      <w:sz w:val="22"/>
      <w:szCs w:val="22"/>
    </w:rPr>
  </w:style>
  <w:style w:type="character" w:customStyle="1" w:styleId="FontStyle42">
    <w:name w:val="Font Style42"/>
    <w:rsid w:val="00B63C48"/>
    <w:rPr>
      <w:rFonts w:ascii="Times New Roman" w:hAnsi="Times New Roman" w:cs="Times New Roman"/>
      <w:sz w:val="22"/>
      <w:szCs w:val="22"/>
    </w:rPr>
  </w:style>
  <w:style w:type="character" w:customStyle="1" w:styleId="FontStyle28">
    <w:name w:val="Font Style28"/>
    <w:rsid w:val="00B63C48"/>
    <w:rPr>
      <w:rFonts w:ascii="Times New Roman" w:hAnsi="Times New Roman" w:cs="Times New Roman"/>
      <w:spacing w:val="20"/>
      <w:sz w:val="68"/>
      <w:szCs w:val="68"/>
    </w:rPr>
  </w:style>
  <w:style w:type="character" w:customStyle="1" w:styleId="FontStyle41">
    <w:name w:val="Font Style41"/>
    <w:rsid w:val="00B63C48"/>
    <w:rPr>
      <w:rFonts w:ascii="Times New Roman" w:hAnsi="Times New Roman" w:cs="Times New Roman"/>
      <w:sz w:val="22"/>
      <w:szCs w:val="22"/>
    </w:rPr>
  </w:style>
  <w:style w:type="numbering" w:customStyle="1" w:styleId="NoList11">
    <w:name w:val="No List11"/>
    <w:next w:val="NoList"/>
    <w:semiHidden/>
    <w:rsid w:val="00B63C48"/>
  </w:style>
  <w:style w:type="numbering" w:customStyle="1" w:styleId="NoList2">
    <w:name w:val="No List2"/>
    <w:next w:val="NoList"/>
    <w:uiPriority w:val="99"/>
    <w:semiHidden/>
    <w:unhideWhenUsed/>
    <w:rsid w:val="00B63C48"/>
  </w:style>
  <w:style w:type="character" w:customStyle="1" w:styleId="a1">
    <w:name w:val="a1"/>
    <w:rsid w:val="00B63C48"/>
    <w:rPr>
      <w:rFonts w:ascii="ff6" w:hAnsi="ff6" w:hint="default"/>
      <w:bdr w:val="none" w:sz="0" w:space="0" w:color="auto" w:frame="1"/>
    </w:rPr>
  </w:style>
  <w:style w:type="character" w:customStyle="1" w:styleId="a2">
    <w:name w:val="a2"/>
    <w:rsid w:val="00B63C48"/>
    <w:rPr>
      <w:rFonts w:ascii="ff0" w:hAnsi="ff0" w:hint="default"/>
      <w:bdr w:val="none" w:sz="0" w:space="0" w:color="auto" w:frame="1"/>
    </w:rPr>
  </w:style>
  <w:style w:type="character" w:customStyle="1" w:styleId="l15">
    <w:name w:val="l15"/>
    <w:rsid w:val="00B63C48"/>
    <w:rPr>
      <w:rFonts w:ascii="ff6" w:hAnsi="ff6" w:hint="default"/>
      <w:vanish w:val="0"/>
      <w:webHidden w:val="0"/>
      <w:bdr w:val="none" w:sz="0" w:space="0" w:color="auto" w:frame="1"/>
      <w:specVanish w:val="0"/>
    </w:rPr>
  </w:style>
  <w:style w:type="character" w:customStyle="1" w:styleId="a3">
    <w:name w:val="a3"/>
    <w:rsid w:val="00B63C48"/>
    <w:rPr>
      <w:rFonts w:ascii="ff3" w:hAnsi="ff3" w:hint="default"/>
      <w:bdr w:val="none" w:sz="0" w:space="0" w:color="auto" w:frame="1"/>
    </w:rPr>
  </w:style>
  <w:style w:type="character" w:customStyle="1" w:styleId="a4">
    <w:name w:val="a4"/>
    <w:rsid w:val="00B63C48"/>
    <w:rPr>
      <w:rFonts w:ascii="ff6" w:hAnsi="ff6" w:hint="default"/>
      <w:bdr w:val="none" w:sz="0" w:space="0" w:color="auto" w:frame="1"/>
    </w:rPr>
  </w:style>
  <w:style w:type="numbering" w:customStyle="1" w:styleId="NoList3">
    <w:name w:val="No List3"/>
    <w:next w:val="NoList"/>
    <w:uiPriority w:val="99"/>
    <w:semiHidden/>
    <w:unhideWhenUsed/>
    <w:rsid w:val="00B63C48"/>
  </w:style>
  <w:style w:type="table" w:customStyle="1" w:styleId="LightShading-Accent11">
    <w:name w:val="Light Shading - Accent 11"/>
    <w:basedOn w:val="TableNormal"/>
    <w:uiPriority w:val="60"/>
    <w:rsid w:val="00B63C48"/>
    <w:rPr>
      <w:rFonts w:ascii="Arial" w:eastAsia="Calibri" w:hAnsi="Arial" w:cs="Arial"/>
      <w:color w:val="365F91"/>
      <w:lang w:val="ro-RO" w:eastAsia="ro-RO"/>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20">
    <w:name w:val="Table Grid2"/>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normal">
    <w:name w:val="textnormal"/>
    <w:basedOn w:val="Normal"/>
    <w:rsid w:val="00B63C48"/>
    <w:pPr>
      <w:spacing w:before="100" w:beforeAutospacing="1" w:after="100" w:afterAutospacing="1"/>
    </w:pPr>
    <w:rPr>
      <w:rFonts w:ascii="Arial" w:eastAsia="Times New Roman" w:hAnsi="Arial" w:cs="Arial"/>
      <w:color w:val="333333"/>
      <w:sz w:val="14"/>
      <w:szCs w:val="14"/>
      <w:lang w:val="en-US"/>
    </w:rPr>
  </w:style>
  <w:style w:type="character" w:customStyle="1" w:styleId="titlumic1">
    <w:name w:val="titlumic1"/>
    <w:rsid w:val="00B63C48"/>
    <w:rPr>
      <w:rFonts w:ascii="Arial" w:hAnsi="Arial" w:cs="Arial" w:hint="default"/>
      <w:b/>
      <w:bCs/>
      <w:i w:val="0"/>
      <w:iCs w:val="0"/>
      <w:smallCaps w:val="0"/>
      <w:strike w:val="0"/>
      <w:dstrike w:val="0"/>
      <w:color w:val="003366"/>
      <w:sz w:val="14"/>
      <w:szCs w:val="14"/>
      <w:u w:val="none"/>
      <w:effect w:val="none"/>
    </w:rPr>
  </w:style>
  <w:style w:type="paragraph" w:customStyle="1" w:styleId="ELISEBODYTEXT">
    <w:name w:val="ELISE BODY TEXT"/>
    <w:basedOn w:val="BodyText"/>
    <w:rsid w:val="00B63C48"/>
    <w:pPr>
      <w:spacing w:before="80" w:after="80"/>
      <w:jc w:val="both"/>
    </w:pPr>
    <w:rPr>
      <w:rFonts w:ascii="Arial Narrow" w:hAnsi="Arial Narrow"/>
      <w:szCs w:val="20"/>
    </w:rPr>
  </w:style>
  <w:style w:type="paragraph" w:customStyle="1" w:styleId="ELISEBODYTEXT1">
    <w:name w:val="ELISE BODY TEXT 1"/>
    <w:basedOn w:val="ELISEBODYTEXT"/>
    <w:rsid w:val="00B63C48"/>
    <w:pPr>
      <w:ind w:left="1134"/>
    </w:pPr>
  </w:style>
  <w:style w:type="paragraph" w:customStyle="1" w:styleId="ELISE4TITLE">
    <w:name w:val="ELISE 4 TITLE"/>
    <w:basedOn w:val="Normal"/>
    <w:rsid w:val="00B63C48"/>
    <w:pPr>
      <w:spacing w:before="120" w:after="120"/>
    </w:pPr>
    <w:rPr>
      <w:rFonts w:ascii="Arial Narrow" w:eastAsia="Times New Roman" w:hAnsi="Arial Narrow"/>
      <w:b/>
      <w:sz w:val="28"/>
      <w:szCs w:val="20"/>
      <w:lang w:val="ro-RO"/>
    </w:rPr>
  </w:style>
  <w:style w:type="paragraph" w:customStyle="1" w:styleId="ELISETABLE1">
    <w:name w:val="ELISE TABLE 1"/>
    <w:basedOn w:val="Normal"/>
    <w:rsid w:val="00B63C48"/>
    <w:pPr>
      <w:spacing w:before="120" w:after="120"/>
    </w:pPr>
    <w:rPr>
      <w:rFonts w:ascii="Arial Narrow" w:eastAsia="Times New Roman" w:hAnsi="Arial Narrow"/>
      <w:b/>
      <w:caps/>
      <w:szCs w:val="20"/>
      <w:lang w:val="ro-RO"/>
    </w:rPr>
  </w:style>
  <w:style w:type="paragraph" w:customStyle="1" w:styleId="ELISETABLE2">
    <w:name w:val="ELISE TABLE 2"/>
    <w:basedOn w:val="Normal"/>
    <w:rsid w:val="00B63C48"/>
    <w:pPr>
      <w:spacing w:before="120" w:after="120"/>
      <w:jc w:val="center"/>
    </w:pPr>
    <w:rPr>
      <w:rFonts w:ascii="Arial Narrow" w:eastAsia="Times New Roman" w:hAnsi="Arial Narrow"/>
      <w:b/>
      <w:caps/>
      <w:szCs w:val="20"/>
      <w:lang w:val="ro-RO"/>
    </w:rPr>
  </w:style>
  <w:style w:type="paragraph" w:customStyle="1" w:styleId="DefaultText">
    <w:name w:val="Default Text"/>
    <w:rsid w:val="00B63C48"/>
    <w:pPr>
      <w:spacing w:before="60" w:after="60" w:line="260" w:lineRule="exact"/>
      <w:jc w:val="both"/>
    </w:pPr>
    <w:rPr>
      <w:b/>
      <w:color w:val="000000"/>
      <w:sz w:val="24"/>
    </w:rPr>
  </w:style>
  <w:style w:type="paragraph" w:customStyle="1" w:styleId="Textkrper32">
    <w:name w:val="Textkörper 32"/>
    <w:basedOn w:val="Normal"/>
    <w:rsid w:val="00B63C48"/>
    <w:pPr>
      <w:suppressAutoHyphens/>
      <w:jc w:val="both"/>
    </w:pPr>
    <w:rPr>
      <w:rFonts w:eastAsia="Times New Roman"/>
      <w:lang w:val="en-US" w:eastAsia="ar-SA"/>
    </w:rPr>
  </w:style>
  <w:style w:type="paragraph" w:customStyle="1" w:styleId="CharCharCharCaracterCaracter">
    <w:name w:val="Char Char Char Caracter Caracter"/>
    <w:basedOn w:val="Normal"/>
    <w:rsid w:val="00B63C48"/>
    <w:rPr>
      <w:rFonts w:eastAsia="Times New Roman"/>
      <w:lang w:val="pl-PL" w:eastAsia="pl-PL"/>
    </w:rPr>
  </w:style>
  <w:style w:type="table" w:customStyle="1" w:styleId="TableGrid3">
    <w:name w:val="Table Grid3"/>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semiHidden/>
    <w:rsid w:val="00B63C48"/>
  </w:style>
  <w:style w:type="numbering" w:customStyle="1" w:styleId="NoList5">
    <w:name w:val="No List5"/>
    <w:next w:val="NoList"/>
    <w:uiPriority w:val="99"/>
    <w:semiHidden/>
    <w:unhideWhenUsed/>
    <w:rsid w:val="00B63C48"/>
  </w:style>
  <w:style w:type="table" w:customStyle="1" w:styleId="TableGrid40">
    <w:name w:val="Table Grid4"/>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1">
    <w:name w:val="Light Shading - Accent 111"/>
    <w:basedOn w:val="TableNormal"/>
    <w:uiPriority w:val="60"/>
    <w:rsid w:val="00B63C48"/>
    <w:rPr>
      <w:rFonts w:ascii="Arial" w:eastAsia="Calibri" w:hAnsi="Arial" w:cs="Arial"/>
      <w:color w:val="365F91"/>
      <w:lang w:val="ro-RO" w:eastAsia="ro-RO"/>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extbibliografie">
    <w:name w:val="text bibliografie"/>
    <w:basedOn w:val="Normal"/>
    <w:uiPriority w:val="99"/>
    <w:rsid w:val="00B63C48"/>
    <w:pPr>
      <w:widowControl w:val="0"/>
      <w:numPr>
        <w:numId w:val="84"/>
      </w:numPr>
      <w:tabs>
        <w:tab w:val="left" w:pos="284"/>
      </w:tabs>
      <w:suppressAutoHyphens/>
      <w:autoSpaceDE w:val="0"/>
      <w:jc w:val="both"/>
    </w:pPr>
    <w:rPr>
      <w:rFonts w:ascii="Arial" w:eastAsia="MS Mincho" w:hAnsi="Arial" w:cs="Arial"/>
      <w:i/>
      <w:iCs/>
      <w:sz w:val="22"/>
      <w:szCs w:val="22"/>
      <w:lang w:val="ro-RO" w:eastAsia="ar-SA"/>
    </w:rPr>
  </w:style>
  <w:style w:type="character" w:styleId="IntenseEmphasis">
    <w:name w:val="Intense Emphasis"/>
    <w:uiPriority w:val="21"/>
    <w:qFormat/>
    <w:rsid w:val="00B63C48"/>
    <w:rPr>
      <w:b/>
      <w:bCs/>
      <w:i/>
      <w:iCs/>
      <w:color w:val="4F81BD"/>
    </w:rPr>
  </w:style>
  <w:style w:type="character" w:customStyle="1" w:styleId="TitleChar2">
    <w:name w:val="Title Char2"/>
    <w:aliases w:val="Title Char Char1"/>
    <w:uiPriority w:val="10"/>
    <w:rsid w:val="00B63C48"/>
    <w:rPr>
      <w:rFonts w:ascii="Cambria" w:eastAsia="Times New Roman" w:hAnsi="Cambria" w:cs="Times New Roman"/>
      <w:b/>
      <w:bCs/>
      <w:kern w:val="28"/>
      <w:sz w:val="32"/>
      <w:szCs w:val="32"/>
      <w:lang w:val="ro-RO"/>
    </w:rPr>
  </w:style>
  <w:style w:type="table" w:styleId="TableList3">
    <w:name w:val="Table List 3"/>
    <w:basedOn w:val="TableNormal"/>
    <w:uiPriority w:val="99"/>
    <w:rsid w:val="00B63C48"/>
    <w:rPr>
      <w:lang w:val="ro-RO" w:eastAsia="ro-R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a">
    <w:name w:val="a"/>
    <w:rsid w:val="00B63C48"/>
  </w:style>
  <w:style w:type="paragraph" w:customStyle="1" w:styleId="DecimalAligned">
    <w:name w:val="Decimal Aligned"/>
    <w:basedOn w:val="Normal"/>
    <w:uiPriority w:val="40"/>
    <w:qFormat/>
    <w:rsid w:val="00B63C48"/>
    <w:pPr>
      <w:tabs>
        <w:tab w:val="decimal" w:pos="360"/>
      </w:tabs>
      <w:spacing w:after="200" w:line="276" w:lineRule="auto"/>
    </w:pPr>
    <w:rPr>
      <w:rFonts w:ascii="Calibri" w:eastAsia="Times New Roman" w:hAnsi="Calibri"/>
      <w:sz w:val="22"/>
      <w:szCs w:val="22"/>
      <w:lang w:val="en-US"/>
    </w:rPr>
  </w:style>
  <w:style w:type="character" w:styleId="SubtleEmphasis">
    <w:name w:val="Subtle Emphasis"/>
    <w:uiPriority w:val="19"/>
    <w:qFormat/>
    <w:rsid w:val="00B63C48"/>
    <w:rPr>
      <w:rFonts w:eastAsia="Times New Roman" w:cs="Times New Roman"/>
      <w:bCs w:val="0"/>
      <w:i/>
      <w:iCs/>
      <w:color w:val="808080"/>
      <w:szCs w:val="22"/>
      <w:lang w:val="en-US"/>
    </w:rPr>
  </w:style>
  <w:style w:type="table" w:styleId="MediumList2-Accent1">
    <w:name w:val="Medium List 2 Accent 1"/>
    <w:basedOn w:val="TableNormal"/>
    <w:uiPriority w:val="66"/>
    <w:rsid w:val="00B63C48"/>
    <w:rPr>
      <w:rFonts w:ascii="Cambria" w:hAnsi="Cambria"/>
      <w:color w:val="000000"/>
      <w:lang w:val="ro-RO" w:eastAsia="ro-RO"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Shading-Accent12">
    <w:name w:val="Light Shading - Accent 12"/>
    <w:basedOn w:val="TableNormal"/>
    <w:uiPriority w:val="60"/>
    <w:rsid w:val="00B63C48"/>
    <w:rPr>
      <w:rFonts w:ascii="Calibri" w:hAnsi="Calibri"/>
      <w:color w:val="365F91"/>
      <w:sz w:val="22"/>
      <w:szCs w:val="22"/>
      <w:lang w:val="ro-RO" w:eastAsia="ro-RO"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6">
    <w:name w:val="No List6"/>
    <w:next w:val="NoList"/>
    <w:uiPriority w:val="99"/>
    <w:semiHidden/>
    <w:unhideWhenUsed/>
    <w:rsid w:val="00B63C48"/>
  </w:style>
  <w:style w:type="table" w:customStyle="1" w:styleId="TableGrid50">
    <w:name w:val="Table Grid5"/>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2">
    <w:name w:val="Light Shading - Accent 112"/>
    <w:basedOn w:val="TableNormal"/>
    <w:uiPriority w:val="60"/>
    <w:rsid w:val="00B63C48"/>
    <w:rPr>
      <w:rFonts w:ascii="Arial" w:eastAsia="Calibri" w:hAnsi="Arial" w:cs="Arial"/>
      <w:color w:val="365F91"/>
      <w:lang w:val="ro-RO" w:eastAsia="ro-RO"/>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List31">
    <w:name w:val="Table List 31"/>
    <w:basedOn w:val="TableNormal"/>
    <w:next w:val="TableList3"/>
    <w:uiPriority w:val="99"/>
    <w:rsid w:val="00B63C48"/>
    <w:rPr>
      <w:lang w:val="ro-RO" w:eastAsia="ro-R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MediumList2-Accent11">
    <w:name w:val="Medium List 2 - Accent 11"/>
    <w:basedOn w:val="TableNormal"/>
    <w:next w:val="MediumList2-Accent1"/>
    <w:uiPriority w:val="66"/>
    <w:rsid w:val="00B63C48"/>
    <w:rPr>
      <w:rFonts w:ascii="Cambria" w:hAnsi="Cambria"/>
      <w:color w:val="000000"/>
      <w:lang w:val="ro-RO" w:eastAsia="ro-RO"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Shading-Accent121">
    <w:name w:val="Light Shading - Accent 121"/>
    <w:basedOn w:val="TableNormal"/>
    <w:uiPriority w:val="60"/>
    <w:rsid w:val="00B63C48"/>
    <w:rPr>
      <w:rFonts w:ascii="Calibri" w:hAnsi="Calibri"/>
      <w:color w:val="365F91"/>
      <w:sz w:val="22"/>
      <w:szCs w:val="22"/>
      <w:lang w:val="ro-RO" w:eastAsia="ro-RO"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7">
    <w:name w:val="No List7"/>
    <w:next w:val="NoList"/>
    <w:uiPriority w:val="99"/>
    <w:semiHidden/>
    <w:unhideWhenUsed/>
    <w:rsid w:val="00B63C48"/>
  </w:style>
  <w:style w:type="table" w:customStyle="1" w:styleId="TableGrid6">
    <w:name w:val="Table Grid6"/>
    <w:basedOn w:val="TableNormal"/>
    <w:next w:val="TableGrid"/>
    <w:uiPriority w:val="59"/>
    <w:rsid w:val="00B63C48"/>
    <w:rPr>
      <w:lang w:val="ro-RO"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B63C48"/>
  </w:style>
  <w:style w:type="table" w:customStyle="1" w:styleId="TableGrid7">
    <w:name w:val="Table Grid7"/>
    <w:basedOn w:val="TableNormal"/>
    <w:next w:val="TableGrid"/>
    <w:uiPriority w:val="59"/>
    <w:rsid w:val="00B63C48"/>
    <w:rPr>
      <w:lang w:val="ro-RO"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B63C48"/>
  </w:style>
  <w:style w:type="table" w:customStyle="1" w:styleId="TableGrid8">
    <w:name w:val="Table Grid8"/>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1Char">
    <w:name w:val="Char Char Char1 Char"/>
    <w:basedOn w:val="Normal"/>
    <w:rsid w:val="00B63C48"/>
    <w:rPr>
      <w:rFonts w:eastAsia="Times New Roman"/>
      <w:lang w:val="pl-PL" w:eastAsia="pl-PL"/>
    </w:rPr>
  </w:style>
  <w:style w:type="numbering" w:customStyle="1" w:styleId="NoList10">
    <w:name w:val="No List10"/>
    <w:next w:val="NoList"/>
    <w:uiPriority w:val="99"/>
    <w:semiHidden/>
    <w:unhideWhenUsed/>
    <w:rsid w:val="00B63C48"/>
  </w:style>
  <w:style w:type="table" w:customStyle="1" w:styleId="TableGrid9">
    <w:name w:val="Table Grid9"/>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semiHidden/>
    <w:rsid w:val="00B63C48"/>
  </w:style>
  <w:style w:type="numbering" w:customStyle="1" w:styleId="NoList13">
    <w:name w:val="No List13"/>
    <w:next w:val="NoList"/>
    <w:uiPriority w:val="99"/>
    <w:semiHidden/>
    <w:unhideWhenUsed/>
    <w:rsid w:val="00B63C48"/>
  </w:style>
  <w:style w:type="table" w:customStyle="1" w:styleId="GridTable2-Accent51">
    <w:name w:val="Grid Table 2 - Accent 51"/>
    <w:basedOn w:val="TableNormal"/>
    <w:uiPriority w:val="47"/>
    <w:rsid w:val="00B63C48"/>
    <w:rPr>
      <w:rFonts w:ascii="Calibri" w:eastAsia="Calibri" w:hAnsi="Calibri"/>
      <w:sz w:val="22"/>
      <w:szCs w:val="22"/>
      <w:lang w:val="ro-RO" w:eastAsia="ro-RO"/>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100">
    <w:name w:val="Table Grid10"/>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21">
    <w:name w:val="Grid Table 4 - Accent 21"/>
    <w:basedOn w:val="TableNormal"/>
    <w:uiPriority w:val="49"/>
    <w:rsid w:val="00B63C48"/>
    <w:rPr>
      <w:rFonts w:ascii="Calibri" w:eastAsia="Calibri" w:hAnsi="Calibri"/>
      <w:lang w:val="ro-RO" w:eastAsia="ro-RO"/>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14">
    <w:name w:val="No List14"/>
    <w:next w:val="NoList"/>
    <w:uiPriority w:val="99"/>
    <w:semiHidden/>
    <w:unhideWhenUsed/>
    <w:rsid w:val="00B63C48"/>
  </w:style>
  <w:style w:type="table" w:customStyle="1" w:styleId="TableGrid11">
    <w:name w:val="Table Grid11"/>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B63C48"/>
  </w:style>
  <w:style w:type="table" w:customStyle="1" w:styleId="TableGrid12">
    <w:name w:val="Table Grid12"/>
    <w:basedOn w:val="TableNormal"/>
    <w:next w:val="TableGrid"/>
    <w:uiPriority w:val="39"/>
    <w:rsid w:val="00B63C48"/>
    <w:rPr>
      <w:rFonts w:ascii="Calibri" w:eastAsia="Calibri" w:hAnsi="Calibri"/>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B63C48"/>
    <w:rPr>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4">
    <w:name w:val="Table Grid14"/>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B63C48"/>
  </w:style>
  <w:style w:type="table" w:customStyle="1" w:styleId="TableGrid15">
    <w:name w:val="Table Grid15"/>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3">
    <w:name w:val="Plain Table 23"/>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eContents">
    <w:name w:val="Table Contents"/>
    <w:basedOn w:val="Normal"/>
    <w:rsid w:val="00B63C48"/>
    <w:pPr>
      <w:widowControl w:val="0"/>
      <w:suppressLineNumbers/>
      <w:suppressAutoHyphens/>
    </w:pPr>
    <w:rPr>
      <w:rFonts w:eastAsia="Lucida Sans Unicode"/>
      <w:lang w:val="en-US"/>
    </w:rPr>
  </w:style>
  <w:style w:type="paragraph" w:customStyle="1" w:styleId="TableHeading">
    <w:name w:val="Table Heading"/>
    <w:basedOn w:val="TableContents"/>
    <w:rsid w:val="00B63C48"/>
    <w:pPr>
      <w:jc w:val="center"/>
    </w:pPr>
    <w:rPr>
      <w:b/>
      <w:bCs/>
    </w:rPr>
  </w:style>
  <w:style w:type="numbering" w:customStyle="1" w:styleId="NoList17">
    <w:name w:val="No List17"/>
    <w:next w:val="NoList"/>
    <w:uiPriority w:val="99"/>
    <w:semiHidden/>
    <w:unhideWhenUsed/>
    <w:rsid w:val="00B63C48"/>
  </w:style>
  <w:style w:type="table" w:customStyle="1" w:styleId="TableGrid16">
    <w:name w:val="Table Grid16"/>
    <w:basedOn w:val="TableNormal"/>
    <w:next w:val="TableGrid"/>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4">
    <w:name w:val="Plain Table 24"/>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8">
    <w:name w:val="No List18"/>
    <w:next w:val="NoList"/>
    <w:uiPriority w:val="99"/>
    <w:semiHidden/>
    <w:unhideWhenUsed/>
    <w:rsid w:val="00B63C48"/>
  </w:style>
  <w:style w:type="table" w:customStyle="1" w:styleId="TableGrid17">
    <w:name w:val="Table Grid17"/>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5">
    <w:name w:val="Plain Table 25"/>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9">
    <w:name w:val="No List19"/>
    <w:next w:val="NoList"/>
    <w:semiHidden/>
    <w:rsid w:val="00B63C48"/>
  </w:style>
  <w:style w:type="numbering" w:customStyle="1" w:styleId="NoList20">
    <w:name w:val="No List20"/>
    <w:next w:val="NoList"/>
    <w:uiPriority w:val="99"/>
    <w:semiHidden/>
    <w:unhideWhenUsed/>
    <w:rsid w:val="00B63C48"/>
  </w:style>
  <w:style w:type="numbering" w:customStyle="1" w:styleId="NoList21">
    <w:name w:val="No List21"/>
    <w:next w:val="NoList"/>
    <w:uiPriority w:val="99"/>
    <w:semiHidden/>
    <w:unhideWhenUsed/>
    <w:rsid w:val="00B63C48"/>
  </w:style>
  <w:style w:type="table" w:customStyle="1" w:styleId="TableGrid18">
    <w:name w:val="Table Grid18"/>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6">
    <w:name w:val="Plain Table 26"/>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2">
    <w:name w:val="No List22"/>
    <w:next w:val="NoList"/>
    <w:semiHidden/>
    <w:rsid w:val="00B63C48"/>
  </w:style>
  <w:style w:type="numbering" w:customStyle="1" w:styleId="NoList23">
    <w:name w:val="No List23"/>
    <w:next w:val="NoList"/>
    <w:uiPriority w:val="99"/>
    <w:semiHidden/>
    <w:unhideWhenUsed/>
    <w:rsid w:val="00B63C48"/>
  </w:style>
  <w:style w:type="table" w:customStyle="1" w:styleId="TableGrid19">
    <w:name w:val="Table Grid19"/>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7">
    <w:name w:val="Plain Table 27"/>
    <w:basedOn w:val="TableNormal"/>
    <w:next w:val="PlainTable28"/>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8">
    <w:name w:val="Plain Table 28"/>
    <w:basedOn w:val="TableNormal"/>
    <w:uiPriority w:val="42"/>
    <w:rsid w:val="00B63C48"/>
    <w:rPr>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4">
    <w:name w:val="No List24"/>
    <w:next w:val="NoList"/>
    <w:uiPriority w:val="99"/>
    <w:semiHidden/>
    <w:unhideWhenUsed/>
    <w:rsid w:val="00B63C48"/>
  </w:style>
  <w:style w:type="table" w:customStyle="1" w:styleId="TableGrid200">
    <w:name w:val="Table Grid20"/>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31">
    <w:name w:val="Plain Table 31"/>
    <w:basedOn w:val="TableNormal"/>
    <w:next w:val="PlainTable32"/>
    <w:uiPriority w:val="43"/>
    <w:rsid w:val="00B63C48"/>
    <w:rPr>
      <w:rFonts w:ascii="Calibri" w:eastAsia="Calibri" w:hAnsi="Calibri"/>
      <w:sz w:val="22"/>
      <w:szCs w:val="22"/>
      <w:lang w:val="ro-RO" w:eastAsia="ro-RO"/>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next w:val="PlainTable52"/>
    <w:uiPriority w:val="45"/>
    <w:rsid w:val="00B63C48"/>
    <w:rPr>
      <w:rFonts w:ascii="Calibri" w:eastAsia="Calibri" w:hAnsi="Calibri"/>
      <w:sz w:val="22"/>
      <w:szCs w:val="22"/>
      <w:lang w:val="ro-RO" w:eastAsia="ro-RO"/>
    </w:rPr>
    <w:tblPr>
      <w:tblStyleRowBandSize w:val="1"/>
      <w:tblStyleColBandSize w:val="1"/>
      <w:tblInd w:w="0" w:type="dxa"/>
      <w:tblCellMar>
        <w:top w:w="0" w:type="dxa"/>
        <w:left w:w="108" w:type="dxa"/>
        <w:bottom w:w="0" w:type="dxa"/>
        <w:right w:w="108" w:type="dxa"/>
      </w:tblCellMar>
    </w:tblPr>
    <w:tblStylePr w:type="firstRow">
      <w:rPr>
        <w:rFonts w:ascii="MS Outlook" w:eastAsia="Times New Roman" w:hAnsi="MS Outlook" w:cs="Times New Roman"/>
        <w:i/>
        <w:iCs/>
        <w:sz w:val="26"/>
      </w:rPr>
      <w:tblPr/>
      <w:tcPr>
        <w:tcBorders>
          <w:bottom w:val="single" w:sz="4" w:space="0" w:color="7F7F7F"/>
        </w:tcBorders>
        <w:shd w:val="clear" w:color="auto" w:fill="FFFFFF"/>
      </w:tcPr>
    </w:tblStylePr>
    <w:tblStylePr w:type="lastRow">
      <w:rPr>
        <w:rFonts w:ascii="MS Outlook" w:eastAsia="Times New Roman" w:hAnsi="MS Outlook" w:cs="Times New Roman"/>
        <w:i/>
        <w:iCs/>
        <w:sz w:val="26"/>
      </w:rPr>
      <w:tblPr/>
      <w:tcPr>
        <w:tcBorders>
          <w:top w:val="single" w:sz="4" w:space="0" w:color="7F7F7F"/>
        </w:tcBorders>
        <w:shd w:val="clear" w:color="auto" w:fill="FFFFFF"/>
      </w:tcPr>
    </w:tblStylePr>
    <w:tblStylePr w:type="firstCol">
      <w:pPr>
        <w:jc w:val="right"/>
      </w:pPr>
      <w:rPr>
        <w:rFonts w:ascii="MS Outlook" w:eastAsia="Times New Roman" w:hAnsi="MS Outlook" w:cs="Times New Roman"/>
        <w:i/>
        <w:iCs/>
        <w:sz w:val="26"/>
      </w:rPr>
      <w:tblPr/>
      <w:tcPr>
        <w:tcBorders>
          <w:right w:val="single" w:sz="4" w:space="0" w:color="7F7F7F"/>
        </w:tcBorders>
        <w:shd w:val="clear" w:color="auto" w:fill="FFFFFF"/>
      </w:tcPr>
    </w:tblStylePr>
    <w:tblStylePr w:type="lastCol">
      <w:rPr>
        <w:rFonts w:ascii="MS Outlook" w:eastAsia="Times New Roman" w:hAnsi="MS Outlook"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2-Accent51">
    <w:name w:val="List Table 2 - Accent 51"/>
    <w:basedOn w:val="TableNormal"/>
    <w:next w:val="ListTable2-Accent52"/>
    <w:uiPriority w:val="47"/>
    <w:rsid w:val="00B63C48"/>
    <w:rPr>
      <w:rFonts w:ascii="Calibri" w:eastAsia="Calibri" w:hAnsi="Calibri"/>
      <w:sz w:val="22"/>
      <w:szCs w:val="22"/>
      <w:lang w:val="ro-RO" w:eastAsia="ro-RO"/>
    </w:rPr>
    <w:tblPr>
      <w:tblStyleRowBandSize w:val="1"/>
      <w:tblStyleColBandSize w:val="1"/>
      <w:tblInd w:w="0" w:type="dxa"/>
      <w:tblBorders>
        <w:top w:val="single" w:sz="4" w:space="0" w:color="8EAADB"/>
        <w:bottom w:val="single" w:sz="4" w:space="0" w:color="8EAADB"/>
        <w:insideH w:val="single" w:sz="4" w:space="0" w:color="8EAAD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def">
    <w:name w:val="def"/>
    <w:rsid w:val="00B63C48"/>
  </w:style>
  <w:style w:type="character" w:customStyle="1" w:styleId="defdetails">
    <w:name w:val="defdetails"/>
    <w:rsid w:val="00B63C48"/>
  </w:style>
  <w:style w:type="table" w:customStyle="1" w:styleId="PlainTable32">
    <w:name w:val="Plain Table 32"/>
    <w:basedOn w:val="TableNormal"/>
    <w:uiPriority w:val="43"/>
    <w:rsid w:val="00B63C48"/>
    <w:rPr>
      <w:lang w:val="ro-RO" w:eastAsia="ro-RO"/>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2">
    <w:name w:val="Plain Table 52"/>
    <w:basedOn w:val="TableNormal"/>
    <w:uiPriority w:val="45"/>
    <w:rsid w:val="00B63C48"/>
    <w:rPr>
      <w:lang w:val="ro-RO" w:eastAsia="ro-RO"/>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2-Accent52">
    <w:name w:val="List Table 2 - Accent 52"/>
    <w:basedOn w:val="TableNormal"/>
    <w:uiPriority w:val="47"/>
    <w:rsid w:val="00B63C48"/>
    <w:rPr>
      <w:lang w:val="ro-RO" w:eastAsia="ro-RO"/>
    </w:rPr>
    <w:tblPr>
      <w:tblStyleRowBandSize w:val="1"/>
      <w:tblStyleColBandSize w:val="1"/>
      <w:tblInd w:w="0" w:type="dxa"/>
      <w:tblBorders>
        <w:top w:val="single" w:sz="4" w:space="0" w:color="92CDDC"/>
        <w:bottom w:val="single" w:sz="4" w:space="0" w:color="92CDDC"/>
        <w:insideH w:val="single" w:sz="4" w:space="0" w:color="92CDDC"/>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NoList25">
    <w:name w:val="No List25"/>
    <w:next w:val="NoList"/>
    <w:uiPriority w:val="99"/>
    <w:semiHidden/>
    <w:unhideWhenUsed/>
    <w:rsid w:val="00B63C48"/>
  </w:style>
  <w:style w:type="table" w:customStyle="1" w:styleId="TableGrid21">
    <w:name w:val="Table Grid21"/>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9">
    <w:name w:val="Plain Table 29"/>
    <w:basedOn w:val="TableNormal"/>
    <w:next w:val="PlainTable28"/>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22">
    <w:name w:val="Table Grid22"/>
    <w:basedOn w:val="TableNormal"/>
    <w:next w:val="TableGrid"/>
    <w:uiPriority w:val="5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0">
    <w:name w:val="Plain Table 210"/>
    <w:basedOn w:val="TableNormal"/>
    <w:next w:val="PlainTable28"/>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double-spaced">
    <w:name w:val="double-spaced"/>
    <w:basedOn w:val="Normal"/>
    <w:rsid w:val="00B63C48"/>
    <w:pPr>
      <w:spacing w:before="100" w:beforeAutospacing="1" w:after="100" w:afterAutospacing="1"/>
    </w:pPr>
    <w:rPr>
      <w:rFonts w:eastAsia="Times New Roman"/>
      <w:lang w:val="en-US"/>
    </w:rPr>
  </w:style>
  <w:style w:type="table" w:customStyle="1" w:styleId="GridTable6Colorful-Accent11">
    <w:name w:val="Grid Table 6 Colorful - Accent 11"/>
    <w:basedOn w:val="TableNormal"/>
    <w:uiPriority w:val="51"/>
    <w:rsid w:val="00B63C48"/>
    <w:rPr>
      <w:rFonts w:ascii="Calibri" w:eastAsia="Calibri" w:hAnsi="Calibri"/>
      <w:color w:val="2E74B5"/>
      <w:sz w:val="22"/>
      <w:szCs w:val="22"/>
      <w:lang w:val="ro-RO" w:eastAsia="ro-RO"/>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20">
    <w:name w:val="1titlu2"/>
    <w:basedOn w:val="Normal"/>
    <w:rsid w:val="00B63C48"/>
    <w:pPr>
      <w:spacing w:before="100" w:beforeAutospacing="1" w:after="100" w:afterAutospacing="1"/>
    </w:pPr>
    <w:rPr>
      <w:rFonts w:eastAsia="Calibri"/>
      <w:lang w:val="ro-RO"/>
    </w:rPr>
  </w:style>
  <w:style w:type="table" w:customStyle="1" w:styleId="PlainTable2">
    <w:name w:val="Plain Table 2"/>
    <w:basedOn w:val="TableNormal"/>
    <w:uiPriority w:val="42"/>
    <w:rsid w:val="00B63C48"/>
    <w:rPr>
      <w:rFonts w:ascii="Arial" w:eastAsia="Calibri" w:hAnsi="Arial" w:cs="Arial"/>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itluraportare">
    <w:name w:val="Titluraportare"/>
    <w:basedOn w:val="Heading2"/>
    <w:link w:val="TitluraportareChar"/>
    <w:qFormat/>
    <w:rsid w:val="00B63C48"/>
    <w:pPr>
      <w:keepNext/>
      <w:numPr>
        <w:ilvl w:val="1"/>
        <w:numId w:val="85"/>
      </w:numPr>
      <w:tabs>
        <w:tab w:val="left" w:pos="284"/>
      </w:tabs>
      <w:spacing w:before="0" w:beforeAutospacing="0" w:after="0" w:afterAutospacing="0"/>
      <w:ind w:left="567" w:hanging="567"/>
      <w:jc w:val="both"/>
    </w:pPr>
    <w:rPr>
      <w:rFonts w:ascii="Arial" w:hAnsi="Arial" w:cs="Arial"/>
      <w:bCs w:val="0"/>
      <w:sz w:val="24"/>
      <w:szCs w:val="24"/>
      <w:lang w:eastAsia="en-US"/>
    </w:rPr>
  </w:style>
  <w:style w:type="paragraph" w:customStyle="1" w:styleId="Subtitluraportare">
    <w:name w:val="Subtitluraportare"/>
    <w:basedOn w:val="Titluraportare"/>
    <w:link w:val="SubtitluraportareChar"/>
    <w:autoRedefine/>
    <w:qFormat/>
    <w:rsid w:val="00B63C48"/>
    <w:pPr>
      <w:numPr>
        <w:ilvl w:val="0"/>
        <w:numId w:val="0"/>
      </w:numPr>
      <w:ind w:firstLine="851"/>
    </w:pPr>
  </w:style>
  <w:style w:type="character" w:customStyle="1" w:styleId="TitluraportareChar">
    <w:name w:val="Titluraportare Char"/>
    <w:link w:val="Titluraportare"/>
    <w:rsid w:val="00B63C48"/>
    <w:rPr>
      <w:rFonts w:ascii="Arial" w:hAnsi="Arial" w:cs="Arial"/>
      <w:b/>
      <w:sz w:val="24"/>
      <w:szCs w:val="24"/>
      <w:lang w:val="ro-RO"/>
    </w:rPr>
  </w:style>
  <w:style w:type="character" w:customStyle="1" w:styleId="SubtitluraportareChar">
    <w:name w:val="Subtitluraportare Char"/>
    <w:link w:val="Subtitluraportare"/>
    <w:rsid w:val="00B63C48"/>
    <w:rPr>
      <w:rFonts w:ascii="Arial" w:hAnsi="Arial" w:cs="Arial"/>
      <w:b/>
      <w:sz w:val="24"/>
      <w:szCs w:val="24"/>
      <w:lang w:val="ro-RO"/>
    </w:rPr>
  </w:style>
  <w:style w:type="paragraph" w:customStyle="1" w:styleId="yiv7139485104msolistparagraph">
    <w:name w:val="yiv7139485104msolistparagraph"/>
    <w:basedOn w:val="Normal"/>
    <w:rsid w:val="00B63C48"/>
    <w:pPr>
      <w:spacing w:before="100" w:beforeAutospacing="1" w:after="100" w:afterAutospacing="1"/>
    </w:pPr>
    <w:rPr>
      <w:rFonts w:eastAsia="Times New Roman"/>
      <w:lang w:val="en-US"/>
    </w:rPr>
  </w:style>
  <w:style w:type="character" w:customStyle="1" w:styleId="post-author">
    <w:name w:val="post-author"/>
    <w:rsid w:val="00B63C48"/>
  </w:style>
  <w:style w:type="character" w:customStyle="1" w:styleId="post-timestamp">
    <w:name w:val="post-timestamp"/>
    <w:rsid w:val="00B63C48"/>
  </w:style>
  <w:style w:type="character" w:customStyle="1" w:styleId="ma-title-text">
    <w:name w:val="ma-title-text"/>
    <w:rsid w:val="00B63C48"/>
  </w:style>
  <w:style w:type="character" w:customStyle="1" w:styleId="a-size-large">
    <w:name w:val="a-size-large"/>
    <w:rsid w:val="00B63C48"/>
  </w:style>
  <w:style w:type="character" w:customStyle="1" w:styleId="gmail-st">
    <w:name w:val="gmail-st"/>
    <w:rsid w:val="00B63C48"/>
  </w:style>
  <w:style w:type="paragraph" w:customStyle="1" w:styleId="op-uc-p">
    <w:name w:val="op-uc-p"/>
    <w:basedOn w:val="Normal"/>
    <w:rsid w:val="00B63C48"/>
    <w:pPr>
      <w:spacing w:before="100" w:beforeAutospacing="1" w:after="100" w:afterAutospacing="1"/>
    </w:pPr>
    <w:rPr>
      <w:rFonts w:eastAsia="Times New Roman"/>
      <w:lang w:val="en-US"/>
    </w:rPr>
  </w:style>
  <w:style w:type="character" w:customStyle="1" w:styleId="ui-provider">
    <w:name w:val="ui-provider"/>
    <w:rsid w:val="00B63C48"/>
  </w:style>
  <w:style w:type="paragraph" w:customStyle="1" w:styleId="paragraph">
    <w:name w:val="paragraph"/>
    <w:basedOn w:val="Normal"/>
    <w:rsid w:val="00B63C48"/>
    <w:pPr>
      <w:spacing w:before="100" w:beforeAutospacing="1" w:after="100" w:afterAutospacing="1"/>
    </w:pPr>
    <w:rPr>
      <w:rFonts w:eastAsia="Times New Roman"/>
      <w:lang w:val="en-US"/>
    </w:rPr>
  </w:style>
  <w:style w:type="character" w:customStyle="1" w:styleId="normaltextrun">
    <w:name w:val="normaltextrun"/>
    <w:rsid w:val="00B63C48"/>
  </w:style>
  <w:style w:type="character" w:customStyle="1" w:styleId="eop">
    <w:name w:val="eop"/>
    <w:rsid w:val="00B63C48"/>
  </w:style>
  <w:style w:type="paragraph" w:customStyle="1" w:styleId="ftrefCharCharCharCharCharCharCharCharChar">
    <w:name w:val="ftref Char Char Char Char Char Char Char Char Char"/>
    <w:aliases w:val="Texto de nota al pie Char Char Char Char Char Char Char Char Char,Footnotes refss Char Char Char Char Char Char Char Char Char Char Char Char Char Char"/>
    <w:basedOn w:val="Normal"/>
    <w:link w:val="FootnoteReference"/>
    <w:uiPriority w:val="99"/>
    <w:rsid w:val="00041F6F"/>
    <w:pPr>
      <w:spacing w:after="160" w:line="240" w:lineRule="exact"/>
      <w:jc w:val="both"/>
    </w:pPr>
    <w:rPr>
      <w:rFonts w:eastAsia="Times New Roman"/>
      <w:sz w:val="20"/>
      <w:szCs w:val="20"/>
      <w:vertAlign w:val="superscript"/>
      <w:lang w:val="en-US"/>
    </w:rPr>
  </w:style>
  <w:style w:type="paragraph" w:customStyle="1" w:styleId="P68B1DB1-Normal3">
    <w:name w:val="P68B1DB1-Normal3"/>
    <w:basedOn w:val="Normal"/>
    <w:rsid w:val="00041F6F"/>
    <w:pPr>
      <w:spacing w:after="160" w:line="259" w:lineRule="auto"/>
    </w:pPr>
    <w:rPr>
      <w:rFonts w:ascii="Trebuchet MS" w:eastAsia="Times New Roman" w:hAnsi="Trebuchet MS" w:cs="Calibri"/>
      <w:kern w:val="2"/>
      <w:sz w:val="22"/>
      <w:szCs w:val="20"/>
      <w:lang w:val="ro"/>
    </w:rPr>
  </w:style>
  <w:style w:type="paragraph" w:customStyle="1" w:styleId="P68B1DB1-Normal7">
    <w:name w:val="P68B1DB1-Normal7"/>
    <w:basedOn w:val="Normal"/>
    <w:rsid w:val="00041F6F"/>
    <w:pPr>
      <w:spacing w:after="160" w:line="259" w:lineRule="auto"/>
    </w:pPr>
    <w:rPr>
      <w:rFonts w:ascii="Trebuchet MS" w:eastAsia="Times New Roman" w:hAnsi="Trebuchet MS"/>
      <w:kern w:val="2"/>
      <w:sz w:val="22"/>
      <w:szCs w:val="20"/>
      <w:lang w:val="ro"/>
    </w:rPr>
  </w:style>
  <w:style w:type="paragraph" w:customStyle="1" w:styleId="P68B1DB1-Normal17">
    <w:name w:val="P68B1DB1-Normal17"/>
    <w:basedOn w:val="Normal"/>
    <w:rsid w:val="00041F6F"/>
    <w:pPr>
      <w:spacing w:after="160" w:line="259" w:lineRule="auto"/>
    </w:pPr>
    <w:rPr>
      <w:rFonts w:ascii="Trebuchet MS" w:eastAsia="Times New Roman" w:hAnsi="Trebuchet MS" w:cs="Calibri"/>
      <w:kern w:val="2"/>
      <w:sz w:val="22"/>
      <w:szCs w:val="20"/>
      <w:lang w:val="ro"/>
    </w:rPr>
  </w:style>
  <w:style w:type="paragraph" w:customStyle="1" w:styleId="P68B1DB1-Default18">
    <w:name w:val="P68B1DB1-Default18"/>
    <w:basedOn w:val="Default"/>
    <w:rsid w:val="00041F6F"/>
    <w:rPr>
      <w:rFonts w:ascii="Trebuchet MS" w:eastAsia="Calibri" w:hAnsi="Trebuchet MS" w:cs="Calibri"/>
      <w:color w:val="auto"/>
      <w:sz w:val="22"/>
      <w:szCs w:val="20"/>
      <w:lang w:val="ro"/>
    </w:rPr>
  </w:style>
  <w:style w:type="paragraph" w:customStyle="1" w:styleId="Frspaiere">
    <w:name w:val="Fără spațiere"/>
    <w:uiPriority w:val="99"/>
    <w:rsid w:val="003351E8"/>
    <w:rPr>
      <w:sz w:val="24"/>
      <w:szCs w:val="24"/>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locked="1" w:qFormat="1"/>
    <w:lsdException w:name="annotation text" w:semiHidden="1" w:unhideWhenUsed="1"/>
    <w:lsdException w:name="header" w:locked="1" w:qFormat="1"/>
    <w:lsdException w:name="footer" w:semiHidden="1" w:unhideWhenUsed="1" w:qFormat="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iPriority="0" w:unhideWhenUsed="1"/>
    <w:lsdException w:name="footnote reference" w:lock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qFormat="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locked="1" w:uiPriority="22" w:qFormat="1"/>
    <w:lsdException w:name="Emphasis" w:locked="1" w:qFormat="1"/>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iPriority="0"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qFormat="1"/>
    <w:lsdException w:name="Table Grid" w:locked="1"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22C66"/>
    <w:rPr>
      <w:rFonts w:eastAsia="SimSun"/>
      <w:sz w:val="24"/>
      <w:szCs w:val="24"/>
      <w:lang w:val="en-GB"/>
    </w:rPr>
  </w:style>
  <w:style w:type="paragraph" w:styleId="Heading1">
    <w:name w:val="heading 1"/>
    <w:basedOn w:val="Normal"/>
    <w:next w:val="Normal"/>
    <w:link w:val="Heading1Char"/>
    <w:uiPriority w:val="99"/>
    <w:qFormat/>
    <w:rsid w:val="0071102C"/>
    <w:pPr>
      <w:keepNext/>
      <w:spacing w:before="240" w:after="60"/>
      <w:outlineLvl w:val="0"/>
    </w:pPr>
    <w:rPr>
      <w:rFonts w:ascii="Cambria" w:eastAsia="Times New Roman" w:hAnsi="Cambria"/>
      <w:b/>
      <w:bCs/>
      <w:kern w:val="32"/>
      <w:sz w:val="32"/>
      <w:szCs w:val="32"/>
      <w:lang w:val="en-US"/>
    </w:rPr>
  </w:style>
  <w:style w:type="paragraph" w:styleId="Heading2">
    <w:name w:val="heading 2"/>
    <w:aliases w:val="a Titlu 2 Char,a Titlu 2 Char Char Char,a Titlu 2 Char1 Char,a Titlu 2 Char Char Char Char,Heading 21,Heading 21 Char"/>
    <w:basedOn w:val="Normal"/>
    <w:link w:val="Heading2Char"/>
    <w:uiPriority w:val="99"/>
    <w:qFormat/>
    <w:rsid w:val="0071102C"/>
    <w:pPr>
      <w:spacing w:before="100" w:beforeAutospacing="1" w:after="100" w:afterAutospacing="1"/>
      <w:outlineLvl w:val="1"/>
    </w:pPr>
    <w:rPr>
      <w:rFonts w:eastAsia="Times New Roman"/>
      <w:b/>
      <w:bCs/>
      <w:sz w:val="36"/>
      <w:szCs w:val="36"/>
      <w:lang w:val="ro-RO" w:eastAsia="ro-RO"/>
    </w:rPr>
  </w:style>
  <w:style w:type="paragraph" w:styleId="Heading3">
    <w:name w:val="heading 3"/>
    <w:basedOn w:val="Normal"/>
    <w:next w:val="Normal"/>
    <w:link w:val="Heading3Char"/>
    <w:qFormat/>
    <w:locked/>
    <w:rsid w:val="004B3C9C"/>
    <w:pPr>
      <w:keepNext/>
      <w:outlineLvl w:val="2"/>
    </w:pPr>
    <w:rPr>
      <w:rFonts w:ascii="R_Helvetica" w:eastAsia="Times New Roman" w:hAnsi="R_Helvetica"/>
      <w:szCs w:val="20"/>
      <w:lang w:val="en-US"/>
    </w:rPr>
  </w:style>
  <w:style w:type="paragraph" w:styleId="Heading4">
    <w:name w:val="heading 4"/>
    <w:basedOn w:val="Normal"/>
    <w:next w:val="Normal"/>
    <w:link w:val="Heading4Char"/>
    <w:uiPriority w:val="99"/>
    <w:qFormat/>
    <w:rsid w:val="000726D2"/>
    <w:pPr>
      <w:keepNext/>
      <w:keepLines/>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71102C"/>
    <w:pPr>
      <w:spacing w:before="240" w:after="60"/>
      <w:outlineLvl w:val="4"/>
    </w:pPr>
    <w:rPr>
      <w:rFonts w:ascii="Calibri" w:eastAsia="Times New Roman" w:hAnsi="Calibri"/>
      <w:b/>
      <w:bCs/>
      <w:i/>
      <w:iCs/>
      <w:sz w:val="26"/>
      <w:szCs w:val="26"/>
      <w:lang w:val="en-US"/>
    </w:rPr>
  </w:style>
  <w:style w:type="paragraph" w:styleId="Heading6">
    <w:name w:val="heading 6"/>
    <w:basedOn w:val="Normal"/>
    <w:next w:val="Normal"/>
    <w:link w:val="Heading6Char"/>
    <w:qFormat/>
    <w:locked/>
    <w:rsid w:val="004B3C9C"/>
    <w:pPr>
      <w:keepNext/>
      <w:outlineLvl w:val="5"/>
    </w:pPr>
    <w:rPr>
      <w:rFonts w:eastAsia="Times New Roman"/>
      <w:color w:val="FF0000"/>
      <w:szCs w:val="20"/>
      <w:lang w:val="ro-RO"/>
    </w:rPr>
  </w:style>
  <w:style w:type="paragraph" w:styleId="Heading7">
    <w:name w:val="heading 7"/>
    <w:basedOn w:val="Normal"/>
    <w:next w:val="Normal"/>
    <w:link w:val="Heading7Char"/>
    <w:qFormat/>
    <w:locked/>
    <w:rsid w:val="004B3C9C"/>
    <w:pPr>
      <w:keepNext/>
      <w:ind w:left="720"/>
      <w:jc w:val="both"/>
      <w:outlineLvl w:val="6"/>
    </w:pPr>
    <w:rPr>
      <w:rFonts w:eastAsia="Times New Roman"/>
      <w:szCs w:val="20"/>
      <w:lang w:val="ro-RO"/>
    </w:rPr>
  </w:style>
  <w:style w:type="paragraph" w:styleId="Heading8">
    <w:name w:val="heading 8"/>
    <w:basedOn w:val="Normal"/>
    <w:next w:val="Normal"/>
    <w:link w:val="Heading8Char"/>
    <w:qFormat/>
    <w:locked/>
    <w:rsid w:val="004B3C9C"/>
    <w:pPr>
      <w:keepNext/>
      <w:widowControl w:val="0"/>
      <w:autoSpaceDE w:val="0"/>
      <w:autoSpaceDN w:val="0"/>
      <w:jc w:val="center"/>
      <w:outlineLvl w:val="7"/>
    </w:pPr>
    <w:rPr>
      <w:rFonts w:ascii="R_Times" w:eastAsia="Times New Roman" w:hAnsi="R_Times"/>
      <w:b/>
      <w:bCs/>
      <w:sz w:val="28"/>
      <w:szCs w:val="28"/>
      <w:lang w:val="ro-RO"/>
    </w:rPr>
  </w:style>
  <w:style w:type="paragraph" w:styleId="Heading9">
    <w:name w:val="heading 9"/>
    <w:basedOn w:val="Normal"/>
    <w:next w:val="Normal"/>
    <w:link w:val="Heading9Char"/>
    <w:qFormat/>
    <w:locked/>
    <w:rsid w:val="004B3C9C"/>
    <w:pPr>
      <w:spacing w:before="240" w:after="60"/>
      <w:outlineLvl w:val="8"/>
    </w:pPr>
    <w:rPr>
      <w:rFonts w:ascii="Arial" w:eastAsia="Times New Roman"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qFormat/>
    <w:locked/>
    <w:rsid w:val="0071102C"/>
    <w:rPr>
      <w:rFonts w:ascii="Cambria" w:hAnsi="Cambria" w:cs="Times New Roman"/>
      <w:b/>
      <w:bCs/>
      <w:kern w:val="32"/>
      <w:sz w:val="32"/>
      <w:szCs w:val="32"/>
    </w:rPr>
  </w:style>
  <w:style w:type="character" w:customStyle="1" w:styleId="Heading2Char">
    <w:name w:val="Heading 2 Char"/>
    <w:aliases w:val="a Titlu 2 Char Char,a Titlu 2 Char Char Char Char1,a Titlu 2 Char1 Char Char,a Titlu 2 Char Char Char Char Char,Heading 21 Char1,Heading 21 Char Char"/>
    <w:link w:val="Heading2"/>
    <w:uiPriority w:val="99"/>
    <w:locked/>
    <w:rsid w:val="0071102C"/>
    <w:rPr>
      <w:rFonts w:cs="Times New Roman"/>
      <w:b/>
      <w:bCs/>
      <w:sz w:val="36"/>
      <w:szCs w:val="36"/>
      <w:lang w:val="ro-RO" w:eastAsia="ro-RO"/>
    </w:rPr>
  </w:style>
  <w:style w:type="character" w:customStyle="1" w:styleId="Heading4Char">
    <w:name w:val="Heading 4 Char"/>
    <w:link w:val="Heading4"/>
    <w:uiPriority w:val="99"/>
    <w:locked/>
    <w:rsid w:val="000726D2"/>
    <w:rPr>
      <w:rFonts w:ascii="Cambria" w:hAnsi="Cambria" w:cs="Times New Roman"/>
      <w:b/>
      <w:bCs/>
      <w:i/>
      <w:iCs/>
      <w:color w:val="4F81BD"/>
      <w:sz w:val="24"/>
      <w:szCs w:val="24"/>
      <w:lang w:val="en-GB"/>
    </w:rPr>
  </w:style>
  <w:style w:type="character" w:customStyle="1" w:styleId="Heading5Char">
    <w:name w:val="Heading 5 Char"/>
    <w:link w:val="Heading5"/>
    <w:uiPriority w:val="99"/>
    <w:locked/>
    <w:rsid w:val="0071102C"/>
    <w:rPr>
      <w:rFonts w:ascii="Calibri" w:hAnsi="Calibri" w:cs="Times New Roman"/>
      <w:b/>
      <w:bCs/>
      <w:i/>
      <w:iCs/>
      <w:sz w:val="26"/>
      <w:szCs w:val="26"/>
    </w:rPr>
  </w:style>
  <w:style w:type="paragraph" w:customStyle="1" w:styleId="Default">
    <w:name w:val="Default"/>
    <w:link w:val="DefaultChar"/>
    <w:rsid w:val="0024470B"/>
    <w:pPr>
      <w:autoSpaceDE w:val="0"/>
      <w:autoSpaceDN w:val="0"/>
      <w:adjustRightInd w:val="0"/>
    </w:pPr>
    <w:rPr>
      <w:rFonts w:ascii="Arial" w:hAnsi="Arial" w:cs="Arial"/>
      <w:color w:val="000000"/>
      <w:sz w:val="24"/>
      <w:szCs w:val="24"/>
    </w:rPr>
  </w:style>
  <w:style w:type="paragraph" w:styleId="Caption">
    <w:name w:val="caption"/>
    <w:aliases w:val="Map Char,Map Char Char Char Char,Map Char Char Char,Map Char Char"/>
    <w:basedOn w:val="Normal"/>
    <w:next w:val="Normal"/>
    <w:uiPriority w:val="99"/>
    <w:qFormat/>
    <w:rsid w:val="00012C6D"/>
    <w:rPr>
      <w:b/>
      <w:bCs/>
      <w:sz w:val="20"/>
      <w:szCs w:val="20"/>
    </w:rPr>
  </w:style>
  <w:style w:type="paragraph" w:customStyle="1" w:styleId="Arial10justify">
    <w:name w:val="Arial10 justify"/>
    <w:basedOn w:val="Normal"/>
    <w:autoRedefine/>
    <w:uiPriority w:val="99"/>
    <w:rsid w:val="00B63600"/>
    <w:pPr>
      <w:jc w:val="both"/>
    </w:pPr>
    <w:rPr>
      <w:rFonts w:ascii="Arial" w:eastAsia="Times New Roman" w:hAnsi="Arial" w:cs="Arial"/>
      <w:bCs/>
      <w:i/>
      <w:iCs/>
      <w:lang w:val="ro-RO"/>
    </w:rPr>
  </w:style>
  <w:style w:type="paragraph" w:styleId="BalloonText">
    <w:name w:val="Balloon Text"/>
    <w:basedOn w:val="Normal"/>
    <w:link w:val="BalloonTextChar"/>
    <w:uiPriority w:val="99"/>
    <w:qFormat/>
    <w:rsid w:val="00710FE3"/>
    <w:rPr>
      <w:rFonts w:ascii="Tahoma" w:hAnsi="Tahoma" w:cs="Tahoma"/>
      <w:sz w:val="16"/>
      <w:szCs w:val="16"/>
    </w:rPr>
  </w:style>
  <w:style w:type="character" w:customStyle="1" w:styleId="BalloonTextChar">
    <w:name w:val="Balloon Text Char"/>
    <w:link w:val="BalloonText"/>
    <w:uiPriority w:val="99"/>
    <w:qFormat/>
    <w:locked/>
    <w:rsid w:val="00710FE3"/>
    <w:rPr>
      <w:rFonts w:ascii="Tahoma" w:eastAsia="SimSun" w:hAnsi="Tahoma" w:cs="Tahoma"/>
      <w:sz w:val="16"/>
      <w:szCs w:val="16"/>
      <w:lang w:val="en-GB"/>
    </w:rPr>
  </w:style>
  <w:style w:type="paragraph" w:styleId="NormalWeb">
    <w:name w:val="Normal (Web)"/>
    <w:basedOn w:val="Normal"/>
    <w:uiPriority w:val="99"/>
    <w:qFormat/>
    <w:rsid w:val="00890F53"/>
    <w:pPr>
      <w:spacing w:before="100" w:beforeAutospacing="1" w:after="100" w:afterAutospacing="1"/>
    </w:pPr>
    <w:rPr>
      <w:rFonts w:eastAsia="Times New Roman"/>
      <w:lang w:val="en-US"/>
    </w:rPr>
  </w:style>
  <w:style w:type="paragraph" w:styleId="Header">
    <w:name w:val="header"/>
    <w:basedOn w:val="Normal"/>
    <w:link w:val="HeaderChar"/>
    <w:uiPriority w:val="99"/>
    <w:qFormat/>
    <w:rsid w:val="003F0B46"/>
    <w:pPr>
      <w:tabs>
        <w:tab w:val="center" w:pos="4680"/>
        <w:tab w:val="right" w:pos="9360"/>
      </w:tabs>
    </w:pPr>
  </w:style>
  <w:style w:type="character" w:customStyle="1" w:styleId="HeaderChar">
    <w:name w:val="Header Char"/>
    <w:link w:val="Header"/>
    <w:uiPriority w:val="99"/>
    <w:qFormat/>
    <w:locked/>
    <w:rsid w:val="003F0B46"/>
    <w:rPr>
      <w:rFonts w:eastAsia="SimSun" w:cs="Times New Roman"/>
      <w:sz w:val="24"/>
      <w:szCs w:val="24"/>
      <w:lang w:val="en-GB"/>
    </w:rPr>
  </w:style>
  <w:style w:type="paragraph" w:styleId="Footer">
    <w:name w:val="footer"/>
    <w:aliases w:val=" Char Char Char Char Char, Char Char Char Char, Char Char Char Char Char Char Char, Char Char Char Char Char Char,Footer1 Char Char,Footer1 Char Char Char Char,Footer1 Char"/>
    <w:basedOn w:val="Normal"/>
    <w:link w:val="FooterChar"/>
    <w:uiPriority w:val="99"/>
    <w:qFormat/>
    <w:rsid w:val="003F0B46"/>
    <w:pPr>
      <w:tabs>
        <w:tab w:val="center" w:pos="4680"/>
        <w:tab w:val="right" w:pos="9360"/>
      </w:tabs>
    </w:pPr>
  </w:style>
  <w:style w:type="character" w:customStyle="1" w:styleId="FooterChar">
    <w:name w:val="Footer Char"/>
    <w:aliases w:val=" Char Char Char Char Char Char1, Char Char Char Char Char1, Char Char Char Char Char Char Char Char, Char Char Char Char Char Char Char1,Footer1 Char Char Char,Footer1 Char Char Char Char Char,Footer1 Char Char1"/>
    <w:link w:val="Footer"/>
    <w:uiPriority w:val="99"/>
    <w:qFormat/>
    <w:locked/>
    <w:rsid w:val="003F0B46"/>
    <w:rPr>
      <w:rFonts w:eastAsia="SimSun" w:cs="Times New Roman"/>
      <w:sz w:val="24"/>
      <w:szCs w:val="24"/>
      <w:lang w:val="en-GB"/>
    </w:rPr>
  </w:style>
  <w:style w:type="character" w:styleId="Hyperlink">
    <w:name w:val="Hyperlink"/>
    <w:uiPriority w:val="99"/>
    <w:rsid w:val="00F75105"/>
    <w:rPr>
      <w:rFonts w:cs="Times New Roman"/>
      <w:color w:val="0000FF"/>
      <w:u w:val="single"/>
    </w:rPr>
  </w:style>
  <w:style w:type="paragraph" w:customStyle="1" w:styleId="1bull1">
    <w:name w:val="1 bull 1"/>
    <w:basedOn w:val="Normal"/>
    <w:uiPriority w:val="99"/>
    <w:rsid w:val="00F75105"/>
    <w:pPr>
      <w:numPr>
        <w:numId w:val="2"/>
      </w:numPr>
      <w:spacing w:line="276" w:lineRule="auto"/>
      <w:ind w:left="1037" w:hanging="357"/>
      <w:jc w:val="both"/>
    </w:pPr>
    <w:rPr>
      <w:rFonts w:ascii="Calibri" w:eastAsia="Times New Roman" w:hAnsi="Calibri"/>
      <w:szCs w:val="22"/>
      <w:lang w:val="ro-RO"/>
    </w:rPr>
  </w:style>
  <w:style w:type="paragraph" w:customStyle="1" w:styleId="1text">
    <w:name w:val="1 text"/>
    <w:basedOn w:val="Normal"/>
    <w:qFormat/>
    <w:rsid w:val="00F75105"/>
    <w:pPr>
      <w:spacing w:before="120" w:after="120" w:line="276" w:lineRule="auto"/>
      <w:ind w:firstLine="720"/>
      <w:jc w:val="both"/>
    </w:pPr>
    <w:rPr>
      <w:rFonts w:ascii="Calibri" w:eastAsia="Times New Roman" w:hAnsi="Calibri" w:cs="Arial"/>
      <w:color w:val="000000"/>
      <w:shd w:val="clear" w:color="auto" w:fill="FFFFFF"/>
      <w:lang w:val="ro-RO"/>
    </w:rPr>
  </w:style>
  <w:style w:type="paragraph" w:styleId="NoSpacing">
    <w:name w:val="No Spacing"/>
    <w:link w:val="NoSpacingChar"/>
    <w:qFormat/>
    <w:rsid w:val="00A310BC"/>
    <w:rPr>
      <w:rFonts w:ascii="Calibri" w:hAnsi="Calibri"/>
      <w:sz w:val="22"/>
      <w:szCs w:val="22"/>
      <w:lang w:val="ro-RO"/>
    </w:rPr>
  </w:style>
  <w:style w:type="paragraph" w:customStyle="1" w:styleId="Frspaiere1">
    <w:name w:val="Fără spațiere1"/>
    <w:uiPriority w:val="99"/>
    <w:rsid w:val="002A0870"/>
    <w:rPr>
      <w:sz w:val="24"/>
      <w:szCs w:val="24"/>
      <w:lang w:val="ro-RO"/>
    </w:rPr>
  </w:style>
  <w:style w:type="paragraph" w:styleId="BodyText2">
    <w:name w:val="Body Text 2"/>
    <w:basedOn w:val="Normal"/>
    <w:link w:val="BodyText2Char"/>
    <w:uiPriority w:val="99"/>
    <w:rsid w:val="0009051B"/>
    <w:pPr>
      <w:spacing w:after="120" w:line="480" w:lineRule="auto"/>
      <w:ind w:left="720"/>
      <w:jc w:val="both"/>
    </w:pPr>
    <w:rPr>
      <w:rFonts w:eastAsia="Times New Roman"/>
      <w:lang w:val="ro-RO"/>
    </w:rPr>
  </w:style>
  <w:style w:type="character" w:customStyle="1" w:styleId="BodyText2Char">
    <w:name w:val="Body Text 2 Char"/>
    <w:link w:val="BodyText2"/>
    <w:uiPriority w:val="99"/>
    <w:locked/>
    <w:rsid w:val="0009051B"/>
    <w:rPr>
      <w:rFonts w:cs="Times New Roman"/>
      <w:sz w:val="24"/>
      <w:szCs w:val="24"/>
      <w:lang w:val="ro-RO"/>
    </w:rPr>
  </w:style>
  <w:style w:type="table" w:styleId="TableGrid">
    <w:name w:val="Table Grid"/>
    <w:basedOn w:val="TableNormal"/>
    <w:uiPriority w:val="99"/>
    <w:qFormat/>
    <w:rsid w:val="00335AF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eading 2_sj,List_Paragraph,Multilevel para_II,List Paragraph1,Normal bullet 2,body 2,Forth level,lp1,Heading x1,Lista 1,lp11,List Paragraph11,Header bold,bullets,Arial,EU,List Paragraph3,Lettre d'introduction,List Paragraph111,lp,Dot pt"/>
    <w:basedOn w:val="Normal"/>
    <w:link w:val="ListParagraphChar"/>
    <w:uiPriority w:val="34"/>
    <w:qFormat/>
    <w:rsid w:val="00335AFC"/>
    <w:pPr>
      <w:ind w:left="720"/>
      <w:contextualSpacing/>
    </w:pPr>
    <w:rPr>
      <w:rFonts w:eastAsia="Times New Roman"/>
      <w:lang w:val="en-US"/>
    </w:rPr>
  </w:style>
  <w:style w:type="paragraph" w:customStyle="1" w:styleId="CharChar1">
    <w:name w:val="Char Char1"/>
    <w:basedOn w:val="Normal"/>
    <w:uiPriority w:val="99"/>
    <w:rsid w:val="0071102C"/>
    <w:rPr>
      <w:rFonts w:eastAsia="Times New Roman"/>
      <w:lang w:val="pl-PL" w:eastAsia="pl-PL"/>
    </w:rPr>
  </w:style>
  <w:style w:type="paragraph" w:customStyle="1" w:styleId="Caracter">
    <w:name w:val="Caracter"/>
    <w:basedOn w:val="Normal"/>
    <w:uiPriority w:val="99"/>
    <w:rsid w:val="0071102C"/>
    <w:rPr>
      <w:rFonts w:eastAsia="Times New Roman"/>
      <w:noProof/>
      <w:lang w:val="pl-PL" w:eastAsia="pl-PL"/>
    </w:rPr>
  </w:style>
  <w:style w:type="paragraph" w:styleId="BodyText">
    <w:name w:val="Body Text"/>
    <w:aliases w:val="Body Text Char Char,block style Caracter Caracter,block style Caracter"/>
    <w:basedOn w:val="Normal"/>
    <w:link w:val="BodyTextChar"/>
    <w:uiPriority w:val="99"/>
    <w:rsid w:val="0071102C"/>
    <w:pPr>
      <w:spacing w:after="120"/>
    </w:pPr>
    <w:rPr>
      <w:rFonts w:eastAsia="Times New Roman"/>
      <w:lang w:val="en-US"/>
    </w:rPr>
  </w:style>
  <w:style w:type="character" w:customStyle="1" w:styleId="BodyTextChar">
    <w:name w:val="Body Text Char"/>
    <w:aliases w:val="Body Text Char Char Char1,block style Caracter Caracter Char,block style Caracter Char"/>
    <w:link w:val="BodyText"/>
    <w:uiPriority w:val="99"/>
    <w:locked/>
    <w:rsid w:val="0071102C"/>
    <w:rPr>
      <w:rFonts w:cs="Times New Roman"/>
      <w:sz w:val="24"/>
      <w:szCs w:val="24"/>
    </w:rPr>
  </w:style>
  <w:style w:type="character" w:styleId="Strong">
    <w:name w:val="Strong"/>
    <w:uiPriority w:val="22"/>
    <w:qFormat/>
    <w:rsid w:val="0071102C"/>
    <w:rPr>
      <w:rFonts w:cs="Times New Roman"/>
      <w:b/>
      <w:bCs/>
    </w:rPr>
  </w:style>
  <w:style w:type="character" w:customStyle="1" w:styleId="link-external">
    <w:name w:val="link-external"/>
    <w:uiPriority w:val="99"/>
    <w:rsid w:val="0071102C"/>
    <w:rPr>
      <w:rFonts w:cs="Times New Roman"/>
    </w:rPr>
  </w:style>
  <w:style w:type="character" w:customStyle="1" w:styleId="languagecodes">
    <w:name w:val="languagecodes"/>
    <w:uiPriority w:val="99"/>
    <w:rsid w:val="0071102C"/>
    <w:rPr>
      <w:rFonts w:cs="Times New Roman"/>
    </w:rPr>
  </w:style>
  <w:style w:type="paragraph" w:customStyle="1" w:styleId="mediu">
    <w:name w:val="mediu"/>
    <w:basedOn w:val="Normal"/>
    <w:uiPriority w:val="99"/>
    <w:rsid w:val="0071102C"/>
    <w:pPr>
      <w:spacing w:before="100" w:beforeAutospacing="1" w:after="100" w:afterAutospacing="1"/>
      <w:ind w:firstLine="711"/>
      <w:jc w:val="both"/>
    </w:pPr>
    <w:rPr>
      <w:rFonts w:eastAsia="Times New Roman"/>
      <w:lang w:val="ro-RO" w:eastAsia="ro-RO"/>
    </w:rPr>
  </w:style>
  <w:style w:type="character" w:styleId="Emphasis">
    <w:name w:val="Emphasis"/>
    <w:uiPriority w:val="99"/>
    <w:qFormat/>
    <w:rsid w:val="0071102C"/>
    <w:rPr>
      <w:rFonts w:cs="Times New Roman"/>
      <w:i/>
      <w:iCs/>
    </w:rPr>
  </w:style>
  <w:style w:type="paragraph" w:styleId="Title">
    <w:name w:val="Title"/>
    <w:basedOn w:val="Normal"/>
    <w:link w:val="TitleChar"/>
    <w:uiPriority w:val="99"/>
    <w:qFormat/>
    <w:rsid w:val="0071102C"/>
    <w:pPr>
      <w:jc w:val="center"/>
    </w:pPr>
    <w:rPr>
      <w:rFonts w:ascii="Arial" w:eastAsia="Times New Roman" w:hAnsi="Arial" w:cs="Arial"/>
      <w:b/>
      <w:bCs/>
      <w:sz w:val="32"/>
      <w:szCs w:val="20"/>
      <w:lang w:val="ro-RO"/>
    </w:rPr>
  </w:style>
  <w:style w:type="character" w:customStyle="1" w:styleId="TitleChar">
    <w:name w:val="Title Char"/>
    <w:link w:val="Title"/>
    <w:uiPriority w:val="99"/>
    <w:locked/>
    <w:rsid w:val="0071102C"/>
    <w:rPr>
      <w:rFonts w:ascii="Arial" w:hAnsi="Arial" w:cs="Arial"/>
      <w:b/>
      <w:bCs/>
      <w:sz w:val="32"/>
      <w:lang w:val="ro-RO"/>
    </w:rPr>
  </w:style>
  <w:style w:type="paragraph" w:customStyle="1" w:styleId="CharChar">
    <w:name w:val="Char Char"/>
    <w:basedOn w:val="Normal"/>
    <w:uiPriority w:val="99"/>
    <w:rsid w:val="0071102C"/>
    <w:rPr>
      <w:rFonts w:ascii="Arial" w:eastAsia="Times New Roman" w:hAnsi="Arial" w:cs="Arial"/>
      <w:lang w:val="pl-PL" w:eastAsia="pl-PL"/>
    </w:rPr>
  </w:style>
  <w:style w:type="paragraph" w:styleId="FootnoteText">
    <w:name w:val="footnote text"/>
    <w:aliases w:val="M Footnotes,Podrozdział,Footnote Text Char Char,Fußnote,fn,FT,ft,SD Footnote Text,Footnote Text AG,Note de bas de page Car Car,Note de bas de page Car Car Car Car Car,Note de bas de page Car Car Car Car,o,Footnote,WB-Fußnotentext,Geneva 9"/>
    <w:basedOn w:val="Normal"/>
    <w:link w:val="FootnoteTextChar"/>
    <w:uiPriority w:val="99"/>
    <w:qFormat/>
    <w:rsid w:val="0071102C"/>
    <w:pPr>
      <w:spacing w:after="200" w:line="276" w:lineRule="auto"/>
    </w:pPr>
    <w:rPr>
      <w:rFonts w:ascii="Calibri" w:eastAsia="Times New Roman" w:hAnsi="Calibri"/>
      <w:sz w:val="20"/>
      <w:szCs w:val="20"/>
      <w:lang w:val="en-US"/>
    </w:rPr>
  </w:style>
  <w:style w:type="character" w:customStyle="1" w:styleId="FootnoteTextChar">
    <w:name w:val="Footnote Text Char"/>
    <w:aliases w:val="M Footnotes Char,Podrozdział Char,Footnote Text Char Char Char,Fußnote Char,fn Char,FT Char,ft Char,SD Footnote Text Char,Footnote Text AG Char,Note de bas de page Car Car Char,Note de bas de page Car Car Car Car Car Char,o Char"/>
    <w:link w:val="FootnoteText"/>
    <w:uiPriority w:val="99"/>
    <w:qFormat/>
    <w:locked/>
    <w:rsid w:val="0071102C"/>
    <w:rPr>
      <w:rFonts w:ascii="Calibri" w:hAnsi="Calibri" w:cs="Times New Roman"/>
    </w:rPr>
  </w:style>
  <w:style w:type="character" w:styleId="FootnoteReference">
    <w:name w:val="footnote reference"/>
    <w:aliases w:val="fr,Footnote Reference Superscript,Footnote Reference/,Footnote Reference text,Footnote symbol,Voetnootverwijzing,footnote ref,FR,Fußnotenzeichen diss neu,Times 10 Point,Exposant 3 Point,Odwołanie przypisu,number,SUPERS,16 Point,ftref"/>
    <w:link w:val="ftrefCharCharCharCharCharCharCharCharChar"/>
    <w:uiPriority w:val="99"/>
    <w:qFormat/>
    <w:rsid w:val="0071102C"/>
    <w:rPr>
      <w:rFonts w:cs="Times New Roman"/>
      <w:vertAlign w:val="superscript"/>
    </w:rPr>
  </w:style>
  <w:style w:type="paragraph" w:customStyle="1" w:styleId="Char">
    <w:name w:val="Char"/>
    <w:basedOn w:val="Normal"/>
    <w:uiPriority w:val="99"/>
    <w:rsid w:val="0071102C"/>
    <w:rPr>
      <w:rFonts w:eastAsia="Times New Roman"/>
      <w:lang w:val="pl-PL" w:eastAsia="pl-PL"/>
    </w:rPr>
  </w:style>
  <w:style w:type="character" w:customStyle="1" w:styleId="apple-converted-space">
    <w:name w:val="apple-converted-space"/>
    <w:rsid w:val="0071102C"/>
  </w:style>
  <w:style w:type="paragraph" w:styleId="HTMLPreformatted">
    <w:name w:val="HTML Preformatted"/>
    <w:basedOn w:val="Normal"/>
    <w:link w:val="HTMLPreformattedChar"/>
    <w:uiPriority w:val="99"/>
    <w:rsid w:val="00711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link w:val="HTMLPreformatted"/>
    <w:uiPriority w:val="99"/>
    <w:locked/>
    <w:rsid w:val="0071102C"/>
    <w:rPr>
      <w:rFonts w:ascii="Courier New" w:hAnsi="Courier New" w:cs="Courier New"/>
    </w:rPr>
  </w:style>
  <w:style w:type="character" w:customStyle="1" w:styleId="emphasischar">
    <w:name w:val="emphasis__char"/>
    <w:uiPriority w:val="99"/>
    <w:rsid w:val="0071102C"/>
    <w:rPr>
      <w:rFonts w:cs="Times New Roman"/>
    </w:rPr>
  </w:style>
  <w:style w:type="paragraph" w:customStyle="1" w:styleId="Char2">
    <w:name w:val="Char2"/>
    <w:basedOn w:val="Normal"/>
    <w:uiPriority w:val="99"/>
    <w:rsid w:val="00AA30D2"/>
    <w:pPr>
      <w:tabs>
        <w:tab w:val="left" w:pos="709"/>
      </w:tabs>
    </w:pPr>
    <w:rPr>
      <w:rFonts w:ascii="Tahoma" w:eastAsia="Times New Roman" w:hAnsi="Tahoma"/>
      <w:lang w:val="pl-PL" w:eastAsia="pl-PL"/>
    </w:rPr>
  </w:style>
  <w:style w:type="paragraph" w:customStyle="1" w:styleId="Char1">
    <w:name w:val="Char1"/>
    <w:basedOn w:val="Normal"/>
    <w:uiPriority w:val="99"/>
    <w:rsid w:val="00247569"/>
    <w:pPr>
      <w:tabs>
        <w:tab w:val="left" w:pos="709"/>
      </w:tabs>
    </w:pPr>
    <w:rPr>
      <w:rFonts w:ascii="Tahoma" w:eastAsia="Times New Roman" w:hAnsi="Tahoma"/>
      <w:lang w:val="pl-PL" w:eastAsia="pl-PL"/>
    </w:rPr>
  </w:style>
  <w:style w:type="paragraph" w:customStyle="1" w:styleId="1text2">
    <w:name w:val="1 text 2"/>
    <w:basedOn w:val="Normal"/>
    <w:uiPriority w:val="99"/>
    <w:qFormat/>
    <w:rsid w:val="000935BE"/>
    <w:pPr>
      <w:spacing w:before="240"/>
      <w:jc w:val="both"/>
    </w:pPr>
    <w:rPr>
      <w:rFonts w:ascii="Arial" w:eastAsia="Times New Roman" w:hAnsi="Arial"/>
      <w:iCs/>
      <w:lang w:val="ro-RO"/>
    </w:rPr>
  </w:style>
  <w:style w:type="paragraph" w:customStyle="1" w:styleId="1tabeltitlu">
    <w:name w:val="1 tabel titlu"/>
    <w:basedOn w:val="Normal"/>
    <w:uiPriority w:val="99"/>
    <w:qFormat/>
    <w:rsid w:val="000935BE"/>
    <w:pPr>
      <w:spacing w:before="240" w:after="120"/>
      <w:jc w:val="center"/>
    </w:pPr>
    <w:rPr>
      <w:rFonts w:ascii="Arial" w:eastAsia="Times New Roman" w:hAnsi="Arial" w:cs="Arial"/>
      <w:b/>
      <w:sz w:val="22"/>
      <w:lang w:val="ro-RO" w:eastAsia="ro-RO"/>
    </w:rPr>
  </w:style>
  <w:style w:type="paragraph" w:styleId="BodyTextIndent">
    <w:name w:val="Body Text Indent"/>
    <w:basedOn w:val="Normal"/>
    <w:link w:val="BodyTextIndentChar"/>
    <w:uiPriority w:val="99"/>
    <w:qFormat/>
    <w:rsid w:val="000935BE"/>
    <w:pPr>
      <w:spacing w:after="120" w:line="276" w:lineRule="auto"/>
      <w:ind w:left="360"/>
    </w:pPr>
    <w:rPr>
      <w:rFonts w:ascii="Calibri" w:eastAsia="Times New Roman" w:hAnsi="Calibri"/>
      <w:sz w:val="22"/>
      <w:szCs w:val="22"/>
      <w:lang w:val="en-US"/>
    </w:rPr>
  </w:style>
  <w:style w:type="character" w:customStyle="1" w:styleId="BodyTextIndentChar">
    <w:name w:val="Body Text Indent Char"/>
    <w:link w:val="BodyTextIndent"/>
    <w:uiPriority w:val="99"/>
    <w:qFormat/>
    <w:locked/>
    <w:rsid w:val="000935BE"/>
    <w:rPr>
      <w:rFonts w:ascii="Calibri" w:hAnsi="Calibri" w:cs="Times New Roman"/>
      <w:sz w:val="22"/>
      <w:szCs w:val="22"/>
    </w:rPr>
  </w:style>
  <w:style w:type="paragraph" w:customStyle="1" w:styleId="Listparagraf1">
    <w:name w:val="Listă paragraf1"/>
    <w:basedOn w:val="Normal"/>
    <w:link w:val="ListparagrafCaracter2"/>
    <w:uiPriority w:val="99"/>
    <w:qFormat/>
    <w:rsid w:val="000D2632"/>
    <w:pPr>
      <w:spacing w:after="200" w:line="276" w:lineRule="auto"/>
      <w:ind w:left="720"/>
      <w:contextualSpacing/>
    </w:pPr>
    <w:rPr>
      <w:rFonts w:ascii="Calibri" w:eastAsia="Times New Roman" w:hAnsi="Calibri"/>
      <w:sz w:val="22"/>
      <w:szCs w:val="20"/>
    </w:rPr>
  </w:style>
  <w:style w:type="character" w:customStyle="1" w:styleId="ListparagrafCaracter2">
    <w:name w:val="Listă paragraf Caracter2"/>
    <w:link w:val="Listparagraf1"/>
    <w:uiPriority w:val="99"/>
    <w:locked/>
    <w:rsid w:val="000D2632"/>
    <w:rPr>
      <w:rFonts w:ascii="Calibri" w:hAnsi="Calibri"/>
      <w:sz w:val="22"/>
    </w:rPr>
  </w:style>
  <w:style w:type="paragraph" w:customStyle="1" w:styleId="H4">
    <w:name w:val="H4"/>
    <w:basedOn w:val="Normal"/>
    <w:next w:val="Normal"/>
    <w:uiPriority w:val="99"/>
    <w:rsid w:val="000726D2"/>
    <w:pPr>
      <w:keepNext/>
      <w:suppressAutoHyphens/>
      <w:spacing w:before="100" w:after="100"/>
    </w:pPr>
    <w:rPr>
      <w:rFonts w:eastAsia="Times New Roman"/>
      <w:b/>
      <w:szCs w:val="20"/>
      <w:lang w:val="en-US" w:eastAsia="ar-SA"/>
    </w:rPr>
  </w:style>
  <w:style w:type="character" w:customStyle="1" w:styleId="HeaderChar1">
    <w:name w:val="Header Char1"/>
    <w:basedOn w:val="DefaultParagraphFont"/>
    <w:uiPriority w:val="99"/>
    <w:semiHidden/>
    <w:rsid w:val="009A2B0A"/>
  </w:style>
  <w:style w:type="character" w:customStyle="1" w:styleId="FooterChar1">
    <w:name w:val="Footer Char1"/>
    <w:basedOn w:val="DefaultParagraphFont"/>
    <w:uiPriority w:val="99"/>
    <w:semiHidden/>
    <w:rsid w:val="009A2B0A"/>
  </w:style>
  <w:style w:type="character" w:styleId="CommentReference">
    <w:name w:val="annotation reference"/>
    <w:uiPriority w:val="99"/>
    <w:unhideWhenUsed/>
    <w:rsid w:val="009A2B0A"/>
    <w:rPr>
      <w:sz w:val="16"/>
      <w:szCs w:val="16"/>
    </w:rPr>
  </w:style>
  <w:style w:type="paragraph" w:styleId="CommentText">
    <w:name w:val="annotation text"/>
    <w:basedOn w:val="Normal"/>
    <w:link w:val="CommentTextChar"/>
    <w:uiPriority w:val="99"/>
    <w:unhideWhenUsed/>
    <w:rsid w:val="009A2B0A"/>
    <w:pPr>
      <w:spacing w:after="160"/>
    </w:pPr>
    <w:rPr>
      <w:rFonts w:ascii="Calibri" w:eastAsia="Calibri" w:hAnsi="Calibri"/>
      <w:sz w:val="20"/>
      <w:szCs w:val="20"/>
      <w:lang w:val="ro-RO"/>
    </w:rPr>
  </w:style>
  <w:style w:type="character" w:customStyle="1" w:styleId="CommentTextChar">
    <w:name w:val="Comment Text Char"/>
    <w:link w:val="CommentText"/>
    <w:uiPriority w:val="99"/>
    <w:rsid w:val="009A2B0A"/>
    <w:rPr>
      <w:rFonts w:ascii="Calibri" w:eastAsia="Calibri" w:hAnsi="Calibri" w:cs="Times New Roman"/>
      <w:lang w:eastAsia="en-US"/>
    </w:rPr>
  </w:style>
  <w:style w:type="paragraph" w:styleId="CommentSubject">
    <w:name w:val="annotation subject"/>
    <w:basedOn w:val="CommentText"/>
    <w:next w:val="CommentText"/>
    <w:link w:val="CommentSubjectChar"/>
    <w:uiPriority w:val="99"/>
    <w:unhideWhenUsed/>
    <w:rsid w:val="009A2B0A"/>
    <w:rPr>
      <w:b/>
      <w:bCs/>
    </w:rPr>
  </w:style>
  <w:style w:type="character" w:customStyle="1" w:styleId="CommentSubjectChar">
    <w:name w:val="Comment Subject Char"/>
    <w:link w:val="CommentSubject"/>
    <w:uiPriority w:val="99"/>
    <w:rsid w:val="009A2B0A"/>
    <w:rPr>
      <w:rFonts w:ascii="Calibri" w:eastAsia="Calibri" w:hAnsi="Calibri" w:cs="Times New Roman"/>
      <w:b/>
      <w:bCs/>
      <w:lang w:eastAsia="en-US"/>
    </w:rPr>
  </w:style>
  <w:style w:type="paragraph" w:styleId="BodyTextIndent2">
    <w:name w:val="Body Text Indent 2"/>
    <w:basedOn w:val="Normal"/>
    <w:link w:val="BodyTextIndent2Char"/>
    <w:unhideWhenUsed/>
    <w:rsid w:val="004B3C9C"/>
    <w:pPr>
      <w:spacing w:after="120" w:line="480" w:lineRule="auto"/>
      <w:ind w:left="360"/>
    </w:pPr>
  </w:style>
  <w:style w:type="character" w:customStyle="1" w:styleId="BodyTextIndent2Char">
    <w:name w:val="Body Text Indent 2 Char"/>
    <w:link w:val="BodyTextIndent2"/>
    <w:rsid w:val="004B3C9C"/>
    <w:rPr>
      <w:rFonts w:eastAsia="SimSun"/>
      <w:sz w:val="24"/>
      <w:szCs w:val="24"/>
      <w:lang w:val="en-GB" w:eastAsia="en-US"/>
    </w:rPr>
  </w:style>
  <w:style w:type="character" w:customStyle="1" w:styleId="Heading3Char">
    <w:name w:val="Heading 3 Char"/>
    <w:link w:val="Heading3"/>
    <w:qFormat/>
    <w:rsid w:val="004B3C9C"/>
    <w:rPr>
      <w:rFonts w:ascii="R_Helvetica" w:hAnsi="R_Helvetica"/>
      <w:sz w:val="24"/>
      <w:lang w:val="en-US" w:eastAsia="en-US"/>
    </w:rPr>
  </w:style>
  <w:style w:type="character" w:customStyle="1" w:styleId="Heading6Char">
    <w:name w:val="Heading 6 Char"/>
    <w:link w:val="Heading6"/>
    <w:rsid w:val="004B3C9C"/>
    <w:rPr>
      <w:color w:val="FF0000"/>
      <w:sz w:val="24"/>
      <w:lang w:eastAsia="en-US"/>
    </w:rPr>
  </w:style>
  <w:style w:type="character" w:customStyle="1" w:styleId="Heading7Char">
    <w:name w:val="Heading 7 Char"/>
    <w:link w:val="Heading7"/>
    <w:rsid w:val="004B3C9C"/>
    <w:rPr>
      <w:sz w:val="24"/>
      <w:lang w:eastAsia="en-US"/>
    </w:rPr>
  </w:style>
  <w:style w:type="character" w:customStyle="1" w:styleId="Heading8Char">
    <w:name w:val="Heading 8 Char"/>
    <w:link w:val="Heading8"/>
    <w:rsid w:val="004B3C9C"/>
    <w:rPr>
      <w:rFonts w:ascii="R_Times" w:hAnsi="R_Times"/>
      <w:b/>
      <w:bCs/>
      <w:sz w:val="28"/>
      <w:szCs w:val="28"/>
      <w:lang w:eastAsia="en-US"/>
    </w:rPr>
  </w:style>
  <w:style w:type="character" w:customStyle="1" w:styleId="Heading9Char">
    <w:name w:val="Heading 9 Char"/>
    <w:link w:val="Heading9"/>
    <w:qFormat/>
    <w:rsid w:val="004B3C9C"/>
    <w:rPr>
      <w:rFonts w:ascii="Arial" w:hAnsi="Arial" w:cs="Arial"/>
      <w:sz w:val="22"/>
      <w:szCs w:val="22"/>
      <w:lang w:val="en-US" w:eastAsia="en-US"/>
    </w:rPr>
  </w:style>
  <w:style w:type="paragraph" w:styleId="PlainText">
    <w:name w:val="Plain Text"/>
    <w:basedOn w:val="Normal"/>
    <w:link w:val="PlainTextChar"/>
    <w:rsid w:val="004B3C9C"/>
    <w:rPr>
      <w:rFonts w:ascii="Courier New" w:eastAsia="Times New Roman" w:hAnsi="Courier New"/>
      <w:sz w:val="20"/>
      <w:szCs w:val="20"/>
      <w:lang w:val="fr-FR"/>
    </w:rPr>
  </w:style>
  <w:style w:type="character" w:customStyle="1" w:styleId="PlainTextChar">
    <w:name w:val="Plain Text Char"/>
    <w:link w:val="PlainText"/>
    <w:rsid w:val="004B3C9C"/>
    <w:rPr>
      <w:rFonts w:ascii="Courier New" w:hAnsi="Courier New"/>
      <w:lang w:val="fr-FR"/>
    </w:rPr>
  </w:style>
  <w:style w:type="character" w:styleId="PageNumber">
    <w:name w:val="page number"/>
    <w:basedOn w:val="DefaultParagraphFont"/>
    <w:rsid w:val="004B3C9C"/>
  </w:style>
  <w:style w:type="paragraph" w:styleId="BodyTextFirstIndent">
    <w:name w:val="Body Text First Indent"/>
    <w:basedOn w:val="BodyText"/>
    <w:link w:val="BodyTextFirstIndentChar"/>
    <w:rsid w:val="004B3C9C"/>
    <w:pPr>
      <w:ind w:firstLine="210"/>
    </w:pPr>
  </w:style>
  <w:style w:type="character" w:customStyle="1" w:styleId="BodyTextFirstIndentChar">
    <w:name w:val="Body Text First Indent Char"/>
    <w:link w:val="BodyTextFirstIndent"/>
    <w:rsid w:val="004B3C9C"/>
    <w:rPr>
      <w:rFonts w:cs="Times New Roman"/>
      <w:sz w:val="24"/>
      <w:szCs w:val="24"/>
      <w:lang w:val="en-US" w:eastAsia="en-US"/>
    </w:rPr>
  </w:style>
  <w:style w:type="paragraph" w:styleId="BodyTextFirstIndent2">
    <w:name w:val="Body Text First Indent 2"/>
    <w:basedOn w:val="BodyTextIndent"/>
    <w:link w:val="BodyTextFirstIndent2Char"/>
    <w:rsid w:val="004B3C9C"/>
    <w:pPr>
      <w:spacing w:line="240" w:lineRule="auto"/>
      <w:ind w:firstLine="210"/>
    </w:pPr>
    <w:rPr>
      <w:rFonts w:ascii="Times New Roman" w:hAnsi="Times New Roman"/>
      <w:sz w:val="24"/>
      <w:szCs w:val="24"/>
    </w:rPr>
  </w:style>
  <w:style w:type="character" w:customStyle="1" w:styleId="BodyTextFirstIndent2Char">
    <w:name w:val="Body Text First Indent 2 Char"/>
    <w:link w:val="BodyTextFirstIndent2"/>
    <w:rsid w:val="004B3C9C"/>
    <w:rPr>
      <w:rFonts w:ascii="Calibri" w:hAnsi="Calibri" w:cs="Times New Roman"/>
      <w:sz w:val="24"/>
      <w:szCs w:val="24"/>
      <w:lang w:val="en-US" w:eastAsia="en-US"/>
    </w:rPr>
  </w:style>
  <w:style w:type="paragraph" w:styleId="BodyTextIndent3">
    <w:name w:val="Body Text Indent 3"/>
    <w:basedOn w:val="Normal"/>
    <w:link w:val="BodyTextIndent3Char"/>
    <w:rsid w:val="004B3C9C"/>
    <w:pPr>
      <w:ind w:left="120"/>
      <w:jc w:val="both"/>
    </w:pPr>
    <w:rPr>
      <w:rFonts w:ascii="R_Helvetica" w:eastAsia="Times New Roman" w:hAnsi="R_Helvetica"/>
      <w:szCs w:val="20"/>
      <w:lang w:val="en-US"/>
    </w:rPr>
  </w:style>
  <w:style w:type="character" w:customStyle="1" w:styleId="BodyTextIndent3Char">
    <w:name w:val="Body Text Indent 3 Char"/>
    <w:link w:val="BodyTextIndent3"/>
    <w:rsid w:val="004B3C9C"/>
    <w:rPr>
      <w:rFonts w:ascii="R_Helvetica" w:hAnsi="R_Helvetica"/>
      <w:sz w:val="24"/>
      <w:lang w:val="en-US" w:eastAsia="en-US"/>
    </w:rPr>
  </w:style>
  <w:style w:type="paragraph" w:styleId="BodyText3">
    <w:name w:val="Body Text 3"/>
    <w:basedOn w:val="Normal"/>
    <w:link w:val="BodyText3Char"/>
    <w:rsid w:val="004B3C9C"/>
    <w:pPr>
      <w:jc w:val="both"/>
    </w:pPr>
    <w:rPr>
      <w:rFonts w:ascii="R_Helvetica" w:eastAsia="Times New Roman" w:hAnsi="R_Helvetica"/>
      <w:sz w:val="22"/>
      <w:szCs w:val="20"/>
      <w:lang w:val="en-US"/>
    </w:rPr>
  </w:style>
  <w:style w:type="character" w:customStyle="1" w:styleId="BodyText3Char">
    <w:name w:val="Body Text 3 Char"/>
    <w:link w:val="BodyText3"/>
    <w:rsid w:val="004B3C9C"/>
    <w:rPr>
      <w:rFonts w:ascii="R_Helvetica" w:hAnsi="R_Helvetica"/>
      <w:sz w:val="22"/>
      <w:lang w:val="en-US" w:eastAsia="en-US"/>
    </w:rPr>
  </w:style>
  <w:style w:type="character" w:styleId="FollowedHyperlink">
    <w:name w:val="FollowedHyperlink"/>
    <w:rsid w:val="004B3C9C"/>
    <w:rPr>
      <w:color w:val="800080"/>
      <w:u w:val="single"/>
    </w:rPr>
  </w:style>
  <w:style w:type="paragraph" w:styleId="Subtitle">
    <w:name w:val="Subtitle"/>
    <w:basedOn w:val="Normal"/>
    <w:link w:val="SubtitleChar"/>
    <w:qFormat/>
    <w:locked/>
    <w:rsid w:val="004B3C9C"/>
    <w:pPr>
      <w:jc w:val="center"/>
    </w:pPr>
    <w:rPr>
      <w:rFonts w:ascii="Arial" w:eastAsia="Times New Roman" w:hAnsi="Arial" w:cs="Arial"/>
      <w:sz w:val="28"/>
      <w:szCs w:val="20"/>
      <w:lang w:val="ro-RO"/>
    </w:rPr>
  </w:style>
  <w:style w:type="character" w:customStyle="1" w:styleId="SubtitleChar">
    <w:name w:val="Subtitle Char"/>
    <w:link w:val="Subtitle"/>
    <w:rsid w:val="004B3C9C"/>
    <w:rPr>
      <w:rFonts w:ascii="Arial" w:hAnsi="Arial" w:cs="Arial"/>
      <w:sz w:val="28"/>
      <w:lang w:eastAsia="en-US"/>
    </w:rPr>
  </w:style>
  <w:style w:type="paragraph" w:customStyle="1" w:styleId="bulet1">
    <w:name w:val="bulet 1"/>
    <w:basedOn w:val="ListParagraph"/>
    <w:qFormat/>
    <w:rsid w:val="004B3C9C"/>
    <w:pPr>
      <w:numPr>
        <w:numId w:val="61"/>
      </w:numPr>
      <w:tabs>
        <w:tab w:val="num" w:pos="360"/>
      </w:tabs>
      <w:spacing w:before="120" w:after="120"/>
      <w:ind w:firstLine="0"/>
      <w:jc w:val="both"/>
    </w:pPr>
    <w:rPr>
      <w:rFonts w:ascii="Arial" w:hAnsi="Arial" w:cs="Arial"/>
      <w:lang w:eastAsia="ro-RO"/>
    </w:rPr>
  </w:style>
  <w:style w:type="character" w:customStyle="1" w:styleId="ListParagraphChar">
    <w:name w:val="List Paragraph Char"/>
    <w:aliases w:val="Heading 2_sj Char,List_Paragraph Char,Multilevel para_II Char,List Paragraph1 Char,Normal bullet 2 Char,body 2 Char,Forth level Char,lp1 Char,Heading x1 Char,Lista 1 Char,lp11 Char,List Paragraph11 Char,Header bold Char,bullets Char"/>
    <w:link w:val="ListParagraph"/>
    <w:uiPriority w:val="99"/>
    <w:qFormat/>
    <w:rsid w:val="004B3C9C"/>
    <w:rPr>
      <w:sz w:val="24"/>
      <w:szCs w:val="24"/>
      <w:lang w:val="en-US" w:eastAsia="en-US"/>
    </w:rPr>
  </w:style>
  <w:style w:type="paragraph" w:customStyle="1" w:styleId="textscris">
    <w:name w:val="text scris"/>
    <w:basedOn w:val="Normal"/>
    <w:qFormat/>
    <w:rsid w:val="004B3C9C"/>
    <w:pPr>
      <w:spacing w:before="120" w:after="120"/>
      <w:ind w:firstLine="720"/>
      <w:jc w:val="both"/>
    </w:pPr>
    <w:rPr>
      <w:rFonts w:ascii="Arial" w:eastAsia="Calibri" w:hAnsi="Arial" w:cs="Arial"/>
      <w:lang w:val="en-US"/>
    </w:rPr>
  </w:style>
  <w:style w:type="paragraph" w:customStyle="1" w:styleId="1titlu">
    <w:name w:val="1 titlu"/>
    <w:basedOn w:val="Heading1"/>
    <w:qFormat/>
    <w:rsid w:val="004B3C9C"/>
    <w:pPr>
      <w:tabs>
        <w:tab w:val="num" w:pos="360"/>
        <w:tab w:val="num" w:pos="720"/>
      </w:tabs>
      <w:spacing w:before="600" w:after="600"/>
      <w:jc w:val="center"/>
      <w:textAlignment w:val="top"/>
    </w:pPr>
    <w:rPr>
      <w:rFonts w:ascii="Arial Bold" w:hAnsi="Arial Bold" w:cs="Arial"/>
      <w:caps/>
      <w:kern w:val="0"/>
      <w:szCs w:val="24"/>
      <w:lang w:val="ro-RO"/>
    </w:rPr>
  </w:style>
  <w:style w:type="paragraph" w:customStyle="1" w:styleId="1bullet">
    <w:name w:val="1_bullet"/>
    <w:basedOn w:val="Normal"/>
    <w:qFormat/>
    <w:rsid w:val="004B3C9C"/>
    <w:pPr>
      <w:numPr>
        <w:numId w:val="62"/>
      </w:numPr>
      <w:spacing w:line="276" w:lineRule="auto"/>
      <w:jc w:val="both"/>
    </w:pPr>
    <w:rPr>
      <w:rFonts w:eastAsia="Times New Roman"/>
      <w:lang w:val="ro-RO"/>
    </w:rPr>
  </w:style>
  <w:style w:type="paragraph" w:customStyle="1" w:styleId="1text0">
    <w:name w:val="1_text"/>
    <w:basedOn w:val="Normal"/>
    <w:qFormat/>
    <w:rsid w:val="004B3C9C"/>
    <w:pPr>
      <w:spacing w:before="120" w:after="120" w:line="276" w:lineRule="auto"/>
      <w:ind w:firstLine="709"/>
      <w:jc w:val="both"/>
    </w:pPr>
    <w:rPr>
      <w:rFonts w:eastAsia="Times New Roman"/>
      <w:lang w:val="ro-RO"/>
    </w:rPr>
  </w:style>
  <w:style w:type="paragraph" w:customStyle="1" w:styleId="1textMeto">
    <w:name w:val="1_text_Meto"/>
    <w:basedOn w:val="Normal"/>
    <w:qFormat/>
    <w:rsid w:val="004B3C9C"/>
    <w:pPr>
      <w:spacing w:before="120" w:after="120" w:line="276" w:lineRule="auto"/>
      <w:ind w:firstLine="709"/>
      <w:jc w:val="both"/>
    </w:pPr>
    <w:rPr>
      <w:rFonts w:eastAsia="Calibri" w:cs="Arial"/>
      <w:bCs/>
      <w:szCs w:val="26"/>
      <w:lang w:val="ro-RO" w:eastAsia="ro-RO"/>
    </w:rPr>
  </w:style>
  <w:style w:type="table" w:customStyle="1" w:styleId="TableGrid1">
    <w:name w:val="Table Grid1"/>
    <w:basedOn w:val="TableNormal"/>
    <w:next w:val="TableGrid"/>
    <w:uiPriority w:val="59"/>
    <w:rsid w:val="00CA3E77"/>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B5EFD"/>
  </w:style>
  <w:style w:type="paragraph" w:customStyle="1" w:styleId="CaracterCaracterCharCharCharCharCharChar">
    <w:name w:val="Caracter Caracter Char Char Char Char Char Char"/>
    <w:basedOn w:val="Normal"/>
    <w:rsid w:val="00BB5EFD"/>
    <w:rPr>
      <w:rFonts w:eastAsia="Times New Roman"/>
      <w:lang w:val="pl-PL" w:eastAsia="pl-PL"/>
    </w:rPr>
  </w:style>
  <w:style w:type="paragraph" w:customStyle="1" w:styleId="CharCharCharCharCharCharCharCharCharChar">
    <w:name w:val="Char Char Char Char Char Char Char Char Char Char"/>
    <w:basedOn w:val="Normal"/>
    <w:rsid w:val="00BB5EFD"/>
    <w:rPr>
      <w:rFonts w:eastAsia="Times New Roman"/>
      <w:lang w:val="pl-PL" w:eastAsia="pl-PL"/>
    </w:rPr>
  </w:style>
  <w:style w:type="paragraph" w:customStyle="1" w:styleId="CaracterCaracterCharCharCharChar1CharCharChar1Char">
    <w:name w:val="Caracter Caracter Char Char Char Char1 Char Char Char1 Char"/>
    <w:basedOn w:val="Normal"/>
    <w:rsid w:val="00BB5EFD"/>
    <w:rPr>
      <w:rFonts w:eastAsia="Times New Roman"/>
      <w:lang w:val="pl-PL" w:eastAsia="pl-PL"/>
    </w:rPr>
  </w:style>
  <w:style w:type="character" w:customStyle="1" w:styleId="BodyTextChar1">
    <w:name w:val="Body Text Char1"/>
    <w:aliases w:val="Body Text Char Char Char"/>
    <w:rsid w:val="00BB5EFD"/>
    <w:rPr>
      <w:rFonts w:ascii="Arial" w:eastAsia="Times New Roman" w:hAnsi="Arial" w:cs="Arial"/>
      <w:sz w:val="24"/>
      <w:szCs w:val="24"/>
      <w:lang w:val="fr-FR"/>
    </w:rPr>
  </w:style>
  <w:style w:type="paragraph" w:customStyle="1" w:styleId="H1">
    <w:name w:val="H1"/>
    <w:basedOn w:val="Heading1"/>
    <w:next w:val="Heading1"/>
    <w:link w:val="H1Char"/>
    <w:rsid w:val="00BB5EFD"/>
    <w:pPr>
      <w:keepNext w:val="0"/>
      <w:tabs>
        <w:tab w:val="left" w:pos="567"/>
      </w:tabs>
      <w:spacing w:before="0" w:after="0"/>
      <w:jc w:val="both"/>
    </w:pPr>
    <w:rPr>
      <w:rFonts w:ascii="Arial" w:hAnsi="Arial" w:cs="Arial"/>
      <w:bCs w:val="0"/>
      <w:kern w:val="0"/>
      <w:sz w:val="24"/>
      <w:szCs w:val="24"/>
      <w:lang w:val="ro-RO"/>
    </w:rPr>
  </w:style>
  <w:style w:type="character" w:customStyle="1" w:styleId="H1Char">
    <w:name w:val="H1 Char"/>
    <w:link w:val="H1"/>
    <w:rsid w:val="00BB5EFD"/>
    <w:rPr>
      <w:rFonts w:ascii="Arial" w:hAnsi="Arial" w:cs="Arial"/>
      <w:b/>
      <w:sz w:val="24"/>
      <w:szCs w:val="24"/>
      <w:lang w:val="ro-RO"/>
    </w:rPr>
  </w:style>
  <w:style w:type="paragraph" w:customStyle="1" w:styleId="H2CharCharCharCharChar">
    <w:name w:val="H2 Char Char Char Char Char"/>
    <w:basedOn w:val="Heading2"/>
    <w:link w:val="H2CharCharCharCharCharChar"/>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H2CharCharCharCharCharChar">
    <w:name w:val="H2 Char Char Char Char Char Char"/>
    <w:link w:val="H2CharCharCharCharChar"/>
    <w:rsid w:val="00BB5EFD"/>
    <w:rPr>
      <w:rFonts w:ascii="Arial" w:hAnsi="Arial" w:cs="Arial"/>
      <w:b/>
      <w:i/>
      <w:sz w:val="24"/>
      <w:szCs w:val="24"/>
      <w:lang w:val="ro-RO"/>
    </w:rPr>
  </w:style>
  <w:style w:type="paragraph" w:customStyle="1" w:styleId="H3CharCharCharCharChar">
    <w:name w:val="H3 Char Char Char Char Char"/>
    <w:basedOn w:val="Normal"/>
    <w:next w:val="Heading3"/>
    <w:link w:val="H3CharCharCharCharCharChar"/>
    <w:rsid w:val="00BB5EFD"/>
    <w:pPr>
      <w:tabs>
        <w:tab w:val="left" w:pos="567"/>
      </w:tabs>
    </w:pPr>
    <w:rPr>
      <w:rFonts w:ascii="Arial" w:eastAsia="Times New Roman" w:hAnsi="Arial" w:cs="Arial"/>
      <w:b/>
      <w:i/>
      <w:lang w:val="ro-RO"/>
    </w:rPr>
  </w:style>
  <w:style w:type="character" w:customStyle="1" w:styleId="H3CharCharCharCharCharChar">
    <w:name w:val="H3 Char Char Char Char Char Char"/>
    <w:link w:val="H3CharCharCharCharChar"/>
    <w:rsid w:val="00BB5EFD"/>
    <w:rPr>
      <w:rFonts w:ascii="Arial" w:hAnsi="Arial" w:cs="Arial"/>
      <w:b/>
      <w:i/>
      <w:sz w:val="24"/>
      <w:szCs w:val="24"/>
      <w:lang w:val="ro-RO"/>
    </w:rPr>
  </w:style>
  <w:style w:type="paragraph" w:customStyle="1" w:styleId="CaracterCaracter">
    <w:name w:val="Caracter Caracter"/>
    <w:basedOn w:val="Normal"/>
    <w:qFormat/>
    <w:rsid w:val="00BB5EFD"/>
    <w:rPr>
      <w:rFonts w:eastAsia="Times New Roman"/>
      <w:lang w:val="pl-PL" w:eastAsia="pl-PL"/>
    </w:rPr>
  </w:style>
  <w:style w:type="paragraph" w:styleId="List">
    <w:name w:val="List"/>
    <w:basedOn w:val="Normal"/>
    <w:rsid w:val="00BB5EFD"/>
    <w:pPr>
      <w:ind w:left="360" w:hanging="360"/>
    </w:pPr>
    <w:rPr>
      <w:rFonts w:eastAsia="Times New Roman"/>
      <w:sz w:val="28"/>
      <w:lang w:val="fr-FR"/>
    </w:rPr>
  </w:style>
  <w:style w:type="paragraph" w:styleId="ListBullet">
    <w:name w:val="List Bullet"/>
    <w:basedOn w:val="Normal"/>
    <w:autoRedefine/>
    <w:rsid w:val="00BB5EFD"/>
    <w:pPr>
      <w:tabs>
        <w:tab w:val="num" w:pos="720"/>
      </w:tabs>
      <w:ind w:left="720" w:hanging="360"/>
    </w:pPr>
    <w:rPr>
      <w:rFonts w:eastAsia="Times New Roman"/>
      <w:sz w:val="28"/>
      <w:lang w:val="fr-FR"/>
    </w:rPr>
  </w:style>
  <w:style w:type="paragraph" w:styleId="ListBullet2">
    <w:name w:val="List Bullet 2"/>
    <w:basedOn w:val="Normal"/>
    <w:autoRedefine/>
    <w:rsid w:val="00BB5EFD"/>
    <w:pPr>
      <w:tabs>
        <w:tab w:val="num" w:pos="720"/>
      </w:tabs>
      <w:ind w:left="720" w:hanging="360"/>
    </w:pPr>
    <w:rPr>
      <w:rFonts w:eastAsia="Times New Roman"/>
      <w:sz w:val="28"/>
      <w:lang w:val="fr-FR"/>
    </w:rPr>
  </w:style>
  <w:style w:type="paragraph" w:styleId="ListBullet3">
    <w:name w:val="List Bullet 3"/>
    <w:basedOn w:val="Normal"/>
    <w:autoRedefine/>
    <w:rsid w:val="00BB5EFD"/>
    <w:pPr>
      <w:tabs>
        <w:tab w:val="num" w:pos="1080"/>
      </w:tabs>
      <w:ind w:left="1080" w:hanging="360"/>
    </w:pPr>
    <w:rPr>
      <w:rFonts w:eastAsia="Times New Roman"/>
      <w:sz w:val="28"/>
      <w:lang w:val="fr-FR"/>
    </w:rPr>
  </w:style>
  <w:style w:type="paragraph" w:styleId="ListBullet4">
    <w:name w:val="List Bullet 4"/>
    <w:basedOn w:val="Normal"/>
    <w:autoRedefine/>
    <w:rsid w:val="00BB5EFD"/>
    <w:pPr>
      <w:tabs>
        <w:tab w:val="num" w:pos="1440"/>
      </w:tabs>
      <w:ind w:left="1440" w:hanging="360"/>
    </w:pPr>
    <w:rPr>
      <w:rFonts w:eastAsia="Times New Roman"/>
      <w:sz w:val="28"/>
      <w:lang w:val="fr-FR"/>
    </w:rPr>
  </w:style>
  <w:style w:type="paragraph" w:styleId="ListContinue">
    <w:name w:val="List Continue"/>
    <w:basedOn w:val="Normal"/>
    <w:rsid w:val="00BB5EFD"/>
    <w:pPr>
      <w:spacing w:after="120"/>
      <w:ind w:left="360"/>
    </w:pPr>
    <w:rPr>
      <w:rFonts w:eastAsia="Times New Roman"/>
      <w:sz w:val="28"/>
      <w:lang w:val="fr-FR"/>
    </w:rPr>
  </w:style>
  <w:style w:type="paragraph" w:customStyle="1" w:styleId="H3">
    <w:name w:val="H3"/>
    <w:basedOn w:val="Normal"/>
    <w:next w:val="Heading3"/>
    <w:rsid w:val="00BB5EFD"/>
    <w:pPr>
      <w:tabs>
        <w:tab w:val="left" w:pos="567"/>
      </w:tabs>
    </w:pPr>
    <w:rPr>
      <w:rFonts w:ascii="Arial" w:eastAsia="Times New Roman" w:hAnsi="Arial" w:cs="Arial"/>
      <w:b/>
      <w:i/>
      <w:lang w:val="ro-RO"/>
    </w:rPr>
  </w:style>
  <w:style w:type="paragraph" w:customStyle="1" w:styleId="H4CharCharCharCharChar">
    <w:name w:val="H4 Char Char Char Char Char"/>
    <w:basedOn w:val="Heading4"/>
    <w:next w:val="Heading4"/>
    <w:link w:val="H4CharCharCharCharCharChar"/>
    <w:rsid w:val="00BB5EFD"/>
    <w:pPr>
      <w:keepLines w:val="0"/>
      <w:tabs>
        <w:tab w:val="left" w:pos="567"/>
      </w:tabs>
      <w:spacing w:before="240" w:after="60"/>
    </w:pPr>
    <w:rPr>
      <w:rFonts w:ascii="Arial" w:hAnsi="Arial" w:cs="Arial"/>
      <w:iCs w:val="0"/>
      <w:color w:val="auto"/>
      <w:szCs w:val="28"/>
      <w:lang w:val="ro-RO"/>
    </w:rPr>
  </w:style>
  <w:style w:type="character" w:customStyle="1" w:styleId="H4CharCharCharCharCharChar">
    <w:name w:val="H4 Char Char Char Char Char Char"/>
    <w:link w:val="H4CharCharCharCharChar"/>
    <w:rsid w:val="00BB5EFD"/>
    <w:rPr>
      <w:rFonts w:ascii="Arial" w:hAnsi="Arial" w:cs="Arial"/>
      <w:b/>
      <w:bCs/>
      <w:i/>
      <w:sz w:val="24"/>
      <w:szCs w:val="28"/>
      <w:lang w:val="ro-RO"/>
    </w:rPr>
  </w:style>
  <w:style w:type="paragraph" w:customStyle="1" w:styleId="xl32">
    <w:name w:val="xl32"/>
    <w:basedOn w:val="Normal"/>
    <w:rsid w:val="00BB5EFD"/>
    <w:pPr>
      <w:pBdr>
        <w:left w:val="single" w:sz="6" w:space="0" w:color="auto"/>
        <w:right w:val="single" w:sz="6" w:space="0" w:color="auto"/>
      </w:pBdr>
      <w:overflowPunct w:val="0"/>
      <w:autoSpaceDE w:val="0"/>
      <w:autoSpaceDN w:val="0"/>
      <w:adjustRightInd w:val="0"/>
      <w:spacing w:before="100" w:after="100"/>
      <w:textAlignment w:val="baseline"/>
    </w:pPr>
    <w:rPr>
      <w:rFonts w:eastAsia="Times New Roman"/>
      <w:szCs w:val="20"/>
    </w:rPr>
  </w:style>
  <w:style w:type="paragraph" w:customStyle="1" w:styleId="H3Char">
    <w:name w:val="H3 Char"/>
    <w:basedOn w:val="Normal"/>
    <w:next w:val="Heading3"/>
    <w:rsid w:val="00BB5EFD"/>
    <w:pPr>
      <w:tabs>
        <w:tab w:val="left" w:pos="567"/>
      </w:tabs>
    </w:pPr>
    <w:rPr>
      <w:rFonts w:ascii="Arial" w:eastAsia="Times New Roman" w:hAnsi="Arial" w:cs="Arial"/>
      <w:b/>
      <w:i/>
      <w:lang w:val="ro-RO"/>
    </w:rPr>
  </w:style>
  <w:style w:type="paragraph" w:customStyle="1" w:styleId="xl24">
    <w:name w:val="xl24"/>
    <w:basedOn w:val="Normal"/>
    <w:rsid w:val="00BB5EFD"/>
    <w:pPr>
      <w:spacing w:before="100" w:beforeAutospacing="1" w:after="100" w:afterAutospacing="1"/>
      <w:textAlignment w:val="top"/>
    </w:pPr>
    <w:rPr>
      <w:rFonts w:ascii="Arial" w:eastAsia="Arial Unicode MS" w:hAnsi="Arial" w:cs="Arial"/>
      <w:sz w:val="16"/>
      <w:szCs w:val="16"/>
    </w:rPr>
  </w:style>
  <w:style w:type="paragraph" w:customStyle="1" w:styleId="raspuns">
    <w:name w:val="raspuns"/>
    <w:basedOn w:val="Normal"/>
    <w:rsid w:val="00BB5EFD"/>
    <w:pPr>
      <w:pBdr>
        <w:bottom w:val="single" w:sz="12" w:space="11" w:color="B7C0AD"/>
      </w:pBdr>
      <w:spacing w:before="100" w:beforeAutospacing="1" w:after="100" w:afterAutospacing="1"/>
      <w:jc w:val="both"/>
    </w:pPr>
    <w:rPr>
      <w:rFonts w:ascii="Arial Unicode MS" w:eastAsia="Arial Unicode MS" w:hAnsi="Arial Unicode MS" w:cs="Arial Unicode MS"/>
    </w:rPr>
  </w:style>
  <w:style w:type="paragraph" w:customStyle="1" w:styleId="H4Char">
    <w:name w:val="H4 Char"/>
    <w:basedOn w:val="Heading4"/>
    <w:next w:val="Heading4"/>
    <w:rsid w:val="00BB5EFD"/>
    <w:pPr>
      <w:keepLines w:val="0"/>
      <w:tabs>
        <w:tab w:val="left" w:pos="567"/>
      </w:tabs>
      <w:spacing w:before="240" w:after="60"/>
    </w:pPr>
    <w:rPr>
      <w:rFonts w:ascii="Arial" w:hAnsi="Arial" w:cs="Arial"/>
      <w:iCs w:val="0"/>
      <w:color w:val="auto"/>
      <w:szCs w:val="28"/>
      <w:lang w:val="ro-RO"/>
    </w:rPr>
  </w:style>
  <w:style w:type="paragraph" w:customStyle="1" w:styleId="xl41">
    <w:name w:val="xl41"/>
    <w:basedOn w:val="Normal"/>
    <w:rsid w:val="00BB5EFD"/>
    <w:pPr>
      <w:pBdr>
        <w:left w:val="single" w:sz="6" w:space="0" w:color="auto"/>
        <w:bottom w:val="single" w:sz="6" w:space="0" w:color="auto"/>
      </w:pBdr>
      <w:overflowPunct w:val="0"/>
      <w:autoSpaceDE w:val="0"/>
      <w:autoSpaceDN w:val="0"/>
      <w:adjustRightInd w:val="0"/>
      <w:spacing w:before="100" w:after="100"/>
      <w:jc w:val="center"/>
      <w:textAlignment w:val="baseline"/>
    </w:pPr>
    <w:rPr>
      <w:rFonts w:eastAsia="Times New Roman"/>
      <w:szCs w:val="20"/>
      <w:lang w:val="ro-RO" w:eastAsia="ro-RO"/>
    </w:rPr>
  </w:style>
  <w:style w:type="paragraph" w:customStyle="1" w:styleId="NormalWeb3">
    <w:name w:val="Normal (Web)3"/>
    <w:basedOn w:val="Normal"/>
    <w:rsid w:val="00BB5EFD"/>
    <w:pPr>
      <w:spacing w:before="100" w:beforeAutospacing="1" w:after="100" w:afterAutospacing="1"/>
      <w:jc w:val="both"/>
    </w:pPr>
    <w:rPr>
      <w:rFonts w:ascii="Verdana" w:eastAsia="Times New Roman" w:hAnsi="Verdana"/>
      <w:sz w:val="18"/>
      <w:szCs w:val="18"/>
      <w:lang w:val="en-US"/>
    </w:rPr>
  </w:style>
  <w:style w:type="paragraph" w:styleId="EnvelopeReturn">
    <w:name w:val="envelope return"/>
    <w:basedOn w:val="Normal"/>
    <w:rsid w:val="00BB5EFD"/>
    <w:pPr>
      <w:spacing w:before="100" w:beforeAutospacing="1"/>
    </w:pPr>
    <w:rPr>
      <w:rFonts w:ascii="Avalon" w:eastAsia="Times New Roman" w:hAnsi="Avalon"/>
      <w:szCs w:val="20"/>
      <w:lang w:val="de-DE"/>
    </w:rPr>
  </w:style>
  <w:style w:type="paragraph" w:customStyle="1" w:styleId="Tabelleninhalt">
    <w:name w:val="Tabelleninhalt"/>
    <w:basedOn w:val="Normal"/>
    <w:rsid w:val="00BB5EFD"/>
    <w:pPr>
      <w:widowControl w:val="0"/>
      <w:spacing w:after="40"/>
    </w:pPr>
    <w:rPr>
      <w:rFonts w:ascii="Arial" w:eastAsia="Times New Roman" w:hAnsi="Arial" w:cs="Arial"/>
      <w:sz w:val="22"/>
      <w:szCs w:val="22"/>
      <w:lang w:eastAsia="de-DE"/>
    </w:rPr>
  </w:style>
  <w:style w:type="paragraph" w:customStyle="1" w:styleId="NormalArial">
    <w:name w:val="Normal + Arial"/>
    <w:aliases w:val="Bold,Centered,Justified"/>
    <w:basedOn w:val="Normal"/>
    <w:rsid w:val="00BB5EFD"/>
    <w:pPr>
      <w:jc w:val="center"/>
    </w:pPr>
    <w:rPr>
      <w:rFonts w:ascii="Arial" w:eastAsia="Times New Roman" w:hAnsi="Arial" w:cs="Arial"/>
      <w:b/>
      <w:bCs/>
      <w:lang w:val="en-US"/>
    </w:rPr>
  </w:style>
  <w:style w:type="paragraph" w:customStyle="1" w:styleId="H2">
    <w:name w:val="H2"/>
    <w:basedOn w:val="Heading2"/>
    <w:link w:val="H2Char"/>
    <w:rsid w:val="00BB5EFD"/>
    <w:pPr>
      <w:tabs>
        <w:tab w:val="left" w:pos="567"/>
      </w:tabs>
      <w:spacing w:before="0" w:beforeAutospacing="0" w:after="0" w:afterAutospacing="0"/>
    </w:pPr>
    <w:rPr>
      <w:rFonts w:ascii="Arial" w:hAnsi="Arial"/>
      <w:bCs w:val="0"/>
      <w:i/>
      <w:sz w:val="24"/>
      <w:szCs w:val="24"/>
      <w:lang w:eastAsia="x-none"/>
    </w:rPr>
  </w:style>
  <w:style w:type="character" w:customStyle="1" w:styleId="H2Char">
    <w:name w:val="H2 Char"/>
    <w:link w:val="H2"/>
    <w:rsid w:val="00BB5EFD"/>
    <w:rPr>
      <w:rFonts w:ascii="Arial" w:hAnsi="Arial"/>
      <w:b/>
      <w:i/>
      <w:sz w:val="24"/>
      <w:szCs w:val="24"/>
      <w:lang w:val="ro-RO" w:eastAsia="x-none"/>
    </w:rPr>
  </w:style>
  <w:style w:type="paragraph" w:styleId="List3">
    <w:name w:val="List 3"/>
    <w:basedOn w:val="Normal"/>
    <w:rsid w:val="00BB5EFD"/>
    <w:pPr>
      <w:ind w:left="849" w:hanging="283"/>
    </w:pPr>
    <w:rPr>
      <w:rFonts w:eastAsia="Times New Roman"/>
      <w:lang w:val="en-US"/>
    </w:rPr>
  </w:style>
  <w:style w:type="paragraph" w:customStyle="1" w:styleId="text">
    <w:name w:val="text"/>
    <w:basedOn w:val="Normal"/>
    <w:rsid w:val="00BB5EFD"/>
    <w:pPr>
      <w:spacing w:before="100" w:beforeAutospacing="1" w:after="100" w:afterAutospacing="1"/>
    </w:pPr>
    <w:rPr>
      <w:rFonts w:eastAsia="Times New Roman"/>
      <w:lang w:val="ro-RO" w:eastAsia="ro-RO"/>
    </w:rPr>
  </w:style>
  <w:style w:type="paragraph" w:customStyle="1" w:styleId="Textdetabel">
    <w:name w:val="Text de tabel"/>
    <w:basedOn w:val="Normal"/>
    <w:rsid w:val="00BB5EFD"/>
    <w:pPr>
      <w:jc w:val="both"/>
    </w:pPr>
    <w:rPr>
      <w:rFonts w:eastAsia="Times New Roman"/>
      <w:sz w:val="20"/>
      <w:szCs w:val="20"/>
      <w:lang w:val="ro-RO"/>
    </w:rPr>
  </w:style>
  <w:style w:type="paragraph" w:customStyle="1" w:styleId="CharCharCharCharCharChar1">
    <w:name w:val="Char Char Char Char Char Char1"/>
    <w:basedOn w:val="Normal"/>
    <w:rsid w:val="00BB5EFD"/>
    <w:rPr>
      <w:rFonts w:eastAsia="Times New Roman"/>
      <w:lang w:val="pl-PL" w:eastAsia="pl-PL"/>
    </w:rPr>
  </w:style>
  <w:style w:type="paragraph" w:customStyle="1" w:styleId="BodyText21">
    <w:name w:val="Body Text 21"/>
    <w:basedOn w:val="Normal"/>
    <w:rsid w:val="00BB5EFD"/>
    <w:pPr>
      <w:overflowPunct w:val="0"/>
      <w:autoSpaceDE w:val="0"/>
      <w:autoSpaceDN w:val="0"/>
      <w:adjustRightInd w:val="0"/>
      <w:spacing w:before="120" w:after="120"/>
      <w:ind w:firstLine="720"/>
      <w:jc w:val="both"/>
      <w:textAlignment w:val="baseline"/>
    </w:pPr>
    <w:rPr>
      <w:rFonts w:ascii="Arial" w:eastAsia="Times New Roman" w:hAnsi="Arial"/>
      <w:szCs w:val="20"/>
    </w:rPr>
  </w:style>
  <w:style w:type="paragraph" w:customStyle="1" w:styleId="CharCharCaracterCaracter">
    <w:name w:val="Char Char Caracter Caracter"/>
    <w:basedOn w:val="Normal"/>
    <w:rsid w:val="00BB5EFD"/>
    <w:rPr>
      <w:rFonts w:eastAsia="Times New Roman"/>
      <w:lang w:val="pl-PL" w:eastAsia="pl-PL"/>
    </w:rPr>
  </w:style>
  <w:style w:type="paragraph" w:customStyle="1" w:styleId="CaracterCaracterCharCharCharChar">
    <w:name w:val="Caracter Caracter Char Char Char Char"/>
    <w:basedOn w:val="Normal"/>
    <w:rsid w:val="00BB5EFD"/>
    <w:rPr>
      <w:rFonts w:eastAsia="Times New Roman"/>
      <w:lang w:val="pl-PL" w:eastAsia="pl-PL"/>
    </w:rPr>
  </w:style>
  <w:style w:type="paragraph" w:customStyle="1" w:styleId="H3CharChar">
    <w:name w:val="H3 Char Char"/>
    <w:basedOn w:val="Normal"/>
    <w:next w:val="Heading3"/>
    <w:link w:val="H3CharCharChar"/>
    <w:rsid w:val="00BB5EFD"/>
    <w:pPr>
      <w:tabs>
        <w:tab w:val="left" w:pos="567"/>
      </w:tabs>
    </w:pPr>
    <w:rPr>
      <w:rFonts w:ascii="Arial" w:eastAsia="Times New Roman" w:hAnsi="Arial" w:cs="Arial"/>
      <w:b/>
      <w:i/>
      <w:lang w:val="ro-RO"/>
    </w:rPr>
  </w:style>
  <w:style w:type="character" w:customStyle="1" w:styleId="H3CharCharChar">
    <w:name w:val="H3 Char Char Char"/>
    <w:link w:val="H3CharChar"/>
    <w:rsid w:val="00BB5EFD"/>
    <w:rPr>
      <w:rFonts w:ascii="Arial" w:hAnsi="Arial" w:cs="Arial"/>
      <w:b/>
      <w:i/>
      <w:sz w:val="24"/>
      <w:szCs w:val="24"/>
      <w:lang w:val="ro-RO"/>
    </w:rPr>
  </w:style>
  <w:style w:type="table" w:styleId="TableGrid10">
    <w:name w:val="Table Grid 1"/>
    <w:basedOn w:val="TableNormal"/>
    <w:rsid w:val="00BB5EF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H2CharChar">
    <w:name w:val="H2 Char Char"/>
    <w:basedOn w:val="Heading2"/>
    <w:link w:val="H2CharCharChar"/>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H2CharCharChar">
    <w:name w:val="H2 Char Char Char"/>
    <w:link w:val="H2CharChar"/>
    <w:rsid w:val="00BB5EFD"/>
    <w:rPr>
      <w:rFonts w:ascii="Arial" w:hAnsi="Arial" w:cs="Arial"/>
      <w:b/>
      <w:i/>
      <w:sz w:val="24"/>
      <w:szCs w:val="24"/>
      <w:lang w:val="ro-RO"/>
    </w:rPr>
  </w:style>
  <w:style w:type="paragraph" w:customStyle="1" w:styleId="H4CharChar">
    <w:name w:val="H4 Char Char"/>
    <w:basedOn w:val="Heading4"/>
    <w:next w:val="Heading4"/>
    <w:link w:val="H4CharCharChar"/>
    <w:rsid w:val="00BB5EFD"/>
    <w:pPr>
      <w:keepLines w:val="0"/>
      <w:tabs>
        <w:tab w:val="left" w:pos="567"/>
      </w:tabs>
      <w:spacing w:before="240" w:after="60"/>
    </w:pPr>
    <w:rPr>
      <w:rFonts w:ascii="Arial" w:hAnsi="Arial" w:cs="Arial"/>
      <w:iCs w:val="0"/>
      <w:color w:val="auto"/>
      <w:szCs w:val="28"/>
      <w:lang w:val="ro-RO"/>
    </w:rPr>
  </w:style>
  <w:style w:type="character" w:customStyle="1" w:styleId="H4CharCharChar">
    <w:name w:val="H4 Char Char Char"/>
    <w:link w:val="H4CharChar"/>
    <w:rsid w:val="00BB5EFD"/>
    <w:rPr>
      <w:rFonts w:ascii="Arial" w:hAnsi="Arial" w:cs="Arial"/>
      <w:b/>
      <w:bCs/>
      <w:i/>
      <w:sz w:val="24"/>
      <w:szCs w:val="28"/>
      <w:lang w:val="ro-RO"/>
    </w:rPr>
  </w:style>
  <w:style w:type="paragraph" w:customStyle="1" w:styleId="CharCharChar1">
    <w:name w:val="Char Char Char1"/>
    <w:basedOn w:val="Normal"/>
    <w:rsid w:val="00BB5EFD"/>
    <w:rPr>
      <w:rFonts w:eastAsia="Times New Roman"/>
      <w:lang w:val="pl-PL" w:eastAsia="pl-PL"/>
    </w:rPr>
  </w:style>
  <w:style w:type="paragraph" w:customStyle="1" w:styleId="H2CharCharCharChar">
    <w:name w:val="H2 Char Char Char Char"/>
    <w:basedOn w:val="Heading2"/>
    <w:link w:val="H2CharCharCharCharChar1"/>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H2CharCharCharCharChar1">
    <w:name w:val="H2 Char Char Char Char Char1"/>
    <w:link w:val="H2CharCharCharChar"/>
    <w:rsid w:val="00BB5EFD"/>
    <w:rPr>
      <w:rFonts w:ascii="Arial" w:hAnsi="Arial" w:cs="Arial"/>
      <w:b/>
      <w:i/>
      <w:sz w:val="24"/>
      <w:szCs w:val="24"/>
      <w:lang w:val="ro-RO"/>
    </w:rPr>
  </w:style>
  <w:style w:type="paragraph" w:customStyle="1" w:styleId="Titlu1">
    <w:name w:val="Titlu1"/>
    <w:basedOn w:val="Normal"/>
    <w:next w:val="BodyText"/>
    <w:rsid w:val="00BB5EFD"/>
    <w:pPr>
      <w:keepNext/>
      <w:suppressAutoHyphens/>
      <w:spacing w:before="240" w:after="120"/>
    </w:pPr>
    <w:rPr>
      <w:rFonts w:ascii="Arial" w:eastAsia="MS Mincho" w:hAnsi="Arial" w:cs="Tahoma"/>
      <w:sz w:val="28"/>
      <w:szCs w:val="28"/>
      <w:lang w:val="en-US" w:eastAsia="ar-SA"/>
    </w:rPr>
  </w:style>
  <w:style w:type="paragraph" w:customStyle="1" w:styleId="Subtitrare">
    <w:name w:val="Subtitrare"/>
    <w:basedOn w:val="Normal"/>
    <w:rsid w:val="00BB5EFD"/>
    <w:pPr>
      <w:suppressLineNumbers/>
      <w:suppressAutoHyphens/>
      <w:spacing w:before="120" w:after="120"/>
    </w:pPr>
    <w:rPr>
      <w:rFonts w:eastAsia="Times New Roman" w:cs="Tahoma"/>
      <w:i/>
      <w:iCs/>
      <w:lang w:val="en-US" w:eastAsia="ar-SA"/>
    </w:rPr>
  </w:style>
  <w:style w:type="paragraph" w:customStyle="1" w:styleId="Index">
    <w:name w:val="Index"/>
    <w:basedOn w:val="Normal"/>
    <w:rsid w:val="00BB5EFD"/>
    <w:pPr>
      <w:suppressLineNumbers/>
      <w:suppressAutoHyphens/>
    </w:pPr>
    <w:rPr>
      <w:rFonts w:eastAsia="Times New Roman" w:cs="Tahoma"/>
      <w:lang w:val="en-US" w:eastAsia="ar-SA"/>
    </w:rPr>
  </w:style>
  <w:style w:type="paragraph" w:customStyle="1" w:styleId="font5">
    <w:name w:val="font5"/>
    <w:basedOn w:val="Normal"/>
    <w:rsid w:val="00BB5EFD"/>
    <w:pPr>
      <w:suppressAutoHyphens/>
      <w:spacing w:before="280" w:after="280"/>
    </w:pPr>
    <w:rPr>
      <w:rFonts w:ascii="Tahoma" w:eastAsia="Arial Unicode MS" w:hAnsi="Tahoma" w:cs="Tahoma"/>
      <w:color w:val="000000"/>
      <w:sz w:val="16"/>
      <w:szCs w:val="16"/>
      <w:lang w:eastAsia="ar-SA"/>
    </w:rPr>
  </w:style>
  <w:style w:type="paragraph" w:customStyle="1" w:styleId="font6">
    <w:name w:val="font6"/>
    <w:basedOn w:val="Normal"/>
    <w:rsid w:val="00BB5EFD"/>
    <w:pPr>
      <w:suppressAutoHyphens/>
      <w:spacing w:before="280" w:after="280"/>
    </w:pPr>
    <w:rPr>
      <w:rFonts w:ascii="Tahoma" w:eastAsia="Arial Unicode MS" w:hAnsi="Tahoma" w:cs="Tahoma"/>
      <w:b/>
      <w:bCs/>
      <w:color w:val="000000"/>
      <w:sz w:val="16"/>
      <w:szCs w:val="16"/>
      <w:lang w:eastAsia="ar-SA"/>
    </w:rPr>
  </w:style>
  <w:style w:type="paragraph" w:customStyle="1" w:styleId="xl25">
    <w:name w:val="xl25"/>
    <w:basedOn w:val="Normal"/>
    <w:rsid w:val="00BB5EFD"/>
    <w:pPr>
      <w:suppressAutoHyphens/>
      <w:spacing w:before="280" w:after="280"/>
    </w:pPr>
    <w:rPr>
      <w:rFonts w:ascii="Arial" w:eastAsia="Arial Unicode MS" w:hAnsi="Arial" w:cs="Arial"/>
      <w:sz w:val="16"/>
      <w:szCs w:val="16"/>
      <w:lang w:eastAsia="ar-SA"/>
    </w:rPr>
  </w:style>
  <w:style w:type="paragraph" w:customStyle="1" w:styleId="Coninuttabel">
    <w:name w:val="Conținut tabel"/>
    <w:basedOn w:val="Normal"/>
    <w:rsid w:val="00BB5EFD"/>
    <w:pPr>
      <w:suppressLineNumbers/>
      <w:suppressAutoHyphens/>
    </w:pPr>
    <w:rPr>
      <w:rFonts w:eastAsia="Times New Roman"/>
      <w:lang w:val="en-US" w:eastAsia="ar-SA"/>
    </w:rPr>
  </w:style>
  <w:style w:type="paragraph" w:customStyle="1" w:styleId="Titludetabel">
    <w:name w:val="Titlu de tabel"/>
    <w:basedOn w:val="Coninuttabel"/>
    <w:rsid w:val="00BB5EFD"/>
    <w:pPr>
      <w:jc w:val="center"/>
    </w:pPr>
    <w:rPr>
      <w:b/>
      <w:bCs/>
    </w:rPr>
  </w:style>
  <w:style w:type="paragraph" w:customStyle="1" w:styleId="Cuprinscadru">
    <w:name w:val="Cuprins cadru"/>
    <w:basedOn w:val="BodyText"/>
    <w:rsid w:val="00BB5EFD"/>
    <w:pPr>
      <w:suppressAutoHyphens/>
    </w:pPr>
    <w:rPr>
      <w:lang w:eastAsia="ar-SA"/>
    </w:rPr>
  </w:style>
  <w:style w:type="paragraph" w:customStyle="1" w:styleId="char0">
    <w:name w:val="char"/>
    <w:basedOn w:val="Normal"/>
    <w:rsid w:val="00BB5EFD"/>
    <w:rPr>
      <w:rFonts w:eastAsia="Times New Roman"/>
      <w:lang w:val="en-US"/>
    </w:rPr>
  </w:style>
  <w:style w:type="paragraph" w:customStyle="1" w:styleId="CaracterCaracterCharCaracterCaracter">
    <w:name w:val="Caracter Caracter Char Caracter Caracter"/>
    <w:basedOn w:val="Normal"/>
    <w:rsid w:val="00BB5EFD"/>
    <w:rPr>
      <w:rFonts w:eastAsia="Times New Roman"/>
      <w:lang w:val="pl-PL" w:eastAsia="pl-PL"/>
    </w:rPr>
  </w:style>
  <w:style w:type="paragraph" w:customStyle="1" w:styleId="CharCharChar">
    <w:name w:val="Char Char Char"/>
    <w:basedOn w:val="Normal"/>
    <w:rsid w:val="00BB5EFD"/>
    <w:rPr>
      <w:rFonts w:eastAsia="Times New Roman"/>
      <w:lang w:val="pl-PL" w:eastAsia="pl-PL"/>
    </w:rPr>
  </w:style>
  <w:style w:type="paragraph" w:customStyle="1" w:styleId="CompanyName">
    <w:name w:val="Company Name"/>
    <w:basedOn w:val="Normal"/>
    <w:rsid w:val="00BB5EFD"/>
    <w:pPr>
      <w:keepNext/>
      <w:keepLines/>
      <w:spacing w:line="220" w:lineRule="atLeast"/>
    </w:pPr>
    <w:rPr>
      <w:rFonts w:ascii="Arial Black" w:eastAsia="Times New Roman" w:hAnsi="Arial Black"/>
      <w:spacing w:val="-25"/>
      <w:kern w:val="28"/>
      <w:sz w:val="32"/>
      <w:szCs w:val="20"/>
      <w:lang w:val="en-US"/>
    </w:rPr>
  </w:style>
  <w:style w:type="paragraph" w:customStyle="1" w:styleId="CaracterCaracterCharCharCaracterCaracterCharChar">
    <w:name w:val="Caracter Caracter Char Char Caracter Caracter Char Char"/>
    <w:basedOn w:val="Normal"/>
    <w:rsid w:val="00BB5EFD"/>
    <w:rPr>
      <w:rFonts w:eastAsia="Times New Roman"/>
      <w:lang w:val="pl-PL" w:eastAsia="pl-PL"/>
    </w:rPr>
  </w:style>
  <w:style w:type="paragraph" w:customStyle="1" w:styleId="Heading22">
    <w:name w:val="Heading 22"/>
    <w:basedOn w:val="Normal"/>
    <w:rsid w:val="00BB5EFD"/>
    <w:pPr>
      <w:spacing w:before="100" w:beforeAutospacing="1" w:after="100" w:afterAutospacing="1"/>
      <w:outlineLvl w:val="2"/>
    </w:pPr>
    <w:rPr>
      <w:rFonts w:ascii="Georgia" w:eastAsia="Times New Roman" w:hAnsi="Georgia"/>
      <w:b/>
      <w:bCs/>
      <w:color w:val="479127"/>
      <w:sz w:val="27"/>
      <w:szCs w:val="27"/>
      <w:lang w:val="ro-RO" w:eastAsia="ro-RO"/>
    </w:rPr>
  </w:style>
  <w:style w:type="paragraph" w:customStyle="1" w:styleId="CharChar1CaracterCaracterCharCharCaracterCaracterCharCharCaracterCaracter">
    <w:name w:val="Char Char1 Caracter Caracter Char Char Caracter Caracter Char Char Caracter Caracter"/>
    <w:basedOn w:val="Normal"/>
    <w:rsid w:val="00BB5EFD"/>
    <w:rPr>
      <w:rFonts w:eastAsia="Times New Roman"/>
      <w:lang w:val="pl-PL" w:eastAsia="pl-PL"/>
    </w:rPr>
  </w:style>
  <w:style w:type="paragraph" w:customStyle="1" w:styleId="1">
    <w:name w:val="1"/>
    <w:basedOn w:val="Normal"/>
    <w:rsid w:val="00BB5EFD"/>
    <w:rPr>
      <w:rFonts w:eastAsia="Times New Roman"/>
      <w:lang w:val="pl-PL" w:eastAsia="pl-PL"/>
    </w:rPr>
  </w:style>
  <w:style w:type="paragraph" w:customStyle="1" w:styleId="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w:basedOn w:val="Normal"/>
    <w:rsid w:val="00BB5EFD"/>
    <w:rPr>
      <w:rFonts w:eastAsia="Times New Roman"/>
      <w:lang w:val="pl-PL" w:eastAsia="pl-PL"/>
    </w:rPr>
  </w:style>
  <w:style w:type="paragraph" w:customStyle="1" w:styleId="CaracterCaracterChar">
    <w:name w:val="Caracter Caracter Char"/>
    <w:basedOn w:val="Normal"/>
    <w:rsid w:val="00BB5EFD"/>
    <w:rPr>
      <w:rFonts w:eastAsia="Times New Roman"/>
      <w:lang w:val="pl-PL" w:eastAsia="pl-PL"/>
    </w:rPr>
  </w:style>
  <w:style w:type="paragraph" w:styleId="TOC1">
    <w:name w:val="toc 1"/>
    <w:basedOn w:val="Normal"/>
    <w:next w:val="Normal"/>
    <w:autoRedefine/>
    <w:uiPriority w:val="39"/>
    <w:qFormat/>
    <w:locked/>
    <w:rsid w:val="003A1F6D"/>
    <w:pPr>
      <w:tabs>
        <w:tab w:val="right" w:leader="dot" w:pos="9060"/>
      </w:tabs>
    </w:pPr>
    <w:rPr>
      <w:rFonts w:ascii="Arial" w:eastAsia="Times New Roman" w:hAnsi="Arial" w:cs="Arial"/>
      <w:bCs/>
      <w:noProof/>
      <w:kern w:val="32"/>
      <w:lang w:val="pt-BR"/>
    </w:rPr>
  </w:style>
  <w:style w:type="paragraph" w:styleId="TOC2">
    <w:name w:val="toc 2"/>
    <w:basedOn w:val="Normal"/>
    <w:next w:val="Normal"/>
    <w:autoRedefine/>
    <w:uiPriority w:val="39"/>
    <w:qFormat/>
    <w:locked/>
    <w:rsid w:val="00BB5EFD"/>
    <w:pPr>
      <w:ind w:left="240"/>
    </w:pPr>
    <w:rPr>
      <w:rFonts w:eastAsia="Times New Roman"/>
      <w:lang w:val="en-US"/>
    </w:rPr>
  </w:style>
  <w:style w:type="paragraph" w:styleId="TOC3">
    <w:name w:val="toc 3"/>
    <w:basedOn w:val="Normal"/>
    <w:next w:val="Normal"/>
    <w:autoRedefine/>
    <w:uiPriority w:val="39"/>
    <w:locked/>
    <w:rsid w:val="00BB5EFD"/>
    <w:pPr>
      <w:ind w:left="480"/>
    </w:pPr>
    <w:rPr>
      <w:rFonts w:eastAsia="Times New Roman"/>
      <w:lang w:val="en-US"/>
    </w:rPr>
  </w:style>
  <w:style w:type="paragraph" w:customStyle="1" w:styleId="CaracterCaracterCharCharCharChar1CharCharChar">
    <w:name w:val="Caracter Caracter Char Char Char Char1 Char Char Char"/>
    <w:basedOn w:val="Normal"/>
    <w:rsid w:val="00BB5EFD"/>
    <w:rPr>
      <w:rFonts w:eastAsia="Times New Roman"/>
      <w:lang w:val="pl-PL" w:eastAsia="pl-PL"/>
    </w:rPr>
  </w:style>
  <w:style w:type="paragraph" w:customStyle="1" w:styleId="CharCharCharCharCharCharCharCharChar">
    <w:name w:val="Char Char Char Char Char Char Char Char Char"/>
    <w:basedOn w:val="Normal"/>
    <w:rsid w:val="00BB5EFD"/>
    <w:rPr>
      <w:rFonts w:eastAsia="Times New Roman"/>
      <w:lang w:val="pl-PL" w:eastAsia="pl-PL"/>
    </w:rPr>
  </w:style>
  <w:style w:type="paragraph" w:customStyle="1" w:styleId="CaracterCaracterCharCaracterCaracterChar">
    <w:name w:val="Caracter Caracter Char Caracter Caracter Char"/>
    <w:basedOn w:val="Normal"/>
    <w:rsid w:val="00BB5EFD"/>
    <w:rPr>
      <w:rFonts w:eastAsia="Times New Roman"/>
      <w:lang w:val="pl-PL" w:eastAsia="pl-PL"/>
    </w:rPr>
  </w:style>
  <w:style w:type="paragraph" w:customStyle="1" w:styleId="CaracterCaracterCharCharCharChar1">
    <w:name w:val="Caracter Caracter Char Char Char Char1"/>
    <w:basedOn w:val="Normal"/>
    <w:rsid w:val="00BB5EFD"/>
    <w:rPr>
      <w:rFonts w:eastAsia="Times New Roman"/>
      <w:lang w:val="pl-PL" w:eastAsia="pl-PL"/>
    </w:rPr>
  </w:style>
  <w:style w:type="paragraph" w:customStyle="1" w:styleId="CaracterCaracterCharCharCharChar1CharCharChar1CharCharCharChar">
    <w:name w:val="Caracter Caracter Char Char Char Char1 Char Char Char1 Char Char Char Char"/>
    <w:basedOn w:val="Normal"/>
    <w:rsid w:val="00BB5EFD"/>
    <w:rPr>
      <w:rFonts w:eastAsia="Times New Roman"/>
      <w:lang w:val="pl-PL" w:eastAsia="pl-PL"/>
    </w:rPr>
  </w:style>
  <w:style w:type="paragraph" w:customStyle="1" w:styleId="CaracterCaracterCharChar">
    <w:name w:val="Caracter Caracter Char Char"/>
    <w:basedOn w:val="Normal"/>
    <w:rsid w:val="00BB5EFD"/>
    <w:rPr>
      <w:rFonts w:eastAsia="Times New Roman"/>
      <w:lang w:val="pl-PL" w:eastAsia="pl-PL"/>
    </w:rPr>
  </w:style>
  <w:style w:type="paragraph" w:customStyle="1" w:styleId="AAAA">
    <w:name w:val="AAAA"/>
    <w:basedOn w:val="Normal"/>
    <w:rsid w:val="00BB5EFD"/>
    <w:pPr>
      <w:widowControl w:val="0"/>
      <w:numPr>
        <w:ilvl w:val="12"/>
      </w:numPr>
      <w:spacing w:before="240" w:after="200" w:line="276" w:lineRule="auto"/>
      <w:ind w:left="1080"/>
      <w:jc w:val="both"/>
    </w:pPr>
    <w:rPr>
      <w:rFonts w:ascii="Calibri" w:eastAsia="Times New Roman" w:hAnsi="Calibri"/>
      <w:sz w:val="23"/>
      <w:szCs w:val="22"/>
      <w:lang w:val="ro-RO" w:bidi="en-US"/>
    </w:rPr>
  </w:style>
  <w:style w:type="character" w:customStyle="1" w:styleId="st">
    <w:name w:val="st"/>
    <w:basedOn w:val="DefaultParagraphFont"/>
    <w:rsid w:val="00BB5EFD"/>
  </w:style>
  <w:style w:type="table" w:styleId="TableGrid4">
    <w:name w:val="Table Grid 4"/>
    <w:basedOn w:val="TableNormal"/>
    <w:rsid w:val="00BB5EFD"/>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paragraph" w:customStyle="1" w:styleId="CaracterCaracterCharCharCharChar1Char">
    <w:name w:val="Caracter Caracter Char Char Char Char1 Char"/>
    <w:basedOn w:val="Normal"/>
    <w:rsid w:val="00BB5EFD"/>
    <w:rPr>
      <w:rFonts w:eastAsia="Times New Roman"/>
      <w:lang w:val="pl-PL" w:eastAsia="pl-PL"/>
    </w:rPr>
  </w:style>
  <w:style w:type="paragraph" w:styleId="TOC4">
    <w:name w:val="toc 4"/>
    <w:basedOn w:val="Normal"/>
    <w:next w:val="Normal"/>
    <w:autoRedefine/>
    <w:uiPriority w:val="39"/>
    <w:locked/>
    <w:rsid w:val="00BB5EFD"/>
    <w:pPr>
      <w:ind w:left="720"/>
    </w:pPr>
    <w:rPr>
      <w:rFonts w:eastAsia="Times New Roman"/>
      <w:lang w:val="ro-RO" w:eastAsia="ro-RO"/>
    </w:rPr>
  </w:style>
  <w:style w:type="paragraph" w:styleId="TOC5">
    <w:name w:val="toc 5"/>
    <w:basedOn w:val="Normal"/>
    <w:next w:val="Normal"/>
    <w:autoRedefine/>
    <w:uiPriority w:val="39"/>
    <w:locked/>
    <w:rsid w:val="00BB5EFD"/>
    <w:pPr>
      <w:ind w:left="960"/>
    </w:pPr>
    <w:rPr>
      <w:rFonts w:eastAsia="Times New Roman"/>
      <w:lang w:val="ro-RO" w:eastAsia="ro-RO"/>
    </w:rPr>
  </w:style>
  <w:style w:type="paragraph" w:styleId="TOC6">
    <w:name w:val="toc 6"/>
    <w:basedOn w:val="Normal"/>
    <w:next w:val="Normal"/>
    <w:autoRedefine/>
    <w:uiPriority w:val="39"/>
    <w:locked/>
    <w:rsid w:val="00BB5EFD"/>
    <w:pPr>
      <w:ind w:left="1200"/>
    </w:pPr>
    <w:rPr>
      <w:rFonts w:eastAsia="Times New Roman"/>
      <w:lang w:val="ro-RO" w:eastAsia="ro-RO"/>
    </w:rPr>
  </w:style>
  <w:style w:type="paragraph" w:styleId="TOC7">
    <w:name w:val="toc 7"/>
    <w:basedOn w:val="Normal"/>
    <w:next w:val="Normal"/>
    <w:autoRedefine/>
    <w:uiPriority w:val="39"/>
    <w:locked/>
    <w:rsid w:val="00BB5EFD"/>
    <w:pPr>
      <w:ind w:left="1440"/>
    </w:pPr>
    <w:rPr>
      <w:rFonts w:eastAsia="Times New Roman"/>
      <w:lang w:val="ro-RO" w:eastAsia="ro-RO"/>
    </w:rPr>
  </w:style>
  <w:style w:type="paragraph" w:styleId="TOC8">
    <w:name w:val="toc 8"/>
    <w:basedOn w:val="Normal"/>
    <w:next w:val="Normal"/>
    <w:autoRedefine/>
    <w:uiPriority w:val="39"/>
    <w:locked/>
    <w:rsid w:val="00BB5EFD"/>
    <w:pPr>
      <w:ind w:left="1680"/>
    </w:pPr>
    <w:rPr>
      <w:rFonts w:eastAsia="Times New Roman"/>
      <w:lang w:val="ro-RO" w:eastAsia="ro-RO"/>
    </w:rPr>
  </w:style>
  <w:style w:type="paragraph" w:styleId="TOC9">
    <w:name w:val="toc 9"/>
    <w:basedOn w:val="Normal"/>
    <w:next w:val="Normal"/>
    <w:autoRedefine/>
    <w:uiPriority w:val="39"/>
    <w:locked/>
    <w:rsid w:val="00BB5EFD"/>
    <w:pPr>
      <w:ind w:left="1920"/>
    </w:pPr>
    <w:rPr>
      <w:rFonts w:eastAsia="Times New Roman"/>
      <w:lang w:val="ro-RO" w:eastAsia="ro-RO"/>
    </w:rPr>
  </w:style>
  <w:style w:type="paragraph" w:styleId="DocumentMap">
    <w:name w:val="Document Map"/>
    <w:basedOn w:val="Normal"/>
    <w:link w:val="DocumentMapChar"/>
    <w:semiHidden/>
    <w:qFormat/>
    <w:rsid w:val="00BB5EFD"/>
    <w:pPr>
      <w:shd w:val="clear" w:color="auto" w:fill="000080"/>
    </w:pPr>
    <w:rPr>
      <w:rFonts w:ascii="Tahoma" w:eastAsia="Times New Roman" w:hAnsi="Tahoma" w:cs="Tahoma"/>
      <w:lang w:val="en-US"/>
    </w:rPr>
  </w:style>
  <w:style w:type="character" w:customStyle="1" w:styleId="DocumentMapChar">
    <w:name w:val="Document Map Char"/>
    <w:basedOn w:val="DefaultParagraphFont"/>
    <w:link w:val="DocumentMap"/>
    <w:semiHidden/>
    <w:qFormat/>
    <w:rsid w:val="00BB5EFD"/>
    <w:rPr>
      <w:rFonts w:ascii="Tahoma" w:hAnsi="Tahoma" w:cs="Tahoma"/>
      <w:sz w:val="24"/>
      <w:szCs w:val="24"/>
      <w:shd w:val="clear" w:color="auto" w:fill="000080"/>
    </w:rPr>
  </w:style>
  <w:style w:type="paragraph" w:customStyle="1" w:styleId="yiv1616271018msonormal">
    <w:name w:val="yiv1616271018msonormal"/>
    <w:basedOn w:val="Normal"/>
    <w:rsid w:val="00BB5EFD"/>
    <w:pPr>
      <w:spacing w:before="100" w:beforeAutospacing="1" w:after="100" w:afterAutospacing="1"/>
    </w:pPr>
    <w:rPr>
      <w:rFonts w:eastAsia="Times New Roman"/>
      <w:lang w:val="ro-RO" w:eastAsia="ro-RO"/>
    </w:rPr>
  </w:style>
  <w:style w:type="character" w:customStyle="1" w:styleId="sttpar1">
    <w:name w:val="st_tpar1"/>
    <w:rsid w:val="00BB5EFD"/>
    <w:rPr>
      <w:color w:val="000000"/>
    </w:rPr>
  </w:style>
  <w:style w:type="character" w:customStyle="1" w:styleId="tli1">
    <w:name w:val="tli1"/>
    <w:basedOn w:val="DefaultParagraphFont"/>
    <w:rsid w:val="00BB5EFD"/>
  </w:style>
  <w:style w:type="character" w:customStyle="1" w:styleId="ln2tlitera">
    <w:name w:val="ln2tlitera"/>
    <w:basedOn w:val="DefaultParagraphFont"/>
    <w:rsid w:val="00BB5EFD"/>
  </w:style>
  <w:style w:type="character" w:customStyle="1" w:styleId="articlebodycontroversabody">
    <w:name w:val="article_body controversa_body"/>
    <w:basedOn w:val="DefaultParagraphFont"/>
    <w:rsid w:val="00BB5EFD"/>
  </w:style>
  <w:style w:type="character" w:customStyle="1" w:styleId="WW8Num2z0">
    <w:name w:val="WW8Num2z0"/>
    <w:rsid w:val="00BB5EFD"/>
    <w:rPr>
      <w:rFonts w:ascii="Symbol" w:hAnsi="Symbol"/>
    </w:rPr>
  </w:style>
  <w:style w:type="character" w:customStyle="1" w:styleId="WW8Num3z0">
    <w:name w:val="WW8Num3z0"/>
    <w:rsid w:val="00BB5EFD"/>
    <w:rPr>
      <w:rFonts w:ascii="Symbol" w:hAnsi="Symbol"/>
    </w:rPr>
  </w:style>
  <w:style w:type="character" w:customStyle="1" w:styleId="WW8Num4z0">
    <w:name w:val="WW8Num4z0"/>
    <w:rsid w:val="00BB5EFD"/>
    <w:rPr>
      <w:rFonts w:ascii="Symbol" w:hAnsi="Symbol"/>
    </w:rPr>
  </w:style>
  <w:style w:type="character" w:customStyle="1" w:styleId="WW8Num5z0">
    <w:name w:val="WW8Num5z0"/>
    <w:rsid w:val="00BB5EFD"/>
    <w:rPr>
      <w:rFonts w:ascii="Symbol" w:hAnsi="Symbol"/>
    </w:rPr>
  </w:style>
  <w:style w:type="character" w:customStyle="1" w:styleId="WW8Num8z0">
    <w:name w:val="WW8Num8z0"/>
    <w:rsid w:val="00BB5EFD"/>
    <w:rPr>
      <w:rFonts w:ascii="Times New Roman" w:eastAsia="Times New Roman" w:hAnsi="Times New Roman" w:cs="Times New Roman"/>
    </w:rPr>
  </w:style>
  <w:style w:type="character" w:customStyle="1" w:styleId="WW8Num9z0">
    <w:name w:val="WW8Num9z0"/>
    <w:rsid w:val="00BB5EFD"/>
    <w:rPr>
      <w:rFonts w:ascii="Times New Roman" w:eastAsia="Times New Roman" w:hAnsi="Times New Roman" w:cs="Times New Roman"/>
    </w:rPr>
  </w:style>
  <w:style w:type="character" w:customStyle="1" w:styleId="WW8Num10z0">
    <w:name w:val="WW8Num10z0"/>
    <w:rsid w:val="00BB5EFD"/>
    <w:rPr>
      <w:rFonts w:ascii="Symbol" w:hAnsi="Symbol"/>
    </w:rPr>
  </w:style>
  <w:style w:type="character" w:customStyle="1" w:styleId="WW8Num11z0">
    <w:name w:val="WW8Num11z0"/>
    <w:rsid w:val="00BB5EFD"/>
    <w:rPr>
      <w:rFonts w:ascii="Symbol" w:hAnsi="Symbol"/>
      <w:sz w:val="20"/>
    </w:rPr>
  </w:style>
  <w:style w:type="character" w:customStyle="1" w:styleId="WW8Num12z0">
    <w:name w:val="WW8Num12z0"/>
    <w:rsid w:val="00BB5EFD"/>
    <w:rPr>
      <w:rFonts w:ascii="Times New Roman" w:hAnsi="Times New Roman" w:cs="Times New Roman"/>
    </w:rPr>
  </w:style>
  <w:style w:type="character" w:customStyle="1" w:styleId="WW8Num13z0">
    <w:name w:val="WW8Num13z0"/>
    <w:rsid w:val="00BB5EFD"/>
    <w:rPr>
      <w:rFonts w:ascii="Times New Roman" w:eastAsia="Times New Roman" w:hAnsi="Times New Roman" w:cs="Times New Roman"/>
    </w:rPr>
  </w:style>
  <w:style w:type="character" w:customStyle="1" w:styleId="WW8Num14z0">
    <w:name w:val="WW8Num14z0"/>
    <w:rsid w:val="00BB5EFD"/>
    <w:rPr>
      <w:rFonts w:ascii="Times New Roman" w:eastAsia="Times New Roman" w:hAnsi="Times New Roman" w:cs="Times New Roman"/>
    </w:rPr>
  </w:style>
  <w:style w:type="character" w:customStyle="1" w:styleId="WW8Num15z0">
    <w:name w:val="WW8Num15z0"/>
    <w:rsid w:val="00BB5EFD"/>
    <w:rPr>
      <w:rFonts w:ascii="Times New Roman" w:eastAsia="Times New Roman" w:hAnsi="Times New Roman" w:cs="Times New Roman"/>
    </w:rPr>
  </w:style>
  <w:style w:type="character" w:customStyle="1" w:styleId="Absatz-Standardschriftart">
    <w:name w:val="Absatz-Standardschriftart"/>
    <w:rsid w:val="00BB5EFD"/>
  </w:style>
  <w:style w:type="character" w:customStyle="1" w:styleId="WW8Num1z0">
    <w:name w:val="WW8Num1z0"/>
    <w:rsid w:val="00BB5EFD"/>
    <w:rPr>
      <w:rFonts w:ascii="Symbol" w:hAnsi="Symbol"/>
    </w:rPr>
  </w:style>
  <w:style w:type="character" w:customStyle="1" w:styleId="WW8Num7z1">
    <w:name w:val="WW8Num7z1"/>
    <w:rsid w:val="00BB5EFD"/>
    <w:rPr>
      <w:rFonts w:ascii="Courier New" w:hAnsi="Courier New"/>
    </w:rPr>
  </w:style>
  <w:style w:type="character" w:customStyle="1" w:styleId="WW8Num7z2">
    <w:name w:val="WW8Num7z2"/>
    <w:rsid w:val="00BB5EFD"/>
    <w:rPr>
      <w:rFonts w:ascii="Wingdings" w:hAnsi="Wingdings"/>
    </w:rPr>
  </w:style>
  <w:style w:type="character" w:customStyle="1" w:styleId="WW8Num7z3">
    <w:name w:val="WW8Num7z3"/>
    <w:rsid w:val="00BB5EFD"/>
    <w:rPr>
      <w:rFonts w:ascii="Symbol" w:hAnsi="Symbol"/>
    </w:rPr>
  </w:style>
  <w:style w:type="character" w:customStyle="1" w:styleId="WW8Num8z1">
    <w:name w:val="WW8Num8z1"/>
    <w:rsid w:val="00BB5EFD"/>
    <w:rPr>
      <w:rFonts w:ascii="Courier New" w:hAnsi="Courier New"/>
    </w:rPr>
  </w:style>
  <w:style w:type="character" w:customStyle="1" w:styleId="WW8Num8z2">
    <w:name w:val="WW8Num8z2"/>
    <w:rsid w:val="00BB5EFD"/>
    <w:rPr>
      <w:rFonts w:ascii="Wingdings" w:hAnsi="Wingdings"/>
    </w:rPr>
  </w:style>
  <w:style w:type="character" w:customStyle="1" w:styleId="WW8Num8z3">
    <w:name w:val="WW8Num8z3"/>
    <w:rsid w:val="00BB5EFD"/>
    <w:rPr>
      <w:rFonts w:ascii="Symbol" w:hAnsi="Symbol"/>
    </w:rPr>
  </w:style>
  <w:style w:type="character" w:customStyle="1" w:styleId="WW8Num9z1">
    <w:name w:val="WW8Num9z1"/>
    <w:rsid w:val="00BB5EFD"/>
    <w:rPr>
      <w:rFonts w:ascii="Courier New" w:hAnsi="Courier New"/>
    </w:rPr>
  </w:style>
  <w:style w:type="character" w:customStyle="1" w:styleId="WW8Num9z2">
    <w:name w:val="WW8Num9z2"/>
    <w:rsid w:val="00BB5EFD"/>
    <w:rPr>
      <w:rFonts w:ascii="Wingdings" w:hAnsi="Wingdings"/>
    </w:rPr>
  </w:style>
  <w:style w:type="character" w:customStyle="1" w:styleId="WW8Num9z3">
    <w:name w:val="WW8Num9z3"/>
    <w:rsid w:val="00BB5EFD"/>
    <w:rPr>
      <w:rFonts w:ascii="Symbol" w:hAnsi="Symbol"/>
    </w:rPr>
  </w:style>
  <w:style w:type="character" w:customStyle="1" w:styleId="WW8Num10z1">
    <w:name w:val="WW8Num10z1"/>
    <w:rsid w:val="00BB5EFD"/>
    <w:rPr>
      <w:rFonts w:ascii="Courier New" w:hAnsi="Courier New" w:cs="Courier New"/>
    </w:rPr>
  </w:style>
  <w:style w:type="character" w:customStyle="1" w:styleId="WW8Num10z2">
    <w:name w:val="WW8Num10z2"/>
    <w:rsid w:val="00BB5EFD"/>
    <w:rPr>
      <w:rFonts w:ascii="Wingdings" w:hAnsi="Wingdings"/>
    </w:rPr>
  </w:style>
  <w:style w:type="character" w:customStyle="1" w:styleId="WW8Num13z1">
    <w:name w:val="WW8Num13z1"/>
    <w:rsid w:val="00BB5EFD"/>
    <w:rPr>
      <w:rFonts w:ascii="Courier New" w:hAnsi="Courier New"/>
    </w:rPr>
  </w:style>
  <w:style w:type="character" w:customStyle="1" w:styleId="WW8Num13z2">
    <w:name w:val="WW8Num13z2"/>
    <w:rsid w:val="00BB5EFD"/>
    <w:rPr>
      <w:rFonts w:ascii="Wingdings" w:hAnsi="Wingdings"/>
    </w:rPr>
  </w:style>
  <w:style w:type="character" w:customStyle="1" w:styleId="WW8Num13z3">
    <w:name w:val="WW8Num13z3"/>
    <w:rsid w:val="00BB5EFD"/>
    <w:rPr>
      <w:rFonts w:ascii="Symbol" w:hAnsi="Symbol"/>
    </w:rPr>
  </w:style>
  <w:style w:type="character" w:customStyle="1" w:styleId="WW8Num14z1">
    <w:name w:val="WW8Num14z1"/>
    <w:rsid w:val="00BB5EFD"/>
    <w:rPr>
      <w:rFonts w:ascii="Courier New" w:hAnsi="Courier New"/>
    </w:rPr>
  </w:style>
  <w:style w:type="character" w:customStyle="1" w:styleId="WW8Num14z2">
    <w:name w:val="WW8Num14z2"/>
    <w:rsid w:val="00BB5EFD"/>
    <w:rPr>
      <w:rFonts w:ascii="Wingdings" w:hAnsi="Wingdings"/>
    </w:rPr>
  </w:style>
  <w:style w:type="character" w:customStyle="1" w:styleId="WW8Num14z3">
    <w:name w:val="WW8Num14z3"/>
    <w:rsid w:val="00BB5EFD"/>
    <w:rPr>
      <w:rFonts w:ascii="Symbol" w:hAnsi="Symbol"/>
    </w:rPr>
  </w:style>
  <w:style w:type="character" w:customStyle="1" w:styleId="WW8Num15z1">
    <w:name w:val="WW8Num15z1"/>
    <w:rsid w:val="00BB5EFD"/>
    <w:rPr>
      <w:rFonts w:ascii="Courier New" w:hAnsi="Courier New"/>
    </w:rPr>
  </w:style>
  <w:style w:type="character" w:customStyle="1" w:styleId="WW8Num15z2">
    <w:name w:val="WW8Num15z2"/>
    <w:rsid w:val="00BB5EFD"/>
    <w:rPr>
      <w:rFonts w:ascii="Wingdings" w:hAnsi="Wingdings"/>
    </w:rPr>
  </w:style>
  <w:style w:type="character" w:customStyle="1" w:styleId="WW8Num15z3">
    <w:name w:val="WW8Num15z3"/>
    <w:rsid w:val="00BB5EFD"/>
    <w:rPr>
      <w:rFonts w:ascii="Symbol" w:hAnsi="Symbol"/>
    </w:rPr>
  </w:style>
  <w:style w:type="character" w:customStyle="1" w:styleId="WW8Num16z0">
    <w:name w:val="WW8Num16z0"/>
    <w:rsid w:val="00BB5EFD"/>
    <w:rPr>
      <w:rFonts w:ascii="Symbol" w:hAnsi="Symbol"/>
      <w:sz w:val="20"/>
    </w:rPr>
  </w:style>
  <w:style w:type="character" w:customStyle="1" w:styleId="WW8Num16z1">
    <w:name w:val="WW8Num16z1"/>
    <w:rsid w:val="00BB5EFD"/>
    <w:rPr>
      <w:rFonts w:ascii="Courier New" w:hAnsi="Courier New"/>
      <w:sz w:val="20"/>
    </w:rPr>
  </w:style>
  <w:style w:type="character" w:customStyle="1" w:styleId="WW8Num16z2">
    <w:name w:val="WW8Num16z2"/>
    <w:rsid w:val="00BB5EFD"/>
    <w:rPr>
      <w:rFonts w:ascii="Wingdings" w:hAnsi="Wingdings"/>
      <w:sz w:val="20"/>
    </w:rPr>
  </w:style>
  <w:style w:type="character" w:customStyle="1" w:styleId="clsteaserboxbody">
    <w:name w:val="clsteaserboxbody"/>
    <w:basedOn w:val="DefaultParagraphFont"/>
    <w:rsid w:val="00BB5EFD"/>
  </w:style>
  <w:style w:type="character" w:customStyle="1" w:styleId="textstyle21">
    <w:name w:val="textstyle21"/>
    <w:rsid w:val="00BB5EFD"/>
    <w:rPr>
      <w:rFonts w:ascii="Times New Roman" w:hAnsi="Times New Roman" w:cs="Times New Roman" w:hint="default"/>
      <w:b w:val="0"/>
      <w:bCs w:val="0"/>
      <w:i/>
      <w:iCs/>
      <w:strike w:val="0"/>
      <w:dstrike w:val="0"/>
      <w:color w:val="000000"/>
      <w:sz w:val="20"/>
      <w:szCs w:val="20"/>
      <w:u w:val="none"/>
      <w:effect w:val="none"/>
    </w:rPr>
  </w:style>
  <w:style w:type="character" w:customStyle="1" w:styleId="H3CharCharChar1">
    <w:name w:val="H3 Char Char Char1"/>
    <w:rsid w:val="00BB5EFD"/>
    <w:rPr>
      <w:rFonts w:ascii="Arial" w:hAnsi="Arial" w:cs="Arial"/>
      <w:b/>
      <w:i/>
      <w:sz w:val="24"/>
      <w:szCs w:val="24"/>
      <w:lang w:val="ro-RO" w:eastAsia="en-US" w:bidi="ar-SA"/>
    </w:rPr>
  </w:style>
  <w:style w:type="character" w:customStyle="1" w:styleId="H2CharChar1">
    <w:name w:val="H2 Char Char1"/>
    <w:rsid w:val="00BB5EFD"/>
    <w:rPr>
      <w:rFonts w:ascii="Arial" w:hAnsi="Arial" w:cs="Arial"/>
      <w:b/>
      <w:i/>
      <w:sz w:val="24"/>
      <w:szCs w:val="24"/>
      <w:lang w:val="ro-RO" w:eastAsia="en-US" w:bidi="ar-SA"/>
    </w:rPr>
  </w:style>
  <w:style w:type="character" w:customStyle="1" w:styleId="aTitlu2CharChar1">
    <w:name w:val="a Titlu 2 Char Char1"/>
    <w:aliases w:val="Heading 2 Char1,a Titlu 2 Char Char Char Char2,a Titlu 2 Char1 Char Char1,a Titlu 2 Char Char Char Char Char1,Heading 21 Char2,Heading 21 Char Char1"/>
    <w:rsid w:val="00BB5EFD"/>
    <w:rPr>
      <w:rFonts w:ascii="Arial" w:hAnsi="Arial" w:cs="Arial"/>
      <w:sz w:val="24"/>
      <w:szCs w:val="24"/>
      <w:lang w:val="fr-FR" w:eastAsia="en-US" w:bidi="ar-SA"/>
    </w:rPr>
  </w:style>
  <w:style w:type="paragraph" w:customStyle="1" w:styleId="H2Char1">
    <w:name w:val="H2 Char1"/>
    <w:basedOn w:val="Heading2"/>
    <w:rsid w:val="00BB5EFD"/>
    <w:pPr>
      <w:tabs>
        <w:tab w:val="left" w:pos="567"/>
      </w:tabs>
      <w:spacing w:before="0" w:beforeAutospacing="0" w:after="0" w:afterAutospacing="0"/>
    </w:pPr>
    <w:rPr>
      <w:rFonts w:ascii="Arial" w:hAnsi="Arial" w:cs="Arial"/>
      <w:bCs w:val="0"/>
      <w:i/>
      <w:sz w:val="24"/>
      <w:szCs w:val="24"/>
      <w:lang w:eastAsia="en-US"/>
    </w:rPr>
  </w:style>
  <w:style w:type="character" w:customStyle="1" w:styleId="ln2tpunct">
    <w:name w:val="ln2tpunct"/>
    <w:basedOn w:val="DefaultParagraphFont"/>
    <w:rsid w:val="00BB5EFD"/>
  </w:style>
  <w:style w:type="character" w:customStyle="1" w:styleId="ln2litera1">
    <w:name w:val="ln2litera1"/>
    <w:rsid w:val="00BB5EFD"/>
    <w:rPr>
      <w:b/>
      <w:bCs/>
      <w:color w:val="00008F"/>
    </w:rPr>
  </w:style>
  <w:style w:type="character" w:customStyle="1" w:styleId="textalbastru">
    <w:name w:val="textalbastru"/>
    <w:basedOn w:val="DefaultParagraphFont"/>
    <w:rsid w:val="00BB5EFD"/>
  </w:style>
  <w:style w:type="character" w:customStyle="1" w:styleId="yiv1616271018apple-tab-span">
    <w:name w:val="yiv1616271018apple-tab-span"/>
    <w:basedOn w:val="DefaultParagraphFont"/>
    <w:rsid w:val="00BB5EFD"/>
  </w:style>
  <w:style w:type="character" w:customStyle="1" w:styleId="BodyTextCharChar1">
    <w:name w:val="Body Text Char Char1"/>
    <w:aliases w:val="Body Text Char Char2"/>
    <w:rsid w:val="00BB5EFD"/>
    <w:rPr>
      <w:rFonts w:ascii="Arial" w:hAnsi="Arial" w:cs="Arial"/>
      <w:sz w:val="24"/>
      <w:szCs w:val="24"/>
      <w:lang w:val="fr-FR" w:eastAsia="en-US" w:bidi="ar-SA"/>
    </w:rPr>
  </w:style>
  <w:style w:type="character" w:customStyle="1" w:styleId="txtoug">
    <w:name w:val="txtoug"/>
    <w:basedOn w:val="DefaultParagraphFont"/>
    <w:rsid w:val="00BB5EFD"/>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BB5EFD"/>
    <w:rPr>
      <w:rFonts w:eastAsia="Times New Roman"/>
      <w:lang w:val="pl-PL" w:eastAsia="pl-PL"/>
    </w:rPr>
  </w:style>
  <w:style w:type="table" w:styleId="TableGrid5">
    <w:name w:val="Table Grid 5"/>
    <w:basedOn w:val="TableNormal"/>
    <w:rsid w:val="00BB5EFD"/>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yiv2219591419apple-tab-span">
    <w:name w:val="yiv2219591419apple-tab-span"/>
    <w:basedOn w:val="DefaultParagraphFont"/>
    <w:rsid w:val="00BB5EFD"/>
  </w:style>
  <w:style w:type="character" w:customStyle="1" w:styleId="ircptirciis">
    <w:name w:val="irc_pt irc_iis"/>
    <w:basedOn w:val="DefaultParagraphFont"/>
    <w:rsid w:val="00BB5EFD"/>
  </w:style>
  <w:style w:type="paragraph" w:customStyle="1" w:styleId="CM1">
    <w:name w:val="CM1"/>
    <w:basedOn w:val="Default"/>
    <w:next w:val="Default"/>
    <w:rsid w:val="00BB5EFD"/>
    <w:rPr>
      <w:rFonts w:ascii="EUAlbertina" w:hAnsi="EUAlbertina" w:cs="Times New Roman"/>
      <w:color w:val="auto"/>
    </w:rPr>
  </w:style>
  <w:style w:type="paragraph" w:customStyle="1" w:styleId="CM3">
    <w:name w:val="CM3"/>
    <w:basedOn w:val="Default"/>
    <w:next w:val="Default"/>
    <w:rsid w:val="00BB5EFD"/>
    <w:rPr>
      <w:rFonts w:ascii="EUAlbertina" w:hAnsi="EUAlbertina" w:cs="Times New Roman"/>
      <w:color w:val="auto"/>
    </w:rPr>
  </w:style>
  <w:style w:type="paragraph" w:customStyle="1" w:styleId="CM4">
    <w:name w:val="CM4"/>
    <w:basedOn w:val="Default"/>
    <w:next w:val="Default"/>
    <w:rsid w:val="00BB5EFD"/>
    <w:rPr>
      <w:rFonts w:ascii="EUAlbertina" w:hAnsi="EUAlbertina" w:cs="Times New Roman"/>
      <w:color w:val="auto"/>
    </w:rPr>
  </w:style>
  <w:style w:type="paragraph" w:customStyle="1" w:styleId="CharCharChar1CharCaracterCharCharCharCharChar1CharCharCharCaracterCaracterChar">
    <w:name w:val="Char Char Char1 Char Caracter Char Char Char Char Char1 Char Char Char Caracter Caracter Char"/>
    <w:basedOn w:val="Normal"/>
    <w:rsid w:val="00BB5EFD"/>
    <w:rPr>
      <w:rFonts w:eastAsia="Times New Roman"/>
      <w:lang w:val="pl-PL" w:eastAsia="pl-PL"/>
    </w:rPr>
  </w:style>
  <w:style w:type="table" w:styleId="TableList4">
    <w:name w:val="Table List 4"/>
    <w:basedOn w:val="TableNormal"/>
    <w:rsid w:val="00BB5EF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BB5EFD"/>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character" w:customStyle="1" w:styleId="figure-source-copyright">
    <w:name w:val="figure-source-copyright"/>
    <w:basedOn w:val="DefaultParagraphFont"/>
    <w:rsid w:val="00BB5EFD"/>
  </w:style>
  <w:style w:type="character" w:customStyle="1" w:styleId="external-link">
    <w:name w:val="external-link"/>
    <w:basedOn w:val="DefaultParagraphFont"/>
    <w:rsid w:val="00BB5EFD"/>
  </w:style>
  <w:style w:type="paragraph" w:customStyle="1" w:styleId="source">
    <w:name w:val="source"/>
    <w:basedOn w:val="Normal"/>
    <w:rsid w:val="00BB5EFD"/>
    <w:pPr>
      <w:spacing w:before="100" w:beforeAutospacing="1" w:after="100" w:afterAutospacing="1"/>
    </w:pPr>
    <w:rPr>
      <w:rFonts w:eastAsia="Times New Roman"/>
      <w:lang w:val="en-US"/>
    </w:rPr>
  </w:style>
  <w:style w:type="character" w:customStyle="1" w:styleId="text-node">
    <w:name w:val="text-node"/>
    <w:basedOn w:val="DefaultParagraphFont"/>
    <w:rsid w:val="00BB5EFD"/>
  </w:style>
  <w:style w:type="character" w:customStyle="1" w:styleId="mw-mmv-title">
    <w:name w:val="mw-mmv-title"/>
    <w:basedOn w:val="DefaultParagraphFont"/>
    <w:rsid w:val="00BB5EFD"/>
  </w:style>
  <w:style w:type="table" w:styleId="TableElegant">
    <w:name w:val="Table Elegant"/>
    <w:basedOn w:val="TableNormal"/>
    <w:rsid w:val="00BB5EF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BB5EF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Colorful2">
    <w:name w:val="Table Colorful 2"/>
    <w:basedOn w:val="TableNormal"/>
    <w:rsid w:val="00BB5EF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ntemporary">
    <w:name w:val="Table Contemporary"/>
    <w:basedOn w:val="TableNormal"/>
    <w:rsid w:val="00BB5EF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lu11">
    <w:name w:val="Titlu11"/>
    <w:basedOn w:val="Normal"/>
    <w:next w:val="BodyText"/>
    <w:rsid w:val="00BB5EFD"/>
    <w:pPr>
      <w:keepNext/>
      <w:suppressAutoHyphens/>
      <w:spacing w:before="240" w:after="120"/>
    </w:pPr>
    <w:rPr>
      <w:rFonts w:ascii="Arial" w:eastAsia="MS Mincho" w:hAnsi="Arial" w:cs="Tahoma"/>
      <w:sz w:val="28"/>
      <w:szCs w:val="28"/>
      <w:lang w:val="en-US" w:eastAsia="ar-SA"/>
    </w:rPr>
  </w:style>
  <w:style w:type="paragraph" w:customStyle="1" w:styleId="CaracterCaracterCharCharCharChar1CharCharChar1CharCharCharCharCharChar">
    <w:name w:val="Caracter Caracter Char Char Char Char1 Char Char Char1 Char Char Char Char Char Char"/>
    <w:basedOn w:val="Normal"/>
    <w:rsid w:val="00BB5EFD"/>
    <w:rPr>
      <w:rFonts w:eastAsia="Times New Roman"/>
      <w:lang w:val="pl-PL" w:eastAsia="pl-PL"/>
    </w:rPr>
  </w:style>
  <w:style w:type="numbering" w:customStyle="1" w:styleId="FrListare1">
    <w:name w:val="Fără Listare1"/>
    <w:next w:val="NoList"/>
    <w:semiHidden/>
    <w:rsid w:val="00BB5EFD"/>
  </w:style>
  <w:style w:type="character" w:customStyle="1" w:styleId="site-name">
    <w:name w:val="site-name"/>
    <w:basedOn w:val="DefaultParagraphFont"/>
    <w:rsid w:val="00BB5EFD"/>
  </w:style>
  <w:style w:type="paragraph" w:customStyle="1" w:styleId="CaracterCaracterCharCharCharCharCharChar1">
    <w:name w:val="Caracter Caracter Char Char Char Char Char Char1"/>
    <w:basedOn w:val="Normal"/>
    <w:rsid w:val="00BB5EFD"/>
    <w:rPr>
      <w:rFonts w:eastAsia="Times New Roman"/>
      <w:lang w:val="pl-PL" w:eastAsia="pl-PL"/>
    </w:rPr>
  </w:style>
  <w:style w:type="paragraph" w:customStyle="1" w:styleId="CaracterCaracterChar1">
    <w:name w:val="Caracter Caracter Char1"/>
    <w:basedOn w:val="Normal"/>
    <w:rsid w:val="00BB5EFD"/>
    <w:rPr>
      <w:rFonts w:eastAsia="Times New Roman"/>
      <w:lang w:val="pl-PL" w:eastAsia="pl-PL"/>
    </w:rPr>
  </w:style>
  <w:style w:type="character" w:styleId="PlaceholderText">
    <w:name w:val="Placeholder Text"/>
    <w:uiPriority w:val="99"/>
    <w:semiHidden/>
    <w:rsid w:val="00BB5EFD"/>
    <w:rPr>
      <w:color w:val="808080"/>
    </w:rPr>
  </w:style>
  <w:style w:type="paragraph" w:styleId="TOCHeading">
    <w:name w:val="TOC Heading"/>
    <w:basedOn w:val="Heading1"/>
    <w:next w:val="Normal"/>
    <w:uiPriority w:val="39"/>
    <w:unhideWhenUsed/>
    <w:qFormat/>
    <w:rsid w:val="00BB5EFD"/>
    <w:pPr>
      <w:keepLines/>
      <w:spacing w:before="480" w:after="0" w:line="276" w:lineRule="auto"/>
      <w:outlineLvl w:val="9"/>
    </w:pPr>
    <w:rPr>
      <w:color w:val="365F91"/>
      <w:kern w:val="0"/>
      <w:sz w:val="28"/>
      <w:szCs w:val="28"/>
    </w:rPr>
  </w:style>
  <w:style w:type="paragraph" w:customStyle="1" w:styleId="Style2">
    <w:name w:val="Style2"/>
    <w:basedOn w:val="Normal"/>
    <w:qFormat/>
    <w:rsid w:val="00BB5EFD"/>
    <w:pPr>
      <w:widowControl w:val="0"/>
      <w:autoSpaceDE w:val="0"/>
      <w:autoSpaceDN w:val="0"/>
      <w:adjustRightInd w:val="0"/>
      <w:spacing w:line="274" w:lineRule="exact"/>
      <w:ind w:firstLine="698"/>
    </w:pPr>
    <w:rPr>
      <w:rFonts w:eastAsia="Times New Roman"/>
      <w:lang w:val="ro-RO" w:eastAsia="ro-RO"/>
    </w:rPr>
  </w:style>
  <w:style w:type="character" w:customStyle="1" w:styleId="FontStyle80">
    <w:name w:val="Font Style80"/>
    <w:qFormat/>
    <w:rsid w:val="00BB5EFD"/>
    <w:rPr>
      <w:rFonts w:ascii="Times New Roman" w:hAnsi="Times New Roman" w:cs="Times New Roman"/>
      <w:sz w:val="22"/>
      <w:szCs w:val="22"/>
    </w:rPr>
  </w:style>
  <w:style w:type="character" w:customStyle="1" w:styleId="CaracterCaracter1">
    <w:name w:val="Caracter Caracter1"/>
    <w:qFormat/>
    <w:rsid w:val="00BB5EFD"/>
    <w:rPr>
      <w:lang w:val="en-US" w:eastAsia="en-US" w:bidi="ar-SA"/>
    </w:rPr>
  </w:style>
  <w:style w:type="character" w:customStyle="1" w:styleId="slitbdy">
    <w:name w:val="s_lit_bdy"/>
    <w:rsid w:val="00BB5EFD"/>
  </w:style>
  <w:style w:type="character" w:customStyle="1" w:styleId="nc684nl6">
    <w:name w:val="nc684nl6"/>
    <w:basedOn w:val="DefaultParagraphFont"/>
    <w:rsid w:val="00BB5EFD"/>
  </w:style>
  <w:style w:type="paragraph" w:customStyle="1" w:styleId="Heding2">
    <w:name w:val="Heding 2"/>
    <w:basedOn w:val="Normal"/>
    <w:link w:val="Heding2Char"/>
    <w:qFormat/>
    <w:rsid w:val="00BB5EFD"/>
    <w:pPr>
      <w:jc w:val="both"/>
      <w:outlineLvl w:val="1"/>
    </w:pPr>
    <w:rPr>
      <w:rFonts w:ascii="Arial" w:eastAsia="Times New Roman" w:hAnsi="Arial" w:cs="Arial"/>
      <w:b/>
      <w:lang w:val="fr-FR"/>
    </w:rPr>
  </w:style>
  <w:style w:type="character" w:customStyle="1" w:styleId="Heding2Char">
    <w:name w:val="Heding 2 Char"/>
    <w:basedOn w:val="DefaultParagraphFont"/>
    <w:link w:val="Heding2"/>
    <w:rsid w:val="00BB5EFD"/>
    <w:rPr>
      <w:rFonts w:ascii="Arial" w:hAnsi="Arial" w:cs="Arial"/>
      <w:b/>
      <w:sz w:val="24"/>
      <w:szCs w:val="24"/>
      <w:lang w:val="fr-FR"/>
    </w:rPr>
  </w:style>
  <w:style w:type="paragraph" w:customStyle="1" w:styleId="ep-wysiwigparagraph">
    <w:name w:val="ep-wysiwig_paragraph"/>
    <w:basedOn w:val="Normal"/>
    <w:rsid w:val="00BB5EFD"/>
    <w:pPr>
      <w:spacing w:before="100" w:beforeAutospacing="1" w:after="100" w:afterAutospacing="1"/>
    </w:pPr>
    <w:rPr>
      <w:rFonts w:eastAsia="Times New Roman"/>
      <w:lang w:val="en-US"/>
    </w:rPr>
  </w:style>
  <w:style w:type="paragraph" w:customStyle="1" w:styleId="TableParagraph">
    <w:name w:val="Table Paragraph"/>
    <w:basedOn w:val="Normal"/>
    <w:uiPriority w:val="1"/>
    <w:qFormat/>
    <w:rsid w:val="00BB5EFD"/>
    <w:pPr>
      <w:widowControl w:val="0"/>
      <w:autoSpaceDE w:val="0"/>
      <w:autoSpaceDN w:val="0"/>
      <w:ind w:left="100"/>
    </w:pPr>
    <w:rPr>
      <w:rFonts w:ascii="Tahoma" w:eastAsia="Tahoma" w:hAnsi="Tahoma" w:cs="Tahoma"/>
      <w:sz w:val="22"/>
      <w:szCs w:val="22"/>
      <w:lang w:val="ro-RO" w:eastAsia="ro-RO" w:bidi="ro-RO"/>
    </w:rPr>
  </w:style>
  <w:style w:type="character" w:customStyle="1" w:styleId="DefaultChar">
    <w:name w:val="Default Char"/>
    <w:link w:val="Default"/>
    <w:locked/>
    <w:rsid w:val="00BB5EFD"/>
    <w:rPr>
      <w:rFonts w:ascii="Arial" w:hAnsi="Arial" w:cs="Arial"/>
      <w:color w:val="000000"/>
      <w:sz w:val="24"/>
      <w:szCs w:val="24"/>
    </w:rPr>
  </w:style>
  <w:style w:type="character" w:customStyle="1" w:styleId="TabelCaracter">
    <w:name w:val="Tabel Caracter"/>
    <w:link w:val="Tabel"/>
    <w:locked/>
    <w:rsid w:val="00BB5EFD"/>
    <w:rPr>
      <w:rFonts w:ascii="Arial" w:hAnsi="Arial" w:cs="Arial"/>
      <w:sz w:val="24"/>
      <w:szCs w:val="24"/>
      <w:lang w:val="ro-RO"/>
    </w:rPr>
  </w:style>
  <w:style w:type="paragraph" w:customStyle="1" w:styleId="Tabel">
    <w:name w:val="Tabel"/>
    <w:basedOn w:val="ListParagraph"/>
    <w:link w:val="TabelCaracter"/>
    <w:qFormat/>
    <w:rsid w:val="00BB5EFD"/>
    <w:pPr>
      <w:numPr>
        <w:numId w:val="73"/>
      </w:numPr>
      <w:tabs>
        <w:tab w:val="left" w:pos="851"/>
      </w:tabs>
      <w:spacing w:before="120" w:after="120" w:line="276" w:lineRule="auto"/>
      <w:contextualSpacing w:val="0"/>
    </w:pPr>
    <w:rPr>
      <w:rFonts w:ascii="Arial" w:hAnsi="Arial" w:cs="Arial"/>
      <w:lang w:val="ro-RO"/>
    </w:rPr>
  </w:style>
  <w:style w:type="paragraph" w:styleId="Revision">
    <w:name w:val="Revision"/>
    <w:hidden/>
    <w:uiPriority w:val="99"/>
    <w:semiHidden/>
    <w:rsid w:val="007D5FA3"/>
    <w:rPr>
      <w:rFonts w:ascii="Calibri" w:eastAsia="Calibri" w:hAnsi="Calibri"/>
      <w:sz w:val="22"/>
      <w:szCs w:val="22"/>
      <w:lang w:val="ro-RO"/>
    </w:rPr>
  </w:style>
  <w:style w:type="character" w:customStyle="1" w:styleId="MeniuneNerezolvat1">
    <w:name w:val="Mențiune Nerezolvat1"/>
    <w:uiPriority w:val="99"/>
    <w:semiHidden/>
    <w:unhideWhenUsed/>
    <w:rsid w:val="007D5FA3"/>
    <w:rPr>
      <w:color w:val="605E5C"/>
      <w:shd w:val="clear" w:color="auto" w:fill="E1DFDD"/>
    </w:rPr>
  </w:style>
  <w:style w:type="paragraph" w:customStyle="1" w:styleId="msonormal0">
    <w:name w:val="msonormal"/>
    <w:basedOn w:val="Normal"/>
    <w:rsid w:val="00436BA3"/>
    <w:pPr>
      <w:spacing w:before="100" w:beforeAutospacing="1" w:after="100" w:afterAutospacing="1"/>
    </w:pPr>
    <w:rPr>
      <w:rFonts w:eastAsia="Times New Roman"/>
      <w:lang w:val="ro-RO" w:eastAsia="ro-RO"/>
    </w:rPr>
  </w:style>
  <w:style w:type="character" w:customStyle="1" w:styleId="NoSpacingChar">
    <w:name w:val="No Spacing Char"/>
    <w:link w:val="NoSpacing"/>
    <w:locked/>
    <w:rsid w:val="00436BA3"/>
    <w:rPr>
      <w:rFonts w:ascii="Calibri" w:hAnsi="Calibri"/>
      <w:sz w:val="22"/>
      <w:szCs w:val="22"/>
      <w:lang w:val="ro-RO"/>
    </w:rPr>
  </w:style>
  <w:style w:type="character" w:customStyle="1" w:styleId="UnresolvedMention">
    <w:name w:val="Unresolved Mention"/>
    <w:uiPriority w:val="99"/>
    <w:semiHidden/>
    <w:unhideWhenUsed/>
    <w:rsid w:val="00B63C48"/>
    <w:rPr>
      <w:color w:val="605E5C"/>
      <w:shd w:val="clear" w:color="auto" w:fill="E1DFDD"/>
    </w:rPr>
  </w:style>
  <w:style w:type="paragraph" w:customStyle="1" w:styleId="1Tabelr1">
    <w:name w:val="1 Tabel r1"/>
    <w:basedOn w:val="Normal"/>
    <w:qFormat/>
    <w:rsid w:val="00B63C48"/>
    <w:pPr>
      <w:jc w:val="center"/>
    </w:pPr>
    <w:rPr>
      <w:rFonts w:ascii="Calibri" w:eastAsia="Times New Roman" w:hAnsi="Calibri" w:cs="Arial"/>
      <w:b/>
      <w:bCs/>
      <w:lang w:val="ro-RO"/>
    </w:rPr>
  </w:style>
  <w:style w:type="paragraph" w:customStyle="1" w:styleId="1Tabelr2">
    <w:name w:val="1 Tabel r2"/>
    <w:basedOn w:val="Normal"/>
    <w:qFormat/>
    <w:rsid w:val="00B63C48"/>
    <w:rPr>
      <w:rFonts w:ascii="Calibri" w:eastAsia="Times New Roman" w:hAnsi="Calibri" w:cs="Arial"/>
      <w:bCs/>
      <w:sz w:val="22"/>
      <w:lang w:val="ro-RO"/>
    </w:rPr>
  </w:style>
  <w:style w:type="paragraph" w:customStyle="1" w:styleId="1tabelrest">
    <w:name w:val="1 tabel rest"/>
    <w:basedOn w:val="Normal"/>
    <w:qFormat/>
    <w:rsid w:val="00B63C48"/>
    <w:pPr>
      <w:jc w:val="center"/>
    </w:pPr>
    <w:rPr>
      <w:rFonts w:ascii="Calibri" w:eastAsia="Times New Roman" w:hAnsi="Calibri" w:cs="Arial"/>
      <w:sz w:val="22"/>
      <w:lang w:val="ro-RO"/>
    </w:rPr>
  </w:style>
  <w:style w:type="paragraph" w:customStyle="1" w:styleId="1Titlu2">
    <w:name w:val="1 Titlu 2"/>
    <w:basedOn w:val="Heading2"/>
    <w:qFormat/>
    <w:rsid w:val="00B63C48"/>
    <w:pPr>
      <w:keepNext/>
      <w:shd w:val="clear" w:color="auto" w:fill="FFFFFF"/>
      <w:spacing w:before="240" w:beforeAutospacing="0" w:after="240" w:afterAutospacing="0" w:line="276" w:lineRule="auto"/>
      <w:jc w:val="center"/>
    </w:pPr>
    <w:rPr>
      <w:rFonts w:ascii="Calibri" w:hAnsi="Calibri" w:cs="Arial"/>
      <w:iCs/>
      <w:color w:val="000000"/>
      <w:sz w:val="28"/>
      <w:szCs w:val="24"/>
      <w:lang w:val="en-US" w:eastAsia="en-US"/>
    </w:rPr>
  </w:style>
  <w:style w:type="paragraph" w:customStyle="1" w:styleId="CharCharCharCharCharCharChar">
    <w:name w:val="Char Char Char Char Char Char Char"/>
    <w:basedOn w:val="Normal"/>
    <w:rsid w:val="00B63C48"/>
    <w:rPr>
      <w:rFonts w:eastAsia="Times New Roman"/>
      <w:lang w:val="pl-PL" w:eastAsia="pl-PL"/>
    </w:rPr>
  </w:style>
  <w:style w:type="character" w:customStyle="1" w:styleId="TitleChar1">
    <w:name w:val="Title Char1"/>
    <w:aliases w:val="Title Char Char"/>
    <w:rsid w:val="00B63C48"/>
    <w:rPr>
      <w:b/>
      <w:sz w:val="28"/>
      <w:lang w:val="ro-RO"/>
    </w:rPr>
  </w:style>
  <w:style w:type="character" w:styleId="HTMLCite">
    <w:name w:val="HTML Cite"/>
    <w:uiPriority w:val="99"/>
    <w:unhideWhenUsed/>
    <w:rsid w:val="00B63C48"/>
    <w:rPr>
      <w:i/>
      <w:iCs/>
    </w:rPr>
  </w:style>
  <w:style w:type="character" w:customStyle="1" w:styleId="BodytextTimesNewRoman12pt">
    <w:name w:val="Body text + Times New Roman.12 pt"/>
    <w:rsid w:val="00B63C48"/>
    <w:rPr>
      <w:rFonts w:ascii="Times New Roman" w:eastAsia="Times New Roman" w:hAnsi="Times New Roman" w:cs="Times New Roman"/>
      <w:sz w:val="24"/>
      <w:szCs w:val="24"/>
      <w:shd w:val="clear" w:color="auto" w:fill="FFFFFF"/>
    </w:rPr>
  </w:style>
  <w:style w:type="character" w:customStyle="1" w:styleId="A5">
    <w:name w:val="A5"/>
    <w:uiPriority w:val="99"/>
    <w:rsid w:val="00B63C48"/>
    <w:rPr>
      <w:sz w:val="19"/>
      <w:szCs w:val="19"/>
    </w:rPr>
  </w:style>
  <w:style w:type="character" w:customStyle="1" w:styleId="hps">
    <w:name w:val="hps"/>
    <w:uiPriority w:val="99"/>
    <w:rsid w:val="00B63C48"/>
  </w:style>
  <w:style w:type="paragraph" w:styleId="BlockText">
    <w:name w:val="Block Text"/>
    <w:basedOn w:val="Normal"/>
    <w:rsid w:val="00B63C48"/>
    <w:pPr>
      <w:widowControl w:val="0"/>
      <w:spacing w:line="360" w:lineRule="auto"/>
      <w:ind w:left="1704" w:right="-164"/>
      <w:jc w:val="both"/>
    </w:pPr>
    <w:rPr>
      <w:rFonts w:ascii="Arial" w:eastAsia="Times New Roman" w:hAnsi="Arial"/>
      <w:szCs w:val="20"/>
      <w:lang w:val="es-ES"/>
    </w:rPr>
  </w:style>
  <w:style w:type="paragraph" w:customStyle="1" w:styleId="CharCharCharCharCharCharCharCharCharCharCharCharChar">
    <w:name w:val="Char Char Char Char Char Char Char Char Char Char Char Char Char"/>
    <w:basedOn w:val="Normal"/>
    <w:rsid w:val="00B63C48"/>
    <w:rPr>
      <w:rFonts w:eastAsia="Times New Roman"/>
      <w:lang w:val="pl-PL" w:eastAsia="pl-PL"/>
    </w:rPr>
  </w:style>
  <w:style w:type="paragraph" w:customStyle="1" w:styleId="Style3">
    <w:name w:val="Style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
    <w:name w:val="Style4"/>
    <w:basedOn w:val="Normal"/>
    <w:rsid w:val="00B63C48"/>
    <w:pPr>
      <w:widowControl w:val="0"/>
      <w:autoSpaceDE w:val="0"/>
      <w:autoSpaceDN w:val="0"/>
      <w:adjustRightInd w:val="0"/>
      <w:spacing w:line="811" w:lineRule="exact"/>
      <w:jc w:val="center"/>
    </w:pPr>
    <w:rPr>
      <w:rFonts w:ascii="Bookman Old Style" w:eastAsia="Times New Roman" w:hAnsi="Bookman Old Style"/>
      <w:lang w:val="en-US"/>
    </w:rPr>
  </w:style>
  <w:style w:type="paragraph" w:customStyle="1" w:styleId="Style10">
    <w:name w:val="Style1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1">
    <w:name w:val="Style11"/>
    <w:basedOn w:val="Normal"/>
    <w:rsid w:val="00B63C48"/>
    <w:pPr>
      <w:widowControl w:val="0"/>
      <w:autoSpaceDE w:val="0"/>
      <w:autoSpaceDN w:val="0"/>
      <w:adjustRightInd w:val="0"/>
      <w:spacing w:line="240" w:lineRule="exact"/>
      <w:jc w:val="both"/>
    </w:pPr>
    <w:rPr>
      <w:rFonts w:ascii="Bookman Old Style" w:eastAsia="Times New Roman" w:hAnsi="Bookman Old Style"/>
      <w:lang w:val="en-US"/>
    </w:rPr>
  </w:style>
  <w:style w:type="paragraph" w:customStyle="1" w:styleId="Style8">
    <w:name w:val="Style8"/>
    <w:basedOn w:val="Normal"/>
    <w:rsid w:val="00B63C48"/>
    <w:pPr>
      <w:widowControl w:val="0"/>
      <w:autoSpaceDE w:val="0"/>
      <w:autoSpaceDN w:val="0"/>
      <w:adjustRightInd w:val="0"/>
      <w:spacing w:line="240" w:lineRule="exact"/>
      <w:ind w:hanging="682"/>
    </w:pPr>
    <w:rPr>
      <w:rFonts w:ascii="Bookman Old Style" w:eastAsia="Times New Roman" w:hAnsi="Bookman Old Style"/>
      <w:lang w:val="en-US"/>
    </w:rPr>
  </w:style>
  <w:style w:type="paragraph" w:customStyle="1" w:styleId="Style9">
    <w:name w:val="Style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2">
    <w:name w:val="Style12"/>
    <w:basedOn w:val="Normal"/>
    <w:rsid w:val="00B63C48"/>
    <w:pPr>
      <w:widowControl w:val="0"/>
      <w:autoSpaceDE w:val="0"/>
      <w:autoSpaceDN w:val="0"/>
      <w:adjustRightInd w:val="0"/>
      <w:spacing w:line="262" w:lineRule="exact"/>
      <w:ind w:firstLine="106"/>
    </w:pPr>
    <w:rPr>
      <w:rFonts w:ascii="Bookman Old Style" w:eastAsia="Times New Roman" w:hAnsi="Bookman Old Style"/>
      <w:lang w:val="en-US"/>
    </w:rPr>
  </w:style>
  <w:style w:type="paragraph" w:customStyle="1" w:styleId="Style13">
    <w:name w:val="Style13"/>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5">
    <w:name w:val="Font Style15"/>
    <w:rsid w:val="00B63C48"/>
    <w:rPr>
      <w:rFonts w:ascii="Bookman Old Style" w:hAnsi="Bookman Old Style" w:cs="Bookman Old Style"/>
      <w:i/>
      <w:iCs/>
      <w:sz w:val="18"/>
      <w:szCs w:val="18"/>
    </w:rPr>
  </w:style>
  <w:style w:type="character" w:customStyle="1" w:styleId="FontStyle16">
    <w:name w:val="Font Style16"/>
    <w:rsid w:val="00B63C48"/>
    <w:rPr>
      <w:rFonts w:ascii="Bookman Old Style" w:hAnsi="Bookman Old Style" w:cs="Bookman Old Style"/>
      <w:sz w:val="20"/>
      <w:szCs w:val="20"/>
    </w:rPr>
  </w:style>
  <w:style w:type="character" w:customStyle="1" w:styleId="FontStyle17">
    <w:name w:val="Font Style17"/>
    <w:rsid w:val="00B63C48"/>
    <w:rPr>
      <w:rFonts w:ascii="Bookman Old Style" w:hAnsi="Bookman Old Style" w:cs="Bookman Old Style"/>
      <w:sz w:val="18"/>
      <w:szCs w:val="18"/>
    </w:rPr>
  </w:style>
  <w:style w:type="character" w:customStyle="1" w:styleId="FontStyle18">
    <w:name w:val="Font Style18"/>
    <w:rsid w:val="00B63C48"/>
    <w:rPr>
      <w:rFonts w:ascii="Bookman Old Style" w:hAnsi="Bookman Old Style" w:cs="Bookman Old Style"/>
      <w:sz w:val="18"/>
      <w:szCs w:val="18"/>
    </w:rPr>
  </w:style>
  <w:style w:type="character" w:customStyle="1" w:styleId="FontStyle19">
    <w:name w:val="Font Style19"/>
    <w:rsid w:val="00B63C48"/>
    <w:rPr>
      <w:rFonts w:ascii="Bookman Old Style" w:hAnsi="Bookman Old Style" w:cs="Bookman Old Style"/>
      <w:b/>
      <w:bCs/>
      <w:sz w:val="18"/>
      <w:szCs w:val="18"/>
    </w:rPr>
  </w:style>
  <w:style w:type="paragraph" w:customStyle="1" w:styleId="Style1">
    <w:name w:val="Style1"/>
    <w:basedOn w:val="Normal"/>
    <w:rsid w:val="00B63C48"/>
    <w:pPr>
      <w:widowControl w:val="0"/>
      <w:autoSpaceDE w:val="0"/>
      <w:autoSpaceDN w:val="0"/>
      <w:adjustRightInd w:val="0"/>
      <w:jc w:val="both"/>
    </w:pPr>
    <w:rPr>
      <w:rFonts w:ascii="Bookman Old Style" w:eastAsia="Times New Roman" w:hAnsi="Bookman Old Style"/>
      <w:lang w:val="en-US"/>
    </w:rPr>
  </w:style>
  <w:style w:type="character" w:customStyle="1" w:styleId="FontStyle134">
    <w:name w:val="Font Style134"/>
    <w:rsid w:val="00B63C48"/>
    <w:rPr>
      <w:rFonts w:ascii="Bookman Old Style" w:hAnsi="Bookman Old Style" w:cs="Bookman Old Style"/>
      <w:b/>
      <w:bCs/>
      <w:sz w:val="20"/>
      <w:szCs w:val="20"/>
    </w:rPr>
  </w:style>
  <w:style w:type="paragraph" w:customStyle="1" w:styleId="Style32">
    <w:name w:val="Style3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9">
    <w:name w:val="Style3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5">
    <w:name w:val="Style4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55">
    <w:name w:val="Style55"/>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93">
    <w:name w:val="Font Style93"/>
    <w:rsid w:val="00B63C48"/>
    <w:rPr>
      <w:rFonts w:ascii="Bookman Old Style" w:hAnsi="Bookman Old Style" w:cs="Bookman Old Style"/>
      <w:sz w:val="18"/>
      <w:szCs w:val="18"/>
    </w:rPr>
  </w:style>
  <w:style w:type="character" w:customStyle="1" w:styleId="FontStyle137">
    <w:name w:val="Font Style137"/>
    <w:rsid w:val="00B63C48"/>
    <w:rPr>
      <w:rFonts w:ascii="Bookman Old Style" w:hAnsi="Bookman Old Style" w:cs="Bookman Old Style"/>
      <w:sz w:val="16"/>
      <w:szCs w:val="16"/>
    </w:rPr>
  </w:style>
  <w:style w:type="character" w:customStyle="1" w:styleId="FontStyle151">
    <w:name w:val="Font Style151"/>
    <w:rsid w:val="00B63C48"/>
    <w:rPr>
      <w:rFonts w:ascii="Bookman Old Style" w:hAnsi="Bookman Old Style" w:cs="Bookman Old Style"/>
      <w:b/>
      <w:bCs/>
      <w:sz w:val="16"/>
      <w:szCs w:val="16"/>
    </w:rPr>
  </w:style>
  <w:style w:type="paragraph" w:customStyle="1" w:styleId="Style74">
    <w:name w:val="Style7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9">
    <w:name w:val="Style89"/>
    <w:basedOn w:val="Normal"/>
    <w:rsid w:val="00B63C48"/>
    <w:pPr>
      <w:widowControl w:val="0"/>
      <w:autoSpaceDE w:val="0"/>
      <w:autoSpaceDN w:val="0"/>
      <w:adjustRightInd w:val="0"/>
      <w:jc w:val="both"/>
    </w:pPr>
    <w:rPr>
      <w:rFonts w:ascii="Bookman Old Style" w:eastAsia="Times New Roman" w:hAnsi="Bookman Old Style"/>
      <w:lang w:val="en-US"/>
    </w:rPr>
  </w:style>
  <w:style w:type="paragraph" w:customStyle="1" w:styleId="Style5">
    <w:name w:val="Style5"/>
    <w:basedOn w:val="Normal"/>
    <w:rsid w:val="00B63C48"/>
    <w:pPr>
      <w:widowControl w:val="0"/>
      <w:autoSpaceDE w:val="0"/>
      <w:autoSpaceDN w:val="0"/>
      <w:adjustRightInd w:val="0"/>
      <w:spacing w:line="283" w:lineRule="exact"/>
      <w:ind w:firstLine="226"/>
    </w:pPr>
    <w:rPr>
      <w:rFonts w:ascii="Bookman Old Style" w:eastAsia="Times New Roman" w:hAnsi="Bookman Old Style"/>
      <w:lang w:val="en-US"/>
    </w:rPr>
  </w:style>
  <w:style w:type="character" w:customStyle="1" w:styleId="FontStyle130">
    <w:name w:val="Font Style130"/>
    <w:rsid w:val="00B63C48"/>
    <w:rPr>
      <w:rFonts w:ascii="Bookman Old Style" w:hAnsi="Bookman Old Style" w:cs="Bookman Old Style"/>
      <w:b/>
      <w:bCs/>
      <w:sz w:val="26"/>
      <w:szCs w:val="26"/>
    </w:rPr>
  </w:style>
  <w:style w:type="character" w:customStyle="1" w:styleId="FontStyle131">
    <w:name w:val="Font Style131"/>
    <w:rsid w:val="00B63C48"/>
    <w:rPr>
      <w:rFonts w:ascii="Bookman Old Style" w:hAnsi="Bookman Old Style" w:cs="Bookman Old Style"/>
      <w:b/>
      <w:bCs/>
      <w:spacing w:val="10"/>
      <w:sz w:val="52"/>
      <w:szCs w:val="52"/>
    </w:rPr>
  </w:style>
  <w:style w:type="character" w:customStyle="1" w:styleId="FontStyle132">
    <w:name w:val="Font Style132"/>
    <w:rsid w:val="00B63C48"/>
    <w:rPr>
      <w:rFonts w:ascii="Arial" w:hAnsi="Arial" w:cs="Arial"/>
      <w:b/>
      <w:bCs/>
      <w:spacing w:val="-20"/>
      <w:sz w:val="42"/>
      <w:szCs w:val="42"/>
    </w:rPr>
  </w:style>
  <w:style w:type="character" w:customStyle="1" w:styleId="FontStyle133">
    <w:name w:val="Font Style133"/>
    <w:rsid w:val="00B63C48"/>
    <w:rPr>
      <w:rFonts w:ascii="Bookman Old Style" w:hAnsi="Bookman Old Style" w:cs="Bookman Old Style"/>
      <w:spacing w:val="10"/>
      <w:sz w:val="44"/>
      <w:szCs w:val="44"/>
    </w:rPr>
  </w:style>
  <w:style w:type="paragraph" w:customStyle="1" w:styleId="Style6">
    <w:name w:val="Style6"/>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35">
    <w:name w:val="Font Style135"/>
    <w:rsid w:val="00B63C48"/>
    <w:rPr>
      <w:rFonts w:ascii="Arial" w:hAnsi="Arial" w:cs="Arial"/>
      <w:b/>
      <w:bCs/>
      <w:i/>
      <w:iCs/>
      <w:spacing w:val="100"/>
      <w:sz w:val="34"/>
      <w:szCs w:val="34"/>
    </w:rPr>
  </w:style>
  <w:style w:type="character" w:customStyle="1" w:styleId="FontStyle136">
    <w:name w:val="Font Style136"/>
    <w:rsid w:val="00B63C48"/>
    <w:rPr>
      <w:rFonts w:ascii="Arial" w:hAnsi="Arial" w:cs="Arial"/>
      <w:sz w:val="18"/>
      <w:szCs w:val="18"/>
    </w:rPr>
  </w:style>
  <w:style w:type="paragraph" w:customStyle="1" w:styleId="Style7">
    <w:name w:val="Style7"/>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1">
    <w:name w:val="Font Style11"/>
    <w:rsid w:val="00B63C48"/>
    <w:rPr>
      <w:rFonts w:ascii="Bookman Old Style" w:hAnsi="Bookman Old Style" w:cs="Bookman Old Style"/>
      <w:b/>
      <w:bCs/>
      <w:sz w:val="16"/>
      <w:szCs w:val="16"/>
    </w:rPr>
  </w:style>
  <w:style w:type="character" w:customStyle="1" w:styleId="FontStyle12">
    <w:name w:val="Font Style12"/>
    <w:rsid w:val="00B63C48"/>
    <w:rPr>
      <w:rFonts w:ascii="Bookman Old Style" w:hAnsi="Bookman Old Style" w:cs="Bookman Old Style"/>
      <w:sz w:val="18"/>
      <w:szCs w:val="18"/>
    </w:rPr>
  </w:style>
  <w:style w:type="paragraph" w:customStyle="1" w:styleId="Style20">
    <w:name w:val="Style20"/>
    <w:basedOn w:val="Normal"/>
    <w:rsid w:val="00B63C48"/>
    <w:pPr>
      <w:widowControl w:val="0"/>
      <w:autoSpaceDE w:val="0"/>
      <w:autoSpaceDN w:val="0"/>
      <w:adjustRightInd w:val="0"/>
      <w:spacing w:line="240" w:lineRule="exact"/>
      <w:jc w:val="both"/>
    </w:pPr>
    <w:rPr>
      <w:rFonts w:ascii="Bookman Old Style" w:eastAsia="Times New Roman" w:hAnsi="Bookman Old Style"/>
      <w:lang w:val="en-US"/>
    </w:rPr>
  </w:style>
  <w:style w:type="paragraph" w:customStyle="1" w:styleId="Style27">
    <w:name w:val="Style27"/>
    <w:basedOn w:val="Normal"/>
    <w:rsid w:val="00B63C48"/>
    <w:pPr>
      <w:widowControl w:val="0"/>
      <w:autoSpaceDE w:val="0"/>
      <w:autoSpaceDN w:val="0"/>
      <w:adjustRightInd w:val="0"/>
      <w:spacing w:line="245" w:lineRule="exact"/>
      <w:ind w:firstLine="451"/>
      <w:jc w:val="both"/>
    </w:pPr>
    <w:rPr>
      <w:rFonts w:ascii="Bookman Old Style" w:eastAsia="Times New Roman" w:hAnsi="Bookman Old Style"/>
      <w:lang w:val="en-US"/>
    </w:rPr>
  </w:style>
  <w:style w:type="paragraph" w:customStyle="1" w:styleId="Style29">
    <w:name w:val="Style2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1">
    <w:name w:val="Style3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51">
    <w:name w:val="Style51"/>
    <w:basedOn w:val="Normal"/>
    <w:rsid w:val="00B63C48"/>
    <w:pPr>
      <w:widowControl w:val="0"/>
      <w:autoSpaceDE w:val="0"/>
      <w:autoSpaceDN w:val="0"/>
      <w:adjustRightInd w:val="0"/>
      <w:spacing w:line="259" w:lineRule="exact"/>
      <w:ind w:firstLine="470"/>
      <w:jc w:val="both"/>
    </w:pPr>
    <w:rPr>
      <w:rFonts w:ascii="Bookman Old Style" w:eastAsia="Times New Roman" w:hAnsi="Bookman Old Style"/>
      <w:lang w:val="en-US"/>
    </w:rPr>
  </w:style>
  <w:style w:type="character" w:customStyle="1" w:styleId="FontStyle159">
    <w:name w:val="Font Style159"/>
    <w:rsid w:val="00B63C48"/>
    <w:rPr>
      <w:rFonts w:ascii="Bookman Old Style" w:hAnsi="Bookman Old Style" w:cs="Bookman Old Style"/>
      <w:spacing w:val="10"/>
      <w:sz w:val="12"/>
      <w:szCs w:val="12"/>
    </w:rPr>
  </w:style>
  <w:style w:type="character" w:customStyle="1" w:styleId="FontStyle162">
    <w:name w:val="Font Style162"/>
    <w:rsid w:val="00B63C48"/>
    <w:rPr>
      <w:rFonts w:ascii="Bookman Old Style" w:hAnsi="Bookman Old Style" w:cs="Bookman Old Style"/>
      <w:i/>
      <w:iCs/>
      <w:sz w:val="18"/>
      <w:szCs w:val="18"/>
    </w:rPr>
  </w:style>
  <w:style w:type="character" w:customStyle="1" w:styleId="FontStyle175">
    <w:name w:val="Font Style175"/>
    <w:rsid w:val="00B63C48"/>
    <w:rPr>
      <w:rFonts w:ascii="Arial" w:hAnsi="Arial" w:cs="Arial"/>
      <w:b/>
      <w:bCs/>
      <w:sz w:val="14"/>
      <w:szCs w:val="14"/>
    </w:rPr>
  </w:style>
  <w:style w:type="character" w:customStyle="1" w:styleId="FontStyle187">
    <w:name w:val="Font Style187"/>
    <w:rsid w:val="00B63C48"/>
    <w:rPr>
      <w:rFonts w:ascii="Bookman Old Style" w:hAnsi="Bookman Old Style" w:cs="Bookman Old Style"/>
      <w:b/>
      <w:bCs/>
      <w:sz w:val="18"/>
      <w:szCs w:val="18"/>
    </w:rPr>
  </w:style>
  <w:style w:type="character" w:customStyle="1" w:styleId="FontStyle188">
    <w:name w:val="Font Style188"/>
    <w:rsid w:val="00B63C48"/>
    <w:rPr>
      <w:rFonts w:ascii="Bookman Old Style" w:hAnsi="Bookman Old Style" w:cs="Bookman Old Style"/>
      <w:sz w:val="20"/>
      <w:szCs w:val="20"/>
    </w:rPr>
  </w:style>
  <w:style w:type="character" w:customStyle="1" w:styleId="FontStyle189">
    <w:name w:val="Font Style189"/>
    <w:rsid w:val="00B63C48"/>
    <w:rPr>
      <w:rFonts w:ascii="Bookman Old Style" w:hAnsi="Bookman Old Style" w:cs="Bookman Old Style"/>
      <w:b/>
      <w:bCs/>
      <w:spacing w:val="20"/>
      <w:sz w:val="12"/>
      <w:szCs w:val="12"/>
    </w:rPr>
  </w:style>
  <w:style w:type="character" w:customStyle="1" w:styleId="FontStyle190">
    <w:name w:val="Font Style190"/>
    <w:rsid w:val="00B63C48"/>
    <w:rPr>
      <w:rFonts w:ascii="Bookman Old Style" w:hAnsi="Bookman Old Style" w:cs="Bookman Old Style"/>
      <w:sz w:val="18"/>
      <w:szCs w:val="18"/>
    </w:rPr>
  </w:style>
  <w:style w:type="paragraph" w:customStyle="1" w:styleId="Style14">
    <w:name w:val="Style14"/>
    <w:basedOn w:val="Normal"/>
    <w:rsid w:val="00B63C48"/>
    <w:pPr>
      <w:widowControl w:val="0"/>
      <w:autoSpaceDE w:val="0"/>
      <w:autoSpaceDN w:val="0"/>
      <w:adjustRightInd w:val="0"/>
      <w:spacing w:line="216" w:lineRule="exact"/>
      <w:ind w:hanging="91"/>
      <w:jc w:val="both"/>
    </w:pPr>
    <w:rPr>
      <w:rFonts w:ascii="Bookman Old Style" w:eastAsia="Times New Roman" w:hAnsi="Bookman Old Style"/>
      <w:lang w:val="en-US"/>
    </w:rPr>
  </w:style>
  <w:style w:type="paragraph" w:customStyle="1" w:styleId="Style15">
    <w:name w:val="Style1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6">
    <w:name w:val="Style16"/>
    <w:basedOn w:val="Normal"/>
    <w:rsid w:val="00B63C48"/>
    <w:pPr>
      <w:widowControl w:val="0"/>
      <w:autoSpaceDE w:val="0"/>
      <w:autoSpaceDN w:val="0"/>
      <w:adjustRightInd w:val="0"/>
      <w:jc w:val="both"/>
    </w:pPr>
    <w:rPr>
      <w:rFonts w:ascii="Bookman Old Style" w:eastAsia="Times New Roman" w:hAnsi="Bookman Old Style"/>
      <w:lang w:val="en-US"/>
    </w:rPr>
  </w:style>
  <w:style w:type="paragraph" w:customStyle="1" w:styleId="Style17">
    <w:name w:val="Style1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8">
    <w:name w:val="Style18"/>
    <w:basedOn w:val="Normal"/>
    <w:rsid w:val="00B63C48"/>
    <w:pPr>
      <w:widowControl w:val="0"/>
      <w:autoSpaceDE w:val="0"/>
      <w:autoSpaceDN w:val="0"/>
      <w:adjustRightInd w:val="0"/>
      <w:spacing w:line="222" w:lineRule="exact"/>
      <w:ind w:hanging="682"/>
      <w:jc w:val="both"/>
    </w:pPr>
    <w:rPr>
      <w:rFonts w:ascii="Bookman Old Style" w:eastAsia="Times New Roman" w:hAnsi="Bookman Old Style"/>
      <w:lang w:val="en-US"/>
    </w:rPr>
  </w:style>
  <w:style w:type="paragraph" w:customStyle="1" w:styleId="Style19">
    <w:name w:val="Style19"/>
    <w:basedOn w:val="Normal"/>
    <w:rsid w:val="00B63C48"/>
    <w:pPr>
      <w:widowControl w:val="0"/>
      <w:autoSpaceDE w:val="0"/>
      <w:autoSpaceDN w:val="0"/>
      <w:adjustRightInd w:val="0"/>
      <w:jc w:val="both"/>
    </w:pPr>
    <w:rPr>
      <w:rFonts w:ascii="Bookman Old Style" w:eastAsia="Times New Roman" w:hAnsi="Bookman Old Style"/>
      <w:lang w:val="en-US"/>
    </w:rPr>
  </w:style>
  <w:style w:type="paragraph" w:customStyle="1" w:styleId="Style21">
    <w:name w:val="Style2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2">
    <w:name w:val="Style2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3">
    <w:name w:val="Style2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4">
    <w:name w:val="Style2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5">
    <w:name w:val="Style25"/>
    <w:basedOn w:val="Normal"/>
    <w:rsid w:val="00B63C48"/>
    <w:pPr>
      <w:widowControl w:val="0"/>
      <w:autoSpaceDE w:val="0"/>
      <w:autoSpaceDN w:val="0"/>
      <w:adjustRightInd w:val="0"/>
      <w:spacing w:line="242" w:lineRule="exact"/>
      <w:ind w:firstLine="451"/>
      <w:jc w:val="both"/>
    </w:pPr>
    <w:rPr>
      <w:rFonts w:ascii="Bookman Old Style" w:eastAsia="Times New Roman" w:hAnsi="Bookman Old Style"/>
      <w:lang w:val="en-US"/>
    </w:rPr>
  </w:style>
  <w:style w:type="paragraph" w:customStyle="1" w:styleId="Style26">
    <w:name w:val="Style2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28">
    <w:name w:val="Style28"/>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0">
    <w:name w:val="Style3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3">
    <w:name w:val="Style3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4">
    <w:name w:val="Style3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5">
    <w:name w:val="Style35"/>
    <w:basedOn w:val="Normal"/>
    <w:rsid w:val="00B63C48"/>
    <w:pPr>
      <w:widowControl w:val="0"/>
      <w:autoSpaceDE w:val="0"/>
      <w:autoSpaceDN w:val="0"/>
      <w:adjustRightInd w:val="0"/>
      <w:spacing w:line="298" w:lineRule="exact"/>
      <w:ind w:firstLine="96"/>
      <w:jc w:val="both"/>
    </w:pPr>
    <w:rPr>
      <w:rFonts w:ascii="Bookman Old Style" w:eastAsia="Times New Roman" w:hAnsi="Bookman Old Style"/>
      <w:lang w:val="en-US"/>
    </w:rPr>
  </w:style>
  <w:style w:type="paragraph" w:customStyle="1" w:styleId="Style36">
    <w:name w:val="Style3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37">
    <w:name w:val="Style37"/>
    <w:basedOn w:val="Normal"/>
    <w:rsid w:val="00B63C48"/>
    <w:pPr>
      <w:widowControl w:val="0"/>
      <w:autoSpaceDE w:val="0"/>
      <w:autoSpaceDN w:val="0"/>
      <w:adjustRightInd w:val="0"/>
      <w:spacing w:line="346" w:lineRule="exact"/>
    </w:pPr>
    <w:rPr>
      <w:rFonts w:ascii="Bookman Old Style" w:eastAsia="Times New Roman" w:hAnsi="Bookman Old Style"/>
      <w:lang w:val="en-US"/>
    </w:rPr>
  </w:style>
  <w:style w:type="paragraph" w:customStyle="1" w:styleId="Style38">
    <w:name w:val="Style38"/>
    <w:basedOn w:val="Normal"/>
    <w:rsid w:val="00B63C48"/>
    <w:pPr>
      <w:widowControl w:val="0"/>
      <w:autoSpaceDE w:val="0"/>
      <w:autoSpaceDN w:val="0"/>
      <w:adjustRightInd w:val="0"/>
      <w:spacing w:line="158" w:lineRule="exact"/>
    </w:pPr>
    <w:rPr>
      <w:rFonts w:ascii="Bookman Old Style" w:eastAsia="Times New Roman" w:hAnsi="Bookman Old Style"/>
      <w:lang w:val="en-US"/>
    </w:rPr>
  </w:style>
  <w:style w:type="paragraph" w:customStyle="1" w:styleId="Style40">
    <w:name w:val="Style4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1">
    <w:name w:val="Style4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2">
    <w:name w:val="Style4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3">
    <w:name w:val="Style43"/>
    <w:basedOn w:val="Normal"/>
    <w:rsid w:val="00B63C48"/>
    <w:pPr>
      <w:widowControl w:val="0"/>
      <w:autoSpaceDE w:val="0"/>
      <w:autoSpaceDN w:val="0"/>
      <w:adjustRightInd w:val="0"/>
      <w:spacing w:line="373" w:lineRule="exact"/>
      <w:jc w:val="both"/>
    </w:pPr>
    <w:rPr>
      <w:rFonts w:ascii="Bookman Old Style" w:eastAsia="Times New Roman" w:hAnsi="Bookman Old Style"/>
      <w:lang w:val="en-US"/>
    </w:rPr>
  </w:style>
  <w:style w:type="paragraph" w:customStyle="1" w:styleId="Style44">
    <w:name w:val="Style44"/>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6">
    <w:name w:val="Style4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7">
    <w:name w:val="Style4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8">
    <w:name w:val="Style48"/>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49">
    <w:name w:val="Style49"/>
    <w:basedOn w:val="Normal"/>
    <w:rsid w:val="00B63C48"/>
    <w:pPr>
      <w:widowControl w:val="0"/>
      <w:autoSpaceDE w:val="0"/>
      <w:autoSpaceDN w:val="0"/>
      <w:adjustRightInd w:val="0"/>
      <w:jc w:val="center"/>
    </w:pPr>
    <w:rPr>
      <w:rFonts w:ascii="Bookman Old Style" w:eastAsia="Times New Roman" w:hAnsi="Bookman Old Style"/>
      <w:lang w:val="en-US"/>
    </w:rPr>
  </w:style>
  <w:style w:type="paragraph" w:customStyle="1" w:styleId="Style50">
    <w:name w:val="Style50"/>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52">
    <w:name w:val="Style52"/>
    <w:basedOn w:val="Normal"/>
    <w:rsid w:val="00B63C48"/>
    <w:pPr>
      <w:widowControl w:val="0"/>
      <w:autoSpaceDE w:val="0"/>
      <w:autoSpaceDN w:val="0"/>
      <w:adjustRightInd w:val="0"/>
      <w:spacing w:line="605" w:lineRule="exact"/>
      <w:ind w:firstLine="1954"/>
    </w:pPr>
    <w:rPr>
      <w:rFonts w:ascii="Bookman Old Style" w:eastAsia="Times New Roman" w:hAnsi="Bookman Old Style"/>
      <w:lang w:val="en-US"/>
    </w:rPr>
  </w:style>
  <w:style w:type="paragraph" w:customStyle="1" w:styleId="Style53">
    <w:name w:val="Style53"/>
    <w:basedOn w:val="Normal"/>
    <w:rsid w:val="00B63C48"/>
    <w:pPr>
      <w:widowControl w:val="0"/>
      <w:autoSpaceDE w:val="0"/>
      <w:autoSpaceDN w:val="0"/>
      <w:adjustRightInd w:val="0"/>
      <w:spacing w:line="235" w:lineRule="exact"/>
      <w:ind w:firstLine="384"/>
      <w:jc w:val="both"/>
    </w:pPr>
    <w:rPr>
      <w:rFonts w:ascii="Bookman Old Style" w:eastAsia="Times New Roman" w:hAnsi="Bookman Old Style"/>
      <w:lang w:val="en-US"/>
    </w:rPr>
  </w:style>
  <w:style w:type="paragraph" w:customStyle="1" w:styleId="Style54">
    <w:name w:val="Style54"/>
    <w:basedOn w:val="Normal"/>
    <w:rsid w:val="00B63C48"/>
    <w:pPr>
      <w:widowControl w:val="0"/>
      <w:autoSpaceDE w:val="0"/>
      <w:autoSpaceDN w:val="0"/>
      <w:adjustRightInd w:val="0"/>
      <w:spacing w:line="144" w:lineRule="exact"/>
      <w:jc w:val="both"/>
    </w:pPr>
    <w:rPr>
      <w:rFonts w:ascii="Bookman Old Style" w:eastAsia="Times New Roman" w:hAnsi="Bookman Old Style"/>
      <w:lang w:val="en-US"/>
    </w:rPr>
  </w:style>
  <w:style w:type="paragraph" w:customStyle="1" w:styleId="Style56">
    <w:name w:val="Style56"/>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58">
    <w:name w:val="Font Style58"/>
    <w:rsid w:val="00B63C48"/>
    <w:rPr>
      <w:rFonts w:ascii="Bookman Old Style" w:hAnsi="Bookman Old Style" w:cs="Bookman Old Style"/>
      <w:b/>
      <w:bCs/>
      <w:sz w:val="18"/>
      <w:szCs w:val="18"/>
    </w:rPr>
  </w:style>
  <w:style w:type="character" w:customStyle="1" w:styleId="FontStyle59">
    <w:name w:val="Font Style59"/>
    <w:rsid w:val="00B63C48"/>
    <w:rPr>
      <w:rFonts w:ascii="Trebuchet MS" w:hAnsi="Trebuchet MS" w:cs="Trebuchet MS"/>
      <w:b/>
      <w:bCs/>
      <w:spacing w:val="20"/>
      <w:sz w:val="12"/>
      <w:szCs w:val="12"/>
    </w:rPr>
  </w:style>
  <w:style w:type="character" w:customStyle="1" w:styleId="FontStyle60">
    <w:name w:val="Font Style60"/>
    <w:rsid w:val="00B63C48"/>
    <w:rPr>
      <w:rFonts w:ascii="Times New Roman" w:hAnsi="Times New Roman" w:cs="Times New Roman"/>
      <w:sz w:val="12"/>
      <w:szCs w:val="12"/>
    </w:rPr>
  </w:style>
  <w:style w:type="character" w:customStyle="1" w:styleId="FontStyle61">
    <w:name w:val="Font Style61"/>
    <w:rsid w:val="00B63C48"/>
    <w:rPr>
      <w:rFonts w:ascii="Bookman Old Style" w:hAnsi="Bookman Old Style" w:cs="Bookman Old Style"/>
      <w:sz w:val="18"/>
      <w:szCs w:val="18"/>
    </w:rPr>
  </w:style>
  <w:style w:type="character" w:customStyle="1" w:styleId="FontStyle62">
    <w:name w:val="Font Style62"/>
    <w:rsid w:val="00B63C48"/>
    <w:rPr>
      <w:rFonts w:ascii="Bookman Old Style" w:hAnsi="Bookman Old Style" w:cs="Bookman Old Style"/>
      <w:sz w:val="10"/>
      <w:szCs w:val="10"/>
    </w:rPr>
  </w:style>
  <w:style w:type="character" w:customStyle="1" w:styleId="FontStyle63">
    <w:name w:val="Font Style63"/>
    <w:rsid w:val="00B63C48"/>
    <w:rPr>
      <w:rFonts w:ascii="Arial Narrow" w:hAnsi="Arial Narrow" w:cs="Arial Narrow"/>
      <w:b/>
      <w:bCs/>
      <w:sz w:val="12"/>
      <w:szCs w:val="12"/>
    </w:rPr>
  </w:style>
  <w:style w:type="character" w:customStyle="1" w:styleId="FontStyle64">
    <w:name w:val="Font Style64"/>
    <w:rsid w:val="00B63C48"/>
    <w:rPr>
      <w:rFonts w:ascii="Lucida Sans Unicode" w:hAnsi="Lucida Sans Unicode" w:cs="Lucida Sans Unicode"/>
      <w:i/>
      <w:iCs/>
      <w:spacing w:val="40"/>
      <w:sz w:val="24"/>
      <w:szCs w:val="24"/>
    </w:rPr>
  </w:style>
  <w:style w:type="character" w:customStyle="1" w:styleId="FontStyle65">
    <w:name w:val="Font Style65"/>
    <w:rsid w:val="00B63C48"/>
    <w:rPr>
      <w:rFonts w:ascii="Bookman Old Style" w:hAnsi="Bookman Old Style" w:cs="Bookman Old Style"/>
      <w:b/>
      <w:bCs/>
      <w:i/>
      <w:iCs/>
      <w:spacing w:val="-10"/>
      <w:sz w:val="18"/>
      <w:szCs w:val="18"/>
    </w:rPr>
  </w:style>
  <w:style w:type="character" w:customStyle="1" w:styleId="FontStyle66">
    <w:name w:val="Font Style66"/>
    <w:rsid w:val="00B63C48"/>
    <w:rPr>
      <w:rFonts w:ascii="Bookman Old Style" w:hAnsi="Bookman Old Style" w:cs="Bookman Old Style"/>
      <w:b/>
      <w:bCs/>
      <w:sz w:val="16"/>
      <w:szCs w:val="16"/>
    </w:rPr>
  </w:style>
  <w:style w:type="character" w:customStyle="1" w:styleId="FontStyle67">
    <w:name w:val="Font Style67"/>
    <w:rsid w:val="00B63C48"/>
    <w:rPr>
      <w:rFonts w:ascii="Bookman Old Style" w:hAnsi="Bookman Old Style" w:cs="Bookman Old Style"/>
      <w:b/>
      <w:bCs/>
      <w:sz w:val="18"/>
      <w:szCs w:val="18"/>
    </w:rPr>
  </w:style>
  <w:style w:type="character" w:customStyle="1" w:styleId="FontStyle68">
    <w:name w:val="Font Style68"/>
    <w:rsid w:val="00B63C48"/>
    <w:rPr>
      <w:rFonts w:ascii="Lucida Sans Unicode" w:hAnsi="Lucida Sans Unicode" w:cs="Lucida Sans Unicode"/>
      <w:b/>
      <w:bCs/>
      <w:sz w:val="22"/>
      <w:szCs w:val="22"/>
    </w:rPr>
  </w:style>
  <w:style w:type="character" w:customStyle="1" w:styleId="FontStyle69">
    <w:name w:val="Font Style69"/>
    <w:rsid w:val="00B63C48"/>
    <w:rPr>
      <w:rFonts w:ascii="Bookman Old Style" w:hAnsi="Bookman Old Style" w:cs="Bookman Old Style"/>
      <w:sz w:val="20"/>
      <w:szCs w:val="20"/>
    </w:rPr>
  </w:style>
  <w:style w:type="character" w:customStyle="1" w:styleId="FontStyle70">
    <w:name w:val="Font Style70"/>
    <w:rsid w:val="00B63C48"/>
    <w:rPr>
      <w:rFonts w:ascii="Lucida Sans Unicode" w:hAnsi="Lucida Sans Unicode" w:cs="Lucida Sans Unicode"/>
      <w:sz w:val="26"/>
      <w:szCs w:val="26"/>
    </w:rPr>
  </w:style>
  <w:style w:type="character" w:customStyle="1" w:styleId="FontStyle71">
    <w:name w:val="Font Style71"/>
    <w:rsid w:val="00B63C48"/>
    <w:rPr>
      <w:rFonts w:ascii="Bookman Old Style" w:hAnsi="Bookman Old Style" w:cs="Bookman Old Style"/>
      <w:sz w:val="20"/>
      <w:szCs w:val="20"/>
    </w:rPr>
  </w:style>
  <w:style w:type="character" w:customStyle="1" w:styleId="FontStyle72">
    <w:name w:val="Font Style72"/>
    <w:rsid w:val="00B63C48"/>
    <w:rPr>
      <w:rFonts w:ascii="Tahoma" w:hAnsi="Tahoma" w:cs="Tahoma"/>
      <w:b/>
      <w:bCs/>
      <w:i/>
      <w:iCs/>
      <w:sz w:val="12"/>
      <w:szCs w:val="12"/>
    </w:rPr>
  </w:style>
  <w:style w:type="character" w:customStyle="1" w:styleId="FontStyle73">
    <w:name w:val="Font Style73"/>
    <w:rsid w:val="00B63C48"/>
    <w:rPr>
      <w:rFonts w:ascii="Lucida Sans Unicode" w:hAnsi="Lucida Sans Unicode" w:cs="Lucida Sans Unicode"/>
      <w:sz w:val="10"/>
      <w:szCs w:val="10"/>
    </w:rPr>
  </w:style>
  <w:style w:type="character" w:customStyle="1" w:styleId="FontStyle74">
    <w:name w:val="Font Style74"/>
    <w:rsid w:val="00B63C48"/>
    <w:rPr>
      <w:rFonts w:ascii="Times New Roman" w:hAnsi="Times New Roman" w:cs="Times New Roman"/>
      <w:spacing w:val="10"/>
      <w:sz w:val="12"/>
      <w:szCs w:val="12"/>
    </w:rPr>
  </w:style>
  <w:style w:type="character" w:customStyle="1" w:styleId="FontStyle75">
    <w:name w:val="Font Style75"/>
    <w:rsid w:val="00B63C48"/>
    <w:rPr>
      <w:rFonts w:ascii="Lucida Sans Unicode" w:hAnsi="Lucida Sans Unicode" w:cs="Lucida Sans Unicode"/>
      <w:b/>
      <w:bCs/>
      <w:sz w:val="10"/>
      <w:szCs w:val="10"/>
    </w:rPr>
  </w:style>
  <w:style w:type="character" w:customStyle="1" w:styleId="FontStyle76">
    <w:name w:val="Font Style76"/>
    <w:rsid w:val="00B63C48"/>
    <w:rPr>
      <w:rFonts w:ascii="Arial Narrow" w:hAnsi="Arial Narrow" w:cs="Arial Narrow"/>
      <w:sz w:val="12"/>
      <w:szCs w:val="12"/>
    </w:rPr>
  </w:style>
  <w:style w:type="character" w:customStyle="1" w:styleId="FontStyle77">
    <w:name w:val="Font Style77"/>
    <w:rsid w:val="00B63C48"/>
    <w:rPr>
      <w:rFonts w:ascii="Bookman Old Style" w:hAnsi="Bookman Old Style" w:cs="Bookman Old Style"/>
      <w:sz w:val="16"/>
      <w:szCs w:val="16"/>
    </w:rPr>
  </w:style>
  <w:style w:type="character" w:customStyle="1" w:styleId="FontStyle78">
    <w:name w:val="Font Style78"/>
    <w:rsid w:val="00B63C48"/>
    <w:rPr>
      <w:rFonts w:ascii="Bookman Old Style" w:hAnsi="Bookman Old Style" w:cs="Bookman Old Style"/>
      <w:spacing w:val="-40"/>
      <w:sz w:val="38"/>
      <w:szCs w:val="38"/>
    </w:rPr>
  </w:style>
  <w:style w:type="character" w:customStyle="1" w:styleId="FontStyle79">
    <w:name w:val="Font Style79"/>
    <w:rsid w:val="00B63C48"/>
    <w:rPr>
      <w:rFonts w:ascii="Times New Roman" w:hAnsi="Times New Roman" w:cs="Times New Roman"/>
      <w:b/>
      <w:bCs/>
      <w:sz w:val="10"/>
      <w:szCs w:val="10"/>
    </w:rPr>
  </w:style>
  <w:style w:type="character" w:customStyle="1" w:styleId="FontStyle81">
    <w:name w:val="Font Style81"/>
    <w:rsid w:val="00B63C48"/>
    <w:rPr>
      <w:rFonts w:ascii="Bookman Old Style" w:hAnsi="Bookman Old Style" w:cs="Bookman Old Style"/>
      <w:b/>
      <w:bCs/>
      <w:sz w:val="16"/>
      <w:szCs w:val="16"/>
    </w:rPr>
  </w:style>
  <w:style w:type="character" w:customStyle="1" w:styleId="FontStyle82">
    <w:name w:val="Font Style82"/>
    <w:rsid w:val="00B63C48"/>
    <w:rPr>
      <w:rFonts w:ascii="Lucida Sans Unicode" w:hAnsi="Lucida Sans Unicode" w:cs="Lucida Sans Unicode"/>
      <w:spacing w:val="-20"/>
      <w:sz w:val="22"/>
      <w:szCs w:val="22"/>
    </w:rPr>
  </w:style>
  <w:style w:type="character" w:customStyle="1" w:styleId="FontStyle83">
    <w:name w:val="Font Style83"/>
    <w:rsid w:val="00B63C48"/>
    <w:rPr>
      <w:rFonts w:ascii="Bookman Old Style" w:hAnsi="Bookman Old Style" w:cs="Bookman Old Style"/>
      <w:spacing w:val="10"/>
      <w:sz w:val="14"/>
      <w:szCs w:val="14"/>
    </w:rPr>
  </w:style>
  <w:style w:type="character" w:customStyle="1" w:styleId="FontStyle84">
    <w:name w:val="Font Style84"/>
    <w:rsid w:val="00B63C48"/>
    <w:rPr>
      <w:rFonts w:ascii="Bookman Old Style" w:hAnsi="Bookman Old Style" w:cs="Bookman Old Style"/>
      <w:i/>
      <w:iCs/>
      <w:spacing w:val="10"/>
      <w:sz w:val="18"/>
      <w:szCs w:val="18"/>
    </w:rPr>
  </w:style>
  <w:style w:type="character" w:customStyle="1" w:styleId="FontStyle85">
    <w:name w:val="Font Style85"/>
    <w:rsid w:val="00B63C48"/>
    <w:rPr>
      <w:rFonts w:ascii="Lucida Sans Unicode" w:hAnsi="Lucida Sans Unicode" w:cs="Lucida Sans Unicode"/>
      <w:b/>
      <w:bCs/>
      <w:spacing w:val="20"/>
      <w:sz w:val="22"/>
      <w:szCs w:val="22"/>
    </w:rPr>
  </w:style>
  <w:style w:type="character" w:customStyle="1" w:styleId="FontStyle86">
    <w:name w:val="Font Style86"/>
    <w:rsid w:val="00B63C48"/>
    <w:rPr>
      <w:rFonts w:ascii="Lucida Sans Unicode" w:hAnsi="Lucida Sans Unicode" w:cs="Lucida Sans Unicode"/>
      <w:sz w:val="18"/>
      <w:szCs w:val="18"/>
    </w:rPr>
  </w:style>
  <w:style w:type="character" w:customStyle="1" w:styleId="FontStyle87">
    <w:name w:val="Font Style87"/>
    <w:rsid w:val="00B63C48"/>
    <w:rPr>
      <w:rFonts w:ascii="Times New Roman" w:hAnsi="Times New Roman" w:cs="Times New Roman"/>
      <w:spacing w:val="20"/>
      <w:sz w:val="14"/>
      <w:szCs w:val="14"/>
    </w:rPr>
  </w:style>
  <w:style w:type="character" w:customStyle="1" w:styleId="FontStyle88">
    <w:name w:val="Font Style88"/>
    <w:rsid w:val="00B63C48"/>
    <w:rPr>
      <w:rFonts w:ascii="Times New Roman" w:hAnsi="Times New Roman" w:cs="Times New Roman"/>
      <w:spacing w:val="20"/>
      <w:sz w:val="24"/>
      <w:szCs w:val="24"/>
    </w:rPr>
  </w:style>
  <w:style w:type="character" w:customStyle="1" w:styleId="FontStyle89">
    <w:name w:val="Font Style89"/>
    <w:rsid w:val="00B63C48"/>
    <w:rPr>
      <w:rFonts w:ascii="Lucida Sans Unicode" w:hAnsi="Lucida Sans Unicode" w:cs="Lucida Sans Unicode"/>
      <w:sz w:val="22"/>
      <w:szCs w:val="22"/>
    </w:rPr>
  </w:style>
  <w:style w:type="character" w:customStyle="1" w:styleId="FontStyle90">
    <w:name w:val="Font Style90"/>
    <w:rsid w:val="00B63C48"/>
    <w:rPr>
      <w:rFonts w:ascii="Bookman Old Style" w:hAnsi="Bookman Old Style" w:cs="Bookman Old Style"/>
      <w:sz w:val="22"/>
      <w:szCs w:val="22"/>
    </w:rPr>
  </w:style>
  <w:style w:type="character" w:customStyle="1" w:styleId="FontStyle91">
    <w:name w:val="Font Style91"/>
    <w:rsid w:val="00B63C48"/>
    <w:rPr>
      <w:rFonts w:ascii="Times New Roman" w:hAnsi="Times New Roman" w:cs="Times New Roman"/>
      <w:spacing w:val="10"/>
      <w:sz w:val="8"/>
      <w:szCs w:val="8"/>
    </w:rPr>
  </w:style>
  <w:style w:type="character" w:customStyle="1" w:styleId="FontStyle92">
    <w:name w:val="Font Style92"/>
    <w:rsid w:val="00B63C48"/>
    <w:rPr>
      <w:rFonts w:ascii="Lucida Sans Unicode" w:hAnsi="Lucida Sans Unicode" w:cs="Lucida Sans Unicode"/>
      <w:sz w:val="18"/>
      <w:szCs w:val="18"/>
    </w:rPr>
  </w:style>
  <w:style w:type="character" w:customStyle="1" w:styleId="FontStyle94">
    <w:name w:val="Font Style94"/>
    <w:rsid w:val="00B63C48"/>
    <w:rPr>
      <w:rFonts w:ascii="Bookman Old Style" w:hAnsi="Bookman Old Style" w:cs="Bookman Old Style"/>
      <w:i/>
      <w:iCs/>
      <w:sz w:val="18"/>
      <w:szCs w:val="18"/>
    </w:rPr>
  </w:style>
  <w:style w:type="character" w:customStyle="1" w:styleId="FontStyle95">
    <w:name w:val="Font Style95"/>
    <w:rsid w:val="00B63C48"/>
    <w:rPr>
      <w:rFonts w:ascii="Arial Narrow" w:hAnsi="Arial Narrow" w:cs="Arial Narrow"/>
      <w:sz w:val="28"/>
      <w:szCs w:val="28"/>
    </w:rPr>
  </w:style>
  <w:style w:type="character" w:customStyle="1" w:styleId="FontStyle101">
    <w:name w:val="Font Style101"/>
    <w:rsid w:val="00B63C48"/>
    <w:rPr>
      <w:rFonts w:ascii="Bookman Old Style" w:hAnsi="Bookman Old Style" w:cs="Bookman Old Style"/>
      <w:sz w:val="24"/>
      <w:szCs w:val="24"/>
    </w:rPr>
  </w:style>
  <w:style w:type="character" w:customStyle="1" w:styleId="FontStyle107">
    <w:name w:val="Font Style107"/>
    <w:rsid w:val="00B63C48"/>
    <w:rPr>
      <w:rFonts w:ascii="Bookman Old Style" w:hAnsi="Bookman Old Style" w:cs="Bookman Old Style"/>
      <w:b/>
      <w:bCs/>
      <w:sz w:val="16"/>
      <w:szCs w:val="16"/>
    </w:rPr>
  </w:style>
  <w:style w:type="character" w:customStyle="1" w:styleId="FontStyle105">
    <w:name w:val="Font Style105"/>
    <w:rsid w:val="00B63C48"/>
    <w:rPr>
      <w:rFonts w:ascii="Georgia" w:hAnsi="Georgia" w:cs="Georgia"/>
      <w:sz w:val="14"/>
      <w:szCs w:val="14"/>
    </w:rPr>
  </w:style>
  <w:style w:type="character" w:customStyle="1" w:styleId="FontStyle106">
    <w:name w:val="Font Style106"/>
    <w:rsid w:val="00B63C48"/>
    <w:rPr>
      <w:rFonts w:ascii="Times New Roman" w:hAnsi="Times New Roman" w:cs="Times New Roman"/>
      <w:spacing w:val="10"/>
      <w:sz w:val="12"/>
      <w:szCs w:val="12"/>
    </w:rPr>
  </w:style>
  <w:style w:type="character" w:customStyle="1" w:styleId="FontStyle110">
    <w:name w:val="Font Style110"/>
    <w:rsid w:val="00B63C48"/>
    <w:rPr>
      <w:rFonts w:ascii="Bookman Old Style" w:hAnsi="Bookman Old Style" w:cs="Bookman Old Style"/>
      <w:i/>
      <w:iCs/>
      <w:sz w:val="16"/>
      <w:szCs w:val="16"/>
    </w:rPr>
  </w:style>
  <w:style w:type="character" w:customStyle="1" w:styleId="FontStyle128">
    <w:name w:val="Font Style128"/>
    <w:rsid w:val="00B63C48"/>
    <w:rPr>
      <w:rFonts w:ascii="Bookman Old Style" w:hAnsi="Bookman Old Style" w:cs="Bookman Old Style"/>
      <w:b/>
      <w:bCs/>
      <w:spacing w:val="10"/>
      <w:sz w:val="8"/>
      <w:szCs w:val="8"/>
    </w:rPr>
  </w:style>
  <w:style w:type="character" w:customStyle="1" w:styleId="FontStyle108">
    <w:name w:val="Font Style108"/>
    <w:rsid w:val="00B63C48"/>
    <w:rPr>
      <w:rFonts w:ascii="Trebuchet MS" w:hAnsi="Trebuchet MS" w:cs="Trebuchet MS"/>
      <w:spacing w:val="-10"/>
      <w:sz w:val="14"/>
      <w:szCs w:val="14"/>
    </w:rPr>
  </w:style>
  <w:style w:type="character" w:customStyle="1" w:styleId="FontStyle156">
    <w:name w:val="Font Style156"/>
    <w:rsid w:val="00B63C48"/>
    <w:rPr>
      <w:rFonts w:ascii="Bookman Old Style" w:hAnsi="Bookman Old Style" w:cs="Bookman Old Style"/>
      <w:sz w:val="14"/>
      <w:szCs w:val="14"/>
    </w:rPr>
  </w:style>
  <w:style w:type="character" w:customStyle="1" w:styleId="FontStyle109">
    <w:name w:val="Font Style109"/>
    <w:rsid w:val="00B63C48"/>
    <w:rPr>
      <w:rFonts w:ascii="Bookman Old Style" w:hAnsi="Bookman Old Style" w:cs="Bookman Old Style"/>
      <w:smallCaps/>
      <w:sz w:val="24"/>
      <w:szCs w:val="24"/>
    </w:rPr>
  </w:style>
  <w:style w:type="paragraph" w:customStyle="1" w:styleId="Style62">
    <w:name w:val="Style6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63">
    <w:name w:val="Style63"/>
    <w:basedOn w:val="Normal"/>
    <w:rsid w:val="00B63C48"/>
    <w:pPr>
      <w:widowControl w:val="0"/>
      <w:autoSpaceDE w:val="0"/>
      <w:autoSpaceDN w:val="0"/>
      <w:adjustRightInd w:val="0"/>
      <w:spacing w:line="221" w:lineRule="exact"/>
      <w:ind w:hanging="686"/>
    </w:pPr>
    <w:rPr>
      <w:rFonts w:ascii="Bookman Old Style" w:eastAsia="Times New Roman" w:hAnsi="Bookman Old Style"/>
      <w:lang w:val="en-US"/>
    </w:rPr>
  </w:style>
  <w:style w:type="paragraph" w:customStyle="1" w:styleId="Style61">
    <w:name w:val="Style61"/>
    <w:basedOn w:val="Normal"/>
    <w:rsid w:val="00B63C48"/>
    <w:pPr>
      <w:widowControl w:val="0"/>
      <w:autoSpaceDE w:val="0"/>
      <w:autoSpaceDN w:val="0"/>
      <w:adjustRightInd w:val="0"/>
      <w:spacing w:line="242" w:lineRule="exact"/>
      <w:ind w:firstLine="456"/>
      <w:jc w:val="both"/>
    </w:pPr>
    <w:rPr>
      <w:rFonts w:ascii="Bookman Old Style" w:eastAsia="Times New Roman" w:hAnsi="Bookman Old Style"/>
      <w:lang w:val="en-US"/>
    </w:rPr>
  </w:style>
  <w:style w:type="paragraph" w:customStyle="1" w:styleId="Style64">
    <w:name w:val="Style64"/>
    <w:basedOn w:val="Normal"/>
    <w:rsid w:val="00B63C48"/>
    <w:pPr>
      <w:widowControl w:val="0"/>
      <w:autoSpaceDE w:val="0"/>
      <w:autoSpaceDN w:val="0"/>
      <w:adjustRightInd w:val="0"/>
      <w:spacing w:line="245" w:lineRule="exact"/>
      <w:ind w:firstLine="456"/>
      <w:jc w:val="both"/>
    </w:pPr>
    <w:rPr>
      <w:rFonts w:ascii="Bookman Old Style" w:eastAsia="Times New Roman" w:hAnsi="Bookman Old Style"/>
      <w:lang w:val="en-US"/>
    </w:rPr>
  </w:style>
  <w:style w:type="character" w:customStyle="1" w:styleId="FontStyle112">
    <w:name w:val="Font Style112"/>
    <w:rsid w:val="00B63C48"/>
    <w:rPr>
      <w:rFonts w:ascii="Bookman Old Style" w:hAnsi="Bookman Old Style" w:cs="Bookman Old Style"/>
      <w:sz w:val="18"/>
      <w:szCs w:val="18"/>
    </w:rPr>
  </w:style>
  <w:style w:type="character" w:customStyle="1" w:styleId="FontStyle127">
    <w:name w:val="Font Style127"/>
    <w:rsid w:val="00B63C48"/>
    <w:rPr>
      <w:rFonts w:ascii="Bookman Old Style" w:hAnsi="Bookman Old Style" w:cs="Bookman Old Style"/>
      <w:i/>
      <w:iCs/>
      <w:sz w:val="8"/>
      <w:szCs w:val="8"/>
    </w:rPr>
  </w:style>
  <w:style w:type="paragraph" w:customStyle="1" w:styleId="Style79">
    <w:name w:val="Style7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69">
    <w:name w:val="Style69"/>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1">
    <w:name w:val="Style7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3">
    <w:name w:val="Style73"/>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18">
    <w:name w:val="Font Style118"/>
    <w:rsid w:val="00B63C48"/>
    <w:rPr>
      <w:rFonts w:ascii="Franklin Gothic Medium" w:hAnsi="Franklin Gothic Medium" w:cs="Franklin Gothic Medium"/>
      <w:b/>
      <w:bCs/>
      <w:sz w:val="12"/>
      <w:szCs w:val="12"/>
    </w:rPr>
  </w:style>
  <w:style w:type="character" w:customStyle="1" w:styleId="FontStyle149">
    <w:name w:val="Font Style149"/>
    <w:rsid w:val="00B63C48"/>
    <w:rPr>
      <w:rFonts w:ascii="Trebuchet MS" w:hAnsi="Trebuchet MS" w:cs="Trebuchet MS"/>
      <w:i/>
      <w:iCs/>
      <w:sz w:val="12"/>
      <w:szCs w:val="12"/>
    </w:rPr>
  </w:style>
  <w:style w:type="paragraph" w:customStyle="1" w:styleId="Style68">
    <w:name w:val="Style68"/>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38">
    <w:name w:val="Font Style138"/>
    <w:rsid w:val="00B63C48"/>
    <w:rPr>
      <w:rFonts w:ascii="Bookman Old Style" w:hAnsi="Bookman Old Style" w:cs="Bookman Old Style"/>
      <w:sz w:val="16"/>
      <w:szCs w:val="16"/>
    </w:rPr>
  </w:style>
  <w:style w:type="paragraph" w:customStyle="1" w:styleId="Style60">
    <w:name w:val="Style60"/>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39">
    <w:name w:val="Font Style139"/>
    <w:rsid w:val="00B63C48"/>
    <w:rPr>
      <w:rFonts w:ascii="Bookman Old Style" w:hAnsi="Bookman Old Style" w:cs="Bookman Old Style"/>
      <w:sz w:val="20"/>
      <w:szCs w:val="20"/>
    </w:rPr>
  </w:style>
  <w:style w:type="character" w:customStyle="1" w:styleId="FontStyle144">
    <w:name w:val="Font Style144"/>
    <w:rsid w:val="00B63C48"/>
    <w:rPr>
      <w:rFonts w:ascii="Bookman Old Style" w:hAnsi="Bookman Old Style" w:cs="Bookman Old Style"/>
      <w:spacing w:val="10"/>
      <w:sz w:val="20"/>
      <w:szCs w:val="20"/>
    </w:rPr>
  </w:style>
  <w:style w:type="paragraph" w:customStyle="1" w:styleId="Style59">
    <w:name w:val="Style59"/>
    <w:basedOn w:val="Normal"/>
    <w:rsid w:val="00B63C48"/>
    <w:pPr>
      <w:widowControl w:val="0"/>
      <w:autoSpaceDE w:val="0"/>
      <w:autoSpaceDN w:val="0"/>
      <w:adjustRightInd w:val="0"/>
      <w:jc w:val="both"/>
    </w:pPr>
    <w:rPr>
      <w:rFonts w:ascii="Bookman Old Style" w:eastAsia="Times New Roman" w:hAnsi="Bookman Old Style"/>
      <w:lang w:val="en-US"/>
    </w:rPr>
  </w:style>
  <w:style w:type="character" w:customStyle="1" w:styleId="FontStyle126">
    <w:name w:val="Font Style126"/>
    <w:rsid w:val="00B63C48"/>
    <w:rPr>
      <w:rFonts w:ascii="Trebuchet MS" w:hAnsi="Trebuchet MS" w:cs="Trebuchet MS"/>
      <w:b/>
      <w:bCs/>
      <w:sz w:val="20"/>
      <w:szCs w:val="20"/>
    </w:rPr>
  </w:style>
  <w:style w:type="character" w:customStyle="1" w:styleId="FontStyle150">
    <w:name w:val="Font Style150"/>
    <w:rsid w:val="00B63C48"/>
    <w:rPr>
      <w:rFonts w:ascii="Bookman Old Style" w:hAnsi="Bookman Old Style" w:cs="Bookman Old Style"/>
      <w:sz w:val="18"/>
      <w:szCs w:val="18"/>
    </w:rPr>
  </w:style>
  <w:style w:type="character" w:customStyle="1" w:styleId="FontStyle154">
    <w:name w:val="Font Style154"/>
    <w:rsid w:val="00B63C48"/>
    <w:rPr>
      <w:rFonts w:ascii="Bookman Old Style" w:hAnsi="Bookman Old Style" w:cs="Bookman Old Style"/>
      <w:sz w:val="16"/>
      <w:szCs w:val="16"/>
    </w:rPr>
  </w:style>
  <w:style w:type="character" w:customStyle="1" w:styleId="FontStyle120">
    <w:name w:val="Font Style120"/>
    <w:rsid w:val="00B63C48"/>
    <w:rPr>
      <w:rFonts w:ascii="Bookman Old Style" w:hAnsi="Bookman Old Style" w:cs="Bookman Old Style"/>
      <w:b/>
      <w:bCs/>
      <w:i/>
      <w:iCs/>
      <w:sz w:val="18"/>
      <w:szCs w:val="18"/>
    </w:rPr>
  </w:style>
  <w:style w:type="paragraph" w:customStyle="1" w:styleId="Style91">
    <w:name w:val="Style91"/>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58">
    <w:name w:val="Font Style158"/>
    <w:rsid w:val="00B63C48"/>
    <w:rPr>
      <w:rFonts w:ascii="Bookman Old Style" w:hAnsi="Bookman Old Style" w:cs="Bookman Old Style"/>
      <w:sz w:val="18"/>
      <w:szCs w:val="18"/>
    </w:rPr>
  </w:style>
  <w:style w:type="character" w:customStyle="1" w:styleId="FontStyle160">
    <w:name w:val="Font Style160"/>
    <w:rsid w:val="00B63C48"/>
    <w:rPr>
      <w:rFonts w:ascii="Bookman Old Style" w:hAnsi="Bookman Old Style" w:cs="Bookman Old Style"/>
      <w:sz w:val="16"/>
      <w:szCs w:val="16"/>
    </w:rPr>
  </w:style>
  <w:style w:type="character" w:customStyle="1" w:styleId="FontStyle100">
    <w:name w:val="Font Style100"/>
    <w:rsid w:val="00B63C48"/>
    <w:rPr>
      <w:rFonts w:ascii="Bookman Old Style" w:hAnsi="Bookman Old Style" w:cs="Bookman Old Style"/>
      <w:b/>
      <w:bCs/>
      <w:sz w:val="18"/>
      <w:szCs w:val="18"/>
    </w:rPr>
  </w:style>
  <w:style w:type="character" w:customStyle="1" w:styleId="FontStyle119">
    <w:name w:val="Font Style119"/>
    <w:rsid w:val="00B63C48"/>
    <w:rPr>
      <w:rFonts w:ascii="Bookman Old Style" w:hAnsi="Bookman Old Style" w:cs="Bookman Old Style"/>
      <w:sz w:val="16"/>
      <w:szCs w:val="16"/>
    </w:rPr>
  </w:style>
  <w:style w:type="character" w:customStyle="1" w:styleId="FontStyle99">
    <w:name w:val="Font Style99"/>
    <w:rsid w:val="00B63C48"/>
    <w:rPr>
      <w:rFonts w:ascii="Times New Roman" w:hAnsi="Times New Roman" w:cs="Times New Roman"/>
      <w:sz w:val="20"/>
      <w:szCs w:val="20"/>
    </w:rPr>
  </w:style>
  <w:style w:type="character" w:customStyle="1" w:styleId="FontStyle122">
    <w:name w:val="Font Style122"/>
    <w:rsid w:val="00B63C48"/>
    <w:rPr>
      <w:rFonts w:ascii="Arial" w:hAnsi="Arial" w:cs="Arial"/>
      <w:b/>
      <w:bCs/>
      <w:spacing w:val="30"/>
      <w:sz w:val="16"/>
      <w:szCs w:val="16"/>
    </w:rPr>
  </w:style>
  <w:style w:type="character" w:customStyle="1" w:styleId="FontStyle124">
    <w:name w:val="Font Style124"/>
    <w:rsid w:val="00B63C48"/>
    <w:rPr>
      <w:rFonts w:ascii="Arial" w:hAnsi="Arial" w:cs="Arial"/>
      <w:sz w:val="20"/>
      <w:szCs w:val="20"/>
    </w:rPr>
  </w:style>
  <w:style w:type="character" w:customStyle="1" w:styleId="FontStyle125">
    <w:name w:val="Font Style125"/>
    <w:rsid w:val="00B63C48"/>
    <w:rPr>
      <w:rFonts w:ascii="Bookman Old Style" w:hAnsi="Bookman Old Style" w:cs="Bookman Old Style"/>
      <w:b/>
      <w:bCs/>
      <w:sz w:val="10"/>
      <w:szCs w:val="10"/>
    </w:rPr>
  </w:style>
  <w:style w:type="character" w:customStyle="1" w:styleId="FontStyle121">
    <w:name w:val="Font Style121"/>
    <w:rsid w:val="00B63C48"/>
    <w:rPr>
      <w:rFonts w:ascii="Bookman Old Style" w:hAnsi="Bookman Old Style" w:cs="Bookman Old Style"/>
      <w:sz w:val="16"/>
      <w:szCs w:val="16"/>
    </w:rPr>
  </w:style>
  <w:style w:type="paragraph" w:customStyle="1" w:styleId="Style70">
    <w:name w:val="Style70"/>
    <w:basedOn w:val="Normal"/>
    <w:rsid w:val="00B63C48"/>
    <w:pPr>
      <w:widowControl w:val="0"/>
      <w:autoSpaceDE w:val="0"/>
      <w:autoSpaceDN w:val="0"/>
      <w:adjustRightInd w:val="0"/>
      <w:spacing w:line="240" w:lineRule="exact"/>
      <w:ind w:firstLine="418"/>
      <w:jc w:val="both"/>
    </w:pPr>
    <w:rPr>
      <w:rFonts w:ascii="Bookman Old Style" w:eastAsia="Times New Roman" w:hAnsi="Bookman Old Style"/>
      <w:lang w:val="en-US"/>
    </w:rPr>
  </w:style>
  <w:style w:type="paragraph" w:customStyle="1" w:styleId="Style72">
    <w:name w:val="Style72"/>
    <w:basedOn w:val="Normal"/>
    <w:rsid w:val="00B63C48"/>
    <w:pPr>
      <w:widowControl w:val="0"/>
      <w:autoSpaceDE w:val="0"/>
      <w:autoSpaceDN w:val="0"/>
      <w:adjustRightInd w:val="0"/>
      <w:spacing w:line="264" w:lineRule="exact"/>
      <w:ind w:firstLine="422"/>
      <w:jc w:val="both"/>
    </w:pPr>
    <w:rPr>
      <w:rFonts w:ascii="Bookman Old Style" w:eastAsia="Times New Roman" w:hAnsi="Bookman Old Style"/>
      <w:lang w:val="en-US"/>
    </w:rPr>
  </w:style>
  <w:style w:type="character" w:customStyle="1" w:styleId="FontStyle113">
    <w:name w:val="Font Style113"/>
    <w:rsid w:val="00B63C48"/>
    <w:rPr>
      <w:rFonts w:ascii="Bookman Old Style" w:hAnsi="Bookman Old Style" w:cs="Bookman Old Style"/>
      <w:i/>
      <w:iCs/>
      <w:spacing w:val="10"/>
      <w:sz w:val="14"/>
      <w:szCs w:val="14"/>
    </w:rPr>
  </w:style>
  <w:style w:type="character" w:customStyle="1" w:styleId="FontStyle145">
    <w:name w:val="Font Style145"/>
    <w:rsid w:val="00B63C48"/>
    <w:rPr>
      <w:rFonts w:ascii="Bookman Old Style" w:hAnsi="Bookman Old Style" w:cs="Bookman Old Style"/>
      <w:b/>
      <w:bCs/>
      <w:sz w:val="14"/>
      <w:szCs w:val="14"/>
    </w:rPr>
  </w:style>
  <w:style w:type="character" w:customStyle="1" w:styleId="FontStyle143">
    <w:name w:val="Font Style143"/>
    <w:rsid w:val="00B63C48"/>
    <w:rPr>
      <w:rFonts w:ascii="Arial" w:hAnsi="Arial" w:cs="Arial"/>
      <w:sz w:val="14"/>
      <w:szCs w:val="14"/>
    </w:rPr>
  </w:style>
  <w:style w:type="paragraph" w:customStyle="1" w:styleId="Style80">
    <w:name w:val="Style80"/>
    <w:basedOn w:val="Normal"/>
    <w:rsid w:val="00B63C48"/>
    <w:pPr>
      <w:widowControl w:val="0"/>
      <w:autoSpaceDE w:val="0"/>
      <w:autoSpaceDN w:val="0"/>
      <w:adjustRightInd w:val="0"/>
      <w:spacing w:line="350" w:lineRule="exact"/>
      <w:ind w:hanging="451"/>
    </w:pPr>
    <w:rPr>
      <w:rFonts w:ascii="Bookman Old Style" w:eastAsia="Times New Roman" w:hAnsi="Bookman Old Style"/>
      <w:lang w:val="en-US"/>
    </w:rPr>
  </w:style>
  <w:style w:type="paragraph" w:customStyle="1" w:styleId="Style82">
    <w:name w:val="Style82"/>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4">
    <w:name w:val="Style84"/>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48">
    <w:name w:val="Font Style148"/>
    <w:rsid w:val="00B63C48"/>
    <w:rPr>
      <w:rFonts w:ascii="Bookman Old Style" w:hAnsi="Bookman Old Style" w:cs="Bookman Old Style"/>
      <w:b/>
      <w:bCs/>
      <w:sz w:val="8"/>
      <w:szCs w:val="8"/>
    </w:rPr>
  </w:style>
  <w:style w:type="character" w:customStyle="1" w:styleId="FontStyle161">
    <w:name w:val="Font Style161"/>
    <w:rsid w:val="00B63C48"/>
    <w:rPr>
      <w:rFonts w:ascii="Arial" w:hAnsi="Arial" w:cs="Arial"/>
      <w:sz w:val="18"/>
      <w:szCs w:val="18"/>
    </w:rPr>
  </w:style>
  <w:style w:type="paragraph" w:customStyle="1" w:styleId="Style92">
    <w:name w:val="Style92"/>
    <w:basedOn w:val="Normal"/>
    <w:rsid w:val="00B63C48"/>
    <w:pPr>
      <w:widowControl w:val="0"/>
      <w:autoSpaceDE w:val="0"/>
      <w:autoSpaceDN w:val="0"/>
      <w:adjustRightInd w:val="0"/>
    </w:pPr>
    <w:rPr>
      <w:rFonts w:ascii="Bookman Old Style" w:eastAsia="Times New Roman" w:hAnsi="Bookman Old Style"/>
      <w:lang w:val="en-US"/>
    </w:rPr>
  </w:style>
  <w:style w:type="character" w:customStyle="1" w:styleId="FontStyle152">
    <w:name w:val="Font Style152"/>
    <w:rsid w:val="00B63C48"/>
    <w:rPr>
      <w:rFonts w:ascii="Bookman Old Style" w:hAnsi="Bookman Old Style" w:cs="Bookman Old Style"/>
      <w:sz w:val="10"/>
      <w:szCs w:val="10"/>
    </w:rPr>
  </w:style>
  <w:style w:type="paragraph" w:customStyle="1" w:styleId="Style65">
    <w:name w:val="Style6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7">
    <w:name w:val="Style7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7">
    <w:name w:val="Style87"/>
    <w:basedOn w:val="Normal"/>
    <w:rsid w:val="00B63C48"/>
    <w:pPr>
      <w:widowControl w:val="0"/>
      <w:autoSpaceDE w:val="0"/>
      <w:autoSpaceDN w:val="0"/>
      <w:adjustRightInd w:val="0"/>
      <w:spacing w:line="254" w:lineRule="exact"/>
      <w:ind w:firstLine="629"/>
    </w:pPr>
    <w:rPr>
      <w:rFonts w:ascii="Bookman Old Style" w:eastAsia="Times New Roman" w:hAnsi="Bookman Old Style"/>
      <w:lang w:val="en-US"/>
    </w:rPr>
  </w:style>
  <w:style w:type="paragraph" w:customStyle="1" w:styleId="Style94">
    <w:name w:val="Style94"/>
    <w:basedOn w:val="Normal"/>
    <w:rsid w:val="00B63C48"/>
    <w:pPr>
      <w:widowControl w:val="0"/>
      <w:autoSpaceDE w:val="0"/>
      <w:autoSpaceDN w:val="0"/>
      <w:adjustRightInd w:val="0"/>
      <w:spacing w:line="238" w:lineRule="exact"/>
      <w:ind w:hanging="706"/>
      <w:jc w:val="both"/>
    </w:pPr>
    <w:rPr>
      <w:rFonts w:ascii="Bookman Old Style" w:eastAsia="Times New Roman" w:hAnsi="Bookman Old Style"/>
      <w:lang w:val="en-US"/>
    </w:rPr>
  </w:style>
  <w:style w:type="character" w:customStyle="1" w:styleId="FontStyle117">
    <w:name w:val="Font Style117"/>
    <w:rsid w:val="00B63C48"/>
    <w:rPr>
      <w:rFonts w:ascii="Bookman Old Style" w:hAnsi="Bookman Old Style" w:cs="Bookman Old Style"/>
      <w:sz w:val="10"/>
      <w:szCs w:val="10"/>
    </w:rPr>
  </w:style>
  <w:style w:type="character" w:customStyle="1" w:styleId="FontStyle140">
    <w:name w:val="Font Style140"/>
    <w:rsid w:val="00B63C48"/>
    <w:rPr>
      <w:rFonts w:ascii="Century Gothic" w:hAnsi="Century Gothic" w:cs="Century Gothic"/>
      <w:b/>
      <w:bCs/>
      <w:sz w:val="12"/>
      <w:szCs w:val="12"/>
    </w:rPr>
  </w:style>
  <w:style w:type="character" w:customStyle="1" w:styleId="FontStyle141">
    <w:name w:val="Font Style141"/>
    <w:rsid w:val="00B63C48"/>
    <w:rPr>
      <w:rFonts w:ascii="Impact" w:hAnsi="Impact" w:cs="Impact"/>
      <w:sz w:val="10"/>
      <w:szCs w:val="10"/>
    </w:rPr>
  </w:style>
  <w:style w:type="paragraph" w:customStyle="1" w:styleId="Style76">
    <w:name w:val="Style7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78">
    <w:name w:val="Style78"/>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1">
    <w:name w:val="Style81"/>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8">
    <w:name w:val="Style88"/>
    <w:basedOn w:val="Normal"/>
    <w:rsid w:val="00B63C48"/>
    <w:pPr>
      <w:widowControl w:val="0"/>
      <w:autoSpaceDE w:val="0"/>
      <w:autoSpaceDN w:val="0"/>
      <w:adjustRightInd w:val="0"/>
      <w:spacing w:line="221" w:lineRule="exact"/>
      <w:ind w:hanging="110"/>
      <w:jc w:val="both"/>
    </w:pPr>
    <w:rPr>
      <w:rFonts w:ascii="Bookman Old Style" w:eastAsia="Times New Roman" w:hAnsi="Bookman Old Style"/>
      <w:lang w:val="en-US"/>
    </w:rPr>
  </w:style>
  <w:style w:type="character" w:customStyle="1" w:styleId="FontStyle146">
    <w:name w:val="Font Style146"/>
    <w:rsid w:val="00B63C48"/>
    <w:rPr>
      <w:rFonts w:ascii="Bookman Old Style" w:hAnsi="Bookman Old Style" w:cs="Bookman Old Style"/>
      <w:i/>
      <w:iCs/>
      <w:sz w:val="20"/>
      <w:szCs w:val="20"/>
    </w:rPr>
  </w:style>
  <w:style w:type="character" w:customStyle="1" w:styleId="FontStyle147">
    <w:name w:val="Font Style147"/>
    <w:rsid w:val="00B63C48"/>
    <w:rPr>
      <w:rFonts w:ascii="Bookman Old Style" w:hAnsi="Bookman Old Style" w:cs="Bookman Old Style"/>
      <w:spacing w:val="10"/>
      <w:sz w:val="10"/>
      <w:szCs w:val="10"/>
    </w:rPr>
  </w:style>
  <w:style w:type="paragraph" w:customStyle="1" w:styleId="Style58">
    <w:name w:val="Style58"/>
    <w:basedOn w:val="Normal"/>
    <w:rsid w:val="00B63C48"/>
    <w:pPr>
      <w:widowControl w:val="0"/>
      <w:autoSpaceDE w:val="0"/>
      <w:autoSpaceDN w:val="0"/>
      <w:adjustRightInd w:val="0"/>
      <w:spacing w:line="202" w:lineRule="exact"/>
      <w:ind w:firstLine="154"/>
    </w:pPr>
    <w:rPr>
      <w:rFonts w:ascii="Bookman Old Style" w:eastAsia="Times New Roman" w:hAnsi="Bookman Old Style"/>
      <w:lang w:val="en-US"/>
    </w:rPr>
  </w:style>
  <w:style w:type="paragraph" w:customStyle="1" w:styleId="Style67">
    <w:name w:val="Style67"/>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83">
    <w:name w:val="Style83"/>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95">
    <w:name w:val="Style95"/>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96">
    <w:name w:val="Style96"/>
    <w:basedOn w:val="Normal"/>
    <w:rsid w:val="00B63C48"/>
    <w:pPr>
      <w:widowControl w:val="0"/>
      <w:autoSpaceDE w:val="0"/>
      <w:autoSpaceDN w:val="0"/>
      <w:adjustRightInd w:val="0"/>
      <w:spacing w:line="360" w:lineRule="exact"/>
    </w:pPr>
    <w:rPr>
      <w:rFonts w:ascii="Bookman Old Style" w:eastAsia="Times New Roman" w:hAnsi="Bookman Old Style"/>
      <w:lang w:val="en-US"/>
    </w:rPr>
  </w:style>
  <w:style w:type="paragraph" w:customStyle="1" w:styleId="Style97">
    <w:name w:val="Style97"/>
    <w:basedOn w:val="Normal"/>
    <w:rsid w:val="00B63C48"/>
    <w:pPr>
      <w:widowControl w:val="0"/>
      <w:autoSpaceDE w:val="0"/>
      <w:autoSpaceDN w:val="0"/>
      <w:adjustRightInd w:val="0"/>
      <w:spacing w:line="384" w:lineRule="exact"/>
    </w:pPr>
    <w:rPr>
      <w:rFonts w:ascii="Bookman Old Style" w:eastAsia="Times New Roman" w:hAnsi="Bookman Old Style"/>
      <w:lang w:val="en-US"/>
    </w:rPr>
  </w:style>
  <w:style w:type="character" w:customStyle="1" w:styleId="FontStyle142">
    <w:name w:val="Font Style142"/>
    <w:rsid w:val="00B63C48"/>
    <w:rPr>
      <w:rFonts w:ascii="Arial" w:hAnsi="Arial" w:cs="Arial"/>
      <w:b/>
      <w:bCs/>
      <w:spacing w:val="10"/>
      <w:sz w:val="22"/>
      <w:szCs w:val="22"/>
    </w:rPr>
  </w:style>
  <w:style w:type="character" w:customStyle="1" w:styleId="FontStyle157">
    <w:name w:val="Font Style157"/>
    <w:rsid w:val="00B63C48"/>
    <w:rPr>
      <w:rFonts w:ascii="Bookman Old Style" w:hAnsi="Bookman Old Style" w:cs="Bookman Old Style"/>
      <w:sz w:val="16"/>
      <w:szCs w:val="16"/>
    </w:rPr>
  </w:style>
  <w:style w:type="character" w:customStyle="1" w:styleId="FontStyle204">
    <w:name w:val="Font Style204"/>
    <w:rsid w:val="00B63C48"/>
    <w:rPr>
      <w:rFonts w:ascii="Bookman Old Style" w:hAnsi="Bookman Old Style" w:cs="Bookman Old Style"/>
      <w:b/>
      <w:bCs/>
      <w:sz w:val="18"/>
      <w:szCs w:val="18"/>
    </w:rPr>
  </w:style>
  <w:style w:type="character" w:customStyle="1" w:styleId="FontStyle212">
    <w:name w:val="Font Style212"/>
    <w:rsid w:val="00B63C48"/>
    <w:rPr>
      <w:rFonts w:ascii="Bookman Old Style" w:hAnsi="Bookman Old Style" w:cs="Bookman Old Style"/>
      <w:sz w:val="18"/>
      <w:szCs w:val="18"/>
    </w:rPr>
  </w:style>
  <w:style w:type="character" w:customStyle="1" w:styleId="FontStyle172">
    <w:name w:val="Font Style172"/>
    <w:rsid w:val="00B63C48"/>
    <w:rPr>
      <w:rFonts w:ascii="Bookman Old Style" w:hAnsi="Bookman Old Style" w:cs="Bookman Old Style"/>
      <w:b/>
      <w:bCs/>
      <w:sz w:val="14"/>
      <w:szCs w:val="14"/>
    </w:rPr>
  </w:style>
  <w:style w:type="character" w:customStyle="1" w:styleId="FontStyle199">
    <w:name w:val="Font Style199"/>
    <w:rsid w:val="00B63C48"/>
    <w:rPr>
      <w:rFonts w:ascii="Bookman Old Style" w:hAnsi="Bookman Old Style" w:cs="Bookman Old Style"/>
      <w:b/>
      <w:bCs/>
      <w:i/>
      <w:iCs/>
      <w:spacing w:val="10"/>
      <w:sz w:val="20"/>
      <w:szCs w:val="20"/>
    </w:rPr>
  </w:style>
  <w:style w:type="character" w:customStyle="1" w:styleId="FontStyle205">
    <w:name w:val="Font Style205"/>
    <w:rsid w:val="00B63C48"/>
    <w:rPr>
      <w:rFonts w:ascii="Bookman Old Style" w:hAnsi="Bookman Old Style" w:cs="Bookman Old Style"/>
      <w:i/>
      <w:iCs/>
      <w:sz w:val="18"/>
      <w:szCs w:val="18"/>
    </w:rPr>
  </w:style>
  <w:style w:type="character" w:customStyle="1" w:styleId="FontStyle173">
    <w:name w:val="Font Style173"/>
    <w:rsid w:val="00B63C48"/>
    <w:rPr>
      <w:rFonts w:ascii="Georgia" w:hAnsi="Georgia" w:cs="Georgia"/>
      <w:sz w:val="18"/>
      <w:szCs w:val="18"/>
    </w:rPr>
  </w:style>
  <w:style w:type="character" w:customStyle="1" w:styleId="FontStyle208">
    <w:name w:val="Font Style208"/>
    <w:rsid w:val="00B63C48"/>
    <w:rPr>
      <w:rFonts w:ascii="Bookman Old Style" w:hAnsi="Bookman Old Style" w:cs="Bookman Old Style"/>
      <w:b/>
      <w:bCs/>
      <w:sz w:val="18"/>
      <w:szCs w:val="18"/>
    </w:rPr>
  </w:style>
  <w:style w:type="character" w:customStyle="1" w:styleId="FontStyle170">
    <w:name w:val="Font Style170"/>
    <w:rsid w:val="00B63C48"/>
    <w:rPr>
      <w:rFonts w:ascii="Bookman Old Style" w:hAnsi="Bookman Old Style" w:cs="Bookman Old Style"/>
      <w:b/>
      <w:bCs/>
      <w:sz w:val="12"/>
      <w:szCs w:val="12"/>
    </w:rPr>
  </w:style>
  <w:style w:type="character" w:customStyle="1" w:styleId="FontStyle213">
    <w:name w:val="Font Style213"/>
    <w:rsid w:val="00B63C48"/>
    <w:rPr>
      <w:rFonts w:ascii="Arial Narrow" w:hAnsi="Arial Narrow" w:cs="Arial Narrow"/>
      <w:b/>
      <w:bCs/>
      <w:sz w:val="14"/>
      <w:szCs w:val="14"/>
    </w:rPr>
  </w:style>
  <w:style w:type="character" w:customStyle="1" w:styleId="FontStyle196">
    <w:name w:val="Font Style196"/>
    <w:rsid w:val="00B63C48"/>
    <w:rPr>
      <w:rFonts w:ascii="Bookman Old Style" w:hAnsi="Bookman Old Style" w:cs="Bookman Old Style"/>
      <w:spacing w:val="20"/>
      <w:sz w:val="20"/>
      <w:szCs w:val="20"/>
    </w:rPr>
  </w:style>
  <w:style w:type="character" w:customStyle="1" w:styleId="FontStyle209">
    <w:name w:val="Font Style209"/>
    <w:rsid w:val="00B63C48"/>
    <w:rPr>
      <w:rFonts w:ascii="Arial Narrow" w:hAnsi="Arial Narrow" w:cs="Arial Narrow"/>
      <w:b/>
      <w:bCs/>
      <w:sz w:val="16"/>
      <w:szCs w:val="16"/>
    </w:rPr>
  </w:style>
  <w:style w:type="paragraph" w:customStyle="1" w:styleId="Style120">
    <w:name w:val="Style120"/>
    <w:basedOn w:val="Normal"/>
    <w:rsid w:val="00B63C48"/>
    <w:pPr>
      <w:widowControl w:val="0"/>
      <w:autoSpaceDE w:val="0"/>
      <w:autoSpaceDN w:val="0"/>
      <w:adjustRightInd w:val="0"/>
      <w:spacing w:line="221" w:lineRule="exact"/>
      <w:ind w:firstLine="744"/>
    </w:pPr>
    <w:rPr>
      <w:rFonts w:ascii="Bookman Old Style" w:eastAsia="Times New Roman" w:hAnsi="Bookman Old Style"/>
      <w:lang w:val="en-US"/>
    </w:rPr>
  </w:style>
  <w:style w:type="character" w:customStyle="1" w:styleId="FontStyle164">
    <w:name w:val="Font Style164"/>
    <w:rsid w:val="00B63C48"/>
    <w:rPr>
      <w:rFonts w:ascii="Bookman Old Style" w:hAnsi="Bookman Old Style" w:cs="Bookman Old Style"/>
      <w:sz w:val="16"/>
      <w:szCs w:val="16"/>
    </w:rPr>
  </w:style>
  <w:style w:type="paragraph" w:customStyle="1" w:styleId="Style132">
    <w:name w:val="Style132"/>
    <w:basedOn w:val="Normal"/>
    <w:rsid w:val="00B63C48"/>
    <w:pPr>
      <w:widowControl w:val="0"/>
      <w:autoSpaceDE w:val="0"/>
      <w:autoSpaceDN w:val="0"/>
      <w:adjustRightInd w:val="0"/>
      <w:spacing w:line="346" w:lineRule="exact"/>
      <w:ind w:firstLine="1142"/>
    </w:pPr>
    <w:rPr>
      <w:rFonts w:ascii="Bookman Old Style" w:eastAsia="Times New Roman" w:hAnsi="Bookman Old Style"/>
      <w:lang w:val="en-US"/>
    </w:rPr>
  </w:style>
  <w:style w:type="paragraph" w:customStyle="1" w:styleId="Style106">
    <w:name w:val="Style106"/>
    <w:basedOn w:val="Normal"/>
    <w:rsid w:val="00B63C48"/>
    <w:pPr>
      <w:widowControl w:val="0"/>
      <w:autoSpaceDE w:val="0"/>
      <w:autoSpaceDN w:val="0"/>
      <w:adjustRightInd w:val="0"/>
    </w:pPr>
    <w:rPr>
      <w:rFonts w:ascii="Bookman Old Style" w:eastAsia="Times New Roman" w:hAnsi="Bookman Old Style"/>
      <w:lang w:val="en-US"/>
    </w:rPr>
  </w:style>
  <w:style w:type="paragraph" w:customStyle="1" w:styleId="Style122">
    <w:name w:val="Style122"/>
    <w:basedOn w:val="Normal"/>
    <w:rsid w:val="00B63C48"/>
    <w:pPr>
      <w:widowControl w:val="0"/>
      <w:autoSpaceDE w:val="0"/>
      <w:autoSpaceDN w:val="0"/>
      <w:adjustRightInd w:val="0"/>
      <w:spacing w:line="192" w:lineRule="exact"/>
    </w:pPr>
    <w:rPr>
      <w:rFonts w:ascii="Bookman Old Style" w:eastAsia="Times New Roman" w:hAnsi="Bookman Old Style"/>
      <w:lang w:val="en-US"/>
    </w:rPr>
  </w:style>
  <w:style w:type="paragraph" w:customStyle="1" w:styleId="Style130">
    <w:name w:val="Style130"/>
    <w:basedOn w:val="Normal"/>
    <w:rsid w:val="00B63C48"/>
    <w:pPr>
      <w:widowControl w:val="0"/>
      <w:autoSpaceDE w:val="0"/>
      <w:autoSpaceDN w:val="0"/>
      <w:adjustRightInd w:val="0"/>
      <w:spacing w:line="245" w:lineRule="exact"/>
      <w:ind w:firstLine="211"/>
      <w:jc w:val="both"/>
    </w:pPr>
    <w:rPr>
      <w:rFonts w:ascii="Bookman Old Style" w:eastAsia="Times New Roman" w:hAnsi="Bookman Old Style"/>
      <w:lang w:val="en-US"/>
    </w:rPr>
  </w:style>
  <w:style w:type="character" w:customStyle="1" w:styleId="FontStyle166">
    <w:name w:val="Font Style166"/>
    <w:rsid w:val="00B63C48"/>
    <w:rPr>
      <w:rFonts w:ascii="Arial Black" w:hAnsi="Arial Black" w:cs="Arial Black"/>
      <w:spacing w:val="10"/>
      <w:sz w:val="18"/>
      <w:szCs w:val="18"/>
    </w:rPr>
  </w:style>
  <w:style w:type="character" w:customStyle="1" w:styleId="FontStyle167">
    <w:name w:val="Font Style167"/>
    <w:rsid w:val="00B63C48"/>
    <w:rPr>
      <w:rFonts w:ascii="Bookman Old Style" w:hAnsi="Bookman Old Style" w:cs="Bookman Old Style"/>
      <w:b/>
      <w:bCs/>
      <w:sz w:val="18"/>
      <w:szCs w:val="18"/>
    </w:rPr>
  </w:style>
  <w:style w:type="character" w:customStyle="1" w:styleId="FontStyle168">
    <w:name w:val="Font Style168"/>
    <w:rsid w:val="00B63C48"/>
    <w:rPr>
      <w:rFonts w:ascii="Bookman Old Style" w:hAnsi="Bookman Old Style" w:cs="Bookman Old Style"/>
      <w:b/>
      <w:bCs/>
      <w:i/>
      <w:iCs/>
      <w:sz w:val="18"/>
      <w:szCs w:val="18"/>
    </w:rPr>
  </w:style>
  <w:style w:type="character" w:customStyle="1" w:styleId="FontStyle171">
    <w:name w:val="Font Style171"/>
    <w:rsid w:val="00B63C48"/>
    <w:rPr>
      <w:rFonts w:ascii="Bookman Old Style" w:hAnsi="Bookman Old Style" w:cs="Bookman Old Style"/>
      <w:b/>
      <w:bCs/>
      <w:sz w:val="10"/>
      <w:szCs w:val="10"/>
    </w:rPr>
  </w:style>
  <w:style w:type="character" w:customStyle="1" w:styleId="FontStyle183">
    <w:name w:val="Font Style183"/>
    <w:rsid w:val="00B63C48"/>
    <w:rPr>
      <w:rFonts w:ascii="Bookman Old Style" w:hAnsi="Bookman Old Style" w:cs="Bookman Old Style"/>
      <w:b/>
      <w:bCs/>
      <w:sz w:val="10"/>
      <w:szCs w:val="10"/>
    </w:rPr>
  </w:style>
  <w:style w:type="paragraph" w:customStyle="1" w:styleId="Style101">
    <w:name w:val="Style101"/>
    <w:basedOn w:val="Normal"/>
    <w:rsid w:val="00B63C48"/>
    <w:pPr>
      <w:widowControl w:val="0"/>
      <w:autoSpaceDE w:val="0"/>
      <w:autoSpaceDN w:val="0"/>
      <w:adjustRightInd w:val="0"/>
    </w:pPr>
    <w:rPr>
      <w:rFonts w:ascii="Bookman Old Style" w:eastAsia="Times New Roman" w:hAnsi="Bookman Old Style"/>
      <w:lang w:val="en-US"/>
    </w:rPr>
  </w:style>
  <w:style w:type="table" w:styleId="TableGrid2">
    <w:name w:val="Table Grid 2"/>
    <w:basedOn w:val="TableNormal"/>
    <w:rsid w:val="00B63C48"/>
    <w:pPr>
      <w:widowControl w:val="0"/>
      <w:autoSpaceDE w:val="0"/>
      <w:autoSpaceDN w:val="0"/>
      <w:adjustRightInd w:val="0"/>
    </w:pPr>
    <w:rPr>
      <w:rFonts w:ascii="Bookman Old Style"/>
      <w:lang w:val="ro-RO" w:eastAsia="ro-R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FontStyle33">
    <w:name w:val="Font Style33"/>
    <w:rsid w:val="00B63C48"/>
    <w:rPr>
      <w:rFonts w:ascii="Times New Roman" w:hAnsi="Times New Roman" w:cs="Times New Roman"/>
      <w:b/>
      <w:bCs/>
      <w:i/>
      <w:iCs/>
      <w:sz w:val="22"/>
      <w:szCs w:val="22"/>
    </w:rPr>
  </w:style>
  <w:style w:type="character" w:customStyle="1" w:styleId="FontStyle42">
    <w:name w:val="Font Style42"/>
    <w:rsid w:val="00B63C48"/>
    <w:rPr>
      <w:rFonts w:ascii="Times New Roman" w:hAnsi="Times New Roman" w:cs="Times New Roman"/>
      <w:sz w:val="22"/>
      <w:szCs w:val="22"/>
    </w:rPr>
  </w:style>
  <w:style w:type="character" w:customStyle="1" w:styleId="FontStyle28">
    <w:name w:val="Font Style28"/>
    <w:rsid w:val="00B63C48"/>
    <w:rPr>
      <w:rFonts w:ascii="Times New Roman" w:hAnsi="Times New Roman" w:cs="Times New Roman"/>
      <w:spacing w:val="20"/>
      <w:sz w:val="68"/>
      <w:szCs w:val="68"/>
    </w:rPr>
  </w:style>
  <w:style w:type="character" w:customStyle="1" w:styleId="FontStyle41">
    <w:name w:val="Font Style41"/>
    <w:rsid w:val="00B63C48"/>
    <w:rPr>
      <w:rFonts w:ascii="Times New Roman" w:hAnsi="Times New Roman" w:cs="Times New Roman"/>
      <w:sz w:val="22"/>
      <w:szCs w:val="22"/>
    </w:rPr>
  </w:style>
  <w:style w:type="numbering" w:customStyle="1" w:styleId="NoList11">
    <w:name w:val="No List11"/>
    <w:next w:val="NoList"/>
    <w:semiHidden/>
    <w:rsid w:val="00B63C48"/>
  </w:style>
  <w:style w:type="numbering" w:customStyle="1" w:styleId="NoList2">
    <w:name w:val="No List2"/>
    <w:next w:val="NoList"/>
    <w:uiPriority w:val="99"/>
    <w:semiHidden/>
    <w:unhideWhenUsed/>
    <w:rsid w:val="00B63C48"/>
  </w:style>
  <w:style w:type="character" w:customStyle="1" w:styleId="a1">
    <w:name w:val="a1"/>
    <w:rsid w:val="00B63C48"/>
    <w:rPr>
      <w:rFonts w:ascii="ff6" w:hAnsi="ff6" w:hint="default"/>
      <w:bdr w:val="none" w:sz="0" w:space="0" w:color="auto" w:frame="1"/>
    </w:rPr>
  </w:style>
  <w:style w:type="character" w:customStyle="1" w:styleId="a2">
    <w:name w:val="a2"/>
    <w:rsid w:val="00B63C48"/>
    <w:rPr>
      <w:rFonts w:ascii="ff0" w:hAnsi="ff0" w:hint="default"/>
      <w:bdr w:val="none" w:sz="0" w:space="0" w:color="auto" w:frame="1"/>
    </w:rPr>
  </w:style>
  <w:style w:type="character" w:customStyle="1" w:styleId="l15">
    <w:name w:val="l15"/>
    <w:rsid w:val="00B63C48"/>
    <w:rPr>
      <w:rFonts w:ascii="ff6" w:hAnsi="ff6" w:hint="default"/>
      <w:vanish w:val="0"/>
      <w:webHidden w:val="0"/>
      <w:bdr w:val="none" w:sz="0" w:space="0" w:color="auto" w:frame="1"/>
      <w:specVanish w:val="0"/>
    </w:rPr>
  </w:style>
  <w:style w:type="character" w:customStyle="1" w:styleId="a3">
    <w:name w:val="a3"/>
    <w:rsid w:val="00B63C48"/>
    <w:rPr>
      <w:rFonts w:ascii="ff3" w:hAnsi="ff3" w:hint="default"/>
      <w:bdr w:val="none" w:sz="0" w:space="0" w:color="auto" w:frame="1"/>
    </w:rPr>
  </w:style>
  <w:style w:type="character" w:customStyle="1" w:styleId="a4">
    <w:name w:val="a4"/>
    <w:rsid w:val="00B63C48"/>
    <w:rPr>
      <w:rFonts w:ascii="ff6" w:hAnsi="ff6" w:hint="default"/>
      <w:bdr w:val="none" w:sz="0" w:space="0" w:color="auto" w:frame="1"/>
    </w:rPr>
  </w:style>
  <w:style w:type="numbering" w:customStyle="1" w:styleId="NoList3">
    <w:name w:val="No List3"/>
    <w:next w:val="NoList"/>
    <w:uiPriority w:val="99"/>
    <w:semiHidden/>
    <w:unhideWhenUsed/>
    <w:rsid w:val="00B63C48"/>
  </w:style>
  <w:style w:type="table" w:customStyle="1" w:styleId="LightShading-Accent11">
    <w:name w:val="Light Shading - Accent 11"/>
    <w:basedOn w:val="TableNormal"/>
    <w:uiPriority w:val="60"/>
    <w:rsid w:val="00B63C48"/>
    <w:rPr>
      <w:rFonts w:ascii="Arial" w:eastAsia="Calibri" w:hAnsi="Arial" w:cs="Arial"/>
      <w:color w:val="365F91"/>
      <w:lang w:val="ro-RO" w:eastAsia="ro-RO"/>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20">
    <w:name w:val="Table Grid2"/>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normal">
    <w:name w:val="textnormal"/>
    <w:basedOn w:val="Normal"/>
    <w:rsid w:val="00B63C48"/>
    <w:pPr>
      <w:spacing w:before="100" w:beforeAutospacing="1" w:after="100" w:afterAutospacing="1"/>
    </w:pPr>
    <w:rPr>
      <w:rFonts w:ascii="Arial" w:eastAsia="Times New Roman" w:hAnsi="Arial" w:cs="Arial"/>
      <w:color w:val="333333"/>
      <w:sz w:val="14"/>
      <w:szCs w:val="14"/>
      <w:lang w:val="en-US"/>
    </w:rPr>
  </w:style>
  <w:style w:type="character" w:customStyle="1" w:styleId="titlumic1">
    <w:name w:val="titlumic1"/>
    <w:rsid w:val="00B63C48"/>
    <w:rPr>
      <w:rFonts w:ascii="Arial" w:hAnsi="Arial" w:cs="Arial" w:hint="default"/>
      <w:b/>
      <w:bCs/>
      <w:i w:val="0"/>
      <w:iCs w:val="0"/>
      <w:smallCaps w:val="0"/>
      <w:strike w:val="0"/>
      <w:dstrike w:val="0"/>
      <w:color w:val="003366"/>
      <w:sz w:val="14"/>
      <w:szCs w:val="14"/>
      <w:u w:val="none"/>
      <w:effect w:val="none"/>
    </w:rPr>
  </w:style>
  <w:style w:type="paragraph" w:customStyle="1" w:styleId="ELISEBODYTEXT">
    <w:name w:val="ELISE BODY TEXT"/>
    <w:basedOn w:val="BodyText"/>
    <w:rsid w:val="00B63C48"/>
    <w:pPr>
      <w:spacing w:before="80" w:after="80"/>
      <w:jc w:val="both"/>
    </w:pPr>
    <w:rPr>
      <w:rFonts w:ascii="Arial Narrow" w:hAnsi="Arial Narrow"/>
      <w:szCs w:val="20"/>
    </w:rPr>
  </w:style>
  <w:style w:type="paragraph" w:customStyle="1" w:styleId="ELISEBODYTEXT1">
    <w:name w:val="ELISE BODY TEXT 1"/>
    <w:basedOn w:val="ELISEBODYTEXT"/>
    <w:rsid w:val="00B63C48"/>
    <w:pPr>
      <w:ind w:left="1134"/>
    </w:pPr>
  </w:style>
  <w:style w:type="paragraph" w:customStyle="1" w:styleId="ELISE4TITLE">
    <w:name w:val="ELISE 4 TITLE"/>
    <w:basedOn w:val="Normal"/>
    <w:rsid w:val="00B63C48"/>
    <w:pPr>
      <w:spacing w:before="120" w:after="120"/>
    </w:pPr>
    <w:rPr>
      <w:rFonts w:ascii="Arial Narrow" w:eastAsia="Times New Roman" w:hAnsi="Arial Narrow"/>
      <w:b/>
      <w:sz w:val="28"/>
      <w:szCs w:val="20"/>
      <w:lang w:val="ro-RO"/>
    </w:rPr>
  </w:style>
  <w:style w:type="paragraph" w:customStyle="1" w:styleId="ELISETABLE1">
    <w:name w:val="ELISE TABLE 1"/>
    <w:basedOn w:val="Normal"/>
    <w:rsid w:val="00B63C48"/>
    <w:pPr>
      <w:spacing w:before="120" w:after="120"/>
    </w:pPr>
    <w:rPr>
      <w:rFonts w:ascii="Arial Narrow" w:eastAsia="Times New Roman" w:hAnsi="Arial Narrow"/>
      <w:b/>
      <w:caps/>
      <w:szCs w:val="20"/>
      <w:lang w:val="ro-RO"/>
    </w:rPr>
  </w:style>
  <w:style w:type="paragraph" w:customStyle="1" w:styleId="ELISETABLE2">
    <w:name w:val="ELISE TABLE 2"/>
    <w:basedOn w:val="Normal"/>
    <w:rsid w:val="00B63C48"/>
    <w:pPr>
      <w:spacing w:before="120" w:after="120"/>
      <w:jc w:val="center"/>
    </w:pPr>
    <w:rPr>
      <w:rFonts w:ascii="Arial Narrow" w:eastAsia="Times New Roman" w:hAnsi="Arial Narrow"/>
      <w:b/>
      <w:caps/>
      <w:szCs w:val="20"/>
      <w:lang w:val="ro-RO"/>
    </w:rPr>
  </w:style>
  <w:style w:type="paragraph" w:customStyle="1" w:styleId="DefaultText">
    <w:name w:val="Default Text"/>
    <w:rsid w:val="00B63C48"/>
    <w:pPr>
      <w:spacing w:before="60" w:after="60" w:line="260" w:lineRule="exact"/>
      <w:jc w:val="both"/>
    </w:pPr>
    <w:rPr>
      <w:b/>
      <w:color w:val="000000"/>
      <w:sz w:val="24"/>
    </w:rPr>
  </w:style>
  <w:style w:type="paragraph" w:customStyle="1" w:styleId="Textkrper32">
    <w:name w:val="Textkörper 32"/>
    <w:basedOn w:val="Normal"/>
    <w:rsid w:val="00B63C48"/>
    <w:pPr>
      <w:suppressAutoHyphens/>
      <w:jc w:val="both"/>
    </w:pPr>
    <w:rPr>
      <w:rFonts w:eastAsia="Times New Roman"/>
      <w:lang w:val="en-US" w:eastAsia="ar-SA"/>
    </w:rPr>
  </w:style>
  <w:style w:type="paragraph" w:customStyle="1" w:styleId="CharCharCharCaracterCaracter">
    <w:name w:val="Char Char Char Caracter Caracter"/>
    <w:basedOn w:val="Normal"/>
    <w:rsid w:val="00B63C48"/>
    <w:rPr>
      <w:rFonts w:eastAsia="Times New Roman"/>
      <w:lang w:val="pl-PL" w:eastAsia="pl-PL"/>
    </w:rPr>
  </w:style>
  <w:style w:type="table" w:customStyle="1" w:styleId="TableGrid3">
    <w:name w:val="Table Grid3"/>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semiHidden/>
    <w:rsid w:val="00B63C48"/>
  </w:style>
  <w:style w:type="numbering" w:customStyle="1" w:styleId="NoList5">
    <w:name w:val="No List5"/>
    <w:next w:val="NoList"/>
    <w:uiPriority w:val="99"/>
    <w:semiHidden/>
    <w:unhideWhenUsed/>
    <w:rsid w:val="00B63C48"/>
  </w:style>
  <w:style w:type="table" w:customStyle="1" w:styleId="TableGrid40">
    <w:name w:val="Table Grid4"/>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1">
    <w:name w:val="Light Shading - Accent 111"/>
    <w:basedOn w:val="TableNormal"/>
    <w:uiPriority w:val="60"/>
    <w:rsid w:val="00B63C48"/>
    <w:rPr>
      <w:rFonts w:ascii="Arial" w:eastAsia="Calibri" w:hAnsi="Arial" w:cs="Arial"/>
      <w:color w:val="365F91"/>
      <w:lang w:val="ro-RO" w:eastAsia="ro-RO"/>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extbibliografie">
    <w:name w:val="text bibliografie"/>
    <w:basedOn w:val="Normal"/>
    <w:uiPriority w:val="99"/>
    <w:rsid w:val="00B63C48"/>
    <w:pPr>
      <w:widowControl w:val="0"/>
      <w:numPr>
        <w:numId w:val="84"/>
      </w:numPr>
      <w:tabs>
        <w:tab w:val="left" w:pos="284"/>
      </w:tabs>
      <w:suppressAutoHyphens/>
      <w:autoSpaceDE w:val="0"/>
      <w:jc w:val="both"/>
    </w:pPr>
    <w:rPr>
      <w:rFonts w:ascii="Arial" w:eastAsia="MS Mincho" w:hAnsi="Arial" w:cs="Arial"/>
      <w:i/>
      <w:iCs/>
      <w:sz w:val="22"/>
      <w:szCs w:val="22"/>
      <w:lang w:val="ro-RO" w:eastAsia="ar-SA"/>
    </w:rPr>
  </w:style>
  <w:style w:type="character" w:styleId="IntenseEmphasis">
    <w:name w:val="Intense Emphasis"/>
    <w:uiPriority w:val="21"/>
    <w:qFormat/>
    <w:rsid w:val="00B63C48"/>
    <w:rPr>
      <w:b/>
      <w:bCs/>
      <w:i/>
      <w:iCs/>
      <w:color w:val="4F81BD"/>
    </w:rPr>
  </w:style>
  <w:style w:type="character" w:customStyle="1" w:styleId="TitleChar2">
    <w:name w:val="Title Char2"/>
    <w:aliases w:val="Title Char Char1"/>
    <w:uiPriority w:val="10"/>
    <w:rsid w:val="00B63C48"/>
    <w:rPr>
      <w:rFonts w:ascii="Cambria" w:eastAsia="Times New Roman" w:hAnsi="Cambria" w:cs="Times New Roman"/>
      <w:b/>
      <w:bCs/>
      <w:kern w:val="28"/>
      <w:sz w:val="32"/>
      <w:szCs w:val="32"/>
      <w:lang w:val="ro-RO"/>
    </w:rPr>
  </w:style>
  <w:style w:type="table" w:styleId="TableList3">
    <w:name w:val="Table List 3"/>
    <w:basedOn w:val="TableNormal"/>
    <w:uiPriority w:val="99"/>
    <w:rsid w:val="00B63C48"/>
    <w:rPr>
      <w:lang w:val="ro-RO" w:eastAsia="ro-R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a">
    <w:name w:val="a"/>
    <w:rsid w:val="00B63C48"/>
  </w:style>
  <w:style w:type="paragraph" w:customStyle="1" w:styleId="DecimalAligned">
    <w:name w:val="Decimal Aligned"/>
    <w:basedOn w:val="Normal"/>
    <w:uiPriority w:val="40"/>
    <w:qFormat/>
    <w:rsid w:val="00B63C48"/>
    <w:pPr>
      <w:tabs>
        <w:tab w:val="decimal" w:pos="360"/>
      </w:tabs>
      <w:spacing w:after="200" w:line="276" w:lineRule="auto"/>
    </w:pPr>
    <w:rPr>
      <w:rFonts w:ascii="Calibri" w:eastAsia="Times New Roman" w:hAnsi="Calibri"/>
      <w:sz w:val="22"/>
      <w:szCs w:val="22"/>
      <w:lang w:val="en-US"/>
    </w:rPr>
  </w:style>
  <w:style w:type="character" w:styleId="SubtleEmphasis">
    <w:name w:val="Subtle Emphasis"/>
    <w:uiPriority w:val="19"/>
    <w:qFormat/>
    <w:rsid w:val="00B63C48"/>
    <w:rPr>
      <w:rFonts w:eastAsia="Times New Roman" w:cs="Times New Roman"/>
      <w:bCs w:val="0"/>
      <w:i/>
      <w:iCs/>
      <w:color w:val="808080"/>
      <w:szCs w:val="22"/>
      <w:lang w:val="en-US"/>
    </w:rPr>
  </w:style>
  <w:style w:type="table" w:styleId="MediumList2-Accent1">
    <w:name w:val="Medium List 2 Accent 1"/>
    <w:basedOn w:val="TableNormal"/>
    <w:uiPriority w:val="66"/>
    <w:rsid w:val="00B63C48"/>
    <w:rPr>
      <w:rFonts w:ascii="Cambria" w:hAnsi="Cambria"/>
      <w:color w:val="000000"/>
      <w:lang w:val="ro-RO" w:eastAsia="ro-RO"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Shading-Accent12">
    <w:name w:val="Light Shading - Accent 12"/>
    <w:basedOn w:val="TableNormal"/>
    <w:uiPriority w:val="60"/>
    <w:rsid w:val="00B63C48"/>
    <w:rPr>
      <w:rFonts w:ascii="Calibri" w:hAnsi="Calibri"/>
      <w:color w:val="365F91"/>
      <w:sz w:val="22"/>
      <w:szCs w:val="22"/>
      <w:lang w:val="ro-RO" w:eastAsia="ro-RO"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6">
    <w:name w:val="No List6"/>
    <w:next w:val="NoList"/>
    <w:uiPriority w:val="99"/>
    <w:semiHidden/>
    <w:unhideWhenUsed/>
    <w:rsid w:val="00B63C48"/>
  </w:style>
  <w:style w:type="table" w:customStyle="1" w:styleId="TableGrid50">
    <w:name w:val="Table Grid5"/>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2">
    <w:name w:val="Light Shading - Accent 112"/>
    <w:basedOn w:val="TableNormal"/>
    <w:uiPriority w:val="60"/>
    <w:rsid w:val="00B63C48"/>
    <w:rPr>
      <w:rFonts w:ascii="Arial" w:eastAsia="Calibri" w:hAnsi="Arial" w:cs="Arial"/>
      <w:color w:val="365F91"/>
      <w:lang w:val="ro-RO" w:eastAsia="ro-RO"/>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List31">
    <w:name w:val="Table List 31"/>
    <w:basedOn w:val="TableNormal"/>
    <w:next w:val="TableList3"/>
    <w:uiPriority w:val="99"/>
    <w:rsid w:val="00B63C48"/>
    <w:rPr>
      <w:lang w:val="ro-RO" w:eastAsia="ro-R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MediumList2-Accent11">
    <w:name w:val="Medium List 2 - Accent 11"/>
    <w:basedOn w:val="TableNormal"/>
    <w:next w:val="MediumList2-Accent1"/>
    <w:uiPriority w:val="66"/>
    <w:rsid w:val="00B63C48"/>
    <w:rPr>
      <w:rFonts w:ascii="Cambria" w:hAnsi="Cambria"/>
      <w:color w:val="000000"/>
      <w:lang w:val="ro-RO" w:eastAsia="ro-RO"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Shading-Accent121">
    <w:name w:val="Light Shading - Accent 121"/>
    <w:basedOn w:val="TableNormal"/>
    <w:uiPriority w:val="60"/>
    <w:rsid w:val="00B63C48"/>
    <w:rPr>
      <w:rFonts w:ascii="Calibri" w:hAnsi="Calibri"/>
      <w:color w:val="365F91"/>
      <w:sz w:val="22"/>
      <w:szCs w:val="22"/>
      <w:lang w:val="ro-RO" w:eastAsia="ro-RO"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7">
    <w:name w:val="No List7"/>
    <w:next w:val="NoList"/>
    <w:uiPriority w:val="99"/>
    <w:semiHidden/>
    <w:unhideWhenUsed/>
    <w:rsid w:val="00B63C48"/>
  </w:style>
  <w:style w:type="table" w:customStyle="1" w:styleId="TableGrid6">
    <w:name w:val="Table Grid6"/>
    <w:basedOn w:val="TableNormal"/>
    <w:next w:val="TableGrid"/>
    <w:uiPriority w:val="59"/>
    <w:rsid w:val="00B63C48"/>
    <w:rPr>
      <w:lang w:val="ro-RO"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B63C48"/>
  </w:style>
  <w:style w:type="table" w:customStyle="1" w:styleId="TableGrid7">
    <w:name w:val="Table Grid7"/>
    <w:basedOn w:val="TableNormal"/>
    <w:next w:val="TableGrid"/>
    <w:uiPriority w:val="59"/>
    <w:rsid w:val="00B63C48"/>
    <w:rPr>
      <w:lang w:val="ro-RO"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B63C48"/>
  </w:style>
  <w:style w:type="table" w:customStyle="1" w:styleId="TableGrid8">
    <w:name w:val="Table Grid8"/>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1Char">
    <w:name w:val="Char Char Char1 Char"/>
    <w:basedOn w:val="Normal"/>
    <w:rsid w:val="00B63C48"/>
    <w:rPr>
      <w:rFonts w:eastAsia="Times New Roman"/>
      <w:lang w:val="pl-PL" w:eastAsia="pl-PL"/>
    </w:rPr>
  </w:style>
  <w:style w:type="numbering" w:customStyle="1" w:styleId="NoList10">
    <w:name w:val="No List10"/>
    <w:next w:val="NoList"/>
    <w:uiPriority w:val="99"/>
    <w:semiHidden/>
    <w:unhideWhenUsed/>
    <w:rsid w:val="00B63C48"/>
  </w:style>
  <w:style w:type="table" w:customStyle="1" w:styleId="TableGrid9">
    <w:name w:val="Table Grid9"/>
    <w:basedOn w:val="TableNormal"/>
    <w:next w:val="TableGrid"/>
    <w:uiPriority w:val="59"/>
    <w:rsid w:val="00B63C48"/>
    <w:rPr>
      <w:rFonts w:ascii="Arial" w:eastAsia="Calibri" w:hAnsi="Arial"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semiHidden/>
    <w:rsid w:val="00B63C48"/>
  </w:style>
  <w:style w:type="numbering" w:customStyle="1" w:styleId="NoList13">
    <w:name w:val="No List13"/>
    <w:next w:val="NoList"/>
    <w:uiPriority w:val="99"/>
    <w:semiHidden/>
    <w:unhideWhenUsed/>
    <w:rsid w:val="00B63C48"/>
  </w:style>
  <w:style w:type="table" w:customStyle="1" w:styleId="GridTable2-Accent51">
    <w:name w:val="Grid Table 2 - Accent 51"/>
    <w:basedOn w:val="TableNormal"/>
    <w:uiPriority w:val="47"/>
    <w:rsid w:val="00B63C48"/>
    <w:rPr>
      <w:rFonts w:ascii="Calibri" w:eastAsia="Calibri" w:hAnsi="Calibri"/>
      <w:sz w:val="22"/>
      <w:szCs w:val="22"/>
      <w:lang w:val="ro-RO" w:eastAsia="ro-RO"/>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100">
    <w:name w:val="Table Grid10"/>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21">
    <w:name w:val="Grid Table 4 - Accent 21"/>
    <w:basedOn w:val="TableNormal"/>
    <w:uiPriority w:val="49"/>
    <w:rsid w:val="00B63C48"/>
    <w:rPr>
      <w:rFonts w:ascii="Calibri" w:eastAsia="Calibri" w:hAnsi="Calibri"/>
      <w:lang w:val="ro-RO" w:eastAsia="ro-RO"/>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14">
    <w:name w:val="No List14"/>
    <w:next w:val="NoList"/>
    <w:uiPriority w:val="99"/>
    <w:semiHidden/>
    <w:unhideWhenUsed/>
    <w:rsid w:val="00B63C48"/>
  </w:style>
  <w:style w:type="table" w:customStyle="1" w:styleId="TableGrid11">
    <w:name w:val="Table Grid11"/>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B63C48"/>
  </w:style>
  <w:style w:type="table" w:customStyle="1" w:styleId="TableGrid12">
    <w:name w:val="Table Grid12"/>
    <w:basedOn w:val="TableNormal"/>
    <w:next w:val="TableGrid"/>
    <w:uiPriority w:val="39"/>
    <w:rsid w:val="00B63C48"/>
    <w:rPr>
      <w:rFonts w:ascii="Calibri" w:eastAsia="Calibri" w:hAnsi="Calibri"/>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B63C48"/>
    <w:rPr>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4">
    <w:name w:val="Table Grid14"/>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B63C48"/>
  </w:style>
  <w:style w:type="table" w:customStyle="1" w:styleId="TableGrid15">
    <w:name w:val="Table Grid15"/>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3">
    <w:name w:val="Plain Table 23"/>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eContents">
    <w:name w:val="Table Contents"/>
    <w:basedOn w:val="Normal"/>
    <w:rsid w:val="00B63C48"/>
    <w:pPr>
      <w:widowControl w:val="0"/>
      <w:suppressLineNumbers/>
      <w:suppressAutoHyphens/>
    </w:pPr>
    <w:rPr>
      <w:rFonts w:eastAsia="Lucida Sans Unicode"/>
      <w:lang w:val="en-US"/>
    </w:rPr>
  </w:style>
  <w:style w:type="paragraph" w:customStyle="1" w:styleId="TableHeading">
    <w:name w:val="Table Heading"/>
    <w:basedOn w:val="TableContents"/>
    <w:rsid w:val="00B63C48"/>
    <w:pPr>
      <w:jc w:val="center"/>
    </w:pPr>
    <w:rPr>
      <w:b/>
      <w:bCs/>
    </w:rPr>
  </w:style>
  <w:style w:type="numbering" w:customStyle="1" w:styleId="NoList17">
    <w:name w:val="No List17"/>
    <w:next w:val="NoList"/>
    <w:uiPriority w:val="99"/>
    <w:semiHidden/>
    <w:unhideWhenUsed/>
    <w:rsid w:val="00B63C48"/>
  </w:style>
  <w:style w:type="table" w:customStyle="1" w:styleId="TableGrid16">
    <w:name w:val="Table Grid16"/>
    <w:basedOn w:val="TableNormal"/>
    <w:next w:val="TableGrid"/>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4">
    <w:name w:val="Plain Table 24"/>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8">
    <w:name w:val="No List18"/>
    <w:next w:val="NoList"/>
    <w:uiPriority w:val="99"/>
    <w:semiHidden/>
    <w:unhideWhenUsed/>
    <w:rsid w:val="00B63C48"/>
  </w:style>
  <w:style w:type="table" w:customStyle="1" w:styleId="TableGrid17">
    <w:name w:val="Table Grid17"/>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5">
    <w:name w:val="Plain Table 25"/>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9">
    <w:name w:val="No List19"/>
    <w:next w:val="NoList"/>
    <w:semiHidden/>
    <w:rsid w:val="00B63C48"/>
  </w:style>
  <w:style w:type="numbering" w:customStyle="1" w:styleId="NoList20">
    <w:name w:val="No List20"/>
    <w:next w:val="NoList"/>
    <w:uiPriority w:val="99"/>
    <w:semiHidden/>
    <w:unhideWhenUsed/>
    <w:rsid w:val="00B63C48"/>
  </w:style>
  <w:style w:type="numbering" w:customStyle="1" w:styleId="NoList21">
    <w:name w:val="No List21"/>
    <w:next w:val="NoList"/>
    <w:uiPriority w:val="99"/>
    <w:semiHidden/>
    <w:unhideWhenUsed/>
    <w:rsid w:val="00B63C48"/>
  </w:style>
  <w:style w:type="table" w:customStyle="1" w:styleId="TableGrid18">
    <w:name w:val="Table Grid18"/>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6">
    <w:name w:val="Plain Table 26"/>
    <w:basedOn w:val="TableNormal"/>
    <w:next w:val="PlainTable22"/>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2">
    <w:name w:val="No List22"/>
    <w:next w:val="NoList"/>
    <w:semiHidden/>
    <w:rsid w:val="00B63C48"/>
  </w:style>
  <w:style w:type="numbering" w:customStyle="1" w:styleId="NoList23">
    <w:name w:val="No List23"/>
    <w:next w:val="NoList"/>
    <w:uiPriority w:val="99"/>
    <w:semiHidden/>
    <w:unhideWhenUsed/>
    <w:rsid w:val="00B63C48"/>
  </w:style>
  <w:style w:type="table" w:customStyle="1" w:styleId="TableGrid19">
    <w:name w:val="Table Grid19"/>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7">
    <w:name w:val="Plain Table 27"/>
    <w:basedOn w:val="TableNormal"/>
    <w:next w:val="PlainTable28"/>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8">
    <w:name w:val="Plain Table 28"/>
    <w:basedOn w:val="TableNormal"/>
    <w:uiPriority w:val="42"/>
    <w:rsid w:val="00B63C48"/>
    <w:rPr>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4">
    <w:name w:val="No List24"/>
    <w:next w:val="NoList"/>
    <w:uiPriority w:val="99"/>
    <w:semiHidden/>
    <w:unhideWhenUsed/>
    <w:rsid w:val="00B63C48"/>
  </w:style>
  <w:style w:type="table" w:customStyle="1" w:styleId="TableGrid200">
    <w:name w:val="Table Grid20"/>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31">
    <w:name w:val="Plain Table 31"/>
    <w:basedOn w:val="TableNormal"/>
    <w:next w:val="PlainTable32"/>
    <w:uiPriority w:val="43"/>
    <w:rsid w:val="00B63C48"/>
    <w:rPr>
      <w:rFonts w:ascii="Calibri" w:eastAsia="Calibri" w:hAnsi="Calibri"/>
      <w:sz w:val="22"/>
      <w:szCs w:val="22"/>
      <w:lang w:val="ro-RO" w:eastAsia="ro-RO"/>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next w:val="PlainTable52"/>
    <w:uiPriority w:val="45"/>
    <w:rsid w:val="00B63C48"/>
    <w:rPr>
      <w:rFonts w:ascii="Calibri" w:eastAsia="Calibri" w:hAnsi="Calibri"/>
      <w:sz w:val="22"/>
      <w:szCs w:val="22"/>
      <w:lang w:val="ro-RO" w:eastAsia="ro-RO"/>
    </w:rPr>
    <w:tblPr>
      <w:tblStyleRowBandSize w:val="1"/>
      <w:tblStyleColBandSize w:val="1"/>
      <w:tblInd w:w="0" w:type="dxa"/>
      <w:tblCellMar>
        <w:top w:w="0" w:type="dxa"/>
        <w:left w:w="108" w:type="dxa"/>
        <w:bottom w:w="0" w:type="dxa"/>
        <w:right w:w="108" w:type="dxa"/>
      </w:tblCellMar>
    </w:tblPr>
    <w:tblStylePr w:type="firstRow">
      <w:rPr>
        <w:rFonts w:ascii="MS Outlook" w:eastAsia="Times New Roman" w:hAnsi="MS Outlook" w:cs="Times New Roman"/>
        <w:i/>
        <w:iCs/>
        <w:sz w:val="26"/>
      </w:rPr>
      <w:tblPr/>
      <w:tcPr>
        <w:tcBorders>
          <w:bottom w:val="single" w:sz="4" w:space="0" w:color="7F7F7F"/>
        </w:tcBorders>
        <w:shd w:val="clear" w:color="auto" w:fill="FFFFFF"/>
      </w:tcPr>
    </w:tblStylePr>
    <w:tblStylePr w:type="lastRow">
      <w:rPr>
        <w:rFonts w:ascii="MS Outlook" w:eastAsia="Times New Roman" w:hAnsi="MS Outlook" w:cs="Times New Roman"/>
        <w:i/>
        <w:iCs/>
        <w:sz w:val="26"/>
      </w:rPr>
      <w:tblPr/>
      <w:tcPr>
        <w:tcBorders>
          <w:top w:val="single" w:sz="4" w:space="0" w:color="7F7F7F"/>
        </w:tcBorders>
        <w:shd w:val="clear" w:color="auto" w:fill="FFFFFF"/>
      </w:tcPr>
    </w:tblStylePr>
    <w:tblStylePr w:type="firstCol">
      <w:pPr>
        <w:jc w:val="right"/>
      </w:pPr>
      <w:rPr>
        <w:rFonts w:ascii="MS Outlook" w:eastAsia="Times New Roman" w:hAnsi="MS Outlook" w:cs="Times New Roman"/>
        <w:i/>
        <w:iCs/>
        <w:sz w:val="26"/>
      </w:rPr>
      <w:tblPr/>
      <w:tcPr>
        <w:tcBorders>
          <w:right w:val="single" w:sz="4" w:space="0" w:color="7F7F7F"/>
        </w:tcBorders>
        <w:shd w:val="clear" w:color="auto" w:fill="FFFFFF"/>
      </w:tcPr>
    </w:tblStylePr>
    <w:tblStylePr w:type="lastCol">
      <w:rPr>
        <w:rFonts w:ascii="MS Outlook" w:eastAsia="Times New Roman" w:hAnsi="MS Outlook"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2-Accent51">
    <w:name w:val="List Table 2 - Accent 51"/>
    <w:basedOn w:val="TableNormal"/>
    <w:next w:val="ListTable2-Accent52"/>
    <w:uiPriority w:val="47"/>
    <w:rsid w:val="00B63C48"/>
    <w:rPr>
      <w:rFonts w:ascii="Calibri" w:eastAsia="Calibri" w:hAnsi="Calibri"/>
      <w:sz w:val="22"/>
      <w:szCs w:val="22"/>
      <w:lang w:val="ro-RO" w:eastAsia="ro-RO"/>
    </w:rPr>
    <w:tblPr>
      <w:tblStyleRowBandSize w:val="1"/>
      <w:tblStyleColBandSize w:val="1"/>
      <w:tblInd w:w="0" w:type="dxa"/>
      <w:tblBorders>
        <w:top w:val="single" w:sz="4" w:space="0" w:color="8EAADB"/>
        <w:bottom w:val="single" w:sz="4" w:space="0" w:color="8EAADB"/>
        <w:insideH w:val="single" w:sz="4" w:space="0" w:color="8EAAD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def">
    <w:name w:val="def"/>
    <w:rsid w:val="00B63C48"/>
  </w:style>
  <w:style w:type="character" w:customStyle="1" w:styleId="defdetails">
    <w:name w:val="defdetails"/>
    <w:rsid w:val="00B63C48"/>
  </w:style>
  <w:style w:type="table" w:customStyle="1" w:styleId="PlainTable32">
    <w:name w:val="Plain Table 32"/>
    <w:basedOn w:val="TableNormal"/>
    <w:uiPriority w:val="43"/>
    <w:rsid w:val="00B63C48"/>
    <w:rPr>
      <w:lang w:val="ro-RO" w:eastAsia="ro-RO"/>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2">
    <w:name w:val="Plain Table 52"/>
    <w:basedOn w:val="TableNormal"/>
    <w:uiPriority w:val="45"/>
    <w:rsid w:val="00B63C48"/>
    <w:rPr>
      <w:lang w:val="ro-RO" w:eastAsia="ro-RO"/>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2-Accent52">
    <w:name w:val="List Table 2 - Accent 52"/>
    <w:basedOn w:val="TableNormal"/>
    <w:uiPriority w:val="47"/>
    <w:rsid w:val="00B63C48"/>
    <w:rPr>
      <w:lang w:val="ro-RO" w:eastAsia="ro-RO"/>
    </w:rPr>
    <w:tblPr>
      <w:tblStyleRowBandSize w:val="1"/>
      <w:tblStyleColBandSize w:val="1"/>
      <w:tblInd w:w="0" w:type="dxa"/>
      <w:tblBorders>
        <w:top w:val="single" w:sz="4" w:space="0" w:color="92CDDC"/>
        <w:bottom w:val="single" w:sz="4" w:space="0" w:color="92CDDC"/>
        <w:insideH w:val="single" w:sz="4" w:space="0" w:color="92CDDC"/>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NoList25">
    <w:name w:val="No List25"/>
    <w:next w:val="NoList"/>
    <w:uiPriority w:val="99"/>
    <w:semiHidden/>
    <w:unhideWhenUsed/>
    <w:rsid w:val="00B63C48"/>
  </w:style>
  <w:style w:type="table" w:customStyle="1" w:styleId="TableGrid21">
    <w:name w:val="Table Grid21"/>
    <w:basedOn w:val="TableNormal"/>
    <w:next w:val="TableGrid"/>
    <w:uiPriority w:val="3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9">
    <w:name w:val="Plain Table 29"/>
    <w:basedOn w:val="TableNormal"/>
    <w:next w:val="PlainTable28"/>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22">
    <w:name w:val="Table Grid22"/>
    <w:basedOn w:val="TableNormal"/>
    <w:next w:val="TableGrid"/>
    <w:uiPriority w:val="5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B63C48"/>
    <w:rPr>
      <w:rFonts w:ascii="Calibri" w:eastAsia="Calibri" w:hAnsi="Calibri"/>
      <w:sz w:val="22"/>
      <w:szCs w:val="22"/>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0">
    <w:name w:val="Plain Table 210"/>
    <w:basedOn w:val="TableNormal"/>
    <w:next w:val="PlainTable28"/>
    <w:uiPriority w:val="42"/>
    <w:rsid w:val="00B63C48"/>
    <w:rPr>
      <w:rFonts w:ascii="Calibri" w:eastAsia="Calibri" w:hAnsi="Calibri"/>
      <w:sz w:val="22"/>
      <w:szCs w:val="22"/>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double-spaced">
    <w:name w:val="double-spaced"/>
    <w:basedOn w:val="Normal"/>
    <w:rsid w:val="00B63C48"/>
    <w:pPr>
      <w:spacing w:before="100" w:beforeAutospacing="1" w:after="100" w:afterAutospacing="1"/>
    </w:pPr>
    <w:rPr>
      <w:rFonts w:eastAsia="Times New Roman"/>
      <w:lang w:val="en-US"/>
    </w:rPr>
  </w:style>
  <w:style w:type="table" w:customStyle="1" w:styleId="GridTable6Colorful-Accent11">
    <w:name w:val="Grid Table 6 Colorful - Accent 11"/>
    <w:basedOn w:val="TableNormal"/>
    <w:uiPriority w:val="51"/>
    <w:rsid w:val="00B63C48"/>
    <w:rPr>
      <w:rFonts w:ascii="Calibri" w:eastAsia="Calibri" w:hAnsi="Calibri"/>
      <w:color w:val="2E74B5"/>
      <w:sz w:val="22"/>
      <w:szCs w:val="22"/>
      <w:lang w:val="ro-RO" w:eastAsia="ro-RO"/>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20">
    <w:name w:val="1titlu2"/>
    <w:basedOn w:val="Normal"/>
    <w:rsid w:val="00B63C48"/>
    <w:pPr>
      <w:spacing w:before="100" w:beforeAutospacing="1" w:after="100" w:afterAutospacing="1"/>
    </w:pPr>
    <w:rPr>
      <w:rFonts w:eastAsia="Calibri"/>
      <w:lang w:val="ro-RO"/>
    </w:rPr>
  </w:style>
  <w:style w:type="table" w:customStyle="1" w:styleId="PlainTable2">
    <w:name w:val="Plain Table 2"/>
    <w:basedOn w:val="TableNormal"/>
    <w:uiPriority w:val="42"/>
    <w:rsid w:val="00B63C48"/>
    <w:rPr>
      <w:rFonts w:ascii="Arial" w:eastAsia="Calibri" w:hAnsi="Arial" w:cs="Arial"/>
      <w:lang w:val="ro-RO" w:eastAsia="ro-RO"/>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itluraportare">
    <w:name w:val="Titluraportare"/>
    <w:basedOn w:val="Heading2"/>
    <w:link w:val="TitluraportareChar"/>
    <w:qFormat/>
    <w:rsid w:val="00B63C48"/>
    <w:pPr>
      <w:keepNext/>
      <w:numPr>
        <w:ilvl w:val="1"/>
        <w:numId w:val="85"/>
      </w:numPr>
      <w:tabs>
        <w:tab w:val="left" w:pos="284"/>
      </w:tabs>
      <w:spacing w:before="0" w:beforeAutospacing="0" w:after="0" w:afterAutospacing="0"/>
      <w:ind w:left="567" w:hanging="567"/>
      <w:jc w:val="both"/>
    </w:pPr>
    <w:rPr>
      <w:rFonts w:ascii="Arial" w:hAnsi="Arial" w:cs="Arial"/>
      <w:bCs w:val="0"/>
      <w:sz w:val="24"/>
      <w:szCs w:val="24"/>
      <w:lang w:eastAsia="en-US"/>
    </w:rPr>
  </w:style>
  <w:style w:type="paragraph" w:customStyle="1" w:styleId="Subtitluraportare">
    <w:name w:val="Subtitluraportare"/>
    <w:basedOn w:val="Titluraportare"/>
    <w:link w:val="SubtitluraportareChar"/>
    <w:autoRedefine/>
    <w:qFormat/>
    <w:rsid w:val="00B63C48"/>
    <w:pPr>
      <w:numPr>
        <w:ilvl w:val="0"/>
        <w:numId w:val="0"/>
      </w:numPr>
      <w:ind w:firstLine="851"/>
    </w:pPr>
  </w:style>
  <w:style w:type="character" w:customStyle="1" w:styleId="TitluraportareChar">
    <w:name w:val="Titluraportare Char"/>
    <w:link w:val="Titluraportare"/>
    <w:rsid w:val="00B63C48"/>
    <w:rPr>
      <w:rFonts w:ascii="Arial" w:hAnsi="Arial" w:cs="Arial"/>
      <w:b/>
      <w:sz w:val="24"/>
      <w:szCs w:val="24"/>
      <w:lang w:val="ro-RO"/>
    </w:rPr>
  </w:style>
  <w:style w:type="character" w:customStyle="1" w:styleId="SubtitluraportareChar">
    <w:name w:val="Subtitluraportare Char"/>
    <w:link w:val="Subtitluraportare"/>
    <w:rsid w:val="00B63C48"/>
    <w:rPr>
      <w:rFonts w:ascii="Arial" w:hAnsi="Arial" w:cs="Arial"/>
      <w:b/>
      <w:sz w:val="24"/>
      <w:szCs w:val="24"/>
      <w:lang w:val="ro-RO"/>
    </w:rPr>
  </w:style>
  <w:style w:type="paragraph" w:customStyle="1" w:styleId="yiv7139485104msolistparagraph">
    <w:name w:val="yiv7139485104msolistparagraph"/>
    <w:basedOn w:val="Normal"/>
    <w:rsid w:val="00B63C48"/>
    <w:pPr>
      <w:spacing w:before="100" w:beforeAutospacing="1" w:after="100" w:afterAutospacing="1"/>
    </w:pPr>
    <w:rPr>
      <w:rFonts w:eastAsia="Times New Roman"/>
      <w:lang w:val="en-US"/>
    </w:rPr>
  </w:style>
  <w:style w:type="character" w:customStyle="1" w:styleId="post-author">
    <w:name w:val="post-author"/>
    <w:rsid w:val="00B63C48"/>
  </w:style>
  <w:style w:type="character" w:customStyle="1" w:styleId="post-timestamp">
    <w:name w:val="post-timestamp"/>
    <w:rsid w:val="00B63C48"/>
  </w:style>
  <w:style w:type="character" w:customStyle="1" w:styleId="ma-title-text">
    <w:name w:val="ma-title-text"/>
    <w:rsid w:val="00B63C48"/>
  </w:style>
  <w:style w:type="character" w:customStyle="1" w:styleId="a-size-large">
    <w:name w:val="a-size-large"/>
    <w:rsid w:val="00B63C48"/>
  </w:style>
  <w:style w:type="character" w:customStyle="1" w:styleId="gmail-st">
    <w:name w:val="gmail-st"/>
    <w:rsid w:val="00B63C48"/>
  </w:style>
  <w:style w:type="paragraph" w:customStyle="1" w:styleId="op-uc-p">
    <w:name w:val="op-uc-p"/>
    <w:basedOn w:val="Normal"/>
    <w:rsid w:val="00B63C48"/>
    <w:pPr>
      <w:spacing w:before="100" w:beforeAutospacing="1" w:after="100" w:afterAutospacing="1"/>
    </w:pPr>
    <w:rPr>
      <w:rFonts w:eastAsia="Times New Roman"/>
      <w:lang w:val="en-US"/>
    </w:rPr>
  </w:style>
  <w:style w:type="character" w:customStyle="1" w:styleId="ui-provider">
    <w:name w:val="ui-provider"/>
    <w:rsid w:val="00B63C48"/>
  </w:style>
  <w:style w:type="paragraph" w:customStyle="1" w:styleId="paragraph">
    <w:name w:val="paragraph"/>
    <w:basedOn w:val="Normal"/>
    <w:rsid w:val="00B63C48"/>
    <w:pPr>
      <w:spacing w:before="100" w:beforeAutospacing="1" w:after="100" w:afterAutospacing="1"/>
    </w:pPr>
    <w:rPr>
      <w:rFonts w:eastAsia="Times New Roman"/>
      <w:lang w:val="en-US"/>
    </w:rPr>
  </w:style>
  <w:style w:type="character" w:customStyle="1" w:styleId="normaltextrun">
    <w:name w:val="normaltextrun"/>
    <w:rsid w:val="00B63C48"/>
  </w:style>
  <w:style w:type="character" w:customStyle="1" w:styleId="eop">
    <w:name w:val="eop"/>
    <w:rsid w:val="00B63C48"/>
  </w:style>
  <w:style w:type="paragraph" w:customStyle="1" w:styleId="ftrefCharCharCharCharCharCharCharCharChar">
    <w:name w:val="ftref Char Char Char Char Char Char Char Char Char"/>
    <w:aliases w:val="Texto de nota al pie Char Char Char Char Char Char Char Char Char,Footnotes refss Char Char Char Char Char Char Char Char Char Char Char Char Char Char"/>
    <w:basedOn w:val="Normal"/>
    <w:link w:val="FootnoteReference"/>
    <w:uiPriority w:val="99"/>
    <w:rsid w:val="00041F6F"/>
    <w:pPr>
      <w:spacing w:after="160" w:line="240" w:lineRule="exact"/>
      <w:jc w:val="both"/>
    </w:pPr>
    <w:rPr>
      <w:rFonts w:eastAsia="Times New Roman"/>
      <w:sz w:val="20"/>
      <w:szCs w:val="20"/>
      <w:vertAlign w:val="superscript"/>
      <w:lang w:val="en-US"/>
    </w:rPr>
  </w:style>
  <w:style w:type="paragraph" w:customStyle="1" w:styleId="P68B1DB1-Normal3">
    <w:name w:val="P68B1DB1-Normal3"/>
    <w:basedOn w:val="Normal"/>
    <w:rsid w:val="00041F6F"/>
    <w:pPr>
      <w:spacing w:after="160" w:line="259" w:lineRule="auto"/>
    </w:pPr>
    <w:rPr>
      <w:rFonts w:ascii="Trebuchet MS" w:eastAsia="Times New Roman" w:hAnsi="Trebuchet MS" w:cs="Calibri"/>
      <w:kern w:val="2"/>
      <w:sz w:val="22"/>
      <w:szCs w:val="20"/>
      <w:lang w:val="ro"/>
    </w:rPr>
  </w:style>
  <w:style w:type="paragraph" w:customStyle="1" w:styleId="P68B1DB1-Normal7">
    <w:name w:val="P68B1DB1-Normal7"/>
    <w:basedOn w:val="Normal"/>
    <w:rsid w:val="00041F6F"/>
    <w:pPr>
      <w:spacing w:after="160" w:line="259" w:lineRule="auto"/>
    </w:pPr>
    <w:rPr>
      <w:rFonts w:ascii="Trebuchet MS" w:eastAsia="Times New Roman" w:hAnsi="Trebuchet MS"/>
      <w:kern w:val="2"/>
      <w:sz w:val="22"/>
      <w:szCs w:val="20"/>
      <w:lang w:val="ro"/>
    </w:rPr>
  </w:style>
  <w:style w:type="paragraph" w:customStyle="1" w:styleId="P68B1DB1-Normal17">
    <w:name w:val="P68B1DB1-Normal17"/>
    <w:basedOn w:val="Normal"/>
    <w:rsid w:val="00041F6F"/>
    <w:pPr>
      <w:spacing w:after="160" w:line="259" w:lineRule="auto"/>
    </w:pPr>
    <w:rPr>
      <w:rFonts w:ascii="Trebuchet MS" w:eastAsia="Times New Roman" w:hAnsi="Trebuchet MS" w:cs="Calibri"/>
      <w:kern w:val="2"/>
      <w:sz w:val="22"/>
      <w:szCs w:val="20"/>
      <w:lang w:val="ro"/>
    </w:rPr>
  </w:style>
  <w:style w:type="paragraph" w:customStyle="1" w:styleId="P68B1DB1-Default18">
    <w:name w:val="P68B1DB1-Default18"/>
    <w:basedOn w:val="Default"/>
    <w:rsid w:val="00041F6F"/>
    <w:rPr>
      <w:rFonts w:ascii="Trebuchet MS" w:eastAsia="Calibri" w:hAnsi="Trebuchet MS" w:cs="Calibri"/>
      <w:color w:val="auto"/>
      <w:sz w:val="22"/>
      <w:szCs w:val="20"/>
      <w:lang w:val="ro"/>
    </w:rPr>
  </w:style>
  <w:style w:type="paragraph" w:customStyle="1" w:styleId="Frspaiere">
    <w:name w:val="Fără spațiere"/>
    <w:uiPriority w:val="99"/>
    <w:rsid w:val="003351E8"/>
    <w:rPr>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3054774">
      <w:bodyDiv w:val="1"/>
      <w:marLeft w:val="0"/>
      <w:marRight w:val="0"/>
      <w:marTop w:val="0"/>
      <w:marBottom w:val="0"/>
      <w:divBdr>
        <w:top w:val="none" w:sz="0" w:space="0" w:color="auto"/>
        <w:left w:val="none" w:sz="0" w:space="0" w:color="auto"/>
        <w:bottom w:val="none" w:sz="0" w:space="0" w:color="auto"/>
        <w:right w:val="none" w:sz="0" w:space="0" w:color="auto"/>
      </w:divBdr>
    </w:div>
    <w:div w:id="596866020">
      <w:marLeft w:val="0"/>
      <w:marRight w:val="0"/>
      <w:marTop w:val="0"/>
      <w:marBottom w:val="0"/>
      <w:divBdr>
        <w:top w:val="none" w:sz="0" w:space="0" w:color="auto"/>
        <w:left w:val="none" w:sz="0" w:space="0" w:color="auto"/>
        <w:bottom w:val="none" w:sz="0" w:space="0" w:color="auto"/>
        <w:right w:val="none" w:sz="0" w:space="0" w:color="auto"/>
      </w:divBdr>
    </w:div>
    <w:div w:id="596866021">
      <w:marLeft w:val="0"/>
      <w:marRight w:val="0"/>
      <w:marTop w:val="0"/>
      <w:marBottom w:val="0"/>
      <w:divBdr>
        <w:top w:val="none" w:sz="0" w:space="0" w:color="auto"/>
        <w:left w:val="none" w:sz="0" w:space="0" w:color="auto"/>
        <w:bottom w:val="none" w:sz="0" w:space="0" w:color="auto"/>
        <w:right w:val="none" w:sz="0" w:space="0" w:color="auto"/>
      </w:divBdr>
    </w:div>
    <w:div w:id="596866022">
      <w:marLeft w:val="0"/>
      <w:marRight w:val="0"/>
      <w:marTop w:val="0"/>
      <w:marBottom w:val="0"/>
      <w:divBdr>
        <w:top w:val="none" w:sz="0" w:space="0" w:color="auto"/>
        <w:left w:val="none" w:sz="0" w:space="0" w:color="auto"/>
        <w:bottom w:val="none" w:sz="0" w:space="0" w:color="auto"/>
        <w:right w:val="none" w:sz="0" w:space="0" w:color="auto"/>
      </w:divBdr>
    </w:div>
    <w:div w:id="596866023">
      <w:marLeft w:val="0"/>
      <w:marRight w:val="0"/>
      <w:marTop w:val="0"/>
      <w:marBottom w:val="0"/>
      <w:divBdr>
        <w:top w:val="none" w:sz="0" w:space="0" w:color="auto"/>
        <w:left w:val="none" w:sz="0" w:space="0" w:color="auto"/>
        <w:bottom w:val="none" w:sz="0" w:space="0" w:color="auto"/>
        <w:right w:val="none" w:sz="0" w:space="0" w:color="auto"/>
      </w:divBdr>
    </w:div>
    <w:div w:id="596866024">
      <w:marLeft w:val="0"/>
      <w:marRight w:val="0"/>
      <w:marTop w:val="0"/>
      <w:marBottom w:val="0"/>
      <w:divBdr>
        <w:top w:val="none" w:sz="0" w:space="0" w:color="auto"/>
        <w:left w:val="none" w:sz="0" w:space="0" w:color="auto"/>
        <w:bottom w:val="none" w:sz="0" w:space="0" w:color="auto"/>
        <w:right w:val="none" w:sz="0" w:space="0" w:color="auto"/>
      </w:divBdr>
    </w:div>
    <w:div w:id="596866025">
      <w:marLeft w:val="0"/>
      <w:marRight w:val="0"/>
      <w:marTop w:val="0"/>
      <w:marBottom w:val="0"/>
      <w:divBdr>
        <w:top w:val="none" w:sz="0" w:space="0" w:color="auto"/>
        <w:left w:val="none" w:sz="0" w:space="0" w:color="auto"/>
        <w:bottom w:val="none" w:sz="0" w:space="0" w:color="auto"/>
        <w:right w:val="none" w:sz="0" w:space="0" w:color="auto"/>
      </w:divBdr>
    </w:div>
    <w:div w:id="596866026">
      <w:marLeft w:val="0"/>
      <w:marRight w:val="0"/>
      <w:marTop w:val="0"/>
      <w:marBottom w:val="0"/>
      <w:divBdr>
        <w:top w:val="none" w:sz="0" w:space="0" w:color="auto"/>
        <w:left w:val="none" w:sz="0" w:space="0" w:color="auto"/>
        <w:bottom w:val="none" w:sz="0" w:space="0" w:color="auto"/>
        <w:right w:val="none" w:sz="0" w:space="0" w:color="auto"/>
      </w:divBdr>
    </w:div>
    <w:div w:id="596866027">
      <w:marLeft w:val="0"/>
      <w:marRight w:val="0"/>
      <w:marTop w:val="0"/>
      <w:marBottom w:val="0"/>
      <w:divBdr>
        <w:top w:val="none" w:sz="0" w:space="0" w:color="auto"/>
        <w:left w:val="none" w:sz="0" w:space="0" w:color="auto"/>
        <w:bottom w:val="none" w:sz="0" w:space="0" w:color="auto"/>
        <w:right w:val="none" w:sz="0" w:space="0" w:color="auto"/>
      </w:divBdr>
    </w:div>
    <w:div w:id="596866028">
      <w:marLeft w:val="0"/>
      <w:marRight w:val="0"/>
      <w:marTop w:val="0"/>
      <w:marBottom w:val="0"/>
      <w:divBdr>
        <w:top w:val="none" w:sz="0" w:space="0" w:color="auto"/>
        <w:left w:val="none" w:sz="0" w:space="0" w:color="auto"/>
        <w:bottom w:val="none" w:sz="0" w:space="0" w:color="auto"/>
        <w:right w:val="none" w:sz="0" w:space="0" w:color="auto"/>
      </w:divBdr>
    </w:div>
    <w:div w:id="596866030">
      <w:marLeft w:val="0"/>
      <w:marRight w:val="0"/>
      <w:marTop w:val="0"/>
      <w:marBottom w:val="0"/>
      <w:divBdr>
        <w:top w:val="none" w:sz="0" w:space="0" w:color="auto"/>
        <w:left w:val="none" w:sz="0" w:space="0" w:color="auto"/>
        <w:bottom w:val="none" w:sz="0" w:space="0" w:color="auto"/>
        <w:right w:val="none" w:sz="0" w:space="0" w:color="auto"/>
      </w:divBdr>
    </w:div>
    <w:div w:id="596866031">
      <w:marLeft w:val="0"/>
      <w:marRight w:val="0"/>
      <w:marTop w:val="0"/>
      <w:marBottom w:val="0"/>
      <w:divBdr>
        <w:top w:val="none" w:sz="0" w:space="0" w:color="auto"/>
        <w:left w:val="none" w:sz="0" w:space="0" w:color="auto"/>
        <w:bottom w:val="none" w:sz="0" w:space="0" w:color="auto"/>
        <w:right w:val="none" w:sz="0" w:space="0" w:color="auto"/>
      </w:divBdr>
    </w:div>
    <w:div w:id="596866032">
      <w:marLeft w:val="0"/>
      <w:marRight w:val="0"/>
      <w:marTop w:val="0"/>
      <w:marBottom w:val="0"/>
      <w:divBdr>
        <w:top w:val="none" w:sz="0" w:space="0" w:color="auto"/>
        <w:left w:val="none" w:sz="0" w:space="0" w:color="auto"/>
        <w:bottom w:val="none" w:sz="0" w:space="0" w:color="auto"/>
        <w:right w:val="none" w:sz="0" w:space="0" w:color="auto"/>
      </w:divBdr>
    </w:div>
    <w:div w:id="596866033">
      <w:marLeft w:val="0"/>
      <w:marRight w:val="0"/>
      <w:marTop w:val="0"/>
      <w:marBottom w:val="0"/>
      <w:divBdr>
        <w:top w:val="none" w:sz="0" w:space="0" w:color="auto"/>
        <w:left w:val="none" w:sz="0" w:space="0" w:color="auto"/>
        <w:bottom w:val="none" w:sz="0" w:space="0" w:color="auto"/>
        <w:right w:val="none" w:sz="0" w:space="0" w:color="auto"/>
      </w:divBdr>
    </w:div>
    <w:div w:id="596866034">
      <w:marLeft w:val="0"/>
      <w:marRight w:val="0"/>
      <w:marTop w:val="0"/>
      <w:marBottom w:val="0"/>
      <w:divBdr>
        <w:top w:val="none" w:sz="0" w:space="0" w:color="auto"/>
        <w:left w:val="none" w:sz="0" w:space="0" w:color="auto"/>
        <w:bottom w:val="none" w:sz="0" w:space="0" w:color="auto"/>
        <w:right w:val="none" w:sz="0" w:space="0" w:color="auto"/>
      </w:divBdr>
    </w:div>
    <w:div w:id="596866035">
      <w:marLeft w:val="0"/>
      <w:marRight w:val="0"/>
      <w:marTop w:val="0"/>
      <w:marBottom w:val="0"/>
      <w:divBdr>
        <w:top w:val="none" w:sz="0" w:space="0" w:color="auto"/>
        <w:left w:val="none" w:sz="0" w:space="0" w:color="auto"/>
        <w:bottom w:val="none" w:sz="0" w:space="0" w:color="auto"/>
        <w:right w:val="none" w:sz="0" w:space="0" w:color="auto"/>
      </w:divBdr>
    </w:div>
    <w:div w:id="596866036">
      <w:marLeft w:val="0"/>
      <w:marRight w:val="0"/>
      <w:marTop w:val="0"/>
      <w:marBottom w:val="0"/>
      <w:divBdr>
        <w:top w:val="none" w:sz="0" w:space="0" w:color="auto"/>
        <w:left w:val="none" w:sz="0" w:space="0" w:color="auto"/>
        <w:bottom w:val="none" w:sz="0" w:space="0" w:color="auto"/>
        <w:right w:val="none" w:sz="0" w:space="0" w:color="auto"/>
      </w:divBdr>
    </w:div>
    <w:div w:id="596866037">
      <w:marLeft w:val="0"/>
      <w:marRight w:val="0"/>
      <w:marTop w:val="0"/>
      <w:marBottom w:val="0"/>
      <w:divBdr>
        <w:top w:val="none" w:sz="0" w:space="0" w:color="auto"/>
        <w:left w:val="none" w:sz="0" w:space="0" w:color="auto"/>
        <w:bottom w:val="none" w:sz="0" w:space="0" w:color="auto"/>
        <w:right w:val="none" w:sz="0" w:space="0" w:color="auto"/>
      </w:divBdr>
    </w:div>
    <w:div w:id="596866038">
      <w:marLeft w:val="0"/>
      <w:marRight w:val="0"/>
      <w:marTop w:val="0"/>
      <w:marBottom w:val="0"/>
      <w:divBdr>
        <w:top w:val="none" w:sz="0" w:space="0" w:color="auto"/>
        <w:left w:val="none" w:sz="0" w:space="0" w:color="auto"/>
        <w:bottom w:val="none" w:sz="0" w:space="0" w:color="auto"/>
        <w:right w:val="none" w:sz="0" w:space="0" w:color="auto"/>
      </w:divBdr>
    </w:div>
    <w:div w:id="596866039">
      <w:marLeft w:val="0"/>
      <w:marRight w:val="0"/>
      <w:marTop w:val="0"/>
      <w:marBottom w:val="0"/>
      <w:divBdr>
        <w:top w:val="none" w:sz="0" w:space="0" w:color="auto"/>
        <w:left w:val="none" w:sz="0" w:space="0" w:color="auto"/>
        <w:bottom w:val="none" w:sz="0" w:space="0" w:color="auto"/>
        <w:right w:val="none" w:sz="0" w:space="0" w:color="auto"/>
      </w:divBdr>
    </w:div>
    <w:div w:id="596866040">
      <w:marLeft w:val="0"/>
      <w:marRight w:val="0"/>
      <w:marTop w:val="0"/>
      <w:marBottom w:val="0"/>
      <w:divBdr>
        <w:top w:val="none" w:sz="0" w:space="0" w:color="auto"/>
        <w:left w:val="none" w:sz="0" w:space="0" w:color="auto"/>
        <w:bottom w:val="none" w:sz="0" w:space="0" w:color="auto"/>
        <w:right w:val="none" w:sz="0" w:space="0" w:color="auto"/>
      </w:divBdr>
      <w:divsChild>
        <w:div w:id="596866029">
          <w:marLeft w:val="0"/>
          <w:marRight w:val="0"/>
          <w:marTop w:val="180"/>
          <w:marBottom w:val="300"/>
          <w:divBdr>
            <w:top w:val="none" w:sz="0" w:space="0" w:color="auto"/>
            <w:left w:val="none" w:sz="0" w:space="0" w:color="auto"/>
            <w:bottom w:val="none" w:sz="0" w:space="0" w:color="auto"/>
            <w:right w:val="none" w:sz="0" w:space="0" w:color="auto"/>
          </w:divBdr>
        </w:div>
      </w:divsChild>
    </w:div>
    <w:div w:id="596866041">
      <w:marLeft w:val="0"/>
      <w:marRight w:val="0"/>
      <w:marTop w:val="0"/>
      <w:marBottom w:val="0"/>
      <w:divBdr>
        <w:top w:val="none" w:sz="0" w:space="0" w:color="auto"/>
        <w:left w:val="none" w:sz="0" w:space="0" w:color="auto"/>
        <w:bottom w:val="none" w:sz="0" w:space="0" w:color="auto"/>
        <w:right w:val="none" w:sz="0" w:space="0" w:color="auto"/>
      </w:divBdr>
    </w:div>
    <w:div w:id="596866042">
      <w:marLeft w:val="0"/>
      <w:marRight w:val="0"/>
      <w:marTop w:val="0"/>
      <w:marBottom w:val="0"/>
      <w:divBdr>
        <w:top w:val="none" w:sz="0" w:space="0" w:color="auto"/>
        <w:left w:val="none" w:sz="0" w:space="0" w:color="auto"/>
        <w:bottom w:val="none" w:sz="0" w:space="0" w:color="auto"/>
        <w:right w:val="none" w:sz="0" w:space="0" w:color="auto"/>
      </w:divBdr>
    </w:div>
    <w:div w:id="596866043">
      <w:marLeft w:val="0"/>
      <w:marRight w:val="0"/>
      <w:marTop w:val="0"/>
      <w:marBottom w:val="0"/>
      <w:divBdr>
        <w:top w:val="none" w:sz="0" w:space="0" w:color="auto"/>
        <w:left w:val="none" w:sz="0" w:space="0" w:color="auto"/>
        <w:bottom w:val="none" w:sz="0" w:space="0" w:color="auto"/>
        <w:right w:val="none" w:sz="0" w:space="0" w:color="auto"/>
      </w:divBdr>
    </w:div>
    <w:div w:id="596866044">
      <w:marLeft w:val="0"/>
      <w:marRight w:val="0"/>
      <w:marTop w:val="0"/>
      <w:marBottom w:val="0"/>
      <w:divBdr>
        <w:top w:val="none" w:sz="0" w:space="0" w:color="auto"/>
        <w:left w:val="none" w:sz="0" w:space="0" w:color="auto"/>
        <w:bottom w:val="none" w:sz="0" w:space="0" w:color="auto"/>
        <w:right w:val="none" w:sz="0" w:space="0" w:color="auto"/>
      </w:divBdr>
    </w:div>
    <w:div w:id="596866045">
      <w:marLeft w:val="0"/>
      <w:marRight w:val="0"/>
      <w:marTop w:val="0"/>
      <w:marBottom w:val="0"/>
      <w:divBdr>
        <w:top w:val="none" w:sz="0" w:space="0" w:color="auto"/>
        <w:left w:val="none" w:sz="0" w:space="0" w:color="auto"/>
        <w:bottom w:val="none" w:sz="0" w:space="0" w:color="auto"/>
        <w:right w:val="none" w:sz="0" w:space="0" w:color="auto"/>
      </w:divBdr>
    </w:div>
    <w:div w:id="596866046">
      <w:marLeft w:val="0"/>
      <w:marRight w:val="0"/>
      <w:marTop w:val="0"/>
      <w:marBottom w:val="0"/>
      <w:divBdr>
        <w:top w:val="none" w:sz="0" w:space="0" w:color="auto"/>
        <w:left w:val="none" w:sz="0" w:space="0" w:color="auto"/>
        <w:bottom w:val="none" w:sz="0" w:space="0" w:color="auto"/>
        <w:right w:val="none" w:sz="0" w:space="0" w:color="auto"/>
      </w:divBdr>
    </w:div>
    <w:div w:id="596866047">
      <w:marLeft w:val="0"/>
      <w:marRight w:val="0"/>
      <w:marTop w:val="0"/>
      <w:marBottom w:val="0"/>
      <w:divBdr>
        <w:top w:val="none" w:sz="0" w:space="0" w:color="auto"/>
        <w:left w:val="none" w:sz="0" w:space="0" w:color="auto"/>
        <w:bottom w:val="none" w:sz="0" w:space="0" w:color="auto"/>
        <w:right w:val="none" w:sz="0" w:space="0" w:color="auto"/>
      </w:divBdr>
    </w:div>
    <w:div w:id="596866048">
      <w:marLeft w:val="0"/>
      <w:marRight w:val="0"/>
      <w:marTop w:val="0"/>
      <w:marBottom w:val="0"/>
      <w:divBdr>
        <w:top w:val="none" w:sz="0" w:space="0" w:color="auto"/>
        <w:left w:val="none" w:sz="0" w:space="0" w:color="auto"/>
        <w:bottom w:val="none" w:sz="0" w:space="0" w:color="auto"/>
        <w:right w:val="none" w:sz="0" w:space="0" w:color="auto"/>
      </w:divBdr>
    </w:div>
    <w:div w:id="596866049">
      <w:marLeft w:val="0"/>
      <w:marRight w:val="0"/>
      <w:marTop w:val="0"/>
      <w:marBottom w:val="0"/>
      <w:divBdr>
        <w:top w:val="none" w:sz="0" w:space="0" w:color="auto"/>
        <w:left w:val="none" w:sz="0" w:space="0" w:color="auto"/>
        <w:bottom w:val="none" w:sz="0" w:space="0" w:color="auto"/>
        <w:right w:val="none" w:sz="0" w:space="0" w:color="auto"/>
      </w:divBdr>
    </w:div>
    <w:div w:id="647246050">
      <w:bodyDiv w:val="1"/>
      <w:marLeft w:val="0"/>
      <w:marRight w:val="0"/>
      <w:marTop w:val="0"/>
      <w:marBottom w:val="0"/>
      <w:divBdr>
        <w:top w:val="none" w:sz="0" w:space="0" w:color="auto"/>
        <w:left w:val="none" w:sz="0" w:space="0" w:color="auto"/>
        <w:bottom w:val="none" w:sz="0" w:space="0" w:color="auto"/>
        <w:right w:val="none" w:sz="0" w:space="0" w:color="auto"/>
      </w:divBdr>
    </w:div>
    <w:div w:id="1009871060">
      <w:bodyDiv w:val="1"/>
      <w:marLeft w:val="0"/>
      <w:marRight w:val="0"/>
      <w:marTop w:val="0"/>
      <w:marBottom w:val="0"/>
      <w:divBdr>
        <w:top w:val="none" w:sz="0" w:space="0" w:color="auto"/>
        <w:left w:val="none" w:sz="0" w:space="0" w:color="auto"/>
        <w:bottom w:val="none" w:sz="0" w:space="0" w:color="auto"/>
        <w:right w:val="none" w:sz="0" w:space="0" w:color="auto"/>
      </w:divBdr>
    </w:div>
    <w:div w:id="1059744897">
      <w:bodyDiv w:val="1"/>
      <w:marLeft w:val="0"/>
      <w:marRight w:val="0"/>
      <w:marTop w:val="0"/>
      <w:marBottom w:val="0"/>
      <w:divBdr>
        <w:top w:val="none" w:sz="0" w:space="0" w:color="auto"/>
        <w:left w:val="none" w:sz="0" w:space="0" w:color="auto"/>
        <w:bottom w:val="none" w:sz="0" w:space="0" w:color="auto"/>
        <w:right w:val="none" w:sz="0" w:space="0" w:color="auto"/>
      </w:divBdr>
      <w:divsChild>
        <w:div w:id="1231231982">
          <w:marLeft w:val="0"/>
          <w:marRight w:val="0"/>
          <w:marTop w:val="0"/>
          <w:marBottom w:val="0"/>
          <w:divBdr>
            <w:top w:val="none" w:sz="0" w:space="0" w:color="auto"/>
            <w:left w:val="none" w:sz="0" w:space="0" w:color="auto"/>
            <w:bottom w:val="none" w:sz="0" w:space="0" w:color="auto"/>
            <w:right w:val="none" w:sz="0" w:space="0" w:color="auto"/>
          </w:divBdr>
          <w:divsChild>
            <w:div w:id="172646383">
              <w:marLeft w:val="0"/>
              <w:marRight w:val="0"/>
              <w:marTop w:val="0"/>
              <w:marBottom w:val="0"/>
              <w:divBdr>
                <w:top w:val="none" w:sz="0" w:space="0" w:color="auto"/>
                <w:left w:val="none" w:sz="0" w:space="0" w:color="auto"/>
                <w:bottom w:val="none" w:sz="0" w:space="0" w:color="auto"/>
                <w:right w:val="none" w:sz="0" w:space="0" w:color="auto"/>
              </w:divBdr>
            </w:div>
            <w:div w:id="221867840">
              <w:marLeft w:val="0"/>
              <w:marRight w:val="0"/>
              <w:marTop w:val="0"/>
              <w:marBottom w:val="0"/>
              <w:divBdr>
                <w:top w:val="none" w:sz="0" w:space="0" w:color="auto"/>
                <w:left w:val="none" w:sz="0" w:space="0" w:color="auto"/>
                <w:bottom w:val="none" w:sz="0" w:space="0" w:color="auto"/>
                <w:right w:val="none" w:sz="0" w:space="0" w:color="auto"/>
              </w:divBdr>
            </w:div>
            <w:div w:id="354313744">
              <w:marLeft w:val="0"/>
              <w:marRight w:val="0"/>
              <w:marTop w:val="0"/>
              <w:marBottom w:val="0"/>
              <w:divBdr>
                <w:top w:val="none" w:sz="0" w:space="0" w:color="auto"/>
                <w:left w:val="none" w:sz="0" w:space="0" w:color="auto"/>
                <w:bottom w:val="none" w:sz="0" w:space="0" w:color="auto"/>
                <w:right w:val="none" w:sz="0" w:space="0" w:color="auto"/>
              </w:divBdr>
            </w:div>
            <w:div w:id="507449802">
              <w:marLeft w:val="0"/>
              <w:marRight w:val="0"/>
              <w:marTop w:val="0"/>
              <w:marBottom w:val="0"/>
              <w:divBdr>
                <w:top w:val="none" w:sz="0" w:space="0" w:color="auto"/>
                <w:left w:val="none" w:sz="0" w:space="0" w:color="auto"/>
                <w:bottom w:val="none" w:sz="0" w:space="0" w:color="auto"/>
                <w:right w:val="none" w:sz="0" w:space="0" w:color="auto"/>
              </w:divBdr>
              <w:divsChild>
                <w:div w:id="938289906">
                  <w:marLeft w:val="0"/>
                  <w:marRight w:val="0"/>
                  <w:marTop w:val="0"/>
                  <w:marBottom w:val="0"/>
                  <w:divBdr>
                    <w:top w:val="none" w:sz="0" w:space="0" w:color="auto"/>
                    <w:left w:val="none" w:sz="0" w:space="0" w:color="auto"/>
                    <w:bottom w:val="none" w:sz="0" w:space="0" w:color="auto"/>
                    <w:right w:val="none" w:sz="0" w:space="0" w:color="auto"/>
                  </w:divBdr>
                </w:div>
              </w:divsChild>
            </w:div>
            <w:div w:id="652880669">
              <w:marLeft w:val="0"/>
              <w:marRight w:val="0"/>
              <w:marTop w:val="0"/>
              <w:marBottom w:val="0"/>
              <w:divBdr>
                <w:top w:val="none" w:sz="0" w:space="0" w:color="auto"/>
                <w:left w:val="none" w:sz="0" w:space="0" w:color="auto"/>
                <w:bottom w:val="none" w:sz="0" w:space="0" w:color="auto"/>
                <w:right w:val="none" w:sz="0" w:space="0" w:color="auto"/>
              </w:divBdr>
            </w:div>
            <w:div w:id="718626422">
              <w:marLeft w:val="0"/>
              <w:marRight w:val="0"/>
              <w:marTop w:val="0"/>
              <w:marBottom w:val="0"/>
              <w:divBdr>
                <w:top w:val="none" w:sz="0" w:space="0" w:color="auto"/>
                <w:left w:val="none" w:sz="0" w:space="0" w:color="auto"/>
                <w:bottom w:val="none" w:sz="0" w:space="0" w:color="auto"/>
                <w:right w:val="none" w:sz="0" w:space="0" w:color="auto"/>
              </w:divBdr>
            </w:div>
            <w:div w:id="822626464">
              <w:marLeft w:val="0"/>
              <w:marRight w:val="0"/>
              <w:marTop w:val="0"/>
              <w:marBottom w:val="0"/>
              <w:divBdr>
                <w:top w:val="none" w:sz="0" w:space="0" w:color="auto"/>
                <w:left w:val="none" w:sz="0" w:space="0" w:color="auto"/>
                <w:bottom w:val="none" w:sz="0" w:space="0" w:color="auto"/>
                <w:right w:val="none" w:sz="0" w:space="0" w:color="auto"/>
              </w:divBdr>
            </w:div>
            <w:div w:id="875000477">
              <w:marLeft w:val="0"/>
              <w:marRight w:val="0"/>
              <w:marTop w:val="0"/>
              <w:marBottom w:val="0"/>
              <w:divBdr>
                <w:top w:val="none" w:sz="0" w:space="0" w:color="auto"/>
                <w:left w:val="none" w:sz="0" w:space="0" w:color="auto"/>
                <w:bottom w:val="none" w:sz="0" w:space="0" w:color="auto"/>
                <w:right w:val="none" w:sz="0" w:space="0" w:color="auto"/>
              </w:divBdr>
            </w:div>
            <w:div w:id="889730316">
              <w:marLeft w:val="0"/>
              <w:marRight w:val="0"/>
              <w:marTop w:val="0"/>
              <w:marBottom w:val="0"/>
              <w:divBdr>
                <w:top w:val="none" w:sz="0" w:space="0" w:color="auto"/>
                <w:left w:val="none" w:sz="0" w:space="0" w:color="auto"/>
                <w:bottom w:val="none" w:sz="0" w:space="0" w:color="auto"/>
                <w:right w:val="none" w:sz="0" w:space="0" w:color="auto"/>
              </w:divBdr>
            </w:div>
            <w:div w:id="902762358">
              <w:marLeft w:val="0"/>
              <w:marRight w:val="0"/>
              <w:marTop w:val="0"/>
              <w:marBottom w:val="0"/>
              <w:divBdr>
                <w:top w:val="none" w:sz="0" w:space="0" w:color="auto"/>
                <w:left w:val="none" w:sz="0" w:space="0" w:color="auto"/>
                <w:bottom w:val="none" w:sz="0" w:space="0" w:color="auto"/>
                <w:right w:val="none" w:sz="0" w:space="0" w:color="auto"/>
              </w:divBdr>
            </w:div>
            <w:div w:id="936403819">
              <w:marLeft w:val="0"/>
              <w:marRight w:val="0"/>
              <w:marTop w:val="0"/>
              <w:marBottom w:val="0"/>
              <w:divBdr>
                <w:top w:val="none" w:sz="0" w:space="0" w:color="auto"/>
                <w:left w:val="none" w:sz="0" w:space="0" w:color="auto"/>
                <w:bottom w:val="none" w:sz="0" w:space="0" w:color="auto"/>
                <w:right w:val="none" w:sz="0" w:space="0" w:color="auto"/>
              </w:divBdr>
              <w:divsChild>
                <w:div w:id="1461150031">
                  <w:marLeft w:val="0"/>
                  <w:marRight w:val="0"/>
                  <w:marTop w:val="0"/>
                  <w:marBottom w:val="0"/>
                  <w:divBdr>
                    <w:top w:val="none" w:sz="0" w:space="0" w:color="auto"/>
                    <w:left w:val="none" w:sz="0" w:space="0" w:color="auto"/>
                    <w:bottom w:val="none" w:sz="0" w:space="0" w:color="auto"/>
                    <w:right w:val="none" w:sz="0" w:space="0" w:color="auto"/>
                  </w:divBdr>
                </w:div>
              </w:divsChild>
            </w:div>
            <w:div w:id="1509951193">
              <w:marLeft w:val="0"/>
              <w:marRight w:val="0"/>
              <w:marTop w:val="0"/>
              <w:marBottom w:val="0"/>
              <w:divBdr>
                <w:top w:val="none" w:sz="0" w:space="0" w:color="auto"/>
                <w:left w:val="none" w:sz="0" w:space="0" w:color="auto"/>
                <w:bottom w:val="none" w:sz="0" w:space="0" w:color="auto"/>
                <w:right w:val="none" w:sz="0" w:space="0" w:color="auto"/>
              </w:divBdr>
              <w:divsChild>
                <w:div w:id="1862432799">
                  <w:marLeft w:val="0"/>
                  <w:marRight w:val="0"/>
                  <w:marTop w:val="0"/>
                  <w:marBottom w:val="0"/>
                  <w:divBdr>
                    <w:top w:val="none" w:sz="0" w:space="0" w:color="auto"/>
                    <w:left w:val="none" w:sz="0" w:space="0" w:color="auto"/>
                    <w:bottom w:val="none" w:sz="0" w:space="0" w:color="auto"/>
                    <w:right w:val="none" w:sz="0" w:space="0" w:color="auto"/>
                  </w:divBdr>
                </w:div>
              </w:divsChild>
            </w:div>
            <w:div w:id="1641307712">
              <w:marLeft w:val="0"/>
              <w:marRight w:val="0"/>
              <w:marTop w:val="0"/>
              <w:marBottom w:val="0"/>
              <w:divBdr>
                <w:top w:val="none" w:sz="0" w:space="0" w:color="auto"/>
                <w:left w:val="none" w:sz="0" w:space="0" w:color="auto"/>
                <w:bottom w:val="none" w:sz="0" w:space="0" w:color="auto"/>
                <w:right w:val="none" w:sz="0" w:space="0" w:color="auto"/>
              </w:divBdr>
              <w:divsChild>
                <w:div w:id="647321956">
                  <w:marLeft w:val="0"/>
                  <w:marRight w:val="0"/>
                  <w:marTop w:val="0"/>
                  <w:marBottom w:val="0"/>
                  <w:divBdr>
                    <w:top w:val="none" w:sz="0" w:space="0" w:color="auto"/>
                    <w:left w:val="none" w:sz="0" w:space="0" w:color="auto"/>
                    <w:bottom w:val="none" w:sz="0" w:space="0" w:color="auto"/>
                    <w:right w:val="none" w:sz="0" w:space="0" w:color="auto"/>
                  </w:divBdr>
                </w:div>
              </w:divsChild>
            </w:div>
            <w:div w:id="1816527836">
              <w:marLeft w:val="0"/>
              <w:marRight w:val="0"/>
              <w:marTop w:val="0"/>
              <w:marBottom w:val="0"/>
              <w:divBdr>
                <w:top w:val="none" w:sz="0" w:space="0" w:color="auto"/>
                <w:left w:val="none" w:sz="0" w:space="0" w:color="auto"/>
                <w:bottom w:val="none" w:sz="0" w:space="0" w:color="auto"/>
                <w:right w:val="none" w:sz="0" w:space="0" w:color="auto"/>
              </w:divBdr>
              <w:divsChild>
                <w:div w:id="203341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972333">
      <w:bodyDiv w:val="1"/>
      <w:marLeft w:val="0"/>
      <w:marRight w:val="0"/>
      <w:marTop w:val="0"/>
      <w:marBottom w:val="0"/>
      <w:divBdr>
        <w:top w:val="none" w:sz="0" w:space="0" w:color="auto"/>
        <w:left w:val="none" w:sz="0" w:space="0" w:color="auto"/>
        <w:bottom w:val="none" w:sz="0" w:space="0" w:color="auto"/>
        <w:right w:val="none" w:sz="0" w:space="0" w:color="auto"/>
      </w:divBdr>
    </w:div>
    <w:div w:id="1681159846">
      <w:bodyDiv w:val="1"/>
      <w:marLeft w:val="0"/>
      <w:marRight w:val="0"/>
      <w:marTop w:val="0"/>
      <w:marBottom w:val="0"/>
      <w:divBdr>
        <w:top w:val="none" w:sz="0" w:space="0" w:color="auto"/>
        <w:left w:val="none" w:sz="0" w:space="0" w:color="auto"/>
        <w:bottom w:val="none" w:sz="0" w:space="0" w:color="auto"/>
        <w:right w:val="none" w:sz="0" w:space="0" w:color="auto"/>
      </w:divBdr>
      <w:divsChild>
        <w:div w:id="559026697">
          <w:marLeft w:val="0"/>
          <w:marRight w:val="0"/>
          <w:marTop w:val="0"/>
          <w:marBottom w:val="0"/>
          <w:divBdr>
            <w:top w:val="none" w:sz="0" w:space="0" w:color="auto"/>
            <w:left w:val="none" w:sz="0" w:space="0" w:color="auto"/>
            <w:bottom w:val="none" w:sz="0" w:space="0" w:color="auto"/>
            <w:right w:val="none" w:sz="0" w:space="0" w:color="auto"/>
          </w:divBdr>
          <w:divsChild>
            <w:div w:id="1818568070">
              <w:marLeft w:val="0"/>
              <w:marRight w:val="0"/>
              <w:marTop w:val="0"/>
              <w:marBottom w:val="0"/>
              <w:divBdr>
                <w:top w:val="none" w:sz="0" w:space="0" w:color="auto"/>
                <w:left w:val="none" w:sz="0" w:space="0" w:color="auto"/>
                <w:bottom w:val="none" w:sz="0" w:space="0" w:color="auto"/>
                <w:right w:val="none" w:sz="0" w:space="0" w:color="auto"/>
              </w:divBdr>
              <w:divsChild>
                <w:div w:id="2119909700">
                  <w:marLeft w:val="0"/>
                  <w:marRight w:val="0"/>
                  <w:marTop w:val="0"/>
                  <w:marBottom w:val="0"/>
                  <w:divBdr>
                    <w:top w:val="none" w:sz="0" w:space="0" w:color="auto"/>
                    <w:left w:val="none" w:sz="0" w:space="0" w:color="auto"/>
                    <w:bottom w:val="none" w:sz="0" w:space="0" w:color="auto"/>
                    <w:right w:val="none" w:sz="0" w:space="0" w:color="auto"/>
                  </w:divBdr>
                  <w:divsChild>
                    <w:div w:id="34074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205398">
          <w:marLeft w:val="0"/>
          <w:marRight w:val="0"/>
          <w:marTop w:val="0"/>
          <w:marBottom w:val="0"/>
          <w:divBdr>
            <w:top w:val="none" w:sz="0" w:space="0" w:color="auto"/>
            <w:left w:val="none" w:sz="0" w:space="0" w:color="auto"/>
            <w:bottom w:val="none" w:sz="0" w:space="0" w:color="auto"/>
            <w:right w:val="none" w:sz="0" w:space="0" w:color="auto"/>
          </w:divBdr>
          <w:divsChild>
            <w:div w:id="1288123231">
              <w:marLeft w:val="0"/>
              <w:marRight w:val="0"/>
              <w:marTop w:val="0"/>
              <w:marBottom w:val="150"/>
              <w:divBdr>
                <w:top w:val="none" w:sz="0" w:space="0" w:color="auto"/>
                <w:left w:val="none" w:sz="0" w:space="0" w:color="auto"/>
                <w:bottom w:val="none" w:sz="0" w:space="0" w:color="auto"/>
                <w:right w:val="none" w:sz="0" w:space="0" w:color="auto"/>
              </w:divBdr>
            </w:div>
            <w:div w:id="1705978521">
              <w:marLeft w:val="0"/>
              <w:marRight w:val="0"/>
              <w:marTop w:val="0"/>
              <w:marBottom w:val="150"/>
              <w:divBdr>
                <w:top w:val="none" w:sz="0" w:space="0" w:color="auto"/>
                <w:left w:val="none" w:sz="0" w:space="0" w:color="auto"/>
                <w:bottom w:val="none" w:sz="0" w:space="0" w:color="auto"/>
                <w:right w:val="none" w:sz="0" w:space="0" w:color="auto"/>
              </w:divBdr>
            </w:div>
            <w:div w:id="1779255968">
              <w:marLeft w:val="0"/>
              <w:marRight w:val="0"/>
              <w:marTop w:val="0"/>
              <w:marBottom w:val="0"/>
              <w:divBdr>
                <w:top w:val="none" w:sz="0" w:space="0" w:color="auto"/>
                <w:left w:val="none" w:sz="0" w:space="0" w:color="auto"/>
                <w:bottom w:val="none" w:sz="0" w:space="0" w:color="auto"/>
                <w:right w:val="none" w:sz="0" w:space="0" w:color="auto"/>
              </w:divBdr>
              <w:divsChild>
                <w:div w:id="838009992">
                  <w:marLeft w:val="0"/>
                  <w:marRight w:val="0"/>
                  <w:marTop w:val="0"/>
                  <w:marBottom w:val="0"/>
                  <w:divBdr>
                    <w:top w:val="single" w:sz="6" w:space="0" w:color="CCCCCC"/>
                    <w:left w:val="single" w:sz="6" w:space="0" w:color="CCCCCC"/>
                    <w:bottom w:val="single" w:sz="6" w:space="0" w:color="CCCCCC"/>
                    <w:right w:val="single" w:sz="6" w:space="0" w:color="CCCCCC"/>
                  </w:divBdr>
                  <w:divsChild>
                    <w:div w:id="1300843513">
                      <w:marLeft w:val="0"/>
                      <w:marRight w:val="0"/>
                      <w:marTop w:val="0"/>
                      <w:marBottom w:val="0"/>
                      <w:divBdr>
                        <w:top w:val="none" w:sz="0" w:space="0" w:color="auto"/>
                        <w:left w:val="none" w:sz="0" w:space="0" w:color="auto"/>
                        <w:bottom w:val="none" w:sz="0" w:space="0" w:color="auto"/>
                        <w:right w:val="none" w:sz="0" w:space="0" w:color="auto"/>
                      </w:divBdr>
                    </w:div>
                    <w:div w:id="182427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20463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jpeg"/><Relationship Id="rId21" Type="http://schemas.openxmlformats.org/officeDocument/2006/relationships/image" Target="media/image4.emf"/><Relationship Id="rId42" Type="http://schemas.openxmlformats.org/officeDocument/2006/relationships/chart" Target="charts/chart28.xml"/><Relationship Id="rId63" Type="http://schemas.openxmlformats.org/officeDocument/2006/relationships/hyperlink" Target="http://www.recensamantromania.ro/" TargetMode="External"/><Relationship Id="rId84" Type="http://schemas.openxmlformats.org/officeDocument/2006/relationships/image" Target="media/image14.png"/><Relationship Id="rId138" Type="http://schemas.openxmlformats.org/officeDocument/2006/relationships/chart" Target="charts/chart58.xml"/><Relationship Id="rId159" Type="http://schemas.openxmlformats.org/officeDocument/2006/relationships/hyperlink" Target="http://www.mmediu.ro/app/webroot/uploads/files/licenta%20ENVIRO%20PACK%20CONSULT.pdf" TargetMode="External"/><Relationship Id="rId170" Type="http://schemas.openxmlformats.org/officeDocument/2006/relationships/chart" Target="charts/chart72.xml"/><Relationship Id="rId191" Type="http://schemas.openxmlformats.org/officeDocument/2006/relationships/chart" Target="charts/chart90.xml"/><Relationship Id="rId205" Type="http://schemas.openxmlformats.org/officeDocument/2006/relationships/footer" Target="footer1.xml"/><Relationship Id="rId16" Type="http://schemas.openxmlformats.org/officeDocument/2006/relationships/chart" Target="charts/chart8.xml"/><Relationship Id="rId107" Type="http://schemas.openxmlformats.org/officeDocument/2006/relationships/hyperlink" Target="https://www.icpdr.org/main/public-participation-interim-overview-swmi" TargetMode="External"/><Relationship Id="rId11" Type="http://schemas.openxmlformats.org/officeDocument/2006/relationships/chart" Target="charts/chart3.xml"/><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49.xml"/><Relationship Id="rId79" Type="http://schemas.openxmlformats.org/officeDocument/2006/relationships/chart" Target="charts/chart54.xml"/><Relationship Id="rId102" Type="http://schemas.openxmlformats.org/officeDocument/2006/relationships/image" Target="media/image28.png"/><Relationship Id="rId123" Type="http://schemas.openxmlformats.org/officeDocument/2006/relationships/image" Target="media/image44.jpeg"/><Relationship Id="rId128" Type="http://schemas.openxmlformats.org/officeDocument/2006/relationships/image" Target="media/image46.jpeg"/><Relationship Id="rId144" Type="http://schemas.openxmlformats.org/officeDocument/2006/relationships/chart" Target="charts/chart64.xml"/><Relationship Id="rId149" Type="http://schemas.openxmlformats.org/officeDocument/2006/relationships/hyperlink" Target="http://www.mmediu.ro/app/webroot/uploads/files/licenta%20CLEAN%20RECYCLE%282%29.pdf" TargetMode="External"/><Relationship Id="rId5" Type="http://schemas.openxmlformats.org/officeDocument/2006/relationships/settings" Target="settings.xml"/><Relationship Id="rId90" Type="http://schemas.openxmlformats.org/officeDocument/2006/relationships/image" Target="media/image20.png"/><Relationship Id="rId95" Type="http://schemas.openxmlformats.org/officeDocument/2006/relationships/image" Target="media/image22.png"/><Relationship Id="rId160" Type="http://schemas.openxmlformats.org/officeDocument/2006/relationships/hyperlink" Target="http://www.mmediu.ro/app/webroot/uploads/files/licenta%20FEPRA.pdf" TargetMode="External"/><Relationship Id="rId165" Type="http://schemas.openxmlformats.org/officeDocument/2006/relationships/hyperlink" Target="http://www.mmediu.ro/app/webroot/uploads/files/licenta%20RECICLAD_OR%281%29.pdf" TargetMode="External"/><Relationship Id="rId181" Type="http://schemas.openxmlformats.org/officeDocument/2006/relationships/hyperlink" Target="https://harticiclul2.inundatii.ro/map@45.9891990,23.4491860,7z" TargetMode="External"/><Relationship Id="rId186" Type="http://schemas.openxmlformats.org/officeDocument/2006/relationships/chart" Target="charts/chart85.xml"/><Relationship Id="rId22" Type="http://schemas.openxmlformats.org/officeDocument/2006/relationships/package" Target="embeddings/Microsoft_Excel_Worksheet11.xlsx"/><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image" Target="media/image6.jpeg"/><Relationship Id="rId69" Type="http://schemas.openxmlformats.org/officeDocument/2006/relationships/image" Target="media/image9.emf"/><Relationship Id="rId113" Type="http://schemas.openxmlformats.org/officeDocument/2006/relationships/image" Target="media/image34.jpeg"/><Relationship Id="rId118" Type="http://schemas.openxmlformats.org/officeDocument/2006/relationships/image" Target="media/image39.jpeg"/><Relationship Id="rId134" Type="http://schemas.openxmlformats.org/officeDocument/2006/relationships/image" Target="media/image49.png"/><Relationship Id="rId139" Type="http://schemas.openxmlformats.org/officeDocument/2006/relationships/chart" Target="charts/chart59.xml"/><Relationship Id="rId80" Type="http://schemas.openxmlformats.org/officeDocument/2006/relationships/chart" Target="charts/chart55.xml"/><Relationship Id="rId85" Type="http://schemas.openxmlformats.org/officeDocument/2006/relationships/image" Target="media/image15.png"/><Relationship Id="rId150" Type="http://schemas.openxmlformats.org/officeDocument/2006/relationships/hyperlink" Target="http://www.mmediu.ro/app/webroot/uploads/files/licenta%20ECO_SYNERGY.pdf" TargetMode="External"/><Relationship Id="rId155" Type="http://schemas.openxmlformats.org/officeDocument/2006/relationships/hyperlink" Target="http://www.mmediu.ro/app/webroot/uploads/files/licenta-ECOROM-AMBALAJE.pdf" TargetMode="External"/><Relationship Id="rId171" Type="http://schemas.openxmlformats.org/officeDocument/2006/relationships/chart" Target="charts/chart73.xml"/><Relationship Id="rId176" Type="http://schemas.openxmlformats.org/officeDocument/2006/relationships/chart" Target="charts/chart78.xml"/><Relationship Id="rId192" Type="http://schemas.openxmlformats.org/officeDocument/2006/relationships/chart" Target="charts/chart91.xml"/><Relationship Id="rId197" Type="http://schemas.openxmlformats.org/officeDocument/2006/relationships/chart" Target="charts/chart95.xml"/><Relationship Id="rId206" Type="http://schemas.openxmlformats.org/officeDocument/2006/relationships/fontTable" Target="fontTable.xml"/><Relationship Id="rId201" Type="http://schemas.openxmlformats.org/officeDocument/2006/relationships/chart" Target="charts/chart99.xml"/><Relationship Id="rId12" Type="http://schemas.openxmlformats.org/officeDocument/2006/relationships/chart" Target="charts/chart4.xml"/><Relationship Id="rId17" Type="http://schemas.openxmlformats.org/officeDocument/2006/relationships/image" Target="media/image2.emf"/><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hyperlink" Target="https://rowater.ro/proiectul-sipoca-588/" TargetMode="External"/><Relationship Id="rId108" Type="http://schemas.openxmlformats.org/officeDocument/2006/relationships/image" Target="media/image29.png"/><Relationship Id="rId124" Type="http://schemas.openxmlformats.org/officeDocument/2006/relationships/image" Target="media/image420.png"/><Relationship Id="rId129" Type="http://schemas.openxmlformats.org/officeDocument/2006/relationships/hyperlink" Target="https://rowater.ro/activitatea-institutiei/departamente/managementul-european-integrat-resurse-de-apa/planurile-de-management-ale-bazinelor-hidrografice/" TargetMode="External"/><Relationship Id="rId54" Type="http://schemas.openxmlformats.org/officeDocument/2006/relationships/chart" Target="charts/chart40.xml"/><Relationship Id="rId70" Type="http://schemas.openxmlformats.org/officeDocument/2006/relationships/image" Target="media/image10.emf"/><Relationship Id="rId75" Type="http://schemas.openxmlformats.org/officeDocument/2006/relationships/chart" Target="charts/chart50.xml"/><Relationship Id="rId91" Type="http://schemas.openxmlformats.org/officeDocument/2006/relationships/chart" Target="charts/chart56.xml"/><Relationship Id="rId96" Type="http://schemas.openxmlformats.org/officeDocument/2006/relationships/image" Target="media/image23.png"/><Relationship Id="rId140" Type="http://schemas.openxmlformats.org/officeDocument/2006/relationships/chart" Target="charts/chart60.xml"/><Relationship Id="rId145" Type="http://schemas.openxmlformats.org/officeDocument/2006/relationships/chart" Target="charts/chart65.xml"/><Relationship Id="rId161" Type="http://schemas.openxmlformats.org/officeDocument/2006/relationships/hyperlink" Target="http://www.mmediu.ro/app/webroot/uploads/files/licenta%20FINANCIAR%20RECYCLING.pdf" TargetMode="External"/><Relationship Id="rId166" Type="http://schemas.openxmlformats.org/officeDocument/2006/relationships/hyperlink" Target="http://www.mmediu.ro/app/webroot/uploads/files/licenta%20RECICLAD_OR%281%29.pdf" TargetMode="External"/><Relationship Id="rId182" Type="http://schemas.openxmlformats.org/officeDocument/2006/relationships/chart" Target="charts/chart82.xml"/><Relationship Id="rId187" Type="http://schemas.openxmlformats.org/officeDocument/2006/relationships/chart" Target="charts/chart86.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5.xml"/><Relationship Id="rId114" Type="http://schemas.openxmlformats.org/officeDocument/2006/relationships/image" Target="media/image35.jpeg"/><Relationship Id="rId119" Type="http://schemas.openxmlformats.org/officeDocument/2006/relationships/image" Target="media/image40.jpeg"/><Relationship Id="rId44" Type="http://schemas.openxmlformats.org/officeDocument/2006/relationships/chart" Target="charts/chart30.xml"/><Relationship Id="rId60" Type="http://schemas.openxmlformats.org/officeDocument/2006/relationships/chart" Target="charts/chart46.xml"/><Relationship Id="rId65" Type="http://schemas.openxmlformats.org/officeDocument/2006/relationships/image" Target="media/image7.png"/><Relationship Id="rId81" Type="http://schemas.openxmlformats.org/officeDocument/2006/relationships/image" Target="media/image11.png"/><Relationship Id="rId86" Type="http://schemas.openxmlformats.org/officeDocument/2006/relationships/image" Target="media/image16.png"/><Relationship Id="rId130" Type="http://schemas.openxmlformats.org/officeDocument/2006/relationships/image" Target="media/image47.png"/><Relationship Id="rId135" Type="http://schemas.openxmlformats.org/officeDocument/2006/relationships/hyperlink" Target="http://statistici.insse.ro/" TargetMode="External"/><Relationship Id="rId151" Type="http://schemas.openxmlformats.org/officeDocument/2006/relationships/hyperlink" Target="http://www.ecologic3rambalaje.ro" TargetMode="External"/><Relationship Id="rId156" Type="http://schemas.openxmlformats.org/officeDocument/2006/relationships/hyperlink" Target="http://www.mmediu.ro/app/webroot/uploads/files/licenta%20ECOSMART%20UNION.pdf" TargetMode="External"/><Relationship Id="rId177" Type="http://schemas.openxmlformats.org/officeDocument/2006/relationships/chart" Target="charts/chart79.xml"/><Relationship Id="rId198" Type="http://schemas.openxmlformats.org/officeDocument/2006/relationships/chart" Target="charts/chart96.xml"/><Relationship Id="rId172" Type="http://schemas.openxmlformats.org/officeDocument/2006/relationships/chart" Target="charts/chart74.xml"/><Relationship Id="rId193" Type="http://schemas.openxmlformats.org/officeDocument/2006/relationships/chart" Target="charts/chart92.xml"/><Relationship Id="rId202" Type="http://schemas.openxmlformats.org/officeDocument/2006/relationships/chart" Target="charts/chart100.xml"/><Relationship Id="rId207" Type="http://schemas.openxmlformats.org/officeDocument/2006/relationships/theme" Target="theme/theme1.xml"/><Relationship Id="rId13" Type="http://schemas.openxmlformats.org/officeDocument/2006/relationships/chart" Target="charts/chart5.xml"/><Relationship Id="rId18" Type="http://schemas.openxmlformats.org/officeDocument/2006/relationships/package" Target="embeddings/Microsoft_Excel_Worksheet9.xlsx"/><Relationship Id="rId39" Type="http://schemas.openxmlformats.org/officeDocument/2006/relationships/chart" Target="charts/chart25.xml"/><Relationship Id="rId109" Type="http://schemas.openxmlformats.org/officeDocument/2006/relationships/image" Target="media/image30.png"/><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chart" Target="charts/chart51.xml"/><Relationship Id="rId97" Type="http://schemas.openxmlformats.org/officeDocument/2006/relationships/image" Target="media/image24.png"/><Relationship Id="rId104" Type="http://schemas.openxmlformats.org/officeDocument/2006/relationships/hyperlink" Target="https://epurare-ape-uzate-urbane.rowater.ro/en/" TargetMode="External"/><Relationship Id="rId120" Type="http://schemas.openxmlformats.org/officeDocument/2006/relationships/image" Target="media/image41.png"/><Relationship Id="rId125" Type="http://schemas.openxmlformats.org/officeDocument/2006/relationships/image" Target="media/image430.png"/><Relationship Id="rId141" Type="http://schemas.openxmlformats.org/officeDocument/2006/relationships/chart" Target="charts/chart61.xml"/><Relationship Id="rId146" Type="http://schemas.openxmlformats.org/officeDocument/2006/relationships/chart" Target="charts/chart66.xml"/><Relationship Id="rId167" Type="http://schemas.openxmlformats.org/officeDocument/2006/relationships/chart" Target="charts/chart69.xml"/><Relationship Id="rId188" Type="http://schemas.openxmlformats.org/officeDocument/2006/relationships/chart" Target="charts/chart87.xml"/><Relationship Id="rId7" Type="http://schemas.openxmlformats.org/officeDocument/2006/relationships/footnotes" Target="footnotes.xml"/><Relationship Id="rId71" Type="http://schemas.openxmlformats.org/officeDocument/2006/relationships/hyperlink" Target="https://portal-gis.rowater.ro/portal/home/" TargetMode="External"/><Relationship Id="rId92" Type="http://schemas.openxmlformats.org/officeDocument/2006/relationships/hyperlink" Target="http://www.insse.ro" TargetMode="External"/><Relationship Id="rId162" Type="http://schemas.openxmlformats.org/officeDocument/2006/relationships/hyperlink" Target="http://www.mmediu.ro/app/webroot/uploads/files/licenta%20GREEN%20RESOURCES.pdf" TargetMode="External"/><Relationship Id="rId183" Type="http://schemas.openxmlformats.org/officeDocument/2006/relationships/hyperlink" Target="https://inundatii.ro/resurse/" TargetMode="Externa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image" Target="media/image8.emf"/><Relationship Id="rId87" Type="http://schemas.openxmlformats.org/officeDocument/2006/relationships/image" Target="media/image17.emf"/><Relationship Id="rId110" Type="http://schemas.openxmlformats.org/officeDocument/2006/relationships/image" Target="media/image31.png"/><Relationship Id="rId115" Type="http://schemas.openxmlformats.org/officeDocument/2006/relationships/image" Target="media/image36.jpeg"/><Relationship Id="rId131" Type="http://schemas.openxmlformats.org/officeDocument/2006/relationships/hyperlink" Target="https://www.eea.europa.eu/data-and-maps/daviz/water-exploitation-index-plus" TargetMode="External"/><Relationship Id="rId136" Type="http://schemas.openxmlformats.org/officeDocument/2006/relationships/hyperlink" Target="http://statistici.insse.ro/" TargetMode="External"/><Relationship Id="rId157" Type="http://schemas.openxmlformats.org/officeDocument/2006/relationships/hyperlink" Target="http://www.ecox.ro/" TargetMode="External"/><Relationship Id="rId178" Type="http://schemas.openxmlformats.org/officeDocument/2006/relationships/chart" Target="charts/chart80.xml"/><Relationship Id="rId61" Type="http://schemas.openxmlformats.org/officeDocument/2006/relationships/image" Target="media/image5.png"/><Relationship Id="rId82" Type="http://schemas.openxmlformats.org/officeDocument/2006/relationships/image" Target="media/image12.png"/><Relationship Id="rId152" Type="http://schemas.openxmlformats.org/officeDocument/2006/relationships/hyperlink" Target="http://www.mmediu.ro/app/webroot/uploads/files/licenta%20ECOLOGIC_3R_AMBALAJE.pdf" TargetMode="External"/><Relationship Id="rId173" Type="http://schemas.openxmlformats.org/officeDocument/2006/relationships/chart" Target="charts/chart75.xml"/><Relationship Id="rId194" Type="http://schemas.openxmlformats.org/officeDocument/2006/relationships/image" Target="media/image50.png"/><Relationship Id="rId199" Type="http://schemas.openxmlformats.org/officeDocument/2006/relationships/chart" Target="charts/chart97.xml"/><Relationship Id="rId203" Type="http://schemas.openxmlformats.org/officeDocument/2006/relationships/chart" Target="charts/chart101.xml"/><Relationship Id="rId19" Type="http://schemas.openxmlformats.org/officeDocument/2006/relationships/image" Target="media/image3.emf"/><Relationship Id="rId14" Type="http://schemas.openxmlformats.org/officeDocument/2006/relationships/chart" Target="charts/chart6.xml"/><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chart" Target="charts/chart52.xml"/><Relationship Id="rId100" Type="http://schemas.openxmlformats.org/officeDocument/2006/relationships/hyperlink" Target="http://www.insse.ro" TargetMode="External"/><Relationship Id="rId105" Type="http://schemas.openxmlformats.org/officeDocument/2006/relationships/hyperlink" Target="http://h2obenchmark.org/" TargetMode="External"/><Relationship Id="rId126" Type="http://schemas.openxmlformats.org/officeDocument/2006/relationships/image" Target="media/image440.jpeg"/><Relationship Id="rId147" Type="http://schemas.openxmlformats.org/officeDocument/2006/relationships/chart" Target="charts/chart67.xml"/><Relationship Id="rId168" Type="http://schemas.openxmlformats.org/officeDocument/2006/relationships/chart" Target="charts/chart70.xml"/><Relationship Id="rId8" Type="http://schemas.openxmlformats.org/officeDocument/2006/relationships/endnotes" Target="endnotes.xml"/><Relationship Id="rId51" Type="http://schemas.openxmlformats.org/officeDocument/2006/relationships/chart" Target="charts/chart37.xml"/><Relationship Id="rId72" Type="http://schemas.openxmlformats.org/officeDocument/2006/relationships/chart" Target="charts/chart47.xml"/><Relationship Id="rId93" Type="http://schemas.openxmlformats.org/officeDocument/2006/relationships/image" Target="media/image21.png"/><Relationship Id="rId98" Type="http://schemas.openxmlformats.org/officeDocument/2006/relationships/image" Target="media/image25.png"/><Relationship Id="rId121" Type="http://schemas.openxmlformats.org/officeDocument/2006/relationships/image" Target="media/image42.png"/><Relationship Id="rId142" Type="http://schemas.openxmlformats.org/officeDocument/2006/relationships/chart" Target="charts/chart62.xml"/><Relationship Id="rId163" Type="http://schemas.openxmlformats.org/officeDocument/2006/relationships/hyperlink" Target="http://www.mmediu.ro/app/webroot/uploads/files/licenta%20GREENPOINT%20MANAGEMENT.pdf" TargetMode="External"/><Relationship Id="rId184" Type="http://schemas.openxmlformats.org/officeDocument/2006/relationships/chart" Target="charts/chart83.xml"/><Relationship Id="rId189" Type="http://schemas.openxmlformats.org/officeDocument/2006/relationships/chart" Target="charts/chart88.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hyperlink" Target="https://rowater.ro/despre-noi/descrierea-activitatii/managementul-european-integrat-resurse-de-apa/planurile-de-management-ale-bazinelor-hidrografice/planuri-de-management-nationale/" TargetMode="External"/><Relationship Id="rId116" Type="http://schemas.openxmlformats.org/officeDocument/2006/relationships/image" Target="media/image37.jpeg"/><Relationship Id="rId137" Type="http://schemas.openxmlformats.org/officeDocument/2006/relationships/chart" Target="charts/chart57.xml"/><Relationship Id="rId158" Type="http://schemas.openxmlformats.org/officeDocument/2006/relationships/hyperlink" Target="http://www.mmediu.ro/app/webroot/uploads/files/licenta%20ECO_X.pdf" TargetMode="External"/><Relationship Id="rId20" Type="http://schemas.openxmlformats.org/officeDocument/2006/relationships/package" Target="embeddings/Microsoft_Excel_Worksheet10.xlsx"/><Relationship Id="rId41" Type="http://schemas.openxmlformats.org/officeDocument/2006/relationships/chart" Target="charts/chart27.xml"/><Relationship Id="rId62" Type="http://schemas.openxmlformats.org/officeDocument/2006/relationships/hyperlink" Target="https://www.worldometers.info/world-population/romania-population/" TargetMode="External"/><Relationship Id="rId83" Type="http://schemas.openxmlformats.org/officeDocument/2006/relationships/image" Target="media/image13.png"/><Relationship Id="rId88" Type="http://schemas.openxmlformats.org/officeDocument/2006/relationships/image" Target="media/image18.jpeg"/><Relationship Id="rId111" Type="http://schemas.openxmlformats.org/officeDocument/2006/relationships/image" Target="media/image32.png"/><Relationship Id="rId132" Type="http://schemas.openxmlformats.org/officeDocument/2006/relationships/image" Target="media/image48.emf"/><Relationship Id="rId153" Type="http://schemas.openxmlformats.org/officeDocument/2006/relationships/hyperlink" Target="http://www.mmediu.ro/app/webroot/uploads/files/licenta%20ECO_SYNERGY.pdf" TargetMode="External"/><Relationship Id="rId174" Type="http://schemas.openxmlformats.org/officeDocument/2006/relationships/chart" Target="charts/chart76.xml"/><Relationship Id="rId179" Type="http://schemas.openxmlformats.org/officeDocument/2006/relationships/hyperlink" Target="http://hartiacustice.pmb.ro/page/hstrat" TargetMode="External"/><Relationship Id="rId195" Type="http://schemas.openxmlformats.org/officeDocument/2006/relationships/chart" Target="charts/chart93.xml"/><Relationship Id="rId190" Type="http://schemas.openxmlformats.org/officeDocument/2006/relationships/chart" Target="charts/chart89.xml"/><Relationship Id="rId204" Type="http://schemas.openxmlformats.org/officeDocument/2006/relationships/chart" Target="charts/chart102.xml"/><Relationship Id="rId15" Type="http://schemas.openxmlformats.org/officeDocument/2006/relationships/chart" Target="charts/chart7.xml"/><Relationship Id="rId36" Type="http://schemas.openxmlformats.org/officeDocument/2006/relationships/chart" Target="charts/chart22.xml"/><Relationship Id="rId57" Type="http://schemas.openxmlformats.org/officeDocument/2006/relationships/chart" Target="charts/chart43.xml"/><Relationship Id="rId106" Type="http://schemas.openxmlformats.org/officeDocument/2006/relationships/hyperlink" Target="https://rowater.ro/wp-content/uploads/2020/12/Probleme-Importante-de-Gospodarire-a-Apelor-Sinteza-Nationala-2019.pdf" TargetMode="External"/><Relationship Id="rId127" Type="http://schemas.openxmlformats.org/officeDocument/2006/relationships/image" Target="media/image45.png"/><Relationship Id="rId10" Type="http://schemas.openxmlformats.org/officeDocument/2006/relationships/chart" Target="charts/chart2.xml"/><Relationship Id="rId31" Type="http://schemas.openxmlformats.org/officeDocument/2006/relationships/chart" Target="charts/chart17.xml"/><Relationship Id="rId52" Type="http://schemas.openxmlformats.org/officeDocument/2006/relationships/chart" Target="charts/chart38.xml"/><Relationship Id="rId73" Type="http://schemas.openxmlformats.org/officeDocument/2006/relationships/chart" Target="charts/chart48.xml"/><Relationship Id="rId78" Type="http://schemas.openxmlformats.org/officeDocument/2006/relationships/chart" Target="charts/chart53.xml"/><Relationship Id="rId94" Type="http://schemas.openxmlformats.org/officeDocument/2006/relationships/hyperlink" Target="http://www.insse.ro" TargetMode="External"/><Relationship Id="rId99" Type="http://schemas.openxmlformats.org/officeDocument/2006/relationships/image" Target="media/image26.emf"/><Relationship Id="rId101" Type="http://schemas.openxmlformats.org/officeDocument/2006/relationships/image" Target="media/image27.png"/><Relationship Id="rId122" Type="http://schemas.openxmlformats.org/officeDocument/2006/relationships/image" Target="media/image43.png"/><Relationship Id="rId143" Type="http://schemas.openxmlformats.org/officeDocument/2006/relationships/chart" Target="charts/chart63.xml"/><Relationship Id="rId148" Type="http://schemas.openxmlformats.org/officeDocument/2006/relationships/chart" Target="charts/chart68.xml"/><Relationship Id="rId164" Type="http://schemas.openxmlformats.org/officeDocument/2006/relationships/hyperlink" Target="http://www.mmediu.ro/app/webroot/uploads/files/licenta%20MARATHON%281%29.pdf" TargetMode="External"/><Relationship Id="rId169" Type="http://schemas.openxmlformats.org/officeDocument/2006/relationships/chart" Target="charts/chart71.xml"/><Relationship Id="rId185" Type="http://schemas.openxmlformats.org/officeDocument/2006/relationships/chart" Target="charts/chart84.xml"/><Relationship Id="rId4" Type="http://schemas.microsoft.com/office/2007/relationships/stylesWithEffects" Target="stylesWithEffects.xml"/><Relationship Id="rId9" Type="http://schemas.openxmlformats.org/officeDocument/2006/relationships/chart" Target="charts/chart1.xml"/><Relationship Id="rId180" Type="http://schemas.openxmlformats.org/officeDocument/2006/relationships/chart" Target="charts/chart81.xml"/><Relationship Id="rId26" Type="http://schemas.openxmlformats.org/officeDocument/2006/relationships/chart" Target="charts/chart12.xml"/><Relationship Id="rId47" Type="http://schemas.openxmlformats.org/officeDocument/2006/relationships/chart" Target="charts/chart33.xml"/><Relationship Id="rId68" Type="http://schemas.openxmlformats.org/officeDocument/2006/relationships/hyperlink" Target="https://rowater.ro/despre-noi/descrierea-activitatii/managementul-european-integrat-resurse-de-apa/planurile-de-management-ale-bazinelor-hidrografice/planuri-de-management-nationale/" TargetMode="External"/><Relationship Id="rId89" Type="http://schemas.openxmlformats.org/officeDocument/2006/relationships/image" Target="media/image19.png"/><Relationship Id="rId112" Type="http://schemas.openxmlformats.org/officeDocument/2006/relationships/image" Target="media/image33.jpeg"/><Relationship Id="rId133" Type="http://schemas.openxmlformats.org/officeDocument/2006/relationships/hyperlink" Target="https://rowater.ro/proiectul-sipoca-588/" TargetMode="External"/><Relationship Id="rId154" Type="http://schemas.openxmlformats.org/officeDocument/2006/relationships/hyperlink" Target="http://www.ecoromambalaje.ro/" TargetMode="External"/><Relationship Id="rId175" Type="http://schemas.openxmlformats.org/officeDocument/2006/relationships/chart" Target="charts/chart77.xml"/><Relationship Id="rId196" Type="http://schemas.openxmlformats.org/officeDocument/2006/relationships/chart" Target="charts/chart94.xml"/><Relationship Id="rId200" Type="http://schemas.openxmlformats.org/officeDocument/2006/relationships/chart" Target="charts/chart98.xml"/></Relationships>
</file>

<file path=word/_rels/footnotes.xml.rels><?xml version="1.0" encoding="UTF-8" standalone="yes"?>
<Relationships xmlns="http://schemas.openxmlformats.org/package/2006/relationships"><Relationship Id="rId2" Type="http://schemas.openxmlformats.org/officeDocument/2006/relationships/hyperlink" Target="https://ec.europa.eu/clima/sites/clima/files/adaptation/what/docs/eu_strategy_2021.pdf" TargetMode="External"/><Relationship Id="rId1" Type="http://schemas.openxmlformats.org/officeDocument/2006/relationships/hyperlink" Target="https://ec.europa.eu/environment/pdf/chemicals/2020/10/Strategy.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3.xlsx"/></Relationships>
</file>

<file path=word/charts/_rels/chart100.xml.rels><?xml version="1.0" encoding="UTF-8" standalone="yes"?>
<Relationships xmlns="http://schemas.openxmlformats.org/package/2006/relationships"><Relationship Id="rId1" Type="http://schemas.openxmlformats.org/officeDocument/2006/relationships/package" Target="../embeddings/Microsoft_Excel_Worksheet97.xlsx"/></Relationships>
</file>

<file path=word/charts/_rels/chart101.xml.rels><?xml version="1.0" encoding="UTF-8" standalone="yes"?>
<Relationships xmlns="http://schemas.openxmlformats.org/package/2006/relationships"><Relationship Id="rId1" Type="http://schemas.openxmlformats.org/officeDocument/2006/relationships/package" Target="../embeddings/Microsoft_Excel_Worksheet98.xlsx"/></Relationships>
</file>

<file path=word/charts/_rels/chart102.xml.rels><?xml version="1.0" encoding="UTF-8" standalone="yes"?>
<Relationships xmlns="http://schemas.openxmlformats.org/package/2006/relationships"><Relationship Id="rId1" Type="http://schemas.openxmlformats.org/officeDocument/2006/relationships/package" Target="../embeddings/Microsoft_Excel_Worksheet99.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4.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1.xml"/></Relationships>
</file>

<file path=word/charts/_rels/chart47.xml.rels><?xml version="1.0" encoding="UTF-8" standalone="yes"?>
<Relationships xmlns="http://schemas.openxmlformats.org/package/2006/relationships"><Relationship Id="rId1" Type="http://schemas.openxmlformats.org/officeDocument/2006/relationships/oleObject" Target="file:///D:\SOER\SOER_2023\Grafice%20SOER_2022.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D:\SOER\SOER_2023\Grafice%20SOER_2022.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D:\SOER\SOER_2023\Grafice%20SOER_2022.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50.xml.rels><?xml version="1.0" encoding="UTF-8" standalone="yes"?>
<Relationships xmlns="http://schemas.openxmlformats.org/package/2006/relationships"><Relationship Id="rId1" Type="http://schemas.openxmlformats.org/officeDocument/2006/relationships/oleObject" Target="file:///D:\SOER\SOER_2023\Grafice%20SOER_2022.xlsx" TargetMode="Externa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2.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3.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4.xml"/></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55.xml.rels><?xml version="1.0" encoding="UTF-8" standalone="yes"?>
<Relationships xmlns="http://schemas.openxmlformats.org/package/2006/relationships"><Relationship Id="rId2" Type="http://schemas.openxmlformats.org/officeDocument/2006/relationships/oleObject" Target="file:///C:\Users\mariana.mincu\Desktop\New%20Microsoft%20Excel%20Worksheet.xlsx" TargetMode="External"/><Relationship Id="rId1" Type="http://schemas.openxmlformats.org/officeDocument/2006/relationships/themeOverride" Target="../theme/themeOverride5.xml"/></Relationships>
</file>

<file path=word/charts/_rels/chart56.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D:\din%20temp\Starea%20mediului%20SOER\SOER%202024\nivele%20colectare%20si%20epurare%202022.xlsx" TargetMode="External"/><Relationship Id="rId1" Type="http://schemas.openxmlformats.org/officeDocument/2006/relationships/themeOverride" Target="../theme/themeOverride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9.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10.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11.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12.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13.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14.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15.xml"/></Relationships>
</file>

<file path=word/charts/_rels/chart71.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16.xml"/></Relationships>
</file>

<file path=word/charts/_rels/chart72.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69.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70.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Microsoft_Excel_Worksheet71.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72.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73.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74.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75.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7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17.xml"/></Relationships>
</file>

<file path=word/charts/_rels/chart81.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18.xml"/></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79.xlsx"/><Relationship Id="rId1" Type="http://schemas.openxmlformats.org/officeDocument/2006/relationships/themeOverride" Target="../theme/themeOverride19.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80.xlsx"/><Relationship Id="rId1" Type="http://schemas.openxmlformats.org/officeDocument/2006/relationships/themeOverride" Target="../theme/themeOverride20.xml"/></Relationships>
</file>

<file path=word/charts/_rels/chart84.xml.rels><?xml version="1.0" encoding="UTF-8" standalone="yes"?>
<Relationships xmlns="http://schemas.openxmlformats.org/package/2006/relationships"><Relationship Id="rId1" Type="http://schemas.openxmlformats.org/officeDocument/2006/relationships/package" Target="../embeddings/Microsoft_Excel_Worksheet81.xlsx"/></Relationships>
</file>

<file path=word/charts/_rels/chart85.xml.rels><?xml version="1.0" encoding="UTF-8" standalone="yes"?>
<Relationships xmlns="http://schemas.openxmlformats.org/package/2006/relationships"><Relationship Id="rId1" Type="http://schemas.openxmlformats.org/officeDocument/2006/relationships/package" Target="../embeddings/Microsoft_Excel_Worksheet82.xlsx"/></Relationships>
</file>

<file path=word/charts/_rels/chart86.xml.rels><?xml version="1.0" encoding="UTF-8" standalone="yes"?>
<Relationships xmlns="http://schemas.openxmlformats.org/package/2006/relationships"><Relationship Id="rId1" Type="http://schemas.openxmlformats.org/officeDocument/2006/relationships/package" Target="../embeddings/Microsoft_Excel_Worksheet83.xlsx"/></Relationships>
</file>

<file path=word/charts/_rels/chart87.xml.rels><?xml version="1.0" encoding="UTF-8" standalone="yes"?>
<Relationships xmlns="http://schemas.openxmlformats.org/package/2006/relationships"><Relationship Id="rId1" Type="http://schemas.openxmlformats.org/officeDocument/2006/relationships/package" Target="../embeddings/Microsoft_Excel_Worksheet84.xlsx"/></Relationships>
</file>

<file path=word/charts/_rels/chart88.xml.rels><?xml version="1.0" encoding="UTF-8" standalone="yes"?>
<Relationships xmlns="http://schemas.openxmlformats.org/package/2006/relationships"><Relationship Id="rId1" Type="http://schemas.openxmlformats.org/officeDocument/2006/relationships/package" Target="../embeddings/Microsoft_Excel_Worksheet85.xlsx"/></Relationships>
</file>

<file path=word/charts/_rels/chart89.xml.rels><?xml version="1.0" encoding="UTF-8" standalone="yes"?>
<Relationships xmlns="http://schemas.openxmlformats.org/package/2006/relationships"><Relationship Id="rId2" Type="http://schemas.openxmlformats.org/officeDocument/2006/relationships/package" Target="../embeddings/Microsoft_Excel_Worksheet86.xlsx"/><Relationship Id="rId1" Type="http://schemas.openxmlformats.org/officeDocument/2006/relationships/themeOverride" Target="../theme/themeOverride21.xm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2.xlsx"/></Relationships>
</file>

<file path=word/charts/_rels/chart90.xml.rels><?xml version="1.0" encoding="UTF-8" standalone="yes"?>
<Relationships xmlns="http://schemas.openxmlformats.org/package/2006/relationships"><Relationship Id="rId2" Type="http://schemas.openxmlformats.org/officeDocument/2006/relationships/package" Target="../embeddings/Microsoft_Excel_Worksheet87.xlsx"/><Relationship Id="rId1" Type="http://schemas.openxmlformats.org/officeDocument/2006/relationships/themeOverride" Target="../theme/themeOverride22.xm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88.xlsx"/><Relationship Id="rId1" Type="http://schemas.openxmlformats.org/officeDocument/2006/relationships/themeOverride" Target="../theme/themeOverride23.xml"/></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89.xlsx"/><Relationship Id="rId1" Type="http://schemas.openxmlformats.org/officeDocument/2006/relationships/themeOverride" Target="../theme/themeOverride24.xml"/></Relationships>
</file>

<file path=word/charts/_rels/chart93.xml.rels><?xml version="1.0" encoding="UTF-8" standalone="yes"?>
<Relationships xmlns="http://schemas.openxmlformats.org/package/2006/relationships"><Relationship Id="rId1" Type="http://schemas.openxmlformats.org/officeDocument/2006/relationships/package" Target="../embeddings/Microsoft_Excel_Worksheet90.xlsx"/></Relationships>
</file>

<file path=word/charts/_rels/chart94.xml.rels><?xml version="1.0" encoding="UTF-8" standalone="yes"?>
<Relationships xmlns="http://schemas.openxmlformats.org/package/2006/relationships"><Relationship Id="rId1" Type="http://schemas.openxmlformats.org/officeDocument/2006/relationships/package" Target="../embeddings/Microsoft_Excel_Worksheet91.xlsx"/></Relationships>
</file>

<file path=word/charts/_rels/chart95.xml.rels><?xml version="1.0" encoding="UTF-8" standalone="yes"?>
<Relationships xmlns="http://schemas.openxmlformats.org/package/2006/relationships"><Relationship Id="rId1" Type="http://schemas.openxmlformats.org/officeDocument/2006/relationships/package" Target="../embeddings/Microsoft_Excel_Worksheet92.xlsx"/></Relationships>
</file>

<file path=word/charts/_rels/chart96.xml.rels><?xml version="1.0" encoding="UTF-8" standalone="yes"?>
<Relationships xmlns="http://schemas.openxmlformats.org/package/2006/relationships"><Relationship Id="rId1" Type="http://schemas.openxmlformats.org/officeDocument/2006/relationships/package" Target="../embeddings/Microsoft_Excel_Worksheet93.xlsx"/></Relationships>
</file>

<file path=word/charts/_rels/chart97.xml.rels><?xml version="1.0" encoding="UTF-8" standalone="yes"?>
<Relationships xmlns="http://schemas.openxmlformats.org/package/2006/relationships"><Relationship Id="rId1" Type="http://schemas.openxmlformats.org/officeDocument/2006/relationships/package" Target="../embeddings/Microsoft_Excel_Worksheet94.xlsx"/></Relationships>
</file>

<file path=word/charts/_rels/chart98.xml.rels><?xml version="1.0" encoding="UTF-8" standalone="yes"?>
<Relationships xmlns="http://schemas.openxmlformats.org/package/2006/relationships"><Relationship Id="rId1" Type="http://schemas.openxmlformats.org/officeDocument/2006/relationships/package" Target="../embeddings/Microsoft_Excel_Worksheet95.xlsx"/></Relationships>
</file>

<file path=word/charts/_rels/chart99.xml.rels><?xml version="1.0" encoding="UTF-8" standalone="yes"?>
<Relationships xmlns="http://schemas.openxmlformats.org/package/2006/relationships"><Relationship Id="rId1" Type="http://schemas.openxmlformats.org/officeDocument/2006/relationships/package" Target="../embeddings/Microsoft_Excel_Worksheet9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NO2 Concentraţii medii anuale 202</a:t>
            </a:r>
            <a:r>
              <a:rPr lang="ro-RO"/>
              <a:t>3</a:t>
            </a:r>
            <a:r>
              <a:rPr lang="en-US"/>
              <a:t> înregistrate la staţiile de monitorizare</a:t>
            </a:r>
          </a:p>
        </c:rich>
      </c:tx>
      <c:layout>
        <c:manualLayout>
          <c:xMode val="edge"/>
          <c:yMode val="edge"/>
          <c:x val="0.1116928184416133"/>
          <c:y val="2.0725183799309599E-2"/>
        </c:manualLayout>
      </c:layout>
      <c:overlay val="0"/>
      <c:spPr>
        <a:noFill/>
        <a:ln w="23600">
          <a:noFill/>
        </a:ln>
      </c:spPr>
    </c:title>
    <c:autoTitleDeleted val="0"/>
    <c:plotArea>
      <c:layout>
        <c:manualLayout>
          <c:layoutTarget val="inner"/>
          <c:xMode val="edge"/>
          <c:yMode val="edge"/>
          <c:x val="0.10645724258289703"/>
          <c:y val="0.22538860103626995"/>
          <c:w val="0.87783595113438773"/>
          <c:h val="0.5362694300518136"/>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11820">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24.72</c:v>
                </c:pt>
                <c:pt idx="1">
                  <c:v>29.78</c:v>
                </c:pt>
                <c:pt idx="2">
                  <c:v>27.96</c:v>
                </c:pt>
                <c:pt idx="3">
                  <c:v>40.64</c:v>
                </c:pt>
                <c:pt idx="4">
                  <c:v>30.42</c:v>
                </c:pt>
                <c:pt idx="6">
                  <c:v>26.02</c:v>
                </c:pt>
                <c:pt idx="7">
                  <c:v>17.329999999999998</c:v>
                </c:pt>
                <c:pt idx="8">
                  <c:v>9.4600000000000009</c:v>
                </c:pt>
                <c:pt idx="9">
                  <c:v>25.28</c:v>
                </c:pt>
                <c:pt idx="10">
                  <c:v>37.54</c:v>
                </c:pt>
              </c:numCache>
            </c:numRef>
          </c:val>
          <c:extLst xmlns:c16r2="http://schemas.microsoft.com/office/drawing/2015/06/chart">
            <c:ext xmlns:c16="http://schemas.microsoft.com/office/drawing/2014/chart" uri="{C3380CC4-5D6E-409C-BE32-E72D297353CC}">
              <c16:uniqueId val="{00000000-2DE1-42E7-8A6B-8C220D31086E}"/>
            </c:ext>
          </c:extLst>
        </c:ser>
        <c:dLbls>
          <c:showLegendKey val="0"/>
          <c:showVal val="0"/>
          <c:showCatName val="0"/>
          <c:showSerName val="0"/>
          <c:showPercent val="0"/>
          <c:showBubbleSize val="0"/>
        </c:dLbls>
        <c:gapWidth val="150"/>
        <c:axId val="346183936"/>
        <c:axId val="346266240"/>
      </c:barChart>
      <c:lineChart>
        <c:grouping val="standard"/>
        <c:varyColors val="0"/>
        <c:ser>
          <c:idx val="0"/>
          <c:order val="1"/>
          <c:tx>
            <c:strRef>
              <c:f>Sheet1!$A$3</c:f>
              <c:strCache>
                <c:ptCount val="1"/>
                <c:pt idx="0">
                  <c:v>Valoare limită</c:v>
                </c:pt>
              </c:strCache>
            </c:strRef>
          </c:tx>
          <c:spPr>
            <a:ln w="23640">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xmlns:c16r2="http://schemas.microsoft.com/office/drawing/2015/06/chart">
            <c:ext xmlns:c16="http://schemas.microsoft.com/office/drawing/2014/chart" uri="{C3380CC4-5D6E-409C-BE32-E72D297353CC}">
              <c16:uniqueId val="{00000001-2DE1-42E7-8A6B-8C220D31086E}"/>
            </c:ext>
          </c:extLst>
        </c:ser>
        <c:dLbls>
          <c:showLegendKey val="0"/>
          <c:showVal val="0"/>
          <c:showCatName val="0"/>
          <c:showSerName val="0"/>
          <c:showPercent val="0"/>
          <c:showBubbleSize val="0"/>
        </c:dLbls>
        <c:marker val="1"/>
        <c:smooth val="0"/>
        <c:axId val="357606528"/>
        <c:axId val="360211584"/>
      </c:lineChart>
      <c:catAx>
        <c:axId val="346183936"/>
        <c:scaling>
          <c:orientation val="minMax"/>
        </c:scaling>
        <c:delete val="0"/>
        <c:axPos val="b"/>
        <c:title>
          <c:tx>
            <c:rich>
              <a:bodyPr/>
              <a:lstStyle/>
              <a:p>
                <a:pPr>
                  <a:defRPr/>
                </a:pPr>
                <a:r>
                  <a:rPr lang="en-US"/>
                  <a:t>staţii monitorizare</a:t>
                </a:r>
              </a:p>
            </c:rich>
          </c:tx>
          <c:layout>
            <c:manualLayout>
              <c:xMode val="edge"/>
              <c:yMode val="edge"/>
              <c:x val="0.43979060020838273"/>
              <c:y val="0.83937821364956211"/>
            </c:manualLayout>
          </c:layout>
          <c:overlay val="0"/>
          <c:spPr>
            <a:noFill/>
            <a:ln w="23600">
              <a:noFill/>
            </a:ln>
          </c:spPr>
        </c:title>
        <c:numFmt formatCode="General" sourceLinked="1"/>
        <c:majorTickMark val="cross"/>
        <c:minorTickMark val="none"/>
        <c:tickLblPos val="nextTo"/>
        <c:spPr>
          <a:ln w="2955">
            <a:solidFill>
              <a:srgbClr val="000000"/>
            </a:solidFill>
            <a:prstDash val="solid"/>
          </a:ln>
        </c:spPr>
        <c:txPr>
          <a:bodyPr rot="0" vert="horz"/>
          <a:lstStyle/>
          <a:p>
            <a:pPr>
              <a:defRPr/>
            </a:pPr>
            <a:endParaRPr lang="en-US"/>
          </a:p>
        </c:txPr>
        <c:crossAx val="346266240"/>
        <c:crosses val="autoZero"/>
        <c:auto val="0"/>
        <c:lblAlgn val="ctr"/>
        <c:lblOffset val="100"/>
        <c:tickLblSkip val="1"/>
        <c:tickMarkSkip val="1"/>
        <c:noMultiLvlLbl val="0"/>
      </c:catAx>
      <c:valAx>
        <c:axId val="346266240"/>
        <c:scaling>
          <c:orientation val="minMax"/>
          <c:max val="60"/>
        </c:scaling>
        <c:delete val="0"/>
        <c:axPos val="l"/>
        <c:title>
          <c:tx>
            <c:rich>
              <a:bodyPr/>
              <a:lstStyle/>
              <a:p>
                <a:pPr>
                  <a:defRPr/>
                </a:pPr>
                <a:r>
                  <a:rPr lang="en-US"/>
                  <a:t>concentraţie µg/m3</a:t>
                </a:r>
              </a:p>
            </c:rich>
          </c:tx>
          <c:layout>
            <c:manualLayout>
              <c:xMode val="edge"/>
              <c:yMode val="edge"/>
              <c:x val="1.9197343921753374E-2"/>
              <c:y val="0.33962586241706522"/>
            </c:manualLayout>
          </c:layout>
          <c:overlay val="0"/>
          <c:spPr>
            <a:noFill/>
            <a:ln w="23600">
              <a:noFill/>
            </a:ln>
          </c:spPr>
        </c:title>
        <c:numFmt formatCode="General" sourceLinked="1"/>
        <c:majorTickMark val="cross"/>
        <c:minorTickMark val="none"/>
        <c:tickLblPos val="nextTo"/>
        <c:spPr>
          <a:ln w="2955">
            <a:solidFill>
              <a:srgbClr val="000000"/>
            </a:solidFill>
            <a:prstDash val="solid"/>
          </a:ln>
        </c:spPr>
        <c:txPr>
          <a:bodyPr rot="0" vert="horz"/>
          <a:lstStyle/>
          <a:p>
            <a:pPr>
              <a:defRPr/>
            </a:pPr>
            <a:endParaRPr lang="en-US"/>
          </a:p>
        </c:txPr>
        <c:crossAx val="346183936"/>
        <c:crosses val="autoZero"/>
        <c:crossBetween val="between"/>
      </c:valAx>
      <c:catAx>
        <c:axId val="357606528"/>
        <c:scaling>
          <c:orientation val="minMax"/>
        </c:scaling>
        <c:delete val="1"/>
        <c:axPos val="b"/>
        <c:numFmt formatCode="General" sourceLinked="1"/>
        <c:majorTickMark val="out"/>
        <c:minorTickMark val="none"/>
        <c:tickLblPos val="nextTo"/>
        <c:crossAx val="360211584"/>
        <c:crosses val="autoZero"/>
        <c:auto val="0"/>
        <c:lblAlgn val="ctr"/>
        <c:lblOffset val="100"/>
        <c:noMultiLvlLbl val="0"/>
      </c:catAx>
      <c:valAx>
        <c:axId val="360211584"/>
        <c:scaling>
          <c:orientation val="minMax"/>
        </c:scaling>
        <c:delete val="1"/>
        <c:axPos val="l"/>
        <c:numFmt formatCode="General" sourceLinked="1"/>
        <c:majorTickMark val="out"/>
        <c:minorTickMark val="none"/>
        <c:tickLblPos val="nextTo"/>
        <c:crossAx val="357606528"/>
        <c:crosses val="autoZero"/>
        <c:crossBetween val="between"/>
      </c:valAx>
      <c:spPr>
        <a:solidFill>
          <a:srgbClr val="C0C0C0"/>
        </a:solidFill>
        <a:ln w="11820">
          <a:solidFill>
            <a:srgbClr val="808080"/>
          </a:solidFill>
          <a:prstDash val="solid"/>
        </a:ln>
      </c:spPr>
    </c:plotArea>
    <c:legend>
      <c:legendPos val="b"/>
      <c:layout>
        <c:manualLayout>
          <c:xMode val="edge"/>
          <c:yMode val="edge"/>
          <c:x val="0.28272256847511262"/>
          <c:y val="0.93005169872443583"/>
          <c:w val="0.52181486005803102"/>
          <c:h val="6.217611206081175E-2"/>
        </c:manualLayout>
      </c:layout>
      <c:overlay val="0"/>
      <c:spPr>
        <a:solidFill>
          <a:srgbClr val="FFFFFF"/>
        </a:solidFill>
        <a:ln w="2955">
          <a:solidFill>
            <a:srgbClr val="000000"/>
          </a:solidFill>
          <a:prstDash val="solid"/>
        </a:ln>
      </c:spPr>
    </c:legend>
    <c:plotVisOnly val="1"/>
    <c:dispBlanksAs val="gap"/>
    <c:showDLblsOverMax val="0"/>
  </c:chart>
  <c:spPr>
    <a:noFill/>
    <a:ln>
      <a:noFill/>
    </a:ln>
  </c:spPr>
  <c:txPr>
    <a:bodyPr/>
    <a:lstStyle/>
    <a:p>
      <a:pPr>
        <a:defRPr sz="929"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200"/>
              <a:t>Cd - Evoluţia concentraţiilor medii anuale înregistrate la staţiile de monitorizare în raport cu valoarea limită </a:t>
            </a:r>
          </a:p>
        </c:rich>
      </c:tx>
      <c:overlay val="0"/>
      <c:spPr>
        <a:noFill/>
        <a:ln w="25399">
          <a:noFill/>
        </a:ln>
      </c:spPr>
    </c:title>
    <c:autoTitleDeleted val="0"/>
    <c:plotArea>
      <c:layout/>
      <c:barChart>
        <c:barDir val="col"/>
        <c:grouping val="clustered"/>
        <c:varyColors val="0"/>
        <c:ser>
          <c:idx val="0"/>
          <c:order val="0"/>
          <c:tx>
            <c:strRef>
              <c:f>Sheet1!$B$1</c:f>
              <c:strCache>
                <c:ptCount val="1"/>
                <c:pt idx="0">
                  <c:v>B1</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0.54</c:v>
                </c:pt>
                <c:pt idx="1">
                  <c:v>0.34</c:v>
                </c:pt>
                <c:pt idx="2">
                  <c:v>0.13</c:v>
                </c:pt>
                <c:pt idx="3">
                  <c:v>0.31</c:v>
                </c:pt>
                <c:pt idx="4">
                  <c:v>1.4</c:v>
                </c:pt>
              </c:numCache>
            </c:numRef>
          </c:val>
          <c:extLst xmlns:c16r2="http://schemas.microsoft.com/office/drawing/2015/06/chart">
            <c:ext xmlns:c16="http://schemas.microsoft.com/office/drawing/2014/chart" uri="{C3380CC4-5D6E-409C-BE32-E72D297353CC}">
              <c16:uniqueId val="{00000000-5CA0-47D7-BB2A-4B2694F7C964}"/>
            </c:ext>
          </c:extLst>
        </c:ser>
        <c:ser>
          <c:idx val="1"/>
          <c:order val="1"/>
          <c:tx>
            <c:strRef>
              <c:f>Sheet1!$C$1</c:f>
              <c:strCache>
                <c:ptCount val="1"/>
                <c:pt idx="0">
                  <c:v>B2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pt idx="0">
                  <c:v>0.42</c:v>
                </c:pt>
                <c:pt idx="1">
                  <c:v>0.26</c:v>
                </c:pt>
                <c:pt idx="2">
                  <c:v>0.11</c:v>
                </c:pt>
              </c:numCache>
            </c:numRef>
          </c:val>
          <c:extLst xmlns:c16r2="http://schemas.microsoft.com/office/drawing/2015/06/chart">
            <c:ext xmlns:c16="http://schemas.microsoft.com/office/drawing/2014/chart" uri="{C3380CC4-5D6E-409C-BE32-E72D297353CC}">
              <c16:uniqueId val="{00000001-5CA0-47D7-BB2A-4B2694F7C964}"/>
            </c:ext>
          </c:extLst>
        </c:ser>
        <c:ser>
          <c:idx val="2"/>
          <c:order val="2"/>
          <c:tx>
            <c:strRef>
              <c:f>Sheet1!$D$1</c:f>
              <c:strCache>
                <c:ptCount val="1"/>
                <c:pt idx="0">
                  <c:v>B3</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General</c:formatCode>
                <c:ptCount val="5"/>
                <c:pt idx="0">
                  <c:v>0.44</c:v>
                </c:pt>
                <c:pt idx="1">
                  <c:v>0.35</c:v>
                </c:pt>
                <c:pt idx="2">
                  <c:v>7.0000000000000007E-2</c:v>
                </c:pt>
              </c:numCache>
            </c:numRef>
          </c:val>
          <c:extLst xmlns:c16r2="http://schemas.microsoft.com/office/drawing/2015/06/chart">
            <c:ext xmlns:c16="http://schemas.microsoft.com/office/drawing/2014/chart" uri="{C3380CC4-5D6E-409C-BE32-E72D297353CC}">
              <c16:uniqueId val="{00000002-5CA0-47D7-BB2A-4B2694F7C964}"/>
            </c:ext>
          </c:extLst>
        </c:ser>
        <c:ser>
          <c:idx val="3"/>
          <c:order val="3"/>
          <c:tx>
            <c:strRef>
              <c:f>Sheet1!$E$1</c:f>
              <c:strCache>
                <c:ptCount val="1"/>
                <c:pt idx="0">
                  <c:v>B4</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Sheet1!$E$2:$E$6</c:f>
              <c:numCache>
                <c:formatCode>General</c:formatCode>
                <c:ptCount val="5"/>
                <c:pt idx="0">
                  <c:v>0.38</c:v>
                </c:pt>
                <c:pt idx="1">
                  <c:v>0.46</c:v>
                </c:pt>
                <c:pt idx="2">
                  <c:v>0.19</c:v>
                </c:pt>
              </c:numCache>
            </c:numRef>
          </c:val>
          <c:extLst xmlns:c16r2="http://schemas.microsoft.com/office/drawing/2015/06/chart">
            <c:ext xmlns:c16="http://schemas.microsoft.com/office/drawing/2014/chart" uri="{C3380CC4-5D6E-409C-BE32-E72D297353CC}">
              <c16:uniqueId val="{00000003-5CA0-47D7-BB2A-4B2694F7C964}"/>
            </c:ext>
          </c:extLst>
        </c:ser>
        <c:ser>
          <c:idx val="4"/>
          <c:order val="4"/>
          <c:tx>
            <c:strRef>
              <c:f>Sheet1!$F$1</c:f>
              <c:strCache>
                <c:ptCount val="1"/>
                <c:pt idx="0">
                  <c:v>B5</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Sheet1!$F$2:$F$6</c:f>
              <c:numCache>
                <c:formatCode>General</c:formatCode>
                <c:ptCount val="5"/>
                <c:pt idx="0">
                  <c:v>0.38</c:v>
                </c:pt>
                <c:pt idx="1">
                  <c:v>0.38</c:v>
                </c:pt>
                <c:pt idx="2">
                  <c:v>0.2</c:v>
                </c:pt>
              </c:numCache>
            </c:numRef>
          </c:val>
          <c:extLst xmlns:c16r2="http://schemas.microsoft.com/office/drawing/2015/06/chart">
            <c:ext xmlns:c16="http://schemas.microsoft.com/office/drawing/2014/chart" uri="{C3380CC4-5D6E-409C-BE32-E72D297353CC}">
              <c16:uniqueId val="{00000004-5CA0-47D7-BB2A-4B2694F7C964}"/>
            </c:ext>
          </c:extLst>
        </c:ser>
        <c:ser>
          <c:idx val="5"/>
          <c:order val="5"/>
          <c:tx>
            <c:strRef>
              <c:f>Sheet1!$G$1</c:f>
              <c:strCache>
                <c:ptCount val="1"/>
                <c:pt idx="0">
                  <c:v>B6</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Sheet1!$G$2:$G$6</c:f>
              <c:numCache>
                <c:formatCode>General</c:formatCode>
                <c:ptCount val="5"/>
                <c:pt idx="0">
                  <c:v>0.45</c:v>
                </c:pt>
                <c:pt idx="1">
                  <c:v>0.76</c:v>
                </c:pt>
                <c:pt idx="2">
                  <c:v>0.28999999999999998</c:v>
                </c:pt>
              </c:numCache>
            </c:numRef>
          </c:val>
          <c:extLst xmlns:c16r2="http://schemas.microsoft.com/office/drawing/2015/06/chart">
            <c:ext xmlns:c16="http://schemas.microsoft.com/office/drawing/2014/chart" uri="{C3380CC4-5D6E-409C-BE32-E72D297353CC}">
              <c16:uniqueId val="{00000005-5CA0-47D7-BB2A-4B2694F7C964}"/>
            </c:ext>
          </c:extLst>
        </c:ser>
        <c:ser>
          <c:idx val="6"/>
          <c:order val="6"/>
          <c:tx>
            <c:strRef>
              <c:f>Sheet1!$H$1</c:f>
              <c:strCache>
                <c:ptCount val="1"/>
                <c:pt idx="0">
                  <c:v>B7</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Sheet1!$H$2:$H$6</c:f>
              <c:numCache>
                <c:formatCode>General</c:formatCode>
                <c:ptCount val="5"/>
                <c:pt idx="1">
                  <c:v>0.22</c:v>
                </c:pt>
                <c:pt idx="2">
                  <c:v>0.05</c:v>
                </c:pt>
                <c:pt idx="3">
                  <c:v>0.22</c:v>
                </c:pt>
                <c:pt idx="4">
                  <c:v>1.07</c:v>
                </c:pt>
              </c:numCache>
            </c:numRef>
          </c:val>
          <c:extLst xmlns:c16r2="http://schemas.microsoft.com/office/drawing/2015/06/chart">
            <c:ext xmlns:c16="http://schemas.microsoft.com/office/drawing/2014/chart" uri="{C3380CC4-5D6E-409C-BE32-E72D297353CC}">
              <c16:uniqueId val="{00000006-5CA0-47D7-BB2A-4B2694F7C964}"/>
            </c:ext>
          </c:extLst>
        </c:ser>
        <c:ser>
          <c:idx val="7"/>
          <c:order val="7"/>
          <c:tx>
            <c:strRef>
              <c:f>Sheet1!$I$1</c:f>
              <c:strCache>
                <c:ptCount val="1"/>
                <c:pt idx="0">
                  <c:v>B8</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Sheet1!$I$2:$I$6</c:f>
              <c:numCache>
                <c:formatCode>General</c:formatCode>
                <c:ptCount val="5"/>
                <c:pt idx="0">
                  <c:v>0.32</c:v>
                </c:pt>
                <c:pt idx="1">
                  <c:v>0.3</c:v>
                </c:pt>
                <c:pt idx="2">
                  <c:v>0.16</c:v>
                </c:pt>
              </c:numCache>
            </c:numRef>
          </c:val>
          <c:extLst xmlns:c16r2="http://schemas.microsoft.com/office/drawing/2015/06/chart">
            <c:ext xmlns:c16="http://schemas.microsoft.com/office/drawing/2014/chart" uri="{C3380CC4-5D6E-409C-BE32-E72D297353CC}">
              <c16:uniqueId val="{00000007-5CA0-47D7-BB2A-4B2694F7C964}"/>
            </c:ext>
          </c:extLst>
        </c:ser>
        <c:dLbls>
          <c:showLegendKey val="0"/>
          <c:showVal val="0"/>
          <c:showCatName val="0"/>
          <c:showSerName val="0"/>
          <c:showPercent val="0"/>
          <c:showBubbleSize val="0"/>
        </c:dLbls>
        <c:gapWidth val="150"/>
        <c:axId val="352050176"/>
        <c:axId val="352056064"/>
      </c:barChart>
      <c:catAx>
        <c:axId val="352050176"/>
        <c:scaling>
          <c:orientation val="minMax"/>
        </c:scaling>
        <c:delete val="0"/>
        <c:axPos val="b"/>
        <c:numFmt formatCode="General" sourceLinked="1"/>
        <c:majorTickMark val="out"/>
        <c:minorTickMark val="none"/>
        <c:tickLblPos val="nextTo"/>
        <c:crossAx val="352056064"/>
        <c:crosses val="autoZero"/>
        <c:auto val="1"/>
        <c:lblAlgn val="ctr"/>
        <c:lblOffset val="100"/>
        <c:noMultiLvlLbl val="0"/>
      </c:catAx>
      <c:valAx>
        <c:axId val="352056064"/>
        <c:scaling>
          <c:orientation val="minMax"/>
          <c:max val="6"/>
        </c:scaling>
        <c:delete val="0"/>
        <c:axPos val="l"/>
        <c:majorGridlines/>
        <c:title>
          <c:tx>
            <c:rich>
              <a:bodyPr/>
              <a:lstStyle/>
              <a:p>
                <a:pPr>
                  <a:defRPr/>
                </a:pPr>
                <a:r>
                  <a:rPr lang="en-US"/>
                  <a:t>Concentraţie ng/m3</a:t>
                </a:r>
              </a:p>
            </c:rich>
          </c:tx>
          <c:overlay val="0"/>
          <c:spPr>
            <a:noFill/>
            <a:ln w="25399">
              <a:noFill/>
            </a:ln>
          </c:spPr>
        </c:title>
        <c:numFmt formatCode="General" sourceLinked="1"/>
        <c:majorTickMark val="out"/>
        <c:minorTickMark val="none"/>
        <c:tickLblPos val="nextTo"/>
        <c:crossAx val="352050176"/>
        <c:crosses val="autoZero"/>
        <c:crossBetween val="between"/>
      </c:valAx>
    </c:plotArea>
    <c:legend>
      <c:legendPos val="r"/>
      <c:overlay val="0"/>
    </c:legend>
    <c:plotVisOnly val="1"/>
    <c:dispBlanksAs val="gap"/>
    <c:showDLblsOverMax val="0"/>
  </c:chart>
  <c:txPr>
    <a:bodyPr/>
    <a:lstStyle/>
    <a:p>
      <a:pPr>
        <a:defRPr baseline="0">
          <a:latin typeface="Trebuchet MS" pitchFamily="34" charset="0"/>
        </a:defRPr>
      </a:pPr>
      <a:endParaRPr lang="en-US"/>
    </a:p>
  </c:txPr>
  <c:externalData r:id="rId1">
    <c:autoUpdate val="0"/>
  </c:externalData>
  <c:userShapes r:id="rId2"/>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feroviar</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Sheet1!$B$2:$B$6</c:f>
              <c:numCache>
                <c:formatCode>General</c:formatCode>
                <c:ptCount val="5"/>
                <c:pt idx="0">
                  <c:v>30.2</c:v>
                </c:pt>
                <c:pt idx="1">
                  <c:v>28.9</c:v>
                </c:pt>
                <c:pt idx="2">
                  <c:v>26.8</c:v>
                </c:pt>
                <c:pt idx="3">
                  <c:v>25.8</c:v>
                </c:pt>
                <c:pt idx="4">
                  <c:v>25.3</c:v>
                </c:pt>
              </c:numCache>
            </c:numRef>
          </c:val>
          <c:extLst xmlns:c16r2="http://schemas.microsoft.com/office/drawing/2015/06/chart">
            <c:ext xmlns:c16="http://schemas.microsoft.com/office/drawing/2014/chart" uri="{C3380CC4-5D6E-409C-BE32-E72D297353CC}">
              <c16:uniqueId val="{00000000-3848-4740-B126-FCC39C1221F5}"/>
            </c:ext>
          </c:extLst>
        </c:ser>
        <c:ser>
          <c:idx val="1"/>
          <c:order val="1"/>
          <c:tx>
            <c:strRef>
              <c:f>Sheet1!$C$1</c:f>
              <c:strCache>
                <c:ptCount val="1"/>
                <c:pt idx="0">
                  <c:v>rutier</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Sheet1!$C$2:$C$6</c:f>
              <c:numCache>
                <c:formatCode>General</c:formatCode>
                <c:ptCount val="5"/>
                <c:pt idx="0">
                  <c:v>42.4</c:v>
                </c:pt>
                <c:pt idx="1">
                  <c:v>44</c:v>
                </c:pt>
                <c:pt idx="2">
                  <c:v>45</c:v>
                </c:pt>
                <c:pt idx="3">
                  <c:v>45.5</c:v>
                </c:pt>
                <c:pt idx="4">
                  <c:v>49.7</c:v>
                </c:pt>
              </c:numCache>
            </c:numRef>
          </c:val>
          <c:extLst xmlns:c16r2="http://schemas.microsoft.com/office/drawing/2015/06/chart">
            <c:ext xmlns:c16="http://schemas.microsoft.com/office/drawing/2014/chart" uri="{C3380CC4-5D6E-409C-BE32-E72D297353CC}">
              <c16:uniqueId val="{00000001-3848-4740-B126-FCC39C1221F5}"/>
            </c:ext>
          </c:extLst>
        </c:ser>
        <c:ser>
          <c:idx val="2"/>
          <c:order val="2"/>
          <c:tx>
            <c:strRef>
              <c:f>Sheet1!$D$1</c:f>
              <c:strCache>
                <c:ptCount val="1"/>
                <c:pt idx="0">
                  <c:v>cai navigabile interioare</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Sheet1!$D$2:$D$6</c:f>
              <c:numCache>
                <c:formatCode>General</c:formatCode>
                <c:ptCount val="5"/>
                <c:pt idx="0">
                  <c:v>27.4</c:v>
                </c:pt>
                <c:pt idx="1">
                  <c:v>27.1</c:v>
                </c:pt>
                <c:pt idx="2">
                  <c:v>28.1</c:v>
                </c:pt>
                <c:pt idx="3">
                  <c:v>28.6</c:v>
                </c:pt>
                <c:pt idx="4">
                  <c:v>25.1</c:v>
                </c:pt>
              </c:numCache>
            </c:numRef>
          </c:val>
          <c:extLst xmlns:c16r2="http://schemas.microsoft.com/office/drawing/2015/06/chart">
            <c:ext xmlns:c16="http://schemas.microsoft.com/office/drawing/2014/chart" uri="{C3380CC4-5D6E-409C-BE32-E72D297353CC}">
              <c16:uniqueId val="{00000002-3848-4740-B126-FCC39C1221F5}"/>
            </c:ext>
          </c:extLst>
        </c:ser>
        <c:dLbls>
          <c:showLegendKey val="0"/>
          <c:showVal val="0"/>
          <c:showCatName val="0"/>
          <c:showSerName val="0"/>
          <c:showPercent val="0"/>
          <c:showBubbleSize val="0"/>
        </c:dLbls>
        <c:gapWidth val="150"/>
        <c:overlap val="100"/>
        <c:axId val="487901824"/>
        <c:axId val="476385664"/>
      </c:barChart>
      <c:catAx>
        <c:axId val="487901824"/>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476385664"/>
        <c:crosses val="autoZero"/>
        <c:auto val="1"/>
        <c:lblAlgn val="ctr"/>
        <c:lblOffset val="100"/>
        <c:noMultiLvlLbl val="0"/>
      </c:catAx>
      <c:valAx>
        <c:axId val="476385664"/>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487901824"/>
        <c:crosses val="autoZero"/>
        <c:crossBetween val="between"/>
      </c:valAx>
    </c:plotArea>
    <c:legend>
      <c:legendPos val="r"/>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2019</c:v>
                </c:pt>
              </c:strCache>
            </c:strRef>
          </c:tx>
          <c:invertIfNegative val="0"/>
          <c:cat>
            <c:strRef>
              <c:f>Sheet1!$A$2</c:f>
              <c:strCache>
                <c:ptCount val="1"/>
                <c:pt idx="0">
                  <c:v>Emisii CO2 Ech mii tone</c:v>
                </c:pt>
              </c:strCache>
            </c:strRef>
          </c:cat>
          <c:val>
            <c:numRef>
              <c:f>Sheet1!$B$2</c:f>
              <c:numCache>
                <c:formatCode>General</c:formatCode>
                <c:ptCount val="1"/>
                <c:pt idx="0">
                  <c:v>5586</c:v>
                </c:pt>
              </c:numCache>
            </c:numRef>
          </c:val>
          <c:extLst xmlns:c16r2="http://schemas.microsoft.com/office/drawing/2015/06/chart">
            <c:ext xmlns:c16="http://schemas.microsoft.com/office/drawing/2014/chart" uri="{C3380CC4-5D6E-409C-BE32-E72D297353CC}">
              <c16:uniqueId val="{00000000-FC44-4CF5-901B-4C8B8C0CDE77}"/>
            </c:ext>
          </c:extLst>
        </c:ser>
        <c:ser>
          <c:idx val="1"/>
          <c:order val="1"/>
          <c:tx>
            <c:strRef>
              <c:f>Sheet1!$C$1</c:f>
              <c:strCache>
                <c:ptCount val="1"/>
                <c:pt idx="0">
                  <c:v>2020</c:v>
                </c:pt>
              </c:strCache>
            </c:strRef>
          </c:tx>
          <c:invertIfNegative val="0"/>
          <c:cat>
            <c:strRef>
              <c:f>Sheet1!$A$2</c:f>
              <c:strCache>
                <c:ptCount val="1"/>
                <c:pt idx="0">
                  <c:v>Emisii CO2 Ech mii tone</c:v>
                </c:pt>
              </c:strCache>
            </c:strRef>
          </c:cat>
          <c:val>
            <c:numRef>
              <c:f>Sheet1!$C$2</c:f>
              <c:numCache>
                <c:formatCode>General</c:formatCode>
                <c:ptCount val="1"/>
                <c:pt idx="0">
                  <c:v>7585</c:v>
                </c:pt>
              </c:numCache>
            </c:numRef>
          </c:val>
          <c:extLst xmlns:c16r2="http://schemas.microsoft.com/office/drawing/2015/06/chart">
            <c:ext xmlns:c16="http://schemas.microsoft.com/office/drawing/2014/chart" uri="{C3380CC4-5D6E-409C-BE32-E72D297353CC}">
              <c16:uniqueId val="{00000001-FC44-4CF5-901B-4C8B8C0CDE77}"/>
            </c:ext>
          </c:extLst>
        </c:ser>
        <c:ser>
          <c:idx val="2"/>
          <c:order val="2"/>
          <c:tx>
            <c:strRef>
              <c:f>Sheet1!$D$1</c:f>
              <c:strCache>
                <c:ptCount val="1"/>
                <c:pt idx="0">
                  <c:v>2021</c:v>
                </c:pt>
              </c:strCache>
            </c:strRef>
          </c:tx>
          <c:invertIfNegative val="0"/>
          <c:cat>
            <c:strRef>
              <c:f>Sheet1!$A$2</c:f>
              <c:strCache>
                <c:ptCount val="1"/>
                <c:pt idx="0">
                  <c:v>Emisii CO2 Ech mii tone</c:v>
                </c:pt>
              </c:strCache>
            </c:strRef>
          </c:cat>
          <c:val>
            <c:numRef>
              <c:f>Sheet1!$D$2</c:f>
              <c:numCache>
                <c:formatCode>General</c:formatCode>
                <c:ptCount val="1"/>
                <c:pt idx="0">
                  <c:v>6751</c:v>
                </c:pt>
              </c:numCache>
            </c:numRef>
          </c:val>
          <c:extLst xmlns:c16r2="http://schemas.microsoft.com/office/drawing/2015/06/chart">
            <c:ext xmlns:c16="http://schemas.microsoft.com/office/drawing/2014/chart" uri="{C3380CC4-5D6E-409C-BE32-E72D297353CC}">
              <c16:uniqueId val="{00000002-FC44-4CF5-901B-4C8B8C0CDE77}"/>
            </c:ext>
          </c:extLst>
        </c:ser>
        <c:ser>
          <c:idx val="3"/>
          <c:order val="3"/>
          <c:tx>
            <c:strRef>
              <c:f>Sheet1!$E$1</c:f>
              <c:strCache>
                <c:ptCount val="1"/>
                <c:pt idx="0">
                  <c:v>2022</c:v>
                </c:pt>
              </c:strCache>
            </c:strRef>
          </c:tx>
          <c:invertIfNegative val="0"/>
          <c:cat>
            <c:strRef>
              <c:f>Sheet1!$A$2</c:f>
              <c:strCache>
                <c:ptCount val="1"/>
                <c:pt idx="0">
                  <c:v>Emisii CO2 Ech mii tone</c:v>
                </c:pt>
              </c:strCache>
            </c:strRef>
          </c:cat>
          <c:val>
            <c:numRef>
              <c:f>Sheet1!$E$2</c:f>
              <c:numCache>
                <c:formatCode>General</c:formatCode>
                <c:ptCount val="1"/>
                <c:pt idx="0">
                  <c:v>1863</c:v>
                </c:pt>
              </c:numCache>
            </c:numRef>
          </c:val>
          <c:extLst xmlns:c16r2="http://schemas.microsoft.com/office/drawing/2015/06/chart">
            <c:ext xmlns:c16="http://schemas.microsoft.com/office/drawing/2014/chart" uri="{C3380CC4-5D6E-409C-BE32-E72D297353CC}">
              <c16:uniqueId val="{00000003-FC44-4CF5-901B-4C8B8C0CDE77}"/>
            </c:ext>
          </c:extLst>
        </c:ser>
        <c:ser>
          <c:idx val="4"/>
          <c:order val="4"/>
          <c:tx>
            <c:strRef>
              <c:f>Sheet1!$F$1</c:f>
              <c:strCache>
                <c:ptCount val="1"/>
                <c:pt idx="0">
                  <c:v>2023</c:v>
                </c:pt>
              </c:strCache>
            </c:strRef>
          </c:tx>
          <c:invertIfNegative val="0"/>
          <c:cat>
            <c:strRef>
              <c:f>Sheet1!$A$2</c:f>
              <c:strCache>
                <c:ptCount val="1"/>
                <c:pt idx="0">
                  <c:v>Emisii CO2 Ech mii tone</c:v>
                </c:pt>
              </c:strCache>
            </c:strRef>
          </c:cat>
          <c:val>
            <c:numRef>
              <c:f>Sheet1!$F$2</c:f>
              <c:numCache>
                <c:formatCode>General</c:formatCode>
                <c:ptCount val="1"/>
                <c:pt idx="0">
                  <c:v>1535</c:v>
                </c:pt>
              </c:numCache>
            </c:numRef>
          </c:val>
          <c:extLst xmlns:c16r2="http://schemas.microsoft.com/office/drawing/2015/06/chart">
            <c:ext xmlns:c16="http://schemas.microsoft.com/office/drawing/2014/chart" uri="{C3380CC4-5D6E-409C-BE32-E72D297353CC}">
              <c16:uniqueId val="{00000004-FC44-4CF5-901B-4C8B8C0CDE77}"/>
            </c:ext>
          </c:extLst>
        </c:ser>
        <c:dLbls>
          <c:showLegendKey val="0"/>
          <c:showVal val="0"/>
          <c:showCatName val="0"/>
          <c:showSerName val="0"/>
          <c:showPercent val="0"/>
          <c:showBubbleSize val="0"/>
        </c:dLbls>
        <c:gapWidth val="150"/>
        <c:axId val="476439680"/>
        <c:axId val="476441216"/>
      </c:barChart>
      <c:catAx>
        <c:axId val="476439680"/>
        <c:scaling>
          <c:orientation val="minMax"/>
        </c:scaling>
        <c:delete val="0"/>
        <c:axPos val="b"/>
        <c:numFmt formatCode="General" sourceLinked="1"/>
        <c:majorTickMark val="out"/>
        <c:minorTickMark val="none"/>
        <c:tickLblPos val="nextTo"/>
        <c:crossAx val="476441216"/>
        <c:crosses val="autoZero"/>
        <c:auto val="1"/>
        <c:lblAlgn val="ctr"/>
        <c:lblOffset val="100"/>
        <c:noMultiLvlLbl val="0"/>
      </c:catAx>
      <c:valAx>
        <c:axId val="476441216"/>
        <c:scaling>
          <c:orientation val="minMax"/>
        </c:scaling>
        <c:delete val="0"/>
        <c:axPos val="l"/>
        <c:majorGridlines/>
        <c:numFmt formatCode="General" sourceLinked="1"/>
        <c:majorTickMark val="out"/>
        <c:minorTickMark val="none"/>
        <c:tickLblPos val="nextTo"/>
        <c:crossAx val="476439680"/>
        <c:crosses val="autoZero"/>
        <c:crossBetween val="between"/>
      </c:valAx>
    </c:plotArea>
    <c:legend>
      <c:legendPos val="r"/>
      <c:overlay val="0"/>
    </c:legend>
    <c:plotVisOnly val="1"/>
    <c:dispBlanksAs val="gap"/>
    <c:showDLblsOverMax val="0"/>
  </c:chart>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Column3</c:v>
                </c:pt>
              </c:strCache>
            </c:strRef>
          </c:tx>
          <c:invertIfNegative val="0"/>
          <c:trendline>
            <c:trendlineType val="linear"/>
            <c:dispRSqr val="0"/>
            <c:dispEq val="0"/>
          </c:trendline>
          <c:cat>
            <c:numRef>
              <c:f>Sheet1!$A$2:$A$6</c:f>
              <c:numCache>
                <c:formatCode>General</c:formatCode>
                <c:ptCount val="5"/>
                <c:pt idx="0">
                  <c:v>2017</c:v>
                </c:pt>
                <c:pt idx="1">
                  <c:v>2018</c:v>
                </c:pt>
                <c:pt idx="2">
                  <c:v>2019</c:v>
                </c:pt>
                <c:pt idx="3">
                  <c:v>2020</c:v>
                </c:pt>
                <c:pt idx="4">
                  <c:v>2021</c:v>
                </c:pt>
              </c:numCache>
            </c:numRef>
          </c:cat>
          <c:val>
            <c:numRef>
              <c:f>Sheet1!$B$2:$B$6</c:f>
              <c:numCache>
                <c:formatCode>General</c:formatCode>
                <c:ptCount val="5"/>
                <c:pt idx="0">
                  <c:v>1.7050000000000001</c:v>
                </c:pt>
                <c:pt idx="1">
                  <c:v>1.7210000000000001</c:v>
                </c:pt>
                <c:pt idx="2">
                  <c:v>1.704</c:v>
                </c:pt>
                <c:pt idx="3">
                  <c:v>1.67</c:v>
                </c:pt>
                <c:pt idx="4">
                  <c:v>1.7829999999999999</c:v>
                </c:pt>
              </c:numCache>
            </c:numRef>
          </c:val>
          <c:extLst xmlns:c16r2="http://schemas.microsoft.com/office/drawing/2015/06/chart">
            <c:ext xmlns:c16="http://schemas.microsoft.com/office/drawing/2014/chart" uri="{C3380CC4-5D6E-409C-BE32-E72D297353CC}">
              <c16:uniqueId val="{00000001-EDE5-4BCB-B55E-9A07F764A0A2}"/>
            </c:ext>
          </c:extLst>
        </c:ser>
        <c:dLbls>
          <c:showLegendKey val="0"/>
          <c:showVal val="0"/>
          <c:showCatName val="0"/>
          <c:showSerName val="0"/>
          <c:showPercent val="0"/>
          <c:showBubbleSize val="0"/>
        </c:dLbls>
        <c:gapWidth val="150"/>
        <c:axId val="487792000"/>
        <c:axId val="487826560"/>
      </c:barChart>
      <c:catAx>
        <c:axId val="487792000"/>
        <c:scaling>
          <c:orientation val="minMax"/>
        </c:scaling>
        <c:delete val="0"/>
        <c:axPos val="b"/>
        <c:numFmt formatCode="General" sourceLinked="1"/>
        <c:majorTickMark val="out"/>
        <c:minorTickMark val="none"/>
        <c:tickLblPos val="nextTo"/>
        <c:crossAx val="487826560"/>
        <c:crosses val="autoZero"/>
        <c:auto val="1"/>
        <c:lblAlgn val="ctr"/>
        <c:lblOffset val="100"/>
        <c:noMultiLvlLbl val="0"/>
      </c:catAx>
      <c:valAx>
        <c:axId val="487826560"/>
        <c:scaling>
          <c:orientation val="minMax"/>
        </c:scaling>
        <c:delete val="0"/>
        <c:axPos val="l"/>
        <c:majorGridlines/>
        <c:numFmt formatCode="General" sourceLinked="1"/>
        <c:majorTickMark val="out"/>
        <c:minorTickMark val="none"/>
        <c:tickLblPos val="nextTo"/>
        <c:crossAx val="487792000"/>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vi-VN"/>
              <a:t>Ni - Evoluţia concentraţiilor medii anuale înregistrate la staţiile de monitorizare în raport cu valoarea limită</a:t>
            </a:r>
          </a:p>
        </c:rich>
      </c:tx>
      <c:overlay val="0"/>
      <c:spPr>
        <a:noFill/>
        <a:ln w="25399">
          <a:noFill/>
        </a:ln>
      </c:spPr>
    </c:title>
    <c:autoTitleDeleted val="0"/>
    <c:plotArea>
      <c:layout/>
      <c:barChart>
        <c:barDir val="col"/>
        <c:grouping val="clustered"/>
        <c:varyColors val="0"/>
        <c:ser>
          <c:idx val="0"/>
          <c:order val="0"/>
          <c:tx>
            <c:strRef>
              <c:f>Sheet1!$B$1</c:f>
              <c:strCache>
                <c:ptCount val="1"/>
                <c:pt idx="0">
                  <c:v>B1</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1.92</c:v>
                </c:pt>
                <c:pt idx="1">
                  <c:v>1.67</c:v>
                </c:pt>
                <c:pt idx="2">
                  <c:v>2.44</c:v>
                </c:pt>
                <c:pt idx="3">
                  <c:v>2.78</c:v>
                </c:pt>
                <c:pt idx="4">
                  <c:v>1.44</c:v>
                </c:pt>
              </c:numCache>
            </c:numRef>
          </c:val>
          <c:extLst xmlns:c16r2="http://schemas.microsoft.com/office/drawing/2015/06/chart">
            <c:ext xmlns:c16="http://schemas.microsoft.com/office/drawing/2014/chart" uri="{C3380CC4-5D6E-409C-BE32-E72D297353CC}">
              <c16:uniqueId val="{00000000-28EF-4554-A80F-2DD2B9E67F54}"/>
            </c:ext>
          </c:extLst>
        </c:ser>
        <c:ser>
          <c:idx val="1"/>
          <c:order val="1"/>
          <c:tx>
            <c:strRef>
              <c:f>Sheet1!$C$1</c:f>
              <c:strCache>
                <c:ptCount val="1"/>
                <c:pt idx="0">
                  <c:v>B2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pt idx="0">
                  <c:v>2.0299999999999998</c:v>
                </c:pt>
                <c:pt idx="1">
                  <c:v>1.8</c:v>
                </c:pt>
                <c:pt idx="2">
                  <c:v>3.1</c:v>
                </c:pt>
              </c:numCache>
            </c:numRef>
          </c:val>
          <c:extLst xmlns:c16r2="http://schemas.microsoft.com/office/drawing/2015/06/chart">
            <c:ext xmlns:c16="http://schemas.microsoft.com/office/drawing/2014/chart" uri="{C3380CC4-5D6E-409C-BE32-E72D297353CC}">
              <c16:uniqueId val="{00000001-28EF-4554-A80F-2DD2B9E67F54}"/>
            </c:ext>
          </c:extLst>
        </c:ser>
        <c:ser>
          <c:idx val="2"/>
          <c:order val="2"/>
          <c:tx>
            <c:strRef>
              <c:f>Sheet1!$D$1</c:f>
              <c:strCache>
                <c:ptCount val="1"/>
                <c:pt idx="0">
                  <c:v>B3</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General</c:formatCode>
                <c:ptCount val="5"/>
                <c:pt idx="0">
                  <c:v>2.0099999999999998</c:v>
                </c:pt>
                <c:pt idx="2">
                  <c:v>2.25</c:v>
                </c:pt>
              </c:numCache>
            </c:numRef>
          </c:val>
          <c:extLst xmlns:c16r2="http://schemas.microsoft.com/office/drawing/2015/06/chart">
            <c:ext xmlns:c16="http://schemas.microsoft.com/office/drawing/2014/chart" uri="{C3380CC4-5D6E-409C-BE32-E72D297353CC}">
              <c16:uniqueId val="{00000002-28EF-4554-A80F-2DD2B9E67F54}"/>
            </c:ext>
          </c:extLst>
        </c:ser>
        <c:ser>
          <c:idx val="3"/>
          <c:order val="3"/>
          <c:tx>
            <c:strRef>
              <c:f>Sheet1!$E$1</c:f>
              <c:strCache>
                <c:ptCount val="1"/>
                <c:pt idx="0">
                  <c:v>B4</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Sheet1!$E$2:$E$6</c:f>
              <c:numCache>
                <c:formatCode>General</c:formatCode>
                <c:ptCount val="5"/>
                <c:pt idx="0">
                  <c:v>2</c:v>
                </c:pt>
                <c:pt idx="1">
                  <c:v>1.78</c:v>
                </c:pt>
                <c:pt idx="2">
                  <c:v>2.91</c:v>
                </c:pt>
              </c:numCache>
            </c:numRef>
          </c:val>
          <c:extLst xmlns:c16r2="http://schemas.microsoft.com/office/drawing/2015/06/chart">
            <c:ext xmlns:c16="http://schemas.microsoft.com/office/drawing/2014/chart" uri="{C3380CC4-5D6E-409C-BE32-E72D297353CC}">
              <c16:uniqueId val="{00000003-28EF-4554-A80F-2DD2B9E67F54}"/>
            </c:ext>
          </c:extLst>
        </c:ser>
        <c:ser>
          <c:idx val="4"/>
          <c:order val="4"/>
          <c:tx>
            <c:strRef>
              <c:f>Sheet1!$F$1</c:f>
              <c:strCache>
                <c:ptCount val="1"/>
                <c:pt idx="0">
                  <c:v>B5</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Sheet1!$F$2:$F$6</c:f>
              <c:numCache>
                <c:formatCode>General</c:formatCode>
                <c:ptCount val="5"/>
                <c:pt idx="0">
                  <c:v>2.35</c:v>
                </c:pt>
                <c:pt idx="1">
                  <c:v>1.45</c:v>
                </c:pt>
                <c:pt idx="2">
                  <c:v>2.76</c:v>
                </c:pt>
              </c:numCache>
            </c:numRef>
          </c:val>
          <c:extLst xmlns:c16r2="http://schemas.microsoft.com/office/drawing/2015/06/chart">
            <c:ext xmlns:c16="http://schemas.microsoft.com/office/drawing/2014/chart" uri="{C3380CC4-5D6E-409C-BE32-E72D297353CC}">
              <c16:uniqueId val="{00000004-28EF-4554-A80F-2DD2B9E67F54}"/>
            </c:ext>
          </c:extLst>
        </c:ser>
        <c:ser>
          <c:idx val="5"/>
          <c:order val="5"/>
          <c:tx>
            <c:strRef>
              <c:f>Sheet1!$G$1</c:f>
              <c:strCache>
                <c:ptCount val="1"/>
                <c:pt idx="0">
                  <c:v>B6</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Sheet1!$G$2:$G$6</c:f>
              <c:numCache>
                <c:formatCode>General</c:formatCode>
                <c:ptCount val="5"/>
                <c:pt idx="0">
                  <c:v>2.31</c:v>
                </c:pt>
                <c:pt idx="1">
                  <c:v>1.76</c:v>
                </c:pt>
                <c:pt idx="2">
                  <c:v>3.26</c:v>
                </c:pt>
              </c:numCache>
            </c:numRef>
          </c:val>
          <c:extLst xmlns:c16r2="http://schemas.microsoft.com/office/drawing/2015/06/chart">
            <c:ext xmlns:c16="http://schemas.microsoft.com/office/drawing/2014/chart" uri="{C3380CC4-5D6E-409C-BE32-E72D297353CC}">
              <c16:uniqueId val="{00000005-28EF-4554-A80F-2DD2B9E67F54}"/>
            </c:ext>
          </c:extLst>
        </c:ser>
        <c:ser>
          <c:idx val="6"/>
          <c:order val="6"/>
          <c:tx>
            <c:strRef>
              <c:f>Sheet1!$H$1</c:f>
              <c:strCache>
                <c:ptCount val="1"/>
                <c:pt idx="0">
                  <c:v>B7</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Sheet1!$H$2:$H$6</c:f>
              <c:numCache>
                <c:formatCode>General</c:formatCode>
                <c:ptCount val="5"/>
                <c:pt idx="1">
                  <c:v>1.33</c:v>
                </c:pt>
                <c:pt idx="2">
                  <c:v>2.09</c:v>
                </c:pt>
                <c:pt idx="3">
                  <c:v>3.09</c:v>
                </c:pt>
                <c:pt idx="4">
                  <c:v>1.35</c:v>
                </c:pt>
              </c:numCache>
            </c:numRef>
          </c:val>
          <c:extLst xmlns:c16r2="http://schemas.microsoft.com/office/drawing/2015/06/chart">
            <c:ext xmlns:c16="http://schemas.microsoft.com/office/drawing/2014/chart" uri="{C3380CC4-5D6E-409C-BE32-E72D297353CC}">
              <c16:uniqueId val="{00000006-28EF-4554-A80F-2DD2B9E67F54}"/>
            </c:ext>
          </c:extLst>
        </c:ser>
        <c:ser>
          <c:idx val="7"/>
          <c:order val="7"/>
          <c:tx>
            <c:strRef>
              <c:f>Sheet1!$I$1</c:f>
              <c:strCache>
                <c:ptCount val="1"/>
                <c:pt idx="0">
                  <c:v>B8</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Sheet1!$I$2:$I$6</c:f>
              <c:numCache>
                <c:formatCode>General</c:formatCode>
                <c:ptCount val="5"/>
                <c:pt idx="0">
                  <c:v>1.59</c:v>
                </c:pt>
                <c:pt idx="1">
                  <c:v>1.37</c:v>
                </c:pt>
                <c:pt idx="2">
                  <c:v>2.5299999999999998</c:v>
                </c:pt>
              </c:numCache>
            </c:numRef>
          </c:val>
          <c:extLst xmlns:c16r2="http://schemas.microsoft.com/office/drawing/2015/06/chart">
            <c:ext xmlns:c16="http://schemas.microsoft.com/office/drawing/2014/chart" uri="{C3380CC4-5D6E-409C-BE32-E72D297353CC}">
              <c16:uniqueId val="{00000007-28EF-4554-A80F-2DD2B9E67F54}"/>
            </c:ext>
          </c:extLst>
        </c:ser>
        <c:dLbls>
          <c:showLegendKey val="0"/>
          <c:showVal val="0"/>
          <c:showCatName val="0"/>
          <c:showSerName val="0"/>
          <c:showPercent val="0"/>
          <c:showBubbleSize val="0"/>
        </c:dLbls>
        <c:gapWidth val="150"/>
        <c:axId val="352360704"/>
        <c:axId val="352374784"/>
      </c:barChart>
      <c:catAx>
        <c:axId val="352360704"/>
        <c:scaling>
          <c:orientation val="minMax"/>
        </c:scaling>
        <c:delete val="0"/>
        <c:axPos val="b"/>
        <c:numFmt formatCode="General" sourceLinked="1"/>
        <c:majorTickMark val="out"/>
        <c:minorTickMark val="none"/>
        <c:tickLblPos val="nextTo"/>
        <c:txPr>
          <a:bodyPr rot="0" vert="horz"/>
          <a:lstStyle/>
          <a:p>
            <a:pPr>
              <a:defRPr/>
            </a:pPr>
            <a:endParaRPr lang="en-US"/>
          </a:p>
        </c:txPr>
        <c:crossAx val="352374784"/>
        <c:crosses val="autoZero"/>
        <c:auto val="1"/>
        <c:lblAlgn val="ctr"/>
        <c:lblOffset val="100"/>
        <c:noMultiLvlLbl val="0"/>
      </c:catAx>
      <c:valAx>
        <c:axId val="352374784"/>
        <c:scaling>
          <c:orientation val="minMax"/>
          <c:max val="20"/>
        </c:scaling>
        <c:delete val="0"/>
        <c:axPos val="l"/>
        <c:majorGridlines/>
        <c:title>
          <c:tx>
            <c:rich>
              <a:bodyPr/>
              <a:lstStyle/>
              <a:p>
                <a:pPr>
                  <a:defRPr/>
                </a:pPr>
                <a:r>
                  <a:rPr lang="en-US"/>
                  <a:t>Concentraţie ng/m3</a:t>
                </a:r>
              </a:p>
            </c:rich>
          </c:tx>
          <c:overlay val="0"/>
          <c:spPr>
            <a:noFill/>
            <a:ln w="25399">
              <a:noFill/>
            </a:ln>
          </c:spPr>
        </c:title>
        <c:numFmt formatCode="General" sourceLinked="1"/>
        <c:majorTickMark val="out"/>
        <c:minorTickMark val="none"/>
        <c:tickLblPos val="nextTo"/>
        <c:txPr>
          <a:bodyPr rot="0" vert="horz"/>
          <a:lstStyle/>
          <a:p>
            <a:pPr>
              <a:defRPr/>
            </a:pPr>
            <a:endParaRPr lang="en-US"/>
          </a:p>
        </c:txPr>
        <c:crossAx val="352360704"/>
        <c:crosses val="autoZero"/>
        <c:crossBetween val="between"/>
      </c:valAx>
    </c:plotArea>
    <c:legend>
      <c:legendPos val="r"/>
      <c:overlay val="0"/>
    </c:legend>
    <c:plotVisOnly val="1"/>
    <c:dispBlanksAs val="gap"/>
    <c:showDLblsOverMax val="0"/>
  </c:chart>
  <c:txPr>
    <a:bodyPr/>
    <a:lstStyle/>
    <a:p>
      <a:pPr>
        <a:defRPr sz="1000" b="0" i="0" u="none" strike="noStrike" baseline="0">
          <a:solidFill>
            <a:srgbClr val="000000"/>
          </a:solidFill>
          <a:latin typeface="Trebuchet MS" pitchFamily="34" charset="0"/>
          <a:ea typeface="Calibri"/>
          <a:cs typeface="Calibri"/>
        </a:defRPr>
      </a:pPr>
      <a:endParaRPr lang="en-US"/>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Concentraţii medii anuale-statia B6</a:t>
            </a:r>
          </a:p>
        </c:rich>
      </c:tx>
      <c:overlay val="1"/>
      <c:spPr>
        <a:noFill/>
        <a:ln w="25128">
          <a:noFill/>
        </a:ln>
      </c:spPr>
    </c:title>
    <c:autoTitleDeleted val="0"/>
    <c:plotArea>
      <c:layout/>
      <c:barChart>
        <c:barDir val="col"/>
        <c:grouping val="clustered"/>
        <c:varyColors val="0"/>
        <c:ser>
          <c:idx val="0"/>
          <c:order val="0"/>
          <c:tx>
            <c:strRef>
              <c:f>Sheet1!$B$1</c:f>
              <c:strCache>
                <c:ptCount val="1"/>
                <c:pt idx="0">
                  <c:v>NO2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57.44</c:v>
                </c:pt>
                <c:pt idx="1">
                  <c:v>41.63</c:v>
                </c:pt>
                <c:pt idx="2">
                  <c:v>49.39</c:v>
                </c:pt>
                <c:pt idx="3">
                  <c:v>38.65</c:v>
                </c:pt>
              </c:numCache>
            </c:numRef>
          </c:val>
          <c:extLst xmlns:c16r2="http://schemas.microsoft.com/office/drawing/2015/06/chart">
            <c:ext xmlns:c16="http://schemas.microsoft.com/office/drawing/2014/chart" uri="{C3380CC4-5D6E-409C-BE32-E72D297353CC}">
              <c16:uniqueId val="{00000000-98AB-4A73-95DF-9B5D4A7CB226}"/>
            </c:ext>
          </c:extLst>
        </c:ser>
        <c:ser>
          <c:idx val="1"/>
          <c:order val="1"/>
          <c:tx>
            <c:strRef>
              <c:f>Sheet1!$C$1</c:f>
              <c:strCache>
                <c:ptCount val="1"/>
                <c:pt idx="0">
                  <c:v>SO2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numCache>
            </c:numRef>
          </c:val>
          <c:extLst xmlns:c16r2="http://schemas.microsoft.com/office/drawing/2015/06/chart">
            <c:ext xmlns:c16="http://schemas.microsoft.com/office/drawing/2014/chart" uri="{C3380CC4-5D6E-409C-BE32-E72D297353CC}">
              <c16:uniqueId val="{00000001-98AB-4A73-95DF-9B5D4A7CB226}"/>
            </c:ext>
          </c:extLst>
        </c:ser>
        <c:ser>
          <c:idx val="2"/>
          <c:order val="2"/>
          <c:tx>
            <c:strRef>
              <c:f>Sheet1!$D$1</c:f>
              <c:strCache>
                <c:ptCount val="1"/>
                <c:pt idx="0">
                  <c:v>PM10</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0.00</c:formatCode>
                <c:ptCount val="5"/>
                <c:pt idx="0" formatCode="General">
                  <c:v>34.409999999999997</c:v>
                </c:pt>
                <c:pt idx="1">
                  <c:v>28.87</c:v>
                </c:pt>
                <c:pt idx="2">
                  <c:v>27.05</c:v>
                </c:pt>
                <c:pt idx="3">
                  <c:v>28.68</c:v>
                </c:pt>
              </c:numCache>
            </c:numRef>
          </c:val>
          <c:extLst xmlns:c16r2="http://schemas.microsoft.com/office/drawing/2015/06/chart">
            <c:ext xmlns:c16="http://schemas.microsoft.com/office/drawing/2014/chart" uri="{C3380CC4-5D6E-409C-BE32-E72D297353CC}">
              <c16:uniqueId val="{00000002-98AB-4A73-95DF-9B5D4A7CB226}"/>
            </c:ext>
          </c:extLst>
        </c:ser>
        <c:ser>
          <c:idx val="3"/>
          <c:order val="3"/>
          <c:tx>
            <c:strRef>
              <c:f>Sheet1!$E$1</c:f>
              <c:strCache>
                <c:ptCount val="1"/>
                <c:pt idx="0">
                  <c:v>Pb</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Sheet1!$E$2:$E$6</c:f>
              <c:numCache>
                <c:formatCode>0.0000</c:formatCode>
                <c:ptCount val="5"/>
                <c:pt idx="0" formatCode="General">
                  <c:v>8.816770186335374E-3</c:v>
                </c:pt>
                <c:pt idx="1">
                  <c:v>2.07E-2</c:v>
                </c:pt>
                <c:pt idx="2">
                  <c:v>1.2237500000000002E-2</c:v>
                </c:pt>
              </c:numCache>
            </c:numRef>
          </c:val>
          <c:extLst xmlns:c16r2="http://schemas.microsoft.com/office/drawing/2015/06/chart">
            <c:ext xmlns:c16="http://schemas.microsoft.com/office/drawing/2014/chart" uri="{C3380CC4-5D6E-409C-BE32-E72D297353CC}">
              <c16:uniqueId val="{00000003-98AB-4A73-95DF-9B5D4A7CB226}"/>
            </c:ext>
          </c:extLst>
        </c:ser>
        <c:ser>
          <c:idx val="4"/>
          <c:order val="4"/>
          <c:tx>
            <c:strRef>
              <c:f>Sheet1!$F$1</c:f>
              <c:strCache>
                <c:ptCount val="1"/>
                <c:pt idx="0">
                  <c:v>Cd</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Sheet1!$F$2:$F$6</c:f>
              <c:numCache>
                <c:formatCode>General</c:formatCode>
                <c:ptCount val="5"/>
                <c:pt idx="0">
                  <c:v>0.45</c:v>
                </c:pt>
                <c:pt idx="1">
                  <c:v>0.76</c:v>
                </c:pt>
                <c:pt idx="2">
                  <c:v>0.28999999999999998</c:v>
                </c:pt>
              </c:numCache>
            </c:numRef>
          </c:val>
          <c:extLst xmlns:c16r2="http://schemas.microsoft.com/office/drawing/2015/06/chart">
            <c:ext xmlns:c16="http://schemas.microsoft.com/office/drawing/2014/chart" uri="{C3380CC4-5D6E-409C-BE32-E72D297353CC}">
              <c16:uniqueId val="{00000004-98AB-4A73-95DF-9B5D4A7CB226}"/>
            </c:ext>
          </c:extLst>
        </c:ser>
        <c:ser>
          <c:idx val="5"/>
          <c:order val="5"/>
          <c:tx>
            <c:strRef>
              <c:f>Sheet1!$G$1</c:f>
              <c:strCache>
                <c:ptCount val="1"/>
                <c:pt idx="0">
                  <c:v>Ni</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Sheet1!$G$2:$G$6</c:f>
              <c:numCache>
                <c:formatCode>General</c:formatCode>
                <c:ptCount val="5"/>
                <c:pt idx="0">
                  <c:v>2.31</c:v>
                </c:pt>
                <c:pt idx="1">
                  <c:v>1.76</c:v>
                </c:pt>
                <c:pt idx="2">
                  <c:v>3.26</c:v>
                </c:pt>
              </c:numCache>
            </c:numRef>
          </c:val>
          <c:extLst xmlns:c16r2="http://schemas.microsoft.com/office/drawing/2015/06/chart">
            <c:ext xmlns:c16="http://schemas.microsoft.com/office/drawing/2014/chart" uri="{C3380CC4-5D6E-409C-BE32-E72D297353CC}">
              <c16:uniqueId val="{00000005-98AB-4A73-95DF-9B5D4A7CB226}"/>
            </c:ext>
          </c:extLst>
        </c:ser>
        <c:dLbls>
          <c:showLegendKey val="0"/>
          <c:showVal val="0"/>
          <c:showCatName val="0"/>
          <c:showSerName val="0"/>
          <c:showPercent val="0"/>
          <c:showBubbleSize val="0"/>
        </c:dLbls>
        <c:gapWidth val="150"/>
        <c:axId val="352508928"/>
        <c:axId val="351798016"/>
      </c:barChart>
      <c:catAx>
        <c:axId val="352508928"/>
        <c:scaling>
          <c:orientation val="minMax"/>
        </c:scaling>
        <c:delete val="0"/>
        <c:axPos val="b"/>
        <c:numFmt formatCode="General" sourceLinked="1"/>
        <c:majorTickMark val="out"/>
        <c:minorTickMark val="none"/>
        <c:tickLblPos val="nextTo"/>
        <c:txPr>
          <a:bodyPr rot="0" vert="horz"/>
          <a:lstStyle/>
          <a:p>
            <a:pPr>
              <a:defRPr/>
            </a:pPr>
            <a:endParaRPr lang="en-US"/>
          </a:p>
        </c:txPr>
        <c:crossAx val="351798016"/>
        <c:crosses val="autoZero"/>
        <c:auto val="1"/>
        <c:lblAlgn val="ctr"/>
        <c:lblOffset val="100"/>
        <c:noMultiLvlLbl val="0"/>
      </c:catAx>
      <c:valAx>
        <c:axId val="351798016"/>
        <c:scaling>
          <c:orientation val="minMax"/>
        </c:scaling>
        <c:delete val="0"/>
        <c:axPos val="l"/>
        <c:majorGridlines/>
        <c:numFmt formatCode="General" sourceLinked="1"/>
        <c:majorTickMark val="out"/>
        <c:minorTickMark val="none"/>
        <c:tickLblPos val="nextTo"/>
        <c:txPr>
          <a:bodyPr rot="0" vert="horz"/>
          <a:lstStyle/>
          <a:p>
            <a:pPr>
              <a:defRPr/>
            </a:pPr>
            <a:endParaRPr lang="en-US"/>
          </a:p>
        </c:txPr>
        <c:crossAx val="352508928"/>
        <c:crosses val="autoZero"/>
        <c:crossBetween val="between"/>
      </c:valAx>
    </c:plotArea>
    <c:legend>
      <c:legendPos val="r"/>
      <c:overlay val="0"/>
    </c:legend>
    <c:plotVisOnly val="1"/>
    <c:dispBlanksAs val="gap"/>
    <c:showDLblsOverMax val="0"/>
  </c:chart>
  <c:txPr>
    <a:bodyPr/>
    <a:lstStyle/>
    <a:p>
      <a:pPr>
        <a:defRPr sz="989" b="0" i="0" u="none" strike="noStrike" baseline="0">
          <a:solidFill>
            <a:srgbClr val="000000"/>
          </a:solidFill>
          <a:latin typeface="Trebuchet MS" pitchFamily="34" charset="0"/>
          <a:ea typeface="Calibri"/>
          <a:cs typeface="Calibri"/>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88" b="1" i="0" u="none" strike="noStrike" baseline="0">
                <a:solidFill>
                  <a:srgbClr val="000000"/>
                </a:solidFill>
                <a:latin typeface="Arial"/>
                <a:ea typeface="Arial"/>
                <a:cs typeface="Arial"/>
              </a:defRPr>
            </a:pPr>
            <a:r>
              <a:rPr lang="en-US"/>
              <a:t>Concentraţii medii anuale-statia B3</a:t>
            </a:r>
          </a:p>
        </c:rich>
      </c:tx>
      <c:overlay val="1"/>
      <c:spPr>
        <a:noFill/>
        <a:ln w="25128">
          <a:noFill/>
        </a:ln>
      </c:spPr>
    </c:title>
    <c:autoTitleDeleted val="0"/>
    <c:plotArea>
      <c:layout>
        <c:manualLayout>
          <c:layoutTarget val="inner"/>
          <c:xMode val="edge"/>
          <c:yMode val="edge"/>
          <c:x val="6.2771768913501197E-2"/>
          <c:y val="0.13250517598343686"/>
          <c:w val="0.80365300491284741"/>
          <c:h val="0.76460964118615604"/>
        </c:manualLayout>
      </c:layout>
      <c:barChart>
        <c:barDir val="col"/>
        <c:grouping val="clustered"/>
        <c:varyColors val="0"/>
        <c:ser>
          <c:idx val="0"/>
          <c:order val="0"/>
          <c:tx>
            <c:strRef>
              <c:f>Sheet1!$B$1</c:f>
              <c:strCache>
                <c:ptCount val="1"/>
                <c:pt idx="0">
                  <c:v>NO2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1">
                  <c:v>40.200000000000003</c:v>
                </c:pt>
                <c:pt idx="2">
                  <c:v>44.81</c:v>
                </c:pt>
                <c:pt idx="3">
                  <c:v>39.299999999999997</c:v>
                </c:pt>
                <c:pt idx="4">
                  <c:v>40.64</c:v>
                </c:pt>
              </c:numCache>
            </c:numRef>
          </c:val>
          <c:extLst xmlns:c16r2="http://schemas.microsoft.com/office/drawing/2015/06/chart">
            <c:ext xmlns:c16="http://schemas.microsoft.com/office/drawing/2014/chart" uri="{C3380CC4-5D6E-409C-BE32-E72D297353CC}">
              <c16:uniqueId val="{00000000-6B39-48DE-AAD8-2FEC0E7698D5}"/>
            </c:ext>
          </c:extLst>
        </c:ser>
        <c:ser>
          <c:idx val="1"/>
          <c:order val="1"/>
          <c:tx>
            <c:strRef>
              <c:f>Sheet1!$C$1</c:f>
              <c:strCache>
                <c:ptCount val="1"/>
                <c:pt idx="0">
                  <c:v>SO2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numCache>
            </c:numRef>
          </c:val>
          <c:extLst xmlns:c16r2="http://schemas.microsoft.com/office/drawing/2015/06/chart">
            <c:ext xmlns:c16="http://schemas.microsoft.com/office/drawing/2014/chart" uri="{C3380CC4-5D6E-409C-BE32-E72D297353CC}">
              <c16:uniqueId val="{00000001-6B39-48DE-AAD8-2FEC0E7698D5}"/>
            </c:ext>
          </c:extLst>
        </c:ser>
        <c:ser>
          <c:idx val="2"/>
          <c:order val="2"/>
          <c:tx>
            <c:strRef>
              <c:f>Sheet1!$D$1</c:f>
              <c:strCache>
                <c:ptCount val="1"/>
                <c:pt idx="0">
                  <c:v>PM10</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General</c:formatCode>
                <c:ptCount val="5"/>
                <c:pt idx="0">
                  <c:v>35.69</c:v>
                </c:pt>
                <c:pt idx="1">
                  <c:v>32.200000000000003</c:v>
                </c:pt>
                <c:pt idx="2" formatCode="0.00">
                  <c:v>30.77</c:v>
                </c:pt>
                <c:pt idx="3" formatCode="0.00">
                  <c:v>30.01</c:v>
                </c:pt>
                <c:pt idx="4" formatCode="0.00">
                  <c:v>29.14</c:v>
                </c:pt>
              </c:numCache>
            </c:numRef>
          </c:val>
          <c:extLst xmlns:c16r2="http://schemas.microsoft.com/office/drawing/2015/06/chart">
            <c:ext xmlns:c16="http://schemas.microsoft.com/office/drawing/2014/chart" uri="{C3380CC4-5D6E-409C-BE32-E72D297353CC}">
              <c16:uniqueId val="{00000002-6B39-48DE-AAD8-2FEC0E7698D5}"/>
            </c:ext>
          </c:extLst>
        </c:ser>
        <c:ser>
          <c:idx val="3"/>
          <c:order val="3"/>
          <c:tx>
            <c:strRef>
              <c:f>Sheet1!$E$1</c:f>
              <c:strCache>
                <c:ptCount val="1"/>
                <c:pt idx="0">
                  <c:v>Pb</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Sheet1!$E$2:$E$6</c:f>
              <c:numCache>
                <c:formatCode>General</c:formatCode>
                <c:ptCount val="5"/>
                <c:pt idx="0">
                  <c:v>8.5621118012422053E-3</c:v>
                </c:pt>
                <c:pt idx="1">
                  <c:v>2.5899999999999999E-2</c:v>
                </c:pt>
                <c:pt idx="2" formatCode="0.0000">
                  <c:v>8.0563636363636358E-3</c:v>
                </c:pt>
              </c:numCache>
            </c:numRef>
          </c:val>
          <c:extLst xmlns:c16r2="http://schemas.microsoft.com/office/drawing/2015/06/chart">
            <c:ext xmlns:c16="http://schemas.microsoft.com/office/drawing/2014/chart" uri="{C3380CC4-5D6E-409C-BE32-E72D297353CC}">
              <c16:uniqueId val="{00000003-6B39-48DE-AAD8-2FEC0E7698D5}"/>
            </c:ext>
          </c:extLst>
        </c:ser>
        <c:ser>
          <c:idx val="4"/>
          <c:order val="4"/>
          <c:tx>
            <c:strRef>
              <c:f>Sheet1!$F$1</c:f>
              <c:strCache>
                <c:ptCount val="1"/>
                <c:pt idx="0">
                  <c:v>Cd</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Sheet1!$F$2:$F$6</c:f>
              <c:numCache>
                <c:formatCode>General</c:formatCode>
                <c:ptCount val="5"/>
                <c:pt idx="0">
                  <c:v>0.44</c:v>
                </c:pt>
                <c:pt idx="1">
                  <c:v>0.35</c:v>
                </c:pt>
                <c:pt idx="2">
                  <c:v>7.0000000000000007E-2</c:v>
                </c:pt>
              </c:numCache>
            </c:numRef>
          </c:val>
          <c:extLst xmlns:c16r2="http://schemas.microsoft.com/office/drawing/2015/06/chart">
            <c:ext xmlns:c16="http://schemas.microsoft.com/office/drawing/2014/chart" uri="{C3380CC4-5D6E-409C-BE32-E72D297353CC}">
              <c16:uniqueId val="{00000004-6B39-48DE-AAD8-2FEC0E7698D5}"/>
            </c:ext>
          </c:extLst>
        </c:ser>
        <c:ser>
          <c:idx val="5"/>
          <c:order val="5"/>
          <c:tx>
            <c:strRef>
              <c:f>Sheet1!$G$1</c:f>
              <c:strCache>
                <c:ptCount val="1"/>
                <c:pt idx="0">
                  <c:v>Ni</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Sheet1!$G$2:$G$6</c:f>
              <c:numCache>
                <c:formatCode>General</c:formatCode>
                <c:ptCount val="5"/>
                <c:pt idx="0">
                  <c:v>2.0099999999999998</c:v>
                </c:pt>
                <c:pt idx="2">
                  <c:v>2.25</c:v>
                </c:pt>
              </c:numCache>
            </c:numRef>
          </c:val>
          <c:extLst xmlns:c16r2="http://schemas.microsoft.com/office/drawing/2015/06/chart">
            <c:ext xmlns:c16="http://schemas.microsoft.com/office/drawing/2014/chart" uri="{C3380CC4-5D6E-409C-BE32-E72D297353CC}">
              <c16:uniqueId val="{00000005-6B39-48DE-AAD8-2FEC0E7698D5}"/>
            </c:ext>
          </c:extLst>
        </c:ser>
        <c:dLbls>
          <c:showLegendKey val="0"/>
          <c:showVal val="0"/>
          <c:showCatName val="0"/>
          <c:showSerName val="0"/>
          <c:showPercent val="0"/>
          <c:showBubbleSize val="0"/>
        </c:dLbls>
        <c:gapWidth val="150"/>
        <c:axId val="351857664"/>
        <c:axId val="352211712"/>
      </c:barChart>
      <c:catAx>
        <c:axId val="351857664"/>
        <c:scaling>
          <c:orientation val="minMax"/>
        </c:scaling>
        <c:delete val="0"/>
        <c:axPos val="b"/>
        <c:numFmt formatCode="General" sourceLinked="1"/>
        <c:majorTickMark val="out"/>
        <c:minorTickMark val="none"/>
        <c:tickLblPos val="nextTo"/>
        <c:txPr>
          <a:bodyPr rot="0" vert="horz"/>
          <a:lstStyle/>
          <a:p>
            <a:pPr>
              <a:defRPr sz="989" b="0" i="0" u="none" strike="noStrike" baseline="0">
                <a:solidFill>
                  <a:srgbClr val="000000"/>
                </a:solidFill>
                <a:latin typeface="Calibri"/>
                <a:ea typeface="Calibri"/>
                <a:cs typeface="Calibri"/>
              </a:defRPr>
            </a:pPr>
            <a:endParaRPr lang="en-US"/>
          </a:p>
        </c:txPr>
        <c:crossAx val="352211712"/>
        <c:crosses val="autoZero"/>
        <c:auto val="1"/>
        <c:lblAlgn val="ctr"/>
        <c:lblOffset val="100"/>
        <c:noMultiLvlLbl val="0"/>
      </c:catAx>
      <c:valAx>
        <c:axId val="352211712"/>
        <c:scaling>
          <c:orientation val="minMax"/>
        </c:scaling>
        <c:delete val="0"/>
        <c:axPos val="l"/>
        <c:majorGridlines/>
        <c:numFmt formatCode="General" sourceLinked="1"/>
        <c:majorTickMark val="out"/>
        <c:minorTickMark val="none"/>
        <c:tickLblPos val="nextTo"/>
        <c:txPr>
          <a:bodyPr rot="0" vert="horz"/>
          <a:lstStyle/>
          <a:p>
            <a:pPr>
              <a:defRPr sz="989" b="0" i="0" u="none" strike="noStrike" baseline="0">
                <a:solidFill>
                  <a:srgbClr val="000000"/>
                </a:solidFill>
                <a:latin typeface="Trebuchet MS" pitchFamily="34" charset="0"/>
                <a:ea typeface="Calibri"/>
                <a:cs typeface="Calibri"/>
              </a:defRPr>
            </a:pPr>
            <a:endParaRPr lang="en-US"/>
          </a:p>
        </c:txPr>
        <c:crossAx val="351857664"/>
        <c:crosses val="autoZero"/>
        <c:crossBetween val="between"/>
      </c:valAx>
    </c:plotArea>
    <c:legend>
      <c:legendPos val="r"/>
      <c:overlay val="0"/>
      <c:txPr>
        <a:bodyPr/>
        <a:lstStyle/>
        <a:p>
          <a:pPr>
            <a:defRPr sz="91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989"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Concentraţii medii anuale-statia B</a:t>
            </a:r>
            <a:r>
              <a:rPr lang="ro-RO"/>
              <a:t>11</a:t>
            </a:r>
            <a:endParaRPr lang="en-US"/>
          </a:p>
        </c:rich>
      </c:tx>
      <c:overlay val="1"/>
      <c:spPr>
        <a:noFill/>
        <a:ln w="25128">
          <a:noFill/>
        </a:ln>
      </c:spPr>
    </c:title>
    <c:autoTitleDeleted val="0"/>
    <c:plotArea>
      <c:layout>
        <c:manualLayout>
          <c:layoutTarget val="inner"/>
          <c:xMode val="edge"/>
          <c:yMode val="edge"/>
          <c:x val="6.2771768913501197E-2"/>
          <c:y val="0.13908872901678657"/>
          <c:w val="0.79990904983030964"/>
          <c:h val="0.74498800959232625"/>
        </c:manualLayout>
      </c:layout>
      <c:barChart>
        <c:barDir val="col"/>
        <c:grouping val="clustered"/>
        <c:varyColors val="0"/>
        <c:ser>
          <c:idx val="0"/>
          <c:order val="0"/>
          <c:tx>
            <c:strRef>
              <c:f>Sheet1!$B$1</c:f>
              <c:strCache>
                <c:ptCount val="1"/>
                <c:pt idx="0">
                  <c:v>NO2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4">
                  <c:v>37.54</c:v>
                </c:pt>
              </c:numCache>
            </c:numRef>
          </c:val>
          <c:extLst xmlns:c16r2="http://schemas.microsoft.com/office/drawing/2015/06/chart">
            <c:ext xmlns:c16="http://schemas.microsoft.com/office/drawing/2014/chart" uri="{C3380CC4-5D6E-409C-BE32-E72D297353CC}">
              <c16:uniqueId val="{00000000-6B39-48DE-AAD8-2FEC0E7698D5}"/>
            </c:ext>
          </c:extLst>
        </c:ser>
        <c:ser>
          <c:idx val="1"/>
          <c:order val="1"/>
          <c:tx>
            <c:strRef>
              <c:f>Sheet1!$C$1</c:f>
              <c:strCache>
                <c:ptCount val="1"/>
                <c:pt idx="0">
                  <c:v>SO2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numCache>
            </c:numRef>
          </c:val>
          <c:extLst xmlns:c16r2="http://schemas.microsoft.com/office/drawing/2015/06/chart">
            <c:ext xmlns:c16="http://schemas.microsoft.com/office/drawing/2014/chart" uri="{C3380CC4-5D6E-409C-BE32-E72D297353CC}">
              <c16:uniqueId val="{00000001-6B39-48DE-AAD8-2FEC0E7698D5}"/>
            </c:ext>
          </c:extLst>
        </c:ser>
        <c:ser>
          <c:idx val="2"/>
          <c:order val="2"/>
          <c:tx>
            <c:strRef>
              <c:f>Sheet1!$D$1</c:f>
              <c:strCache>
                <c:ptCount val="1"/>
                <c:pt idx="0">
                  <c:v>PM10</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General</c:formatCode>
                <c:ptCount val="5"/>
                <c:pt idx="4" formatCode="0.00">
                  <c:v>18.100000000000001</c:v>
                </c:pt>
              </c:numCache>
            </c:numRef>
          </c:val>
          <c:extLst xmlns:c16r2="http://schemas.microsoft.com/office/drawing/2015/06/chart">
            <c:ext xmlns:c16="http://schemas.microsoft.com/office/drawing/2014/chart" uri="{C3380CC4-5D6E-409C-BE32-E72D297353CC}">
              <c16:uniqueId val="{00000002-6B39-48DE-AAD8-2FEC0E7698D5}"/>
            </c:ext>
          </c:extLst>
        </c:ser>
        <c:ser>
          <c:idx val="3"/>
          <c:order val="3"/>
          <c:tx>
            <c:strRef>
              <c:f>Sheet1!$E$1</c:f>
              <c:strCache>
                <c:ptCount val="1"/>
                <c:pt idx="0">
                  <c:v>Pb</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Sheet1!$E$2:$E$6</c:f>
              <c:numCache>
                <c:formatCode>General</c:formatCode>
                <c:ptCount val="5"/>
              </c:numCache>
            </c:numRef>
          </c:val>
          <c:extLst xmlns:c16r2="http://schemas.microsoft.com/office/drawing/2015/06/chart">
            <c:ext xmlns:c16="http://schemas.microsoft.com/office/drawing/2014/chart" uri="{C3380CC4-5D6E-409C-BE32-E72D297353CC}">
              <c16:uniqueId val="{00000003-6B39-48DE-AAD8-2FEC0E7698D5}"/>
            </c:ext>
          </c:extLst>
        </c:ser>
        <c:ser>
          <c:idx val="4"/>
          <c:order val="4"/>
          <c:tx>
            <c:strRef>
              <c:f>Sheet1!$F$1</c:f>
              <c:strCache>
                <c:ptCount val="1"/>
                <c:pt idx="0">
                  <c:v>Cd</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Sheet1!$F$2:$F$6</c:f>
              <c:numCache>
                <c:formatCode>General</c:formatCode>
                <c:ptCount val="5"/>
              </c:numCache>
            </c:numRef>
          </c:val>
          <c:extLst xmlns:c16r2="http://schemas.microsoft.com/office/drawing/2015/06/chart">
            <c:ext xmlns:c16="http://schemas.microsoft.com/office/drawing/2014/chart" uri="{C3380CC4-5D6E-409C-BE32-E72D297353CC}">
              <c16:uniqueId val="{00000004-6B39-48DE-AAD8-2FEC0E7698D5}"/>
            </c:ext>
          </c:extLst>
        </c:ser>
        <c:ser>
          <c:idx val="5"/>
          <c:order val="5"/>
          <c:tx>
            <c:strRef>
              <c:f>Sheet1!$G$1</c:f>
              <c:strCache>
                <c:ptCount val="1"/>
                <c:pt idx="0">
                  <c:v>Ni</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Sheet1!$G$2:$G$6</c:f>
              <c:numCache>
                <c:formatCode>General</c:formatCode>
                <c:ptCount val="5"/>
              </c:numCache>
            </c:numRef>
          </c:val>
          <c:extLst xmlns:c16r2="http://schemas.microsoft.com/office/drawing/2015/06/chart">
            <c:ext xmlns:c16="http://schemas.microsoft.com/office/drawing/2014/chart" uri="{C3380CC4-5D6E-409C-BE32-E72D297353CC}">
              <c16:uniqueId val="{00000005-6B39-48DE-AAD8-2FEC0E7698D5}"/>
            </c:ext>
          </c:extLst>
        </c:ser>
        <c:dLbls>
          <c:showLegendKey val="0"/>
          <c:showVal val="0"/>
          <c:showCatName val="0"/>
          <c:showSerName val="0"/>
          <c:showPercent val="0"/>
          <c:showBubbleSize val="0"/>
        </c:dLbls>
        <c:gapWidth val="150"/>
        <c:axId val="352824320"/>
        <c:axId val="352834304"/>
      </c:barChart>
      <c:catAx>
        <c:axId val="352824320"/>
        <c:scaling>
          <c:orientation val="minMax"/>
        </c:scaling>
        <c:delete val="0"/>
        <c:axPos val="b"/>
        <c:numFmt formatCode="General" sourceLinked="1"/>
        <c:majorTickMark val="out"/>
        <c:minorTickMark val="none"/>
        <c:tickLblPos val="nextTo"/>
        <c:txPr>
          <a:bodyPr rot="0" vert="horz"/>
          <a:lstStyle/>
          <a:p>
            <a:pPr>
              <a:defRPr/>
            </a:pPr>
            <a:endParaRPr lang="en-US"/>
          </a:p>
        </c:txPr>
        <c:crossAx val="352834304"/>
        <c:crosses val="autoZero"/>
        <c:auto val="1"/>
        <c:lblAlgn val="ctr"/>
        <c:lblOffset val="100"/>
        <c:noMultiLvlLbl val="0"/>
      </c:catAx>
      <c:valAx>
        <c:axId val="352834304"/>
        <c:scaling>
          <c:orientation val="minMax"/>
        </c:scaling>
        <c:delete val="0"/>
        <c:axPos val="l"/>
        <c:majorGridlines/>
        <c:numFmt formatCode="General" sourceLinked="1"/>
        <c:majorTickMark val="out"/>
        <c:minorTickMark val="none"/>
        <c:tickLblPos val="nextTo"/>
        <c:txPr>
          <a:bodyPr rot="0" vert="horz"/>
          <a:lstStyle/>
          <a:p>
            <a:pPr>
              <a:defRPr/>
            </a:pPr>
            <a:endParaRPr lang="en-US"/>
          </a:p>
        </c:txPr>
        <c:crossAx val="352824320"/>
        <c:crosses val="autoZero"/>
        <c:crossBetween val="between"/>
      </c:valAx>
    </c:plotArea>
    <c:legend>
      <c:legendPos val="r"/>
      <c:overlay val="0"/>
    </c:legend>
    <c:plotVisOnly val="1"/>
    <c:dispBlanksAs val="gap"/>
    <c:showDLblsOverMax val="0"/>
  </c:chart>
  <c:txPr>
    <a:bodyPr/>
    <a:lstStyle/>
    <a:p>
      <a:pPr>
        <a:defRPr sz="989" b="0" i="0" u="none" strike="noStrike" baseline="0">
          <a:solidFill>
            <a:srgbClr val="000000"/>
          </a:solidFill>
          <a:latin typeface="Trebuchet MS" pitchFamily="34" charset="0"/>
          <a:ea typeface="Calibri"/>
          <a:cs typeface="Calibri"/>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vi-VN"/>
              <a:t>PM10- Număr de depăşiri in anul 20</a:t>
            </a:r>
            <a:r>
              <a:rPr lang="en-US"/>
              <a:t>2</a:t>
            </a:r>
            <a:r>
              <a:rPr lang="ro-RO"/>
              <a:t>3</a:t>
            </a:r>
            <a:endParaRPr lang="vi-VN"/>
          </a:p>
        </c:rich>
      </c:tx>
      <c:layout>
        <c:manualLayout>
          <c:xMode val="edge"/>
          <c:yMode val="edge"/>
          <c:x val="0.2701420534716853"/>
          <c:y val="2.0881651794108776E-2"/>
        </c:manualLayout>
      </c:layout>
      <c:overlay val="0"/>
      <c:spPr>
        <a:noFill/>
        <a:ln w="22029">
          <a:noFill/>
        </a:ln>
      </c:spPr>
    </c:title>
    <c:autoTitleDeleted val="0"/>
    <c:plotArea>
      <c:layout>
        <c:manualLayout>
          <c:layoutTarget val="inner"/>
          <c:xMode val="edge"/>
          <c:yMode val="edge"/>
          <c:x val="5.8451816745655555E-2"/>
          <c:y val="0.15777262180974477"/>
          <c:w val="0.9273301737756714"/>
          <c:h val="0.62877030162413639"/>
        </c:manualLayout>
      </c:layout>
      <c:barChart>
        <c:barDir val="col"/>
        <c:grouping val="clustered"/>
        <c:varyColors val="0"/>
        <c:ser>
          <c:idx val="1"/>
          <c:order val="0"/>
          <c:tx>
            <c:strRef>
              <c:f>Sheet1!$A$2</c:f>
              <c:strCache>
                <c:ptCount val="1"/>
                <c:pt idx="0">
                  <c:v>Numar depasiri</c:v>
                </c:pt>
              </c:strCache>
            </c:strRef>
          </c:tx>
          <c:spPr>
            <a:solidFill>
              <a:srgbClr val="993366"/>
            </a:solidFill>
            <a:ln w="11032">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7</c:v>
                </c:pt>
                <c:pt idx="2">
                  <c:v>20</c:v>
                </c:pt>
                <c:pt idx="4">
                  <c:v>10</c:v>
                </c:pt>
                <c:pt idx="6">
                  <c:v>4</c:v>
                </c:pt>
                <c:pt idx="8">
                  <c:v>15</c:v>
                </c:pt>
              </c:numCache>
            </c:numRef>
          </c:val>
          <c:extLst xmlns:c16r2="http://schemas.microsoft.com/office/drawing/2015/06/chart">
            <c:ext xmlns:c16="http://schemas.microsoft.com/office/drawing/2014/chart" uri="{C3380CC4-5D6E-409C-BE32-E72D297353CC}">
              <c16:uniqueId val="{00000000-9B38-4345-90F1-6A417F2116CC}"/>
            </c:ext>
          </c:extLst>
        </c:ser>
        <c:dLbls>
          <c:showLegendKey val="0"/>
          <c:showVal val="0"/>
          <c:showCatName val="0"/>
          <c:showSerName val="0"/>
          <c:showPercent val="0"/>
          <c:showBubbleSize val="0"/>
        </c:dLbls>
        <c:gapWidth val="150"/>
        <c:axId val="352538624"/>
        <c:axId val="352540544"/>
      </c:barChart>
      <c:lineChart>
        <c:grouping val="standard"/>
        <c:varyColors val="0"/>
        <c:ser>
          <c:idx val="0"/>
          <c:order val="1"/>
          <c:tx>
            <c:strRef>
              <c:f>Sheet1!$A$3</c:f>
              <c:strCache>
                <c:ptCount val="1"/>
                <c:pt idx="0">
                  <c:v>Numar maxim depasiri</c:v>
                </c:pt>
              </c:strCache>
            </c:strRef>
          </c:tx>
          <c:spPr>
            <a:ln w="33094">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35</c:v>
                </c:pt>
                <c:pt idx="1">
                  <c:v>35</c:v>
                </c:pt>
                <c:pt idx="2">
                  <c:v>35</c:v>
                </c:pt>
                <c:pt idx="3">
                  <c:v>35</c:v>
                </c:pt>
                <c:pt idx="4">
                  <c:v>35</c:v>
                </c:pt>
                <c:pt idx="5">
                  <c:v>35</c:v>
                </c:pt>
                <c:pt idx="6">
                  <c:v>35</c:v>
                </c:pt>
                <c:pt idx="7">
                  <c:v>35</c:v>
                </c:pt>
                <c:pt idx="8">
                  <c:v>35</c:v>
                </c:pt>
                <c:pt idx="9">
                  <c:v>35</c:v>
                </c:pt>
                <c:pt idx="10">
                  <c:v>35</c:v>
                </c:pt>
              </c:numCache>
            </c:numRef>
          </c:val>
          <c:smooth val="0"/>
          <c:extLst xmlns:c16r2="http://schemas.microsoft.com/office/drawing/2015/06/chart">
            <c:ext xmlns:c16="http://schemas.microsoft.com/office/drawing/2014/chart" uri="{C3380CC4-5D6E-409C-BE32-E72D297353CC}">
              <c16:uniqueId val="{00000001-9B38-4345-90F1-6A417F2116CC}"/>
            </c:ext>
          </c:extLst>
        </c:ser>
        <c:dLbls>
          <c:showLegendKey val="0"/>
          <c:showVal val="0"/>
          <c:showCatName val="0"/>
          <c:showSerName val="0"/>
          <c:showPercent val="0"/>
          <c:showBubbleSize val="0"/>
        </c:dLbls>
        <c:marker val="1"/>
        <c:smooth val="0"/>
        <c:axId val="352542080"/>
        <c:axId val="352547968"/>
      </c:lineChart>
      <c:catAx>
        <c:axId val="352538624"/>
        <c:scaling>
          <c:orientation val="minMax"/>
        </c:scaling>
        <c:delete val="0"/>
        <c:axPos val="b"/>
        <c:title>
          <c:tx>
            <c:rich>
              <a:bodyPr/>
              <a:lstStyle/>
              <a:p>
                <a:pPr>
                  <a:defRPr/>
                </a:pPr>
                <a:r>
                  <a:rPr lang="en-US"/>
                  <a:t>Statii</a:t>
                </a:r>
              </a:p>
            </c:rich>
          </c:tx>
          <c:layout>
            <c:manualLayout>
              <c:xMode val="edge"/>
              <c:yMode val="edge"/>
              <c:x val="0.49131097637340343"/>
              <c:y val="0.85614873315084949"/>
            </c:manualLayout>
          </c:layout>
          <c:overlay val="0"/>
          <c:spPr>
            <a:noFill/>
            <a:ln w="22029">
              <a:noFill/>
            </a:ln>
          </c:spPr>
        </c:title>
        <c:numFmt formatCode="General" sourceLinked="1"/>
        <c:majorTickMark val="cross"/>
        <c:minorTickMark val="none"/>
        <c:tickLblPos val="nextTo"/>
        <c:spPr>
          <a:ln w="2758">
            <a:solidFill>
              <a:srgbClr val="000000"/>
            </a:solidFill>
            <a:prstDash val="solid"/>
          </a:ln>
        </c:spPr>
        <c:txPr>
          <a:bodyPr rot="0" vert="horz"/>
          <a:lstStyle/>
          <a:p>
            <a:pPr>
              <a:defRPr/>
            </a:pPr>
            <a:endParaRPr lang="en-US"/>
          </a:p>
        </c:txPr>
        <c:crossAx val="352540544"/>
        <c:crosses val="autoZero"/>
        <c:auto val="0"/>
        <c:lblAlgn val="ctr"/>
        <c:lblOffset val="100"/>
        <c:tickLblSkip val="1"/>
        <c:tickMarkSkip val="1"/>
        <c:noMultiLvlLbl val="0"/>
      </c:catAx>
      <c:valAx>
        <c:axId val="352540544"/>
        <c:scaling>
          <c:orientation val="minMax"/>
        </c:scaling>
        <c:delete val="0"/>
        <c:axPos val="l"/>
        <c:numFmt formatCode="General" sourceLinked="1"/>
        <c:majorTickMark val="cross"/>
        <c:minorTickMark val="none"/>
        <c:tickLblPos val="nextTo"/>
        <c:spPr>
          <a:ln w="2758">
            <a:solidFill>
              <a:srgbClr val="000000"/>
            </a:solidFill>
            <a:prstDash val="solid"/>
          </a:ln>
        </c:spPr>
        <c:txPr>
          <a:bodyPr rot="0" vert="horz"/>
          <a:lstStyle/>
          <a:p>
            <a:pPr>
              <a:defRPr/>
            </a:pPr>
            <a:endParaRPr lang="en-US"/>
          </a:p>
        </c:txPr>
        <c:crossAx val="352538624"/>
        <c:crosses val="autoZero"/>
        <c:crossBetween val="between"/>
      </c:valAx>
      <c:catAx>
        <c:axId val="352542080"/>
        <c:scaling>
          <c:orientation val="minMax"/>
        </c:scaling>
        <c:delete val="1"/>
        <c:axPos val="b"/>
        <c:numFmt formatCode="General" sourceLinked="1"/>
        <c:majorTickMark val="out"/>
        <c:minorTickMark val="none"/>
        <c:tickLblPos val="nextTo"/>
        <c:crossAx val="352547968"/>
        <c:crosses val="autoZero"/>
        <c:auto val="0"/>
        <c:lblAlgn val="ctr"/>
        <c:lblOffset val="100"/>
        <c:noMultiLvlLbl val="0"/>
      </c:catAx>
      <c:valAx>
        <c:axId val="352547968"/>
        <c:scaling>
          <c:orientation val="minMax"/>
        </c:scaling>
        <c:delete val="1"/>
        <c:axPos val="l"/>
        <c:numFmt formatCode="General" sourceLinked="1"/>
        <c:majorTickMark val="out"/>
        <c:minorTickMark val="none"/>
        <c:tickLblPos val="nextTo"/>
        <c:crossAx val="352542080"/>
        <c:crosses val="autoZero"/>
        <c:crossBetween val="between"/>
      </c:valAx>
      <c:spPr>
        <a:solidFill>
          <a:srgbClr val="C0C0C0"/>
        </a:solidFill>
        <a:ln w="11032">
          <a:solidFill>
            <a:srgbClr val="808080"/>
          </a:solidFill>
          <a:prstDash val="solid"/>
        </a:ln>
      </c:spPr>
    </c:plotArea>
    <c:legend>
      <c:legendPos val="b"/>
      <c:layout>
        <c:manualLayout>
          <c:xMode val="edge"/>
          <c:yMode val="edge"/>
          <c:x val="0.28751976675644847"/>
          <c:y val="0.93735504461767361"/>
          <c:w val="0.46445507206203801"/>
          <c:h val="5.5684068253493479E-2"/>
        </c:manualLayout>
      </c:layout>
      <c:overlay val="0"/>
      <c:spPr>
        <a:solidFill>
          <a:srgbClr val="FFFFFF"/>
        </a:solidFill>
        <a:ln w="2758">
          <a:solidFill>
            <a:srgbClr val="000000"/>
          </a:solidFill>
          <a:prstDash val="solid"/>
        </a:ln>
      </c:spPr>
    </c:legend>
    <c:plotVisOnly val="1"/>
    <c:dispBlanksAs val="gap"/>
    <c:showDLblsOverMax val="0"/>
  </c:chart>
  <c:spPr>
    <a:noFill/>
    <a:ln>
      <a:noFill/>
    </a:ln>
  </c:spPr>
  <c:txPr>
    <a:bodyPr/>
    <a:lstStyle/>
    <a:p>
      <a:pPr>
        <a:defRPr sz="867"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Ponderea populatiei expusa la concentratii de PM10</a:t>
            </a:r>
          </a:p>
        </c:rich>
      </c:tx>
      <c:layout>
        <c:manualLayout>
          <c:xMode val="edge"/>
          <c:yMode val="edge"/>
          <c:x val="0.18483414486780175"/>
          <c:y val="2.0881791081887757E-2"/>
        </c:manualLayout>
      </c:layout>
      <c:overlay val="0"/>
      <c:spPr>
        <a:noFill/>
        <a:ln w="17065">
          <a:noFill/>
        </a:ln>
      </c:spPr>
    </c:title>
    <c:autoTitleDeleted val="0"/>
    <c:plotArea>
      <c:layout>
        <c:manualLayout>
          <c:layoutTarget val="inner"/>
          <c:xMode val="edge"/>
          <c:yMode val="edge"/>
          <c:x val="0.1074249605055301"/>
          <c:y val="0.15777262180974477"/>
          <c:w val="0.87835703001580301"/>
          <c:h val="0.58004640371229221"/>
        </c:manualLayout>
      </c:layout>
      <c:barChart>
        <c:barDir val="col"/>
        <c:grouping val="clustered"/>
        <c:varyColors val="0"/>
        <c:ser>
          <c:idx val="1"/>
          <c:order val="0"/>
          <c:tx>
            <c:strRef>
              <c:f>Sheet1!$A$2</c:f>
              <c:strCache>
                <c:ptCount val="1"/>
                <c:pt idx="0">
                  <c:v>ponderea populatiei expusa la PM 10 peste VL anuala </c:v>
                </c:pt>
              </c:strCache>
            </c:strRef>
          </c:tx>
          <c:spPr>
            <a:solidFill>
              <a:srgbClr val="993366"/>
            </a:solidFill>
            <a:ln w="854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4EA4-4EE6-B483-8E5019706CAE}"/>
            </c:ext>
          </c:extLst>
        </c:ser>
        <c:ser>
          <c:idx val="3"/>
          <c:order val="1"/>
          <c:tx>
            <c:strRef>
              <c:f>Sheet1!$A$3</c:f>
              <c:strCache>
                <c:ptCount val="1"/>
                <c:pt idx="0">
                  <c:v>ponderea populatiei expusa la PM 10 peste VL zilnica </c:v>
                </c:pt>
              </c:strCache>
            </c:strRef>
          </c:tx>
          <c:spPr>
            <a:solidFill>
              <a:srgbClr val="CCFFFF"/>
            </a:solidFill>
            <a:ln w="8546">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8</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4EA4-4EE6-B483-8E5019706CAE}"/>
            </c:ext>
          </c:extLst>
        </c:ser>
        <c:dLbls>
          <c:showLegendKey val="0"/>
          <c:showVal val="0"/>
          <c:showCatName val="0"/>
          <c:showSerName val="0"/>
          <c:showPercent val="0"/>
          <c:showBubbleSize val="0"/>
        </c:dLbls>
        <c:gapWidth val="150"/>
        <c:axId val="352861184"/>
        <c:axId val="352863360"/>
      </c:barChart>
      <c:catAx>
        <c:axId val="352861184"/>
        <c:scaling>
          <c:orientation val="minMax"/>
        </c:scaling>
        <c:delete val="0"/>
        <c:axPos val="b"/>
        <c:title>
          <c:tx>
            <c:rich>
              <a:bodyPr/>
              <a:lstStyle/>
              <a:p>
                <a:pPr>
                  <a:defRPr/>
                </a:pPr>
                <a:r>
                  <a:rPr lang="en-US"/>
                  <a:t>Statii</a:t>
                </a:r>
              </a:p>
            </c:rich>
          </c:tx>
          <c:layout>
            <c:manualLayout>
              <c:xMode val="edge"/>
              <c:yMode val="edge"/>
              <c:x val="0.51658766244625753"/>
              <c:y val="0.80742446157971248"/>
            </c:manualLayout>
          </c:layout>
          <c:overlay val="0"/>
          <c:spPr>
            <a:noFill/>
            <a:ln w="17065">
              <a:noFill/>
            </a:ln>
          </c:spPr>
        </c:title>
        <c:numFmt formatCode="General" sourceLinked="1"/>
        <c:majorTickMark val="out"/>
        <c:minorTickMark val="none"/>
        <c:tickLblPos val="nextTo"/>
        <c:spPr>
          <a:ln w="2136">
            <a:solidFill>
              <a:srgbClr val="000000"/>
            </a:solidFill>
            <a:prstDash val="solid"/>
          </a:ln>
        </c:spPr>
        <c:txPr>
          <a:bodyPr rot="0" vert="horz"/>
          <a:lstStyle/>
          <a:p>
            <a:pPr>
              <a:defRPr/>
            </a:pPr>
            <a:endParaRPr lang="en-US"/>
          </a:p>
        </c:txPr>
        <c:crossAx val="352863360"/>
        <c:crosses val="autoZero"/>
        <c:auto val="0"/>
        <c:lblAlgn val="ctr"/>
        <c:lblOffset val="100"/>
        <c:tickLblSkip val="1"/>
        <c:tickMarkSkip val="1"/>
        <c:noMultiLvlLbl val="0"/>
      </c:catAx>
      <c:valAx>
        <c:axId val="352863360"/>
        <c:scaling>
          <c:orientation val="minMax"/>
          <c:max val="100"/>
        </c:scaling>
        <c:delete val="0"/>
        <c:axPos val="l"/>
        <c:title>
          <c:tx>
            <c:rich>
              <a:bodyPr/>
              <a:lstStyle/>
              <a:p>
                <a:pPr>
                  <a:defRPr/>
                </a:pPr>
                <a:r>
                  <a:rPr lang="en-US"/>
                  <a:t>procent%</a:t>
                </a:r>
              </a:p>
            </c:rich>
          </c:tx>
          <c:layout>
            <c:manualLayout>
              <c:xMode val="edge"/>
              <c:yMode val="edge"/>
              <c:x val="1.7377570323696336E-2"/>
              <c:y val="0.37354997870719753"/>
            </c:manualLayout>
          </c:layout>
          <c:overlay val="0"/>
          <c:spPr>
            <a:noFill/>
            <a:ln w="17065">
              <a:noFill/>
            </a:ln>
          </c:spPr>
        </c:title>
        <c:numFmt formatCode="General" sourceLinked="1"/>
        <c:majorTickMark val="out"/>
        <c:minorTickMark val="none"/>
        <c:tickLblPos val="nextTo"/>
        <c:spPr>
          <a:ln w="2136">
            <a:solidFill>
              <a:srgbClr val="000000"/>
            </a:solidFill>
            <a:prstDash val="solid"/>
          </a:ln>
        </c:spPr>
        <c:txPr>
          <a:bodyPr rot="0" vert="horz"/>
          <a:lstStyle/>
          <a:p>
            <a:pPr>
              <a:defRPr/>
            </a:pPr>
            <a:endParaRPr lang="en-US"/>
          </a:p>
        </c:txPr>
        <c:crossAx val="352861184"/>
        <c:crosses val="autoZero"/>
        <c:crossBetween val="between"/>
      </c:valAx>
      <c:spPr>
        <a:solidFill>
          <a:srgbClr val="C0C0C0"/>
        </a:solidFill>
        <a:ln w="8546">
          <a:solidFill>
            <a:srgbClr val="808080"/>
          </a:solidFill>
          <a:prstDash val="solid"/>
        </a:ln>
      </c:spPr>
    </c:plotArea>
    <c:legend>
      <c:legendPos val="b"/>
      <c:layout>
        <c:manualLayout>
          <c:xMode val="edge"/>
          <c:yMode val="edge"/>
          <c:x val="0.27962080660736682"/>
          <c:y val="0.88863075682691783"/>
          <c:w val="0.52922591983197353"/>
          <c:h val="0.10440825956622057"/>
        </c:manualLayout>
      </c:layout>
      <c:overlay val="0"/>
      <c:spPr>
        <a:solidFill>
          <a:srgbClr val="FFFFFF"/>
        </a:solidFill>
        <a:ln w="2136">
          <a:solidFill>
            <a:srgbClr val="000000"/>
          </a:solidFill>
          <a:prstDash val="solid"/>
        </a:ln>
      </c:spPr>
    </c:legend>
    <c:plotVisOnly val="1"/>
    <c:dispBlanksAs val="gap"/>
    <c:showDLblsOverMax val="0"/>
  </c:chart>
  <c:spPr>
    <a:noFill/>
    <a:ln>
      <a:noFill/>
    </a:ln>
  </c:spPr>
  <c:txPr>
    <a:bodyPr/>
    <a:lstStyle/>
    <a:p>
      <a:pPr>
        <a:defRPr sz="672"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a:t>O3</a:t>
            </a:r>
            <a:r>
              <a:rPr lang="vi-VN"/>
              <a:t>- Număr </a:t>
            </a:r>
            <a:r>
              <a:rPr lang="ro-RO"/>
              <a:t>zile cu</a:t>
            </a:r>
            <a:r>
              <a:rPr lang="vi-VN"/>
              <a:t> depăşiri</a:t>
            </a:r>
            <a:r>
              <a:rPr lang="ro-RO"/>
              <a:t> ale valorii tinta </a:t>
            </a:r>
            <a:r>
              <a:rPr lang="vi-VN"/>
              <a:t> in anul 20</a:t>
            </a:r>
            <a:r>
              <a:rPr lang="en-US"/>
              <a:t>2</a:t>
            </a:r>
            <a:r>
              <a:rPr lang="ro-RO"/>
              <a:t>3</a:t>
            </a:r>
            <a:endParaRPr lang="vi-VN"/>
          </a:p>
        </c:rich>
      </c:tx>
      <c:layout>
        <c:manualLayout>
          <c:xMode val="edge"/>
          <c:yMode val="edge"/>
          <c:x val="0.27014222958972239"/>
          <c:y val="2.0881751642400283E-2"/>
        </c:manualLayout>
      </c:layout>
      <c:overlay val="0"/>
      <c:spPr>
        <a:noFill/>
        <a:ln w="18693">
          <a:noFill/>
        </a:ln>
      </c:spPr>
    </c:title>
    <c:autoTitleDeleted val="0"/>
    <c:plotArea>
      <c:layout>
        <c:manualLayout>
          <c:layoutTarget val="inner"/>
          <c:xMode val="edge"/>
          <c:yMode val="edge"/>
          <c:x val="5.8451816745655555E-2"/>
          <c:y val="0.15777262180974477"/>
          <c:w val="0.9273301737756714"/>
          <c:h val="0.62877030162413639"/>
        </c:manualLayout>
      </c:layout>
      <c:barChart>
        <c:barDir val="col"/>
        <c:grouping val="clustered"/>
        <c:varyColors val="0"/>
        <c:ser>
          <c:idx val="1"/>
          <c:order val="0"/>
          <c:tx>
            <c:strRef>
              <c:f>Sheet1!$A$2</c:f>
              <c:strCache>
                <c:ptCount val="1"/>
                <c:pt idx="0">
                  <c:v>Numar depasiri</c:v>
                </c:pt>
              </c:strCache>
            </c:strRef>
          </c:tx>
          <c:spPr>
            <a:solidFill>
              <a:srgbClr val="993366"/>
            </a:solidFill>
            <a:ln w="9361">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11</c:v>
                </c:pt>
                <c:pt idx="4">
                  <c:v>15</c:v>
                </c:pt>
                <c:pt idx="6">
                  <c:v>5</c:v>
                </c:pt>
                <c:pt idx="7">
                  <c:v>18</c:v>
                </c:pt>
                <c:pt idx="8">
                  <c:v>17</c:v>
                </c:pt>
              </c:numCache>
            </c:numRef>
          </c:val>
          <c:extLst xmlns:c16r2="http://schemas.microsoft.com/office/drawing/2015/06/chart">
            <c:ext xmlns:c16="http://schemas.microsoft.com/office/drawing/2014/chart" uri="{C3380CC4-5D6E-409C-BE32-E72D297353CC}">
              <c16:uniqueId val="{00000000-20DD-4E0B-BC7A-B8736B247140}"/>
            </c:ext>
          </c:extLst>
        </c:ser>
        <c:dLbls>
          <c:showLegendKey val="0"/>
          <c:showVal val="0"/>
          <c:showCatName val="0"/>
          <c:showSerName val="0"/>
          <c:showPercent val="0"/>
          <c:showBubbleSize val="0"/>
        </c:dLbls>
        <c:gapWidth val="150"/>
        <c:axId val="351740672"/>
        <c:axId val="351742592"/>
      </c:barChart>
      <c:lineChart>
        <c:grouping val="standard"/>
        <c:varyColors val="0"/>
        <c:ser>
          <c:idx val="0"/>
          <c:order val="1"/>
          <c:tx>
            <c:strRef>
              <c:f>Sheet1!$A$3</c:f>
              <c:strCache>
                <c:ptCount val="1"/>
                <c:pt idx="0">
                  <c:v>Numar maxim depasiri</c:v>
                </c:pt>
              </c:strCache>
            </c:strRef>
          </c:tx>
          <c:spPr>
            <a:ln w="28083">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25</c:v>
                </c:pt>
                <c:pt idx="1">
                  <c:v>25</c:v>
                </c:pt>
                <c:pt idx="2">
                  <c:v>25</c:v>
                </c:pt>
                <c:pt idx="3">
                  <c:v>25</c:v>
                </c:pt>
                <c:pt idx="4">
                  <c:v>25</c:v>
                </c:pt>
                <c:pt idx="5">
                  <c:v>25</c:v>
                </c:pt>
                <c:pt idx="6">
                  <c:v>25</c:v>
                </c:pt>
                <c:pt idx="7">
                  <c:v>25</c:v>
                </c:pt>
                <c:pt idx="8">
                  <c:v>25</c:v>
                </c:pt>
                <c:pt idx="9">
                  <c:v>25</c:v>
                </c:pt>
                <c:pt idx="10">
                  <c:v>25</c:v>
                </c:pt>
              </c:numCache>
            </c:numRef>
          </c:val>
          <c:smooth val="0"/>
          <c:extLst xmlns:c16r2="http://schemas.microsoft.com/office/drawing/2015/06/chart">
            <c:ext xmlns:c16="http://schemas.microsoft.com/office/drawing/2014/chart" uri="{C3380CC4-5D6E-409C-BE32-E72D297353CC}">
              <c16:uniqueId val="{00000001-20DD-4E0B-BC7A-B8736B247140}"/>
            </c:ext>
          </c:extLst>
        </c:ser>
        <c:dLbls>
          <c:showLegendKey val="0"/>
          <c:showVal val="0"/>
          <c:showCatName val="0"/>
          <c:showSerName val="0"/>
          <c:showPercent val="0"/>
          <c:showBubbleSize val="0"/>
        </c:dLbls>
        <c:marker val="1"/>
        <c:smooth val="0"/>
        <c:axId val="351744384"/>
        <c:axId val="351745920"/>
      </c:lineChart>
      <c:catAx>
        <c:axId val="351740672"/>
        <c:scaling>
          <c:orientation val="minMax"/>
        </c:scaling>
        <c:delete val="0"/>
        <c:axPos val="b"/>
        <c:title>
          <c:tx>
            <c:rich>
              <a:bodyPr/>
              <a:lstStyle/>
              <a:p>
                <a:pPr>
                  <a:defRPr/>
                </a:pPr>
                <a:r>
                  <a:rPr lang="en-US"/>
                  <a:t>Statii</a:t>
                </a:r>
              </a:p>
            </c:rich>
          </c:tx>
          <c:layout>
            <c:manualLayout>
              <c:xMode val="edge"/>
              <c:yMode val="edge"/>
              <c:x val="0.49131106506423539"/>
              <c:y val="0.85614859427196621"/>
            </c:manualLayout>
          </c:layout>
          <c:overlay val="0"/>
          <c:spPr>
            <a:noFill/>
            <a:ln w="18693">
              <a:noFill/>
            </a:ln>
          </c:spPr>
        </c:title>
        <c:numFmt formatCode="General" sourceLinked="1"/>
        <c:majorTickMark val="cross"/>
        <c:minorTickMark val="none"/>
        <c:tickLblPos val="nextTo"/>
        <c:spPr>
          <a:ln w="2340">
            <a:solidFill>
              <a:srgbClr val="000000"/>
            </a:solidFill>
            <a:prstDash val="solid"/>
          </a:ln>
        </c:spPr>
        <c:txPr>
          <a:bodyPr rot="0" vert="horz"/>
          <a:lstStyle/>
          <a:p>
            <a:pPr>
              <a:defRPr/>
            </a:pPr>
            <a:endParaRPr lang="en-US"/>
          </a:p>
        </c:txPr>
        <c:crossAx val="351742592"/>
        <c:crosses val="autoZero"/>
        <c:auto val="0"/>
        <c:lblAlgn val="ctr"/>
        <c:lblOffset val="100"/>
        <c:tickLblSkip val="1"/>
        <c:tickMarkSkip val="1"/>
        <c:noMultiLvlLbl val="0"/>
      </c:catAx>
      <c:valAx>
        <c:axId val="351742592"/>
        <c:scaling>
          <c:orientation val="minMax"/>
        </c:scaling>
        <c:delete val="0"/>
        <c:axPos val="l"/>
        <c:numFmt formatCode="General" sourceLinked="1"/>
        <c:majorTickMark val="cross"/>
        <c:minorTickMark val="none"/>
        <c:tickLblPos val="nextTo"/>
        <c:spPr>
          <a:ln w="2340">
            <a:solidFill>
              <a:srgbClr val="000000"/>
            </a:solidFill>
            <a:prstDash val="solid"/>
          </a:ln>
        </c:spPr>
        <c:txPr>
          <a:bodyPr rot="0" vert="horz"/>
          <a:lstStyle/>
          <a:p>
            <a:pPr>
              <a:defRPr/>
            </a:pPr>
            <a:endParaRPr lang="en-US"/>
          </a:p>
        </c:txPr>
        <c:crossAx val="351740672"/>
        <c:crosses val="autoZero"/>
        <c:crossBetween val="between"/>
      </c:valAx>
      <c:catAx>
        <c:axId val="351744384"/>
        <c:scaling>
          <c:orientation val="minMax"/>
        </c:scaling>
        <c:delete val="1"/>
        <c:axPos val="b"/>
        <c:numFmt formatCode="General" sourceLinked="1"/>
        <c:majorTickMark val="out"/>
        <c:minorTickMark val="none"/>
        <c:tickLblPos val="nextTo"/>
        <c:crossAx val="351745920"/>
        <c:crosses val="autoZero"/>
        <c:auto val="0"/>
        <c:lblAlgn val="ctr"/>
        <c:lblOffset val="100"/>
        <c:noMultiLvlLbl val="0"/>
      </c:catAx>
      <c:valAx>
        <c:axId val="351745920"/>
        <c:scaling>
          <c:orientation val="minMax"/>
        </c:scaling>
        <c:delete val="1"/>
        <c:axPos val="l"/>
        <c:numFmt formatCode="General" sourceLinked="1"/>
        <c:majorTickMark val="out"/>
        <c:minorTickMark val="none"/>
        <c:tickLblPos val="nextTo"/>
        <c:crossAx val="351744384"/>
        <c:crosses val="autoZero"/>
        <c:crossBetween val="between"/>
      </c:valAx>
      <c:spPr>
        <a:solidFill>
          <a:srgbClr val="C0C0C0"/>
        </a:solidFill>
        <a:ln w="9361">
          <a:solidFill>
            <a:srgbClr val="808080"/>
          </a:solidFill>
          <a:prstDash val="solid"/>
        </a:ln>
      </c:spPr>
    </c:plotArea>
    <c:legend>
      <c:legendPos val="b"/>
      <c:layout>
        <c:manualLayout>
          <c:xMode val="edge"/>
          <c:yMode val="edge"/>
          <c:x val="0.28751976792374634"/>
          <c:y val="0.93735474507279903"/>
          <c:w val="0.46445486945710734"/>
          <c:h val="5.5684423118212645E-2"/>
        </c:manualLayout>
      </c:layout>
      <c:overlay val="0"/>
      <c:spPr>
        <a:solidFill>
          <a:srgbClr val="FFFFFF"/>
        </a:solidFill>
        <a:ln w="2340">
          <a:solidFill>
            <a:srgbClr val="000000"/>
          </a:solidFill>
          <a:prstDash val="solid"/>
        </a:ln>
      </c:spPr>
    </c:legend>
    <c:plotVisOnly val="1"/>
    <c:dispBlanksAs val="gap"/>
    <c:showDLblsOverMax val="0"/>
  </c:chart>
  <c:spPr>
    <a:noFill/>
    <a:ln>
      <a:noFill/>
    </a:ln>
  </c:spPr>
  <c:txPr>
    <a:bodyPr/>
    <a:lstStyle/>
    <a:p>
      <a:pPr>
        <a:defRPr sz="736"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NO2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75E8-4BEA-8B7B-BEC0DA0EFC8D}"/>
            </c:ext>
          </c:extLst>
        </c:ser>
        <c:ser>
          <c:idx val="1"/>
          <c:order val="1"/>
          <c:tx>
            <c:strRef>
              <c:f>Sheet1!$C$1</c:f>
              <c:strCache>
                <c:ptCount val="1"/>
                <c:pt idx="0">
                  <c:v>PM10</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75E8-4BEA-8B7B-BEC0DA0EFC8D}"/>
            </c:ext>
          </c:extLst>
        </c:ser>
        <c:ser>
          <c:idx val="2"/>
          <c:order val="2"/>
          <c:tx>
            <c:strRef>
              <c:f>Sheet1!$D$1</c:f>
              <c:strCache>
                <c:ptCount val="1"/>
                <c:pt idx="0">
                  <c:v>O3</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2-75E8-4BEA-8B7B-BEC0DA0EFC8D}"/>
            </c:ext>
          </c:extLst>
        </c:ser>
        <c:dLbls>
          <c:showLegendKey val="0"/>
          <c:showVal val="0"/>
          <c:showCatName val="0"/>
          <c:showSerName val="0"/>
          <c:showPercent val="0"/>
          <c:showBubbleSize val="0"/>
        </c:dLbls>
        <c:gapWidth val="150"/>
        <c:axId val="351625984"/>
        <c:axId val="351627520"/>
      </c:barChart>
      <c:catAx>
        <c:axId val="351625984"/>
        <c:scaling>
          <c:orientation val="minMax"/>
        </c:scaling>
        <c:delete val="0"/>
        <c:axPos val="b"/>
        <c:numFmt formatCode="General" sourceLinked="1"/>
        <c:majorTickMark val="out"/>
        <c:minorTickMark val="none"/>
        <c:tickLblPos val="nextTo"/>
        <c:crossAx val="351627520"/>
        <c:crosses val="autoZero"/>
        <c:auto val="1"/>
        <c:lblAlgn val="ctr"/>
        <c:lblOffset val="100"/>
        <c:noMultiLvlLbl val="0"/>
      </c:catAx>
      <c:valAx>
        <c:axId val="351627520"/>
        <c:scaling>
          <c:orientation val="minMax"/>
        </c:scaling>
        <c:delete val="0"/>
        <c:axPos val="l"/>
        <c:majorGridlines/>
        <c:numFmt formatCode="General" sourceLinked="1"/>
        <c:majorTickMark val="out"/>
        <c:minorTickMark val="none"/>
        <c:tickLblPos val="nextTo"/>
        <c:crossAx val="351625984"/>
        <c:crosses val="autoZero"/>
        <c:crossBetween val="between"/>
      </c:valAx>
    </c:plotArea>
    <c:legend>
      <c:legendPos val="r"/>
      <c:overlay val="0"/>
    </c:legend>
    <c:plotVisOnly val="1"/>
    <c:dispBlanksAs val="gap"/>
    <c:showDLblsOverMax val="0"/>
  </c:chart>
  <c:txPr>
    <a:bodyPr/>
    <a:lstStyle/>
    <a:p>
      <a:pPr>
        <a:defRPr baseline="0">
          <a:latin typeface="Trebuchet MS" pitchFamily="34"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a:t>Expunerea acumulată anuală (AOT 40) </a:t>
            </a:r>
            <a:r>
              <a:rPr lang="en-US"/>
              <a:t>-statia B</a:t>
            </a:r>
            <a:r>
              <a:rPr lang="ro-RO"/>
              <a:t>8</a:t>
            </a:r>
            <a:endParaRPr lang="en-US"/>
          </a:p>
        </c:rich>
      </c:tx>
      <c:overlay val="1"/>
      <c:spPr>
        <a:noFill/>
        <a:ln w="25128">
          <a:noFill/>
        </a:ln>
      </c:spPr>
    </c:title>
    <c:autoTitleDeleted val="0"/>
    <c:plotArea>
      <c:layout>
        <c:manualLayout>
          <c:layoutTarget val="inner"/>
          <c:xMode val="edge"/>
          <c:yMode val="edge"/>
          <c:x val="9.95081384057762E-2"/>
          <c:y val="0.12007213127136086"/>
          <c:w val="0.79393729629950105"/>
          <c:h val="0.76075870012651292"/>
        </c:manualLayout>
      </c:layout>
      <c:barChart>
        <c:barDir val="col"/>
        <c:grouping val="clustered"/>
        <c:varyColors val="0"/>
        <c:ser>
          <c:idx val="0"/>
          <c:order val="0"/>
          <c:tx>
            <c:strRef>
              <c:f>Sheet1!$B$1</c:f>
              <c:strCache>
                <c:ptCount val="1"/>
                <c:pt idx="0">
                  <c:v>O3</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5684</c:v>
                </c:pt>
                <c:pt idx="1">
                  <c:v>6663</c:v>
                </c:pt>
                <c:pt idx="2">
                  <c:v>7171</c:v>
                </c:pt>
                <c:pt idx="3">
                  <c:v>15571</c:v>
                </c:pt>
                <c:pt idx="4">
                  <c:v>16280</c:v>
                </c:pt>
              </c:numCache>
            </c:numRef>
          </c:val>
          <c:extLst xmlns:c16r2="http://schemas.microsoft.com/office/drawing/2015/06/chart">
            <c:ext xmlns:c16="http://schemas.microsoft.com/office/drawing/2014/chart" uri="{C3380CC4-5D6E-409C-BE32-E72D297353CC}">
              <c16:uniqueId val="{00000000-6B39-48DE-AAD8-2FEC0E7698D5}"/>
            </c:ext>
          </c:extLst>
        </c:ser>
        <c:dLbls>
          <c:showLegendKey val="0"/>
          <c:showVal val="0"/>
          <c:showCatName val="0"/>
          <c:showSerName val="0"/>
          <c:showPercent val="0"/>
          <c:showBubbleSize val="0"/>
        </c:dLbls>
        <c:gapWidth val="150"/>
        <c:axId val="352565504"/>
        <c:axId val="352808960"/>
      </c:barChart>
      <c:catAx>
        <c:axId val="352565504"/>
        <c:scaling>
          <c:orientation val="minMax"/>
        </c:scaling>
        <c:delete val="0"/>
        <c:axPos val="b"/>
        <c:numFmt formatCode="General" sourceLinked="1"/>
        <c:majorTickMark val="out"/>
        <c:minorTickMark val="none"/>
        <c:tickLblPos val="nextTo"/>
        <c:txPr>
          <a:bodyPr rot="0" vert="horz"/>
          <a:lstStyle/>
          <a:p>
            <a:pPr>
              <a:defRPr/>
            </a:pPr>
            <a:endParaRPr lang="en-US"/>
          </a:p>
        </c:txPr>
        <c:crossAx val="352808960"/>
        <c:crosses val="autoZero"/>
        <c:auto val="1"/>
        <c:lblAlgn val="ctr"/>
        <c:lblOffset val="100"/>
        <c:noMultiLvlLbl val="0"/>
      </c:catAx>
      <c:valAx>
        <c:axId val="352808960"/>
        <c:scaling>
          <c:orientation val="minMax"/>
        </c:scaling>
        <c:delete val="0"/>
        <c:axPos val="l"/>
        <c:majorGridlines/>
        <c:numFmt formatCode="General" sourceLinked="1"/>
        <c:majorTickMark val="out"/>
        <c:minorTickMark val="none"/>
        <c:tickLblPos val="nextTo"/>
        <c:txPr>
          <a:bodyPr rot="0" vert="horz"/>
          <a:lstStyle/>
          <a:p>
            <a:pPr>
              <a:defRPr/>
            </a:pPr>
            <a:endParaRPr lang="en-US"/>
          </a:p>
        </c:txPr>
        <c:crossAx val="352565504"/>
        <c:crosses val="autoZero"/>
        <c:crossBetween val="between"/>
      </c:valAx>
    </c:plotArea>
    <c:legend>
      <c:legendPos val="r"/>
      <c:overlay val="0"/>
    </c:legend>
    <c:plotVisOnly val="1"/>
    <c:dispBlanksAs val="gap"/>
    <c:showDLblsOverMax val="0"/>
  </c:chart>
  <c:txPr>
    <a:bodyPr/>
    <a:lstStyle/>
    <a:p>
      <a:pPr>
        <a:defRPr sz="989" b="0" i="0" u="none" strike="noStrike" baseline="0">
          <a:solidFill>
            <a:srgbClr val="000000"/>
          </a:solidFill>
          <a:latin typeface="Trebuchet MS" pitchFamily="34" charset="0"/>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SO2 Concentraţii medii anuale 202</a:t>
            </a:r>
            <a:r>
              <a:rPr lang="ro-RO" sz="1100"/>
              <a:t>3</a:t>
            </a:r>
            <a:r>
              <a:rPr lang="en-US" sz="1100"/>
              <a:t> înregistrate la staţiile de monitorizare</a:t>
            </a:r>
          </a:p>
        </c:rich>
      </c:tx>
      <c:layout>
        <c:manualLayout>
          <c:xMode val="edge"/>
          <c:yMode val="edge"/>
          <c:x val="0.11169270507853185"/>
          <c:y val="2.0725288920036826E-2"/>
        </c:manualLayout>
      </c:layout>
      <c:overlay val="0"/>
      <c:spPr>
        <a:noFill/>
        <a:ln w="22445">
          <a:noFill/>
        </a:ln>
      </c:spPr>
    </c:title>
    <c:autoTitleDeleted val="0"/>
    <c:plotArea>
      <c:layout>
        <c:manualLayout>
          <c:layoutTarget val="inner"/>
          <c:xMode val="edge"/>
          <c:yMode val="edge"/>
          <c:x val="0.10645724258289703"/>
          <c:y val="0.22538860103626959"/>
          <c:w val="0.87783595113438795"/>
          <c:h val="0.5362694300518136"/>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11242">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4.5599999999999996</c:v>
                </c:pt>
                <c:pt idx="1">
                  <c:v>4.8600000000000003</c:v>
                </c:pt>
                <c:pt idx="3">
                  <c:v>6.02</c:v>
                </c:pt>
                <c:pt idx="4">
                  <c:v>4.2</c:v>
                </c:pt>
                <c:pt idx="6">
                  <c:v>4.7300000000000004</c:v>
                </c:pt>
                <c:pt idx="7">
                  <c:v>5.4</c:v>
                </c:pt>
              </c:numCache>
            </c:numRef>
          </c:val>
          <c:extLst xmlns:c16r2="http://schemas.microsoft.com/office/drawing/2015/06/chart">
            <c:ext xmlns:c16="http://schemas.microsoft.com/office/drawing/2014/chart" uri="{C3380CC4-5D6E-409C-BE32-E72D297353CC}">
              <c16:uniqueId val="{00000000-C60E-46EA-BBD6-DA6B55CD841C}"/>
            </c:ext>
          </c:extLst>
        </c:ser>
        <c:dLbls>
          <c:showLegendKey val="0"/>
          <c:showVal val="0"/>
          <c:showCatName val="0"/>
          <c:showSerName val="0"/>
          <c:showPercent val="0"/>
          <c:showBubbleSize val="0"/>
        </c:dLbls>
        <c:gapWidth val="150"/>
        <c:axId val="363352064"/>
        <c:axId val="368066560"/>
      </c:barChart>
      <c:lineChart>
        <c:grouping val="standard"/>
        <c:varyColors val="0"/>
        <c:ser>
          <c:idx val="0"/>
          <c:order val="1"/>
          <c:tx>
            <c:strRef>
              <c:f>Sheet1!$A$3</c:f>
              <c:strCache>
                <c:ptCount val="1"/>
              </c:strCache>
            </c:strRef>
          </c:tx>
          <c:spPr>
            <a:ln w="22483">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numCache>
            </c:numRef>
          </c:val>
          <c:smooth val="0"/>
          <c:extLst xmlns:c16r2="http://schemas.microsoft.com/office/drawing/2015/06/chart">
            <c:ext xmlns:c16="http://schemas.microsoft.com/office/drawing/2014/chart" uri="{C3380CC4-5D6E-409C-BE32-E72D297353CC}">
              <c16:uniqueId val="{00000001-C60E-46EA-BBD6-DA6B55CD841C}"/>
            </c:ext>
          </c:extLst>
        </c:ser>
        <c:dLbls>
          <c:showLegendKey val="0"/>
          <c:showVal val="0"/>
          <c:showCatName val="0"/>
          <c:showSerName val="0"/>
          <c:showPercent val="0"/>
          <c:showBubbleSize val="0"/>
        </c:dLbls>
        <c:marker val="1"/>
        <c:smooth val="0"/>
        <c:axId val="368101248"/>
        <c:axId val="377438976"/>
      </c:lineChart>
      <c:catAx>
        <c:axId val="363352064"/>
        <c:scaling>
          <c:orientation val="minMax"/>
        </c:scaling>
        <c:delete val="0"/>
        <c:axPos val="b"/>
        <c:title>
          <c:tx>
            <c:rich>
              <a:bodyPr/>
              <a:lstStyle/>
              <a:p>
                <a:pPr>
                  <a:defRPr/>
                </a:pPr>
                <a:r>
                  <a:rPr lang="en-US"/>
                  <a:t>staţii monitorizare</a:t>
                </a:r>
              </a:p>
            </c:rich>
          </c:tx>
          <c:layout>
            <c:manualLayout>
              <c:xMode val="edge"/>
              <c:yMode val="edge"/>
              <c:x val="0.43979058173283897"/>
              <c:y val="0.83937804894807"/>
            </c:manualLayout>
          </c:layout>
          <c:overlay val="0"/>
          <c:spPr>
            <a:noFill/>
            <a:ln w="22445">
              <a:noFill/>
            </a:ln>
          </c:spPr>
        </c:title>
        <c:numFmt formatCode="General" sourceLinked="1"/>
        <c:majorTickMark val="cross"/>
        <c:minorTickMark val="none"/>
        <c:tickLblPos val="nextTo"/>
        <c:spPr>
          <a:ln w="2810">
            <a:solidFill>
              <a:srgbClr val="000000"/>
            </a:solidFill>
            <a:prstDash val="solid"/>
          </a:ln>
        </c:spPr>
        <c:txPr>
          <a:bodyPr rot="0" vert="horz"/>
          <a:lstStyle/>
          <a:p>
            <a:pPr>
              <a:defRPr/>
            </a:pPr>
            <a:endParaRPr lang="en-US"/>
          </a:p>
        </c:txPr>
        <c:crossAx val="368066560"/>
        <c:crosses val="autoZero"/>
        <c:auto val="0"/>
        <c:lblAlgn val="ctr"/>
        <c:lblOffset val="100"/>
        <c:tickLblSkip val="1"/>
        <c:tickMarkSkip val="1"/>
        <c:noMultiLvlLbl val="0"/>
      </c:catAx>
      <c:valAx>
        <c:axId val="368066560"/>
        <c:scaling>
          <c:orientation val="minMax"/>
          <c:max val="60"/>
        </c:scaling>
        <c:delete val="0"/>
        <c:axPos val="l"/>
        <c:title>
          <c:tx>
            <c:rich>
              <a:bodyPr/>
              <a:lstStyle/>
              <a:p>
                <a:pPr>
                  <a:defRPr/>
                </a:pPr>
                <a:r>
                  <a:rPr lang="en-US"/>
                  <a:t>concentraţie µg/m3</a:t>
                </a:r>
              </a:p>
            </c:rich>
          </c:tx>
          <c:layout>
            <c:manualLayout>
              <c:xMode val="edge"/>
              <c:yMode val="edge"/>
              <c:x val="1.9197415137922575E-2"/>
              <c:y val="0.32901567932280718"/>
            </c:manualLayout>
          </c:layout>
          <c:overlay val="0"/>
          <c:spPr>
            <a:noFill/>
            <a:ln w="22445">
              <a:noFill/>
            </a:ln>
          </c:spPr>
        </c:title>
        <c:numFmt formatCode="General" sourceLinked="1"/>
        <c:majorTickMark val="cross"/>
        <c:minorTickMark val="none"/>
        <c:tickLblPos val="nextTo"/>
        <c:spPr>
          <a:ln w="2810">
            <a:solidFill>
              <a:srgbClr val="000000"/>
            </a:solidFill>
            <a:prstDash val="solid"/>
          </a:ln>
        </c:spPr>
        <c:txPr>
          <a:bodyPr rot="0" vert="horz"/>
          <a:lstStyle/>
          <a:p>
            <a:pPr>
              <a:defRPr/>
            </a:pPr>
            <a:endParaRPr lang="en-US"/>
          </a:p>
        </c:txPr>
        <c:crossAx val="363352064"/>
        <c:crosses val="autoZero"/>
        <c:crossBetween val="between"/>
      </c:valAx>
      <c:catAx>
        <c:axId val="368101248"/>
        <c:scaling>
          <c:orientation val="minMax"/>
        </c:scaling>
        <c:delete val="1"/>
        <c:axPos val="b"/>
        <c:numFmt formatCode="General" sourceLinked="1"/>
        <c:majorTickMark val="out"/>
        <c:minorTickMark val="none"/>
        <c:tickLblPos val="nextTo"/>
        <c:crossAx val="377438976"/>
        <c:crosses val="autoZero"/>
        <c:auto val="0"/>
        <c:lblAlgn val="ctr"/>
        <c:lblOffset val="100"/>
        <c:noMultiLvlLbl val="0"/>
      </c:catAx>
      <c:valAx>
        <c:axId val="377438976"/>
        <c:scaling>
          <c:orientation val="minMax"/>
        </c:scaling>
        <c:delete val="1"/>
        <c:axPos val="l"/>
        <c:numFmt formatCode="General" sourceLinked="1"/>
        <c:majorTickMark val="out"/>
        <c:minorTickMark val="none"/>
        <c:tickLblPos val="nextTo"/>
        <c:crossAx val="368101248"/>
        <c:crosses val="autoZero"/>
        <c:crossBetween val="between"/>
      </c:valAx>
      <c:spPr>
        <a:solidFill>
          <a:srgbClr val="C0C0C0"/>
        </a:solidFill>
        <a:ln w="11242">
          <a:solidFill>
            <a:srgbClr val="808080"/>
          </a:solidFill>
          <a:prstDash val="solid"/>
        </a:ln>
      </c:spPr>
    </c:plotArea>
    <c:legend>
      <c:legendPos val="b"/>
      <c:layout>
        <c:manualLayout>
          <c:xMode val="edge"/>
          <c:yMode val="edge"/>
          <c:x val="0.28272262263513359"/>
          <c:y val="0.93005180635143114"/>
          <c:w val="0.52181495831539582"/>
          <c:h val="6.2176141594866063E-2"/>
        </c:manualLayout>
      </c:layout>
      <c:overlay val="0"/>
      <c:spPr>
        <a:solidFill>
          <a:srgbClr val="FFFFFF"/>
        </a:solidFill>
        <a:ln w="2810">
          <a:solidFill>
            <a:srgbClr val="000000"/>
          </a:solidFill>
          <a:prstDash val="solid"/>
        </a:ln>
      </c:spPr>
    </c:legend>
    <c:plotVisOnly val="1"/>
    <c:dispBlanksAs val="gap"/>
    <c:showDLblsOverMax val="0"/>
  </c:chart>
  <c:spPr>
    <a:noFill/>
    <a:ln>
      <a:noFill/>
    </a:ln>
  </c:spPr>
  <c:txPr>
    <a:bodyPr/>
    <a:lstStyle/>
    <a:p>
      <a:pPr>
        <a:defRPr sz="884"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Contributia sectoarelor de activitate din energie la emisiile totale de poluanti cu efect de acidifiere</a:t>
            </a:r>
          </a:p>
        </c:rich>
      </c:tx>
      <c:layout>
        <c:manualLayout>
          <c:xMode val="edge"/>
          <c:yMode val="edge"/>
          <c:x val="0.11329310841965698"/>
          <c:y val="2.0547865899255585E-2"/>
        </c:manualLayout>
      </c:layout>
      <c:overlay val="0"/>
      <c:spPr>
        <a:noFill/>
        <a:ln w="20541">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7651943239715356"/>
          <c:w val="0.88368580060422963"/>
          <c:h val="0.589610509916207"/>
        </c:manualLayout>
      </c:layout>
      <c:bar3DChart>
        <c:barDir val="col"/>
        <c:grouping val="clustered"/>
        <c:varyColors val="0"/>
        <c:ser>
          <c:idx val="0"/>
          <c:order val="0"/>
          <c:tx>
            <c:strRef>
              <c:f>Sheet1!$A$2</c:f>
              <c:strCache>
                <c:ptCount val="1"/>
                <c:pt idx="0">
                  <c:v>Sox</c:v>
                </c:pt>
              </c:strCache>
            </c:strRef>
          </c:tx>
          <c:spPr>
            <a:solidFill>
              <a:srgbClr val="9999FF"/>
            </a:solidFill>
            <a:ln w="10271">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 (sticla, ceramice)</c:v>
                </c:pt>
              </c:strCache>
            </c:strRef>
          </c:cat>
          <c:val>
            <c:numRef>
              <c:f>Sheet1!$B$2:$H$2</c:f>
              <c:numCache>
                <c:formatCode>General</c:formatCode>
                <c:ptCount val="7"/>
                <c:pt idx="0">
                  <c:v>20.708787417685286</c:v>
                </c:pt>
                <c:pt idx="1">
                  <c:v>0</c:v>
                </c:pt>
                <c:pt idx="2">
                  <c:v>0</c:v>
                </c:pt>
                <c:pt idx="3">
                  <c:v>0</c:v>
                </c:pt>
                <c:pt idx="4">
                  <c:v>12.017142391224231</c:v>
                </c:pt>
                <c:pt idx="5">
                  <c:v>0</c:v>
                </c:pt>
                <c:pt idx="6">
                  <c:v>0</c:v>
                </c:pt>
              </c:numCache>
            </c:numRef>
          </c:val>
          <c:extLst xmlns:c16r2="http://schemas.microsoft.com/office/drawing/2015/06/chart">
            <c:ext xmlns:c16="http://schemas.microsoft.com/office/drawing/2014/chart" uri="{C3380CC4-5D6E-409C-BE32-E72D297353CC}">
              <c16:uniqueId val="{00000000-49AF-4F4C-AA5F-613321F6D787}"/>
            </c:ext>
          </c:extLst>
        </c:ser>
        <c:ser>
          <c:idx val="1"/>
          <c:order val="1"/>
          <c:tx>
            <c:strRef>
              <c:f>Sheet1!$A$3</c:f>
              <c:strCache>
                <c:ptCount val="1"/>
                <c:pt idx="0">
                  <c:v>Nox</c:v>
                </c:pt>
              </c:strCache>
            </c:strRef>
          </c:tx>
          <c:spPr>
            <a:solidFill>
              <a:srgbClr val="993366"/>
            </a:solidFill>
            <a:ln w="10271">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 (sticla, ceramice)</c:v>
                </c:pt>
              </c:strCache>
            </c:strRef>
          </c:cat>
          <c:val>
            <c:numRef>
              <c:f>Sheet1!$B$3:$H$3</c:f>
              <c:numCache>
                <c:formatCode>General</c:formatCode>
                <c:ptCount val="7"/>
                <c:pt idx="0">
                  <c:v>5.4784754141630216</c:v>
                </c:pt>
                <c:pt idx="1">
                  <c:v>2.8849450136450724E-3</c:v>
                </c:pt>
                <c:pt idx="2">
                  <c:v>1.4312795873250585E-4</c:v>
                </c:pt>
                <c:pt idx="3">
                  <c:v>1.3777547613015046E-3</c:v>
                </c:pt>
                <c:pt idx="4">
                  <c:v>5.7658078544317179</c:v>
                </c:pt>
                <c:pt idx="5">
                  <c:v>1.8879066698361253</c:v>
                </c:pt>
                <c:pt idx="6">
                  <c:v>0</c:v>
                </c:pt>
              </c:numCache>
            </c:numRef>
          </c:val>
          <c:extLst xmlns:c16r2="http://schemas.microsoft.com/office/drawing/2015/06/chart">
            <c:ext xmlns:c16="http://schemas.microsoft.com/office/drawing/2014/chart" uri="{C3380CC4-5D6E-409C-BE32-E72D297353CC}">
              <c16:uniqueId val="{00000001-49AF-4F4C-AA5F-613321F6D787}"/>
            </c:ext>
          </c:extLst>
        </c:ser>
        <c:ser>
          <c:idx val="2"/>
          <c:order val="2"/>
          <c:tx>
            <c:strRef>
              <c:f>Sheet1!$A$4</c:f>
              <c:strCache>
                <c:ptCount val="1"/>
                <c:pt idx="0">
                  <c:v>NH3</c:v>
                </c:pt>
              </c:strCache>
            </c:strRef>
          </c:tx>
          <c:spPr>
            <a:solidFill>
              <a:srgbClr val="FFFFCC"/>
            </a:solidFill>
            <a:ln w="10271">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 (sticla, ceramice)</c:v>
                </c:pt>
              </c:strCache>
            </c:strRef>
          </c:cat>
          <c:val>
            <c:numRef>
              <c:f>Sheet1!$B$4:$H$4</c:f>
              <c:numCache>
                <c:formatCode>General</c:formatCode>
                <c:ptCount val="7"/>
                <c:pt idx="0">
                  <c:v>4.1453832877718408</c:v>
                </c:pt>
                <c:pt idx="1">
                  <c:v>0</c:v>
                </c:pt>
                <c:pt idx="2">
                  <c:v>0</c:v>
                </c:pt>
                <c:pt idx="3">
                  <c:v>1.4269197918366323E-3</c:v>
                </c:pt>
                <c:pt idx="4">
                  <c:v>2.9804699546004388E-2</c:v>
                </c:pt>
                <c:pt idx="5">
                  <c:v>13.157413154661626</c:v>
                </c:pt>
                <c:pt idx="6">
                  <c:v>0</c:v>
                </c:pt>
              </c:numCache>
            </c:numRef>
          </c:val>
          <c:extLst xmlns:c16r2="http://schemas.microsoft.com/office/drawing/2015/06/chart">
            <c:ext xmlns:c16="http://schemas.microsoft.com/office/drawing/2014/chart" uri="{C3380CC4-5D6E-409C-BE32-E72D297353CC}">
              <c16:uniqueId val="{00000002-49AF-4F4C-AA5F-613321F6D787}"/>
            </c:ext>
          </c:extLst>
        </c:ser>
        <c:dLbls>
          <c:showLegendKey val="0"/>
          <c:showVal val="0"/>
          <c:showCatName val="0"/>
          <c:showSerName val="0"/>
          <c:showPercent val="0"/>
          <c:showBubbleSize val="0"/>
        </c:dLbls>
        <c:gapWidth val="150"/>
        <c:gapDepth val="0"/>
        <c:shape val="box"/>
        <c:axId val="351988736"/>
        <c:axId val="352588544"/>
        <c:axId val="0"/>
      </c:bar3DChart>
      <c:catAx>
        <c:axId val="351988736"/>
        <c:scaling>
          <c:orientation val="minMax"/>
        </c:scaling>
        <c:delete val="0"/>
        <c:axPos val="b"/>
        <c:numFmt formatCode="General" sourceLinked="1"/>
        <c:majorTickMark val="out"/>
        <c:minorTickMark val="none"/>
        <c:tickLblPos val="low"/>
        <c:spPr>
          <a:ln w="2568">
            <a:solidFill>
              <a:srgbClr val="000000"/>
            </a:solidFill>
            <a:prstDash val="solid"/>
          </a:ln>
        </c:spPr>
        <c:txPr>
          <a:bodyPr rot="-1080000" vert="horz"/>
          <a:lstStyle/>
          <a:p>
            <a:pPr>
              <a:defRPr sz="800"/>
            </a:pPr>
            <a:endParaRPr lang="en-US"/>
          </a:p>
        </c:txPr>
        <c:crossAx val="352588544"/>
        <c:crosses val="autoZero"/>
        <c:auto val="1"/>
        <c:lblAlgn val="ctr"/>
        <c:lblOffset val="100"/>
        <c:tickMarkSkip val="1"/>
        <c:noMultiLvlLbl val="0"/>
      </c:catAx>
      <c:valAx>
        <c:axId val="352588544"/>
        <c:scaling>
          <c:orientation val="minMax"/>
          <c:max val="100"/>
        </c:scaling>
        <c:delete val="0"/>
        <c:axPos val="l"/>
        <c:majorGridlines>
          <c:spPr>
            <a:ln w="2568">
              <a:solidFill>
                <a:srgbClr val="000000"/>
              </a:solidFill>
              <a:prstDash val="solid"/>
            </a:ln>
          </c:spPr>
        </c:majorGridlines>
        <c:title>
          <c:tx>
            <c:rich>
              <a:bodyPr rot="0" vert="horz"/>
              <a:lstStyle/>
              <a:p>
                <a:pPr algn="ctr">
                  <a:defRPr/>
                </a:pPr>
                <a:r>
                  <a:rPr lang="en-US"/>
                  <a:t>%</a:t>
                </a:r>
              </a:p>
            </c:rich>
          </c:tx>
          <c:layout>
            <c:manualLayout>
              <c:xMode val="edge"/>
              <c:yMode val="edge"/>
              <c:x val="4.5317085976975598E-2"/>
              <c:y val="0.4543379149640337"/>
            </c:manualLayout>
          </c:layout>
          <c:overlay val="0"/>
          <c:spPr>
            <a:noFill/>
            <a:ln w="20541">
              <a:noFill/>
            </a:ln>
          </c:spPr>
        </c:title>
        <c:numFmt formatCode="General" sourceLinked="1"/>
        <c:majorTickMark val="out"/>
        <c:minorTickMark val="none"/>
        <c:tickLblPos val="nextTo"/>
        <c:spPr>
          <a:ln w="2568">
            <a:solidFill>
              <a:srgbClr val="000000"/>
            </a:solidFill>
            <a:prstDash val="solid"/>
          </a:ln>
        </c:spPr>
        <c:txPr>
          <a:bodyPr rot="0" vert="horz"/>
          <a:lstStyle/>
          <a:p>
            <a:pPr>
              <a:defRPr sz="1200"/>
            </a:pPr>
            <a:endParaRPr lang="en-US"/>
          </a:p>
        </c:txPr>
        <c:crossAx val="351988736"/>
        <c:crosses val="autoZero"/>
        <c:crossBetween val="between"/>
      </c:valAx>
      <c:spPr>
        <a:noFill/>
        <a:ln w="20541">
          <a:noFill/>
        </a:ln>
      </c:spPr>
    </c:plotArea>
    <c:legend>
      <c:legendPos val="b"/>
      <c:layout>
        <c:manualLayout>
          <c:xMode val="edge"/>
          <c:yMode val="edge"/>
          <c:x val="0.35498491565737134"/>
          <c:y val="0.92465734258986776"/>
          <c:w val="0.29003032607614443"/>
          <c:h val="6.849312755394954E-2"/>
        </c:manualLayout>
      </c:layout>
      <c:overlay val="0"/>
      <c:spPr>
        <a:noFill/>
        <a:ln w="2568">
          <a:solidFill>
            <a:srgbClr val="000000"/>
          </a:solidFill>
          <a:prstDash val="solid"/>
        </a:ln>
      </c:spPr>
    </c:legend>
    <c:plotVisOnly val="1"/>
    <c:dispBlanksAs val="gap"/>
    <c:showDLblsOverMax val="0"/>
  </c:chart>
  <c:spPr>
    <a:noFill/>
    <a:ln>
      <a:noFill/>
    </a:ln>
  </c:spPr>
  <c:txPr>
    <a:bodyPr/>
    <a:lstStyle/>
    <a:p>
      <a:pPr>
        <a:defRPr sz="1537"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Contributia sectoarelor de activitate din energie la emisiile totale de poluanti precursori ai ozonului</a:t>
            </a:r>
          </a:p>
        </c:rich>
      </c:tx>
      <c:layout>
        <c:manualLayout>
          <c:xMode val="edge"/>
          <c:yMode val="edge"/>
          <c:x val="0.1050879460962902"/>
          <c:y val="5.4495688038995134E-2"/>
        </c:manualLayout>
      </c:layout>
      <c:overlay val="0"/>
      <c:spPr>
        <a:noFill/>
        <a:ln w="24950">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721461187214786"/>
          <c:w val="0.88368580060422963"/>
          <c:h val="0.62100456621004563"/>
        </c:manualLayout>
      </c:layout>
      <c:bar3DChart>
        <c:barDir val="col"/>
        <c:grouping val="clustered"/>
        <c:varyColors val="0"/>
        <c:ser>
          <c:idx val="0"/>
          <c:order val="0"/>
          <c:tx>
            <c:strRef>
              <c:f>Sheet1!$A$2</c:f>
              <c:strCache>
                <c:ptCount val="1"/>
                <c:pt idx="0">
                  <c:v>NMVOC</c:v>
                </c:pt>
              </c:strCache>
            </c:strRef>
          </c:tx>
          <c:spPr>
            <a:solidFill>
              <a:srgbClr val="9999FF"/>
            </a:solidFill>
            <a:ln w="12475">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Sheet1!$B$2:$H$2</c:f>
              <c:numCache>
                <c:formatCode>General</c:formatCode>
                <c:ptCount val="7"/>
                <c:pt idx="0">
                  <c:v>0.54341117903309477</c:v>
                </c:pt>
                <c:pt idx="1">
                  <c:v>3.1424252630524311E-5</c:v>
                </c:pt>
                <c:pt idx="2">
                  <c:v>9.825810196078093E-5</c:v>
                </c:pt>
                <c:pt idx="3">
                  <c:v>1.0032278038175085E-2</c:v>
                </c:pt>
                <c:pt idx="4">
                  <c:v>7.7456789511725327E-2</c:v>
                </c:pt>
                <c:pt idx="5">
                  <c:v>3.4876360747069288</c:v>
                </c:pt>
                <c:pt idx="6">
                  <c:v>0.14897295402973484</c:v>
                </c:pt>
              </c:numCache>
            </c:numRef>
          </c:val>
          <c:extLst xmlns:c16r2="http://schemas.microsoft.com/office/drawing/2015/06/chart">
            <c:ext xmlns:c16="http://schemas.microsoft.com/office/drawing/2014/chart" uri="{C3380CC4-5D6E-409C-BE32-E72D297353CC}">
              <c16:uniqueId val="{00000000-A623-4ACC-AAD4-00AF37B28D50}"/>
            </c:ext>
          </c:extLst>
        </c:ser>
        <c:ser>
          <c:idx val="1"/>
          <c:order val="1"/>
          <c:tx>
            <c:strRef>
              <c:f>Sheet1!$A$3</c:f>
              <c:strCache>
                <c:ptCount val="1"/>
                <c:pt idx="0">
                  <c:v>Nox</c:v>
                </c:pt>
              </c:strCache>
            </c:strRef>
          </c:tx>
          <c:spPr>
            <a:solidFill>
              <a:srgbClr val="993366"/>
            </a:solidFill>
            <a:ln w="12475">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Sheet1!$B$3:$H$3</c:f>
              <c:numCache>
                <c:formatCode>General</c:formatCode>
                <c:ptCount val="7"/>
                <c:pt idx="0">
                  <c:v>5.4784754141630216</c:v>
                </c:pt>
                <c:pt idx="1">
                  <c:v>2.8849450136450724E-3</c:v>
                </c:pt>
                <c:pt idx="2">
                  <c:v>1.4312795873250585E-4</c:v>
                </c:pt>
                <c:pt idx="3">
                  <c:v>1.3777547613015046E-3</c:v>
                </c:pt>
                <c:pt idx="4">
                  <c:v>5.7658078544317179</c:v>
                </c:pt>
                <c:pt idx="5">
                  <c:v>1.8879066698361253</c:v>
                </c:pt>
                <c:pt idx="6">
                  <c:v>0</c:v>
                </c:pt>
              </c:numCache>
            </c:numRef>
          </c:val>
          <c:extLst xmlns:c16r2="http://schemas.microsoft.com/office/drawing/2015/06/chart">
            <c:ext xmlns:c16="http://schemas.microsoft.com/office/drawing/2014/chart" uri="{C3380CC4-5D6E-409C-BE32-E72D297353CC}">
              <c16:uniqueId val="{00000001-A623-4ACC-AAD4-00AF37B28D50}"/>
            </c:ext>
          </c:extLst>
        </c:ser>
        <c:ser>
          <c:idx val="2"/>
          <c:order val="2"/>
          <c:tx>
            <c:strRef>
              <c:f>Sheet1!$A$4</c:f>
              <c:strCache>
                <c:ptCount val="1"/>
                <c:pt idx="0">
                  <c:v>CO</c:v>
                </c:pt>
              </c:strCache>
            </c:strRef>
          </c:tx>
          <c:spPr>
            <a:solidFill>
              <a:srgbClr val="FFFFCC"/>
            </a:solidFill>
            <a:ln w="12475">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Sheet1!$B$4:$H$4</c:f>
              <c:numCache>
                <c:formatCode>General</c:formatCode>
                <c:ptCount val="7"/>
                <c:pt idx="0">
                  <c:v>2.8635798240829784</c:v>
                </c:pt>
                <c:pt idx="1">
                  <c:v>7.8904112484088913E-4</c:v>
                </c:pt>
                <c:pt idx="2" formatCode="0.00E+00">
                  <c:v>4.6662120759752534E-5</c:v>
                </c:pt>
                <c:pt idx="3">
                  <c:v>7.1792504079370685E-3</c:v>
                </c:pt>
                <c:pt idx="4">
                  <c:v>1.611497878673595</c:v>
                </c:pt>
                <c:pt idx="5">
                  <c:v>9.1002382760925968</c:v>
                </c:pt>
                <c:pt idx="6">
                  <c:v>7.0746267556105982E-2</c:v>
                </c:pt>
              </c:numCache>
            </c:numRef>
          </c:val>
          <c:extLst xmlns:c16r2="http://schemas.microsoft.com/office/drawing/2015/06/chart">
            <c:ext xmlns:c16="http://schemas.microsoft.com/office/drawing/2014/chart" uri="{C3380CC4-5D6E-409C-BE32-E72D297353CC}">
              <c16:uniqueId val="{00000002-A623-4ACC-AAD4-00AF37B28D50}"/>
            </c:ext>
          </c:extLst>
        </c:ser>
        <c:dLbls>
          <c:showLegendKey val="0"/>
          <c:showVal val="0"/>
          <c:showCatName val="0"/>
          <c:showSerName val="0"/>
          <c:showPercent val="0"/>
          <c:showBubbleSize val="0"/>
        </c:dLbls>
        <c:gapWidth val="150"/>
        <c:gapDepth val="0"/>
        <c:shape val="box"/>
        <c:axId val="352612736"/>
        <c:axId val="352614272"/>
        <c:axId val="0"/>
      </c:bar3DChart>
      <c:catAx>
        <c:axId val="352612736"/>
        <c:scaling>
          <c:orientation val="minMax"/>
        </c:scaling>
        <c:delete val="0"/>
        <c:axPos val="b"/>
        <c:numFmt formatCode="General" sourceLinked="1"/>
        <c:majorTickMark val="out"/>
        <c:minorTickMark val="none"/>
        <c:tickLblPos val="low"/>
        <c:spPr>
          <a:ln w="3119">
            <a:solidFill>
              <a:srgbClr val="000000"/>
            </a:solidFill>
            <a:prstDash val="solid"/>
          </a:ln>
        </c:spPr>
        <c:txPr>
          <a:bodyPr rot="-1020000" vert="horz"/>
          <a:lstStyle/>
          <a:p>
            <a:pPr>
              <a:defRPr sz="1000"/>
            </a:pPr>
            <a:endParaRPr lang="en-US"/>
          </a:p>
        </c:txPr>
        <c:crossAx val="352614272"/>
        <c:crosses val="autoZero"/>
        <c:auto val="1"/>
        <c:lblAlgn val="ctr"/>
        <c:lblOffset val="100"/>
        <c:tickMarkSkip val="1"/>
        <c:noMultiLvlLbl val="0"/>
      </c:catAx>
      <c:valAx>
        <c:axId val="352614272"/>
        <c:scaling>
          <c:orientation val="minMax"/>
          <c:max val="100"/>
        </c:scaling>
        <c:delete val="0"/>
        <c:axPos val="l"/>
        <c:majorGridlines>
          <c:spPr>
            <a:ln w="3119">
              <a:solidFill>
                <a:srgbClr val="000000"/>
              </a:solidFill>
              <a:prstDash val="solid"/>
            </a:ln>
          </c:spPr>
        </c:majorGridlines>
        <c:title>
          <c:tx>
            <c:rich>
              <a:bodyPr rot="0" vert="horz"/>
              <a:lstStyle/>
              <a:p>
                <a:pPr algn="ctr">
                  <a:defRPr sz="1200"/>
                </a:pPr>
                <a:r>
                  <a:rPr lang="en-US" sz="1200"/>
                  <a:t>%</a:t>
                </a:r>
              </a:p>
            </c:rich>
          </c:tx>
          <c:layout>
            <c:manualLayout>
              <c:xMode val="edge"/>
              <c:yMode val="edge"/>
              <c:x val="4.5317247431983086E-2"/>
              <c:y val="0.45433787131748715"/>
            </c:manualLayout>
          </c:layout>
          <c:overlay val="0"/>
          <c:spPr>
            <a:noFill/>
            <a:ln w="24950">
              <a:noFill/>
            </a:ln>
          </c:spPr>
        </c:title>
        <c:numFmt formatCode="General" sourceLinked="1"/>
        <c:majorTickMark val="out"/>
        <c:minorTickMark val="none"/>
        <c:tickLblPos val="nextTo"/>
        <c:spPr>
          <a:ln w="3119">
            <a:solidFill>
              <a:srgbClr val="000000"/>
            </a:solidFill>
            <a:prstDash val="solid"/>
          </a:ln>
        </c:spPr>
        <c:txPr>
          <a:bodyPr rot="0" vert="horz"/>
          <a:lstStyle/>
          <a:p>
            <a:pPr>
              <a:defRPr sz="1200"/>
            </a:pPr>
            <a:endParaRPr lang="en-US"/>
          </a:p>
        </c:txPr>
        <c:crossAx val="352612736"/>
        <c:crosses val="autoZero"/>
        <c:crossBetween val="between"/>
      </c:valAx>
      <c:spPr>
        <a:noFill/>
        <a:ln w="24950">
          <a:noFill/>
        </a:ln>
      </c:spPr>
    </c:plotArea>
    <c:legend>
      <c:legendPos val="b"/>
      <c:overlay val="0"/>
      <c:spPr>
        <a:noFill/>
        <a:ln w="3119">
          <a:solidFill>
            <a:srgbClr val="000000"/>
          </a:solidFill>
          <a:prstDash val="solid"/>
        </a:ln>
      </c:spPr>
      <c:txPr>
        <a:bodyPr/>
        <a:lstStyle/>
        <a:p>
          <a:pPr>
            <a:defRPr sz="1200"/>
          </a:pPr>
          <a:endParaRPr lang="en-US"/>
        </a:p>
      </c:txPr>
    </c:legend>
    <c:plotVisOnly val="1"/>
    <c:dispBlanksAs val="gap"/>
    <c:showDLblsOverMax val="0"/>
  </c:chart>
  <c:spPr>
    <a:noFill/>
    <a:ln>
      <a:noFill/>
    </a:ln>
  </c:spPr>
  <c:txPr>
    <a:bodyPr/>
    <a:lstStyle/>
    <a:p>
      <a:pPr>
        <a:defRPr sz="1866"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Contribuţia sectoarelor de activitate din energie, la emisiile totale de particule primare în suspensie PM2,5 şi PM10, in anul 202</a:t>
            </a:r>
            <a:r>
              <a:rPr lang="ro-RO" sz="1200"/>
              <a:t>3</a:t>
            </a:r>
            <a:r>
              <a:rPr lang="en-US" sz="1200"/>
              <a:t> </a:t>
            </a:r>
          </a:p>
        </c:rich>
      </c:tx>
      <c:layout>
        <c:manualLayout>
          <c:xMode val="edge"/>
          <c:yMode val="edge"/>
          <c:x val="0.12213411046039174"/>
          <c:y val="1.9021126457553463E-2"/>
        </c:manualLayout>
      </c:layout>
      <c:overlay val="0"/>
      <c:spPr>
        <a:noFill/>
        <a:ln w="17783">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2.6461641065358633E-2"/>
          <c:w val="0.88368580060422963"/>
          <c:h val="0.62126479067165785"/>
        </c:manualLayout>
      </c:layout>
      <c:bar3DChart>
        <c:barDir val="col"/>
        <c:grouping val="clustered"/>
        <c:varyColors val="0"/>
        <c:ser>
          <c:idx val="0"/>
          <c:order val="0"/>
          <c:tx>
            <c:strRef>
              <c:f>Sheet1!$A$2</c:f>
              <c:strCache>
                <c:ptCount val="1"/>
                <c:pt idx="0">
                  <c:v>PM10</c:v>
                </c:pt>
              </c:strCache>
            </c:strRef>
          </c:tx>
          <c:spPr>
            <a:solidFill>
              <a:srgbClr val="9999FF"/>
            </a:solidFill>
            <a:ln w="8891">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Sheet1!$B$2:$H$2</c:f>
              <c:numCache>
                <c:formatCode>General</c:formatCode>
                <c:ptCount val="7"/>
                <c:pt idx="0">
                  <c:v>0.96518758918507819</c:v>
                </c:pt>
                <c:pt idx="1">
                  <c:v>2.1536796588609547E-4</c:v>
                </c:pt>
                <c:pt idx="2" formatCode="0.00E+00">
                  <c:v>1.8270114663620751E-5</c:v>
                </c:pt>
                <c:pt idx="3">
                  <c:v>2.6219262900800126E-2</c:v>
                </c:pt>
                <c:pt idx="4">
                  <c:v>0.45523452803766457</c:v>
                </c:pt>
                <c:pt idx="5">
                  <c:v>22.811173098647476</c:v>
                </c:pt>
                <c:pt idx="6">
                  <c:v>2.7700035901242304E-2</c:v>
                </c:pt>
              </c:numCache>
            </c:numRef>
          </c:val>
          <c:extLst xmlns:c16r2="http://schemas.microsoft.com/office/drawing/2015/06/chart">
            <c:ext xmlns:c16="http://schemas.microsoft.com/office/drawing/2014/chart" uri="{C3380CC4-5D6E-409C-BE32-E72D297353CC}">
              <c16:uniqueId val="{00000000-8D66-4873-A792-1C3A98400465}"/>
            </c:ext>
          </c:extLst>
        </c:ser>
        <c:ser>
          <c:idx val="1"/>
          <c:order val="1"/>
          <c:tx>
            <c:strRef>
              <c:f>Sheet1!$A$3</c:f>
              <c:strCache>
                <c:ptCount val="1"/>
                <c:pt idx="0">
                  <c:v>PM2,5</c:v>
                </c:pt>
              </c:strCache>
            </c:strRef>
          </c:tx>
          <c:spPr>
            <a:solidFill>
              <a:srgbClr val="993366"/>
            </a:solidFill>
            <a:ln w="8891">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Sheet1!$B$3:$H$3</c:f>
              <c:numCache>
                <c:formatCode>General</c:formatCode>
                <c:ptCount val="7"/>
                <c:pt idx="0">
                  <c:v>1.2349690255907204</c:v>
                </c:pt>
                <c:pt idx="1">
                  <c:v>2.7557390019132847E-4</c:v>
                </c:pt>
                <c:pt idx="2" formatCode="0.00E+00">
                  <c:v>2.3377509900704342E-5</c:v>
                </c:pt>
                <c:pt idx="3">
                  <c:v>3.2845014131856122E-2</c:v>
                </c:pt>
                <c:pt idx="4">
                  <c:v>0.58169240187001159</c:v>
                </c:pt>
                <c:pt idx="5">
                  <c:v>28.374681930149908</c:v>
                </c:pt>
                <c:pt idx="6">
                  <c:v>3.5443557714531899E-2</c:v>
                </c:pt>
              </c:numCache>
            </c:numRef>
          </c:val>
          <c:extLst xmlns:c16r2="http://schemas.microsoft.com/office/drawing/2015/06/chart">
            <c:ext xmlns:c16="http://schemas.microsoft.com/office/drawing/2014/chart" uri="{C3380CC4-5D6E-409C-BE32-E72D297353CC}">
              <c16:uniqueId val="{00000001-8D66-4873-A792-1C3A98400465}"/>
            </c:ext>
          </c:extLst>
        </c:ser>
        <c:dLbls>
          <c:showLegendKey val="0"/>
          <c:showVal val="0"/>
          <c:showCatName val="0"/>
          <c:showSerName val="0"/>
          <c:showPercent val="0"/>
          <c:showBubbleSize val="0"/>
        </c:dLbls>
        <c:gapWidth val="150"/>
        <c:gapDepth val="0"/>
        <c:shape val="box"/>
        <c:axId val="351707520"/>
        <c:axId val="351709056"/>
        <c:axId val="0"/>
      </c:bar3DChart>
      <c:catAx>
        <c:axId val="351707520"/>
        <c:scaling>
          <c:orientation val="minMax"/>
        </c:scaling>
        <c:delete val="0"/>
        <c:axPos val="b"/>
        <c:numFmt formatCode="General" sourceLinked="1"/>
        <c:majorTickMark val="out"/>
        <c:minorTickMark val="none"/>
        <c:tickLblPos val="low"/>
        <c:spPr>
          <a:ln w="2223">
            <a:solidFill>
              <a:srgbClr val="000000"/>
            </a:solidFill>
            <a:prstDash val="solid"/>
          </a:ln>
        </c:spPr>
        <c:txPr>
          <a:bodyPr rot="-1260000" vert="horz"/>
          <a:lstStyle/>
          <a:p>
            <a:pPr>
              <a:defRPr sz="800"/>
            </a:pPr>
            <a:endParaRPr lang="en-US"/>
          </a:p>
        </c:txPr>
        <c:crossAx val="351709056"/>
        <c:crosses val="autoZero"/>
        <c:auto val="1"/>
        <c:lblAlgn val="ctr"/>
        <c:lblOffset val="100"/>
        <c:tickMarkSkip val="1"/>
        <c:noMultiLvlLbl val="0"/>
      </c:catAx>
      <c:valAx>
        <c:axId val="351709056"/>
        <c:scaling>
          <c:orientation val="minMax"/>
          <c:max val="100"/>
        </c:scaling>
        <c:delete val="0"/>
        <c:axPos val="l"/>
        <c:majorGridlines>
          <c:spPr>
            <a:ln w="2223">
              <a:solidFill>
                <a:srgbClr val="000000"/>
              </a:solidFill>
              <a:prstDash val="solid"/>
            </a:ln>
          </c:spPr>
        </c:majorGridlines>
        <c:title>
          <c:tx>
            <c:rich>
              <a:bodyPr rot="0" vert="horz"/>
              <a:lstStyle/>
              <a:p>
                <a:pPr algn="ctr">
                  <a:defRPr/>
                </a:pPr>
                <a:r>
                  <a:rPr lang="en-US"/>
                  <a:t>%</a:t>
                </a:r>
              </a:p>
            </c:rich>
          </c:tx>
          <c:layout>
            <c:manualLayout>
              <c:xMode val="edge"/>
              <c:yMode val="edge"/>
              <c:x val="0.12209842986708512"/>
              <c:y val="0.30634761843294178"/>
            </c:manualLayout>
          </c:layout>
          <c:overlay val="0"/>
          <c:spPr>
            <a:noFill/>
            <a:ln w="17783">
              <a:noFill/>
            </a:ln>
          </c:spPr>
        </c:title>
        <c:numFmt formatCode="General" sourceLinked="1"/>
        <c:majorTickMark val="out"/>
        <c:minorTickMark val="none"/>
        <c:tickLblPos val="nextTo"/>
        <c:spPr>
          <a:ln w="2223">
            <a:solidFill>
              <a:srgbClr val="000000"/>
            </a:solidFill>
            <a:prstDash val="solid"/>
          </a:ln>
        </c:spPr>
        <c:txPr>
          <a:bodyPr rot="0" vert="horz"/>
          <a:lstStyle/>
          <a:p>
            <a:pPr>
              <a:defRPr/>
            </a:pPr>
            <a:endParaRPr lang="en-US"/>
          </a:p>
        </c:txPr>
        <c:crossAx val="351707520"/>
        <c:crosses val="autoZero"/>
        <c:crossBetween val="between"/>
      </c:valAx>
      <c:spPr>
        <a:noFill/>
        <a:ln w="17783">
          <a:noFill/>
        </a:ln>
      </c:spPr>
    </c:plotArea>
    <c:legend>
      <c:legendPos val="b"/>
      <c:layout>
        <c:manualLayout>
          <c:xMode val="edge"/>
          <c:yMode val="edge"/>
          <c:x val="0.34378008798722226"/>
          <c:y val="0.79624220128221679"/>
          <c:w val="0.25075524766565305"/>
          <c:h val="6.8493095971699169E-2"/>
        </c:manualLayout>
      </c:layout>
      <c:overlay val="0"/>
      <c:spPr>
        <a:noFill/>
        <a:ln w="2223">
          <a:solidFill>
            <a:srgbClr val="000000"/>
          </a:solidFill>
          <a:prstDash val="solid"/>
        </a:ln>
      </c:spPr>
      <c:txPr>
        <a:bodyPr/>
        <a:lstStyle/>
        <a:p>
          <a:pPr>
            <a:defRPr sz="1200"/>
          </a:pPr>
          <a:endParaRPr lang="en-US"/>
        </a:p>
      </c:txPr>
    </c:legend>
    <c:plotVisOnly val="1"/>
    <c:dispBlanksAs val="gap"/>
    <c:showDLblsOverMax val="0"/>
  </c:chart>
  <c:spPr>
    <a:noFill/>
    <a:ln>
      <a:noFill/>
    </a:ln>
  </c:spPr>
  <c:txPr>
    <a:bodyPr/>
    <a:lstStyle/>
    <a:p>
      <a:pPr>
        <a:defRPr sz="133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o-RO" sz="1200"/>
              <a:t>Contribuţia sectoarelor de activitate din energie, la emisiile totale de metale grele, in anul 20</a:t>
            </a:r>
            <a:r>
              <a:rPr lang="en-US" sz="1200"/>
              <a:t>2</a:t>
            </a:r>
            <a:r>
              <a:rPr lang="ro-RO" sz="1200"/>
              <a:t>3</a:t>
            </a:r>
          </a:p>
        </c:rich>
      </c:tx>
      <c:layout>
        <c:manualLayout>
          <c:xMode val="edge"/>
          <c:yMode val="edge"/>
          <c:x val="0.17769497341658821"/>
          <c:y val="7.9042534395426939E-2"/>
        </c:manualLayout>
      </c:layout>
      <c:overlay val="0"/>
      <c:spPr>
        <a:noFill/>
        <a:ln w="16187">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721461187214786"/>
          <c:w val="0.88368580060422963"/>
          <c:h val="0.62100456621004563"/>
        </c:manualLayout>
      </c:layout>
      <c:bar3DChart>
        <c:barDir val="col"/>
        <c:grouping val="clustered"/>
        <c:varyColors val="0"/>
        <c:ser>
          <c:idx val="0"/>
          <c:order val="0"/>
          <c:tx>
            <c:strRef>
              <c:f>Sheet1!$A$2</c:f>
              <c:strCache>
                <c:ptCount val="1"/>
                <c:pt idx="0">
                  <c:v>Pb</c:v>
                </c:pt>
              </c:strCache>
            </c:strRef>
          </c:tx>
          <c:spPr>
            <a:solidFill>
              <a:srgbClr val="9999FF"/>
            </a:solidFill>
            <a:ln w="8094">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Sheet1!$B$2:$H$2</c:f>
              <c:numCache>
                <c:formatCode>General</c:formatCode>
                <c:ptCount val="7"/>
                <c:pt idx="0">
                  <c:v>2.546436546426677E-2</c:v>
                </c:pt>
                <c:pt idx="1">
                  <c:v>0</c:v>
                </c:pt>
                <c:pt idx="2" formatCode="0.00E+00">
                  <c:v>0</c:v>
                </c:pt>
                <c:pt idx="3">
                  <c:v>8.9944775972684832E-4</c:v>
                </c:pt>
                <c:pt idx="4">
                  <c:v>2.3880723783898106E-2</c:v>
                </c:pt>
                <c:pt idx="5">
                  <c:v>1.2322457474034567</c:v>
                </c:pt>
                <c:pt idx="6">
                  <c:v>0</c:v>
                </c:pt>
              </c:numCache>
            </c:numRef>
          </c:val>
          <c:extLst xmlns:c16r2="http://schemas.microsoft.com/office/drawing/2015/06/chart">
            <c:ext xmlns:c16="http://schemas.microsoft.com/office/drawing/2014/chart" uri="{C3380CC4-5D6E-409C-BE32-E72D297353CC}">
              <c16:uniqueId val="{00000000-117F-4147-992A-7D10A1E3E6DB}"/>
            </c:ext>
          </c:extLst>
        </c:ser>
        <c:ser>
          <c:idx val="1"/>
          <c:order val="1"/>
          <c:tx>
            <c:strRef>
              <c:f>Sheet1!$A$3</c:f>
              <c:strCache>
                <c:ptCount val="1"/>
                <c:pt idx="0">
                  <c:v>Cd</c:v>
                </c:pt>
              </c:strCache>
            </c:strRef>
          </c:tx>
          <c:spPr>
            <a:solidFill>
              <a:srgbClr val="993366"/>
            </a:solidFill>
            <a:ln w="8094">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Sheet1!$B$3:$H$3</c:f>
              <c:numCache>
                <c:formatCode>General</c:formatCode>
                <c:ptCount val="7"/>
                <c:pt idx="0">
                  <c:v>2.3460735739036911E-2</c:v>
                </c:pt>
                <c:pt idx="1">
                  <c:v>9.1668155613083489E-6</c:v>
                </c:pt>
                <c:pt idx="2">
                  <c:v>1.6176733343485321E-6</c:v>
                </c:pt>
                <c:pt idx="3">
                  <c:v>0.18400177762919898</c:v>
                </c:pt>
                <c:pt idx="4">
                  <c:v>0.1444688438187271</c:v>
                </c:pt>
                <c:pt idx="5">
                  <c:v>29.311239161033132</c:v>
                </c:pt>
                <c:pt idx="6">
                  <c:v>2.4673007448163709E-3</c:v>
                </c:pt>
              </c:numCache>
            </c:numRef>
          </c:val>
          <c:extLst xmlns:c16r2="http://schemas.microsoft.com/office/drawing/2015/06/chart">
            <c:ext xmlns:c16="http://schemas.microsoft.com/office/drawing/2014/chart" uri="{C3380CC4-5D6E-409C-BE32-E72D297353CC}">
              <c16:uniqueId val="{00000001-117F-4147-992A-7D10A1E3E6DB}"/>
            </c:ext>
          </c:extLst>
        </c:ser>
        <c:ser>
          <c:idx val="2"/>
          <c:order val="2"/>
          <c:tx>
            <c:strRef>
              <c:f>Sheet1!$A$4</c:f>
              <c:strCache>
                <c:ptCount val="1"/>
                <c:pt idx="0">
                  <c:v>Hg</c:v>
                </c:pt>
              </c:strCache>
            </c:strRef>
          </c:tx>
          <c:spPr>
            <a:solidFill>
              <a:srgbClr val="FFFFCC"/>
            </a:solidFill>
            <a:ln w="8094">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altele</c:v>
                </c:pt>
              </c:strCache>
            </c:strRef>
          </c:cat>
          <c:val>
            <c:numRef>
              <c:f>Sheet1!$B$4:$H$4</c:f>
              <c:numCache>
                <c:formatCode>General</c:formatCode>
                <c:ptCount val="7"/>
                <c:pt idx="0">
                  <c:v>4.074188008604362</c:v>
                </c:pt>
                <c:pt idx="1">
                  <c:v>1.6159509079635695E-3</c:v>
                </c:pt>
                <c:pt idx="2">
                  <c:v>4.2704499355197974E-4</c:v>
                </c:pt>
                <c:pt idx="3">
                  <c:v>3.4667474286504164E-3</c:v>
                </c:pt>
                <c:pt idx="4">
                  <c:v>3.2703446110151928</c:v>
                </c:pt>
                <c:pt idx="5">
                  <c:v>2.6980285005097238</c:v>
                </c:pt>
                <c:pt idx="6">
                  <c:v>0.64748518360487739</c:v>
                </c:pt>
              </c:numCache>
            </c:numRef>
          </c:val>
          <c:extLst xmlns:c16r2="http://schemas.microsoft.com/office/drawing/2015/06/chart">
            <c:ext xmlns:c16="http://schemas.microsoft.com/office/drawing/2014/chart" uri="{C3380CC4-5D6E-409C-BE32-E72D297353CC}">
              <c16:uniqueId val="{00000002-117F-4147-992A-7D10A1E3E6DB}"/>
            </c:ext>
          </c:extLst>
        </c:ser>
        <c:dLbls>
          <c:showLegendKey val="0"/>
          <c:showVal val="0"/>
          <c:showCatName val="0"/>
          <c:showSerName val="0"/>
          <c:showPercent val="0"/>
          <c:showBubbleSize val="0"/>
        </c:dLbls>
        <c:gapWidth val="150"/>
        <c:gapDepth val="0"/>
        <c:shape val="box"/>
        <c:axId val="353322496"/>
        <c:axId val="353324032"/>
        <c:axId val="0"/>
      </c:bar3DChart>
      <c:catAx>
        <c:axId val="353322496"/>
        <c:scaling>
          <c:orientation val="minMax"/>
        </c:scaling>
        <c:delete val="0"/>
        <c:axPos val="b"/>
        <c:numFmt formatCode="General" sourceLinked="1"/>
        <c:majorTickMark val="out"/>
        <c:minorTickMark val="none"/>
        <c:tickLblPos val="low"/>
        <c:spPr>
          <a:ln w="2023">
            <a:solidFill>
              <a:srgbClr val="000000"/>
            </a:solidFill>
            <a:prstDash val="solid"/>
          </a:ln>
        </c:spPr>
        <c:txPr>
          <a:bodyPr rot="-1260000" vert="horz"/>
          <a:lstStyle/>
          <a:p>
            <a:pPr>
              <a:defRPr sz="900"/>
            </a:pPr>
            <a:endParaRPr lang="en-US"/>
          </a:p>
        </c:txPr>
        <c:crossAx val="353324032"/>
        <c:crosses val="autoZero"/>
        <c:auto val="1"/>
        <c:lblAlgn val="ctr"/>
        <c:lblOffset val="100"/>
        <c:tickMarkSkip val="1"/>
        <c:noMultiLvlLbl val="0"/>
      </c:catAx>
      <c:valAx>
        <c:axId val="353324032"/>
        <c:scaling>
          <c:orientation val="minMax"/>
          <c:max val="100"/>
        </c:scaling>
        <c:delete val="0"/>
        <c:axPos val="l"/>
        <c:majorGridlines>
          <c:spPr>
            <a:ln w="2023">
              <a:solidFill>
                <a:srgbClr val="000000"/>
              </a:solidFill>
              <a:prstDash val="solid"/>
            </a:ln>
          </c:spPr>
        </c:majorGridlines>
        <c:title>
          <c:tx>
            <c:rich>
              <a:bodyPr rot="0" vert="horz"/>
              <a:lstStyle/>
              <a:p>
                <a:pPr algn="ctr">
                  <a:defRPr/>
                </a:pPr>
                <a:r>
                  <a:rPr lang="en-US"/>
                  <a:t>%</a:t>
                </a:r>
              </a:p>
            </c:rich>
          </c:tx>
          <c:layout>
            <c:manualLayout>
              <c:xMode val="edge"/>
              <c:yMode val="edge"/>
              <c:x val="4.5317156643705794E-2"/>
              <c:y val="0.45433786017054623"/>
            </c:manualLayout>
          </c:layout>
          <c:overlay val="0"/>
          <c:spPr>
            <a:noFill/>
            <a:ln w="16187">
              <a:noFill/>
            </a:ln>
          </c:spPr>
        </c:title>
        <c:numFmt formatCode="General" sourceLinked="1"/>
        <c:majorTickMark val="out"/>
        <c:minorTickMark val="none"/>
        <c:tickLblPos val="nextTo"/>
        <c:spPr>
          <a:ln w="2023">
            <a:solidFill>
              <a:srgbClr val="000000"/>
            </a:solidFill>
            <a:prstDash val="solid"/>
          </a:ln>
        </c:spPr>
        <c:txPr>
          <a:bodyPr rot="0" vert="horz"/>
          <a:lstStyle/>
          <a:p>
            <a:pPr>
              <a:defRPr/>
            </a:pPr>
            <a:endParaRPr lang="en-US"/>
          </a:p>
        </c:txPr>
        <c:crossAx val="353322496"/>
        <c:crosses val="autoZero"/>
        <c:crossBetween val="between"/>
      </c:valAx>
      <c:spPr>
        <a:noFill/>
        <a:ln w="16187">
          <a:noFill/>
        </a:ln>
      </c:spPr>
    </c:plotArea>
    <c:legend>
      <c:legendPos val="b"/>
      <c:layout>
        <c:manualLayout>
          <c:xMode val="edge"/>
          <c:yMode val="edge"/>
          <c:x val="0.37915408871577411"/>
          <c:y val="0.92465755876173528"/>
          <c:w val="0.24018134682093456"/>
          <c:h val="6.8493291089938846E-2"/>
        </c:manualLayout>
      </c:layout>
      <c:overlay val="0"/>
      <c:spPr>
        <a:noFill/>
        <a:ln w="2023">
          <a:solidFill>
            <a:srgbClr val="000000"/>
          </a:solidFill>
          <a:prstDash val="solid"/>
        </a:ln>
      </c:spPr>
    </c:legend>
    <c:plotVisOnly val="1"/>
    <c:dispBlanksAs val="gap"/>
    <c:showDLblsOverMax val="0"/>
  </c:chart>
  <c:spPr>
    <a:noFill/>
    <a:ln>
      <a:noFill/>
    </a:ln>
  </c:spPr>
  <c:txPr>
    <a:bodyPr/>
    <a:lstStyle/>
    <a:p>
      <a:pPr>
        <a:defRPr sz="1211"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Contribuţia sectoarelor de activitate din energie, la emisiile totale </a:t>
            </a:r>
          </a:p>
          <a:p>
            <a:pPr>
              <a:defRPr/>
            </a:pPr>
            <a:r>
              <a:rPr lang="en-US" sz="1200"/>
              <a:t>de poluanti organici persistenti in anul 202</a:t>
            </a:r>
            <a:r>
              <a:rPr lang="ro-RO" sz="1200"/>
              <a:t>3</a:t>
            </a:r>
            <a:endParaRPr lang="en-US" sz="1200"/>
          </a:p>
        </c:rich>
      </c:tx>
      <c:layout>
        <c:manualLayout>
          <c:xMode val="edge"/>
          <c:yMode val="edge"/>
          <c:x val="0.12839878374949565"/>
          <c:y val="2.0547847223485054E-2"/>
        </c:manualLayout>
      </c:layout>
      <c:overlay val="0"/>
      <c:spPr>
        <a:noFill/>
        <a:ln w="25377">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949771689497868"/>
          <c:w val="0.88368580060422963"/>
          <c:h val="0.61872146118721461"/>
        </c:manualLayout>
      </c:layout>
      <c:bar3DChart>
        <c:barDir val="col"/>
        <c:grouping val="clustered"/>
        <c:varyColors val="0"/>
        <c:ser>
          <c:idx val="0"/>
          <c:order val="0"/>
          <c:tx>
            <c:strRef>
              <c:f>Sheet1!$A$2</c:f>
              <c:strCache>
                <c:ptCount val="1"/>
                <c:pt idx="0">
                  <c:v>PCDD/PCDF</c:v>
                </c:pt>
              </c:strCache>
            </c:strRef>
          </c:tx>
          <c:spPr>
            <a:solidFill>
              <a:srgbClr val="9999FF"/>
            </a:solidFill>
            <a:ln w="12688">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c:v>
                </c:pt>
              </c:strCache>
            </c:strRef>
          </c:cat>
          <c:val>
            <c:numRef>
              <c:f>Sheet1!$B$2:$H$2</c:f>
              <c:numCache>
                <c:formatCode>General</c:formatCode>
                <c:ptCount val="7"/>
                <c:pt idx="0">
                  <c:v>2.546436546426677E-2</c:v>
                </c:pt>
                <c:pt idx="1">
                  <c:v>0</c:v>
                </c:pt>
                <c:pt idx="2">
                  <c:v>0</c:v>
                </c:pt>
                <c:pt idx="3">
                  <c:v>8.9944775972684832E-4</c:v>
                </c:pt>
                <c:pt idx="4">
                  <c:v>2.3880723783898106E-2</c:v>
                </c:pt>
                <c:pt idx="5">
                  <c:v>1.2322457474034567</c:v>
                </c:pt>
                <c:pt idx="6">
                  <c:v>0</c:v>
                </c:pt>
              </c:numCache>
            </c:numRef>
          </c:val>
          <c:extLst xmlns:c16r2="http://schemas.microsoft.com/office/drawing/2015/06/chart">
            <c:ext xmlns:c16="http://schemas.microsoft.com/office/drawing/2014/chart" uri="{C3380CC4-5D6E-409C-BE32-E72D297353CC}">
              <c16:uniqueId val="{00000000-6153-432E-A91A-D25912DEF669}"/>
            </c:ext>
          </c:extLst>
        </c:ser>
        <c:ser>
          <c:idx val="1"/>
          <c:order val="1"/>
          <c:tx>
            <c:strRef>
              <c:f>Sheet1!$A$3</c:f>
              <c:strCache>
                <c:ptCount val="1"/>
                <c:pt idx="0">
                  <c:v>PAH</c:v>
                </c:pt>
              </c:strCache>
            </c:strRef>
          </c:tx>
          <c:spPr>
            <a:solidFill>
              <a:srgbClr val="993366"/>
            </a:solidFill>
            <a:ln w="12688">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c:v>
                </c:pt>
              </c:strCache>
            </c:strRef>
          </c:cat>
          <c:val>
            <c:numRef>
              <c:f>Sheet1!$B$3:$H$3</c:f>
              <c:numCache>
                <c:formatCode>General</c:formatCode>
                <c:ptCount val="7"/>
                <c:pt idx="0">
                  <c:v>1.6638868370074704</c:v>
                </c:pt>
                <c:pt idx="1">
                  <c:v>6.4801076519895278E-4</c:v>
                </c:pt>
                <c:pt idx="2">
                  <c:v>1.6722532118864554E-4</c:v>
                </c:pt>
                <c:pt idx="3">
                  <c:v>1.1285685885361357E-2</c:v>
                </c:pt>
                <c:pt idx="4">
                  <c:v>1.3194065691898424</c:v>
                </c:pt>
                <c:pt idx="5">
                  <c:v>3.1440959041688741</c:v>
                </c:pt>
                <c:pt idx="6">
                  <c:v>0</c:v>
                </c:pt>
              </c:numCache>
            </c:numRef>
          </c:val>
          <c:extLst xmlns:c16r2="http://schemas.microsoft.com/office/drawing/2015/06/chart">
            <c:ext xmlns:c16="http://schemas.microsoft.com/office/drawing/2014/chart" uri="{C3380CC4-5D6E-409C-BE32-E72D297353CC}">
              <c16:uniqueId val="{00000001-6153-432E-A91A-D25912DEF669}"/>
            </c:ext>
          </c:extLst>
        </c:ser>
        <c:ser>
          <c:idx val="2"/>
          <c:order val="2"/>
          <c:tx>
            <c:strRef>
              <c:f>Sheet1!$A$4</c:f>
              <c:strCache>
                <c:ptCount val="1"/>
                <c:pt idx="0">
                  <c:v>HCB</c:v>
                </c:pt>
              </c:strCache>
            </c:strRef>
          </c:tx>
          <c:spPr>
            <a:solidFill>
              <a:srgbClr val="FFFFCC"/>
            </a:solidFill>
            <a:ln w="12688">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c:v>
                </c:pt>
              </c:strCache>
            </c:strRef>
          </c:cat>
          <c:val>
            <c:numRef>
              <c:f>Sheet1!$B$4:$H$4</c:f>
              <c:numCache>
                <c:formatCode>General</c:formatCode>
                <c:ptCount val="7"/>
                <c:pt idx="0">
                  <c:v>1.3005303738995434E-7</c:v>
                </c:pt>
                <c:pt idx="1">
                  <c:v>0</c:v>
                </c:pt>
                <c:pt idx="2">
                  <c:v>0</c:v>
                </c:pt>
                <c:pt idx="3" formatCode="0.00E+00">
                  <c:v>1.813427040106176E-5</c:v>
                </c:pt>
                <c:pt idx="4" formatCode="0.00E+00">
                  <c:v>1.2704556090031167E-5</c:v>
                </c:pt>
                <c:pt idx="5" formatCode="0.00E+00">
                  <c:v>2.9010280785390168E-3</c:v>
                </c:pt>
                <c:pt idx="6">
                  <c:v>0</c:v>
                </c:pt>
              </c:numCache>
            </c:numRef>
          </c:val>
          <c:extLst xmlns:c16r2="http://schemas.microsoft.com/office/drawing/2015/06/chart">
            <c:ext xmlns:c16="http://schemas.microsoft.com/office/drawing/2014/chart" uri="{C3380CC4-5D6E-409C-BE32-E72D297353CC}">
              <c16:uniqueId val="{00000002-6153-432E-A91A-D25912DEF669}"/>
            </c:ext>
          </c:extLst>
        </c:ser>
        <c:ser>
          <c:idx val="3"/>
          <c:order val="3"/>
          <c:tx>
            <c:strRef>
              <c:f>Sheet1!$A$5</c:f>
              <c:strCache>
                <c:ptCount val="1"/>
                <c:pt idx="0">
                  <c:v>PCBs</c:v>
                </c:pt>
              </c:strCache>
            </c:strRef>
          </c:tx>
          <c:spPr>
            <a:solidFill>
              <a:srgbClr val="CCFFFF"/>
            </a:solidFill>
            <a:ln w="12688">
              <a:solidFill>
                <a:srgbClr val="000000"/>
              </a:solidFill>
              <a:prstDash val="solid"/>
            </a:ln>
          </c:spPr>
          <c:invertIfNegative val="0"/>
          <c:cat>
            <c:strRef>
              <c:f>Sheet1!$B$1:$H$1</c:f>
              <c:strCache>
                <c:ptCount val="7"/>
                <c:pt idx="0">
                  <c:v> Producerea de energie electrica si termica</c:v>
                </c:pt>
                <c:pt idx="1">
                  <c:v> Fabricare fonta si otel</c:v>
                </c:pt>
                <c:pt idx="2">
                  <c:v>Fabricare metale neferoase</c:v>
                </c:pt>
                <c:pt idx="3">
                  <c:v> Fabricare alimente, bauturi si tutun</c:v>
                </c:pt>
                <c:pt idx="4">
                  <c:v>Comercial/Institutional– Încalzire </c:v>
                </c:pt>
                <c:pt idx="5">
                  <c:v>Incalzire rezidentiala</c:v>
                </c:pt>
                <c:pt idx="6">
                  <c:v>alte</c:v>
                </c:pt>
              </c:strCache>
            </c:strRef>
          </c:cat>
          <c:val>
            <c:numRef>
              <c:f>Sheet1!$B$5:$H$5</c:f>
              <c:numCache>
                <c:formatCode>General</c:formatCode>
                <c:ptCount val="7"/>
                <c:pt idx="0">
                  <c:v>3.0864506687741498E-4</c:v>
                </c:pt>
                <c:pt idx="1">
                  <c:v>0</c:v>
                </c:pt>
                <c:pt idx="2">
                  <c:v>0</c:v>
                </c:pt>
                <c:pt idx="3">
                  <c:v>7.5758334597183672E-4</c:v>
                </c:pt>
                <c:pt idx="4">
                  <c:v>4.2087963665102035E-4</c:v>
                </c:pt>
                <c:pt idx="5">
                  <c:v>32.616909201544132</c:v>
                </c:pt>
                <c:pt idx="6">
                  <c:v>0</c:v>
                </c:pt>
              </c:numCache>
            </c:numRef>
          </c:val>
          <c:extLst xmlns:c16r2="http://schemas.microsoft.com/office/drawing/2015/06/chart">
            <c:ext xmlns:c16="http://schemas.microsoft.com/office/drawing/2014/chart" uri="{C3380CC4-5D6E-409C-BE32-E72D297353CC}">
              <c16:uniqueId val="{00000003-6153-432E-A91A-D25912DEF669}"/>
            </c:ext>
          </c:extLst>
        </c:ser>
        <c:dLbls>
          <c:showLegendKey val="0"/>
          <c:showVal val="0"/>
          <c:showCatName val="0"/>
          <c:showSerName val="0"/>
          <c:showPercent val="0"/>
          <c:showBubbleSize val="0"/>
        </c:dLbls>
        <c:gapWidth val="150"/>
        <c:gapDepth val="0"/>
        <c:shape val="box"/>
        <c:axId val="353665024"/>
        <c:axId val="353666560"/>
        <c:axId val="0"/>
      </c:bar3DChart>
      <c:catAx>
        <c:axId val="353665024"/>
        <c:scaling>
          <c:orientation val="minMax"/>
        </c:scaling>
        <c:delete val="0"/>
        <c:axPos val="b"/>
        <c:numFmt formatCode="General" sourceLinked="1"/>
        <c:majorTickMark val="out"/>
        <c:minorTickMark val="none"/>
        <c:tickLblPos val="low"/>
        <c:spPr>
          <a:ln w="3172">
            <a:solidFill>
              <a:srgbClr val="000000"/>
            </a:solidFill>
            <a:prstDash val="solid"/>
          </a:ln>
        </c:spPr>
        <c:txPr>
          <a:bodyPr rot="-900000" vert="horz"/>
          <a:lstStyle/>
          <a:p>
            <a:pPr>
              <a:defRPr sz="800"/>
            </a:pPr>
            <a:endParaRPr lang="en-US"/>
          </a:p>
        </c:txPr>
        <c:crossAx val="353666560"/>
        <c:crosses val="autoZero"/>
        <c:auto val="1"/>
        <c:lblAlgn val="ctr"/>
        <c:lblOffset val="100"/>
        <c:tickMarkSkip val="1"/>
        <c:noMultiLvlLbl val="0"/>
      </c:catAx>
      <c:valAx>
        <c:axId val="353666560"/>
        <c:scaling>
          <c:orientation val="minMax"/>
          <c:max val="100"/>
        </c:scaling>
        <c:delete val="0"/>
        <c:axPos val="l"/>
        <c:majorGridlines>
          <c:spPr>
            <a:ln w="3172">
              <a:solidFill>
                <a:srgbClr val="000000"/>
              </a:solidFill>
              <a:prstDash val="solid"/>
            </a:ln>
          </c:spPr>
        </c:majorGridlines>
        <c:title>
          <c:tx>
            <c:rich>
              <a:bodyPr rot="0" vert="horz"/>
              <a:lstStyle/>
              <a:p>
                <a:pPr algn="ctr">
                  <a:defRPr/>
                </a:pPr>
                <a:r>
                  <a:rPr lang="en-US"/>
                  <a:t>%</a:t>
                </a:r>
              </a:p>
            </c:rich>
          </c:tx>
          <c:layout>
            <c:manualLayout>
              <c:xMode val="edge"/>
              <c:yMode val="edge"/>
              <c:x val="4.5317227581100697E-2"/>
              <c:y val="0.45433786134700832"/>
            </c:manualLayout>
          </c:layout>
          <c:overlay val="0"/>
          <c:spPr>
            <a:noFill/>
            <a:ln w="25377">
              <a:noFill/>
            </a:ln>
          </c:spPr>
        </c:title>
        <c:numFmt formatCode="General" sourceLinked="1"/>
        <c:majorTickMark val="out"/>
        <c:minorTickMark val="none"/>
        <c:tickLblPos val="nextTo"/>
        <c:spPr>
          <a:ln w="3172">
            <a:solidFill>
              <a:srgbClr val="000000"/>
            </a:solidFill>
            <a:prstDash val="solid"/>
          </a:ln>
        </c:spPr>
        <c:txPr>
          <a:bodyPr rot="0" vert="horz"/>
          <a:lstStyle/>
          <a:p>
            <a:pPr>
              <a:defRPr sz="1100"/>
            </a:pPr>
            <a:endParaRPr lang="en-US"/>
          </a:p>
        </c:txPr>
        <c:crossAx val="353665024"/>
        <c:crosses val="autoZero"/>
        <c:crossBetween val="between"/>
      </c:valAx>
      <c:spPr>
        <a:noFill/>
        <a:ln w="25377">
          <a:noFill/>
        </a:ln>
      </c:spPr>
    </c:plotArea>
    <c:legend>
      <c:legendPos val="b"/>
      <c:layout>
        <c:manualLayout>
          <c:xMode val="edge"/>
          <c:yMode val="edge"/>
          <c:x val="0.23262845710054864"/>
          <c:y val="0.92465748940735748"/>
          <c:w val="0.53474325218064056"/>
          <c:h val="6.8493147363507978E-2"/>
        </c:manualLayout>
      </c:layout>
      <c:overlay val="0"/>
      <c:spPr>
        <a:noFill/>
        <a:ln w="3172">
          <a:solidFill>
            <a:srgbClr val="000000"/>
          </a:solidFill>
          <a:prstDash val="solid"/>
        </a:ln>
      </c:spPr>
      <c:txPr>
        <a:bodyPr/>
        <a:lstStyle/>
        <a:p>
          <a:pPr>
            <a:defRPr sz="1200"/>
          </a:pPr>
          <a:endParaRPr lang="en-US"/>
        </a:p>
      </c:txPr>
    </c:legend>
    <c:plotVisOnly val="1"/>
    <c:dispBlanksAs val="gap"/>
    <c:showDLblsOverMax val="0"/>
  </c:chart>
  <c:spPr>
    <a:noFill/>
    <a:ln>
      <a:noFill/>
    </a:ln>
  </c:spPr>
  <c:txPr>
    <a:bodyPr/>
    <a:lstStyle/>
    <a:p>
      <a:pPr>
        <a:defRPr sz="1898"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8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052117263843717"/>
          <c:y val="5.8968058968058956E-2"/>
          <c:w val="0.61889250814332264"/>
          <c:h val="0.79852579852579864"/>
        </c:manualLayout>
      </c:layout>
      <c:bar3DChart>
        <c:barDir val="col"/>
        <c:grouping val="clustered"/>
        <c:varyColors val="0"/>
        <c:ser>
          <c:idx val="0"/>
          <c:order val="0"/>
          <c:tx>
            <c:strRef>
              <c:f>Sheet1!$A$2</c:f>
              <c:strCache>
                <c:ptCount val="1"/>
                <c:pt idx="0">
                  <c:v>total</c:v>
                </c:pt>
              </c:strCache>
            </c:strRef>
          </c:tx>
          <c:spPr>
            <a:solidFill>
              <a:srgbClr val="9999FF"/>
            </a:solidFill>
            <a:ln w="12221">
              <a:solidFill>
                <a:srgbClr val="000000"/>
              </a:solidFill>
              <a:prstDash val="solid"/>
            </a:ln>
          </c:spPr>
          <c:invertIfNegative val="0"/>
          <c:cat>
            <c:numRef>
              <c:f>Sheet1!$B$1:$F$1</c:f>
              <c:numCache>
                <c:formatCode>General</c:formatCode>
                <c:ptCount val="5"/>
                <c:pt idx="0">
                  <c:v>2018</c:v>
                </c:pt>
                <c:pt idx="1">
                  <c:v>2019</c:v>
                </c:pt>
                <c:pt idx="2">
                  <c:v>2020</c:v>
                </c:pt>
                <c:pt idx="3">
                  <c:v>2021</c:v>
                </c:pt>
                <c:pt idx="4">
                  <c:v>2022</c:v>
                </c:pt>
              </c:numCache>
            </c:numRef>
          </c:cat>
          <c:val>
            <c:numRef>
              <c:f>Sheet1!$B$2:$F$2</c:f>
              <c:numCache>
                <c:formatCode>General</c:formatCode>
                <c:ptCount val="5"/>
                <c:pt idx="0">
                  <c:v>3633</c:v>
                </c:pt>
                <c:pt idx="1">
                  <c:v>2653</c:v>
                </c:pt>
                <c:pt idx="2">
                  <c:v>3171</c:v>
                </c:pt>
                <c:pt idx="3">
                  <c:v>3091</c:v>
                </c:pt>
                <c:pt idx="4">
                  <c:v>2446</c:v>
                </c:pt>
              </c:numCache>
            </c:numRef>
          </c:val>
          <c:extLst xmlns:c16r2="http://schemas.microsoft.com/office/drawing/2015/06/chart">
            <c:ext xmlns:c16="http://schemas.microsoft.com/office/drawing/2014/chart" uri="{C3380CC4-5D6E-409C-BE32-E72D297353CC}">
              <c16:uniqueId val="{00000000-6474-4632-87F0-F617F111B5B8}"/>
            </c:ext>
          </c:extLst>
        </c:ser>
        <c:ser>
          <c:idx val="1"/>
          <c:order val="1"/>
          <c:tx>
            <c:strRef>
              <c:f>Sheet1!$A$3</c:f>
              <c:strCache>
                <c:ptCount val="1"/>
                <c:pt idx="0">
                  <c:v>pentru uz casnic</c:v>
                </c:pt>
              </c:strCache>
            </c:strRef>
          </c:tx>
          <c:spPr>
            <a:solidFill>
              <a:srgbClr val="993366"/>
            </a:solidFill>
            <a:ln w="12221">
              <a:solidFill>
                <a:srgbClr val="000000"/>
              </a:solidFill>
              <a:prstDash val="solid"/>
            </a:ln>
          </c:spPr>
          <c:invertIfNegative val="0"/>
          <c:cat>
            <c:numRef>
              <c:f>Sheet1!$B$1:$F$1</c:f>
              <c:numCache>
                <c:formatCode>General</c:formatCode>
                <c:ptCount val="5"/>
                <c:pt idx="0">
                  <c:v>2018</c:v>
                </c:pt>
                <c:pt idx="1">
                  <c:v>2019</c:v>
                </c:pt>
                <c:pt idx="2">
                  <c:v>2020</c:v>
                </c:pt>
                <c:pt idx="3">
                  <c:v>2021</c:v>
                </c:pt>
                <c:pt idx="4">
                  <c:v>2022</c:v>
                </c:pt>
              </c:numCache>
            </c:numRef>
          </c:cat>
          <c:val>
            <c:numRef>
              <c:f>Sheet1!$B$3:$F$3</c:f>
              <c:numCache>
                <c:formatCode>General</c:formatCode>
                <c:ptCount val="5"/>
                <c:pt idx="0">
                  <c:v>3310</c:v>
                </c:pt>
                <c:pt idx="1">
                  <c:v>2431</c:v>
                </c:pt>
                <c:pt idx="2">
                  <c:v>2933</c:v>
                </c:pt>
                <c:pt idx="3">
                  <c:v>2853</c:v>
                </c:pt>
                <c:pt idx="4">
                  <c:v>2264</c:v>
                </c:pt>
              </c:numCache>
            </c:numRef>
          </c:val>
          <c:extLst xmlns:c16r2="http://schemas.microsoft.com/office/drawing/2015/06/chart">
            <c:ext xmlns:c16="http://schemas.microsoft.com/office/drawing/2014/chart" uri="{C3380CC4-5D6E-409C-BE32-E72D297353CC}">
              <c16:uniqueId val="{00000001-6474-4632-87F0-F617F111B5B8}"/>
            </c:ext>
          </c:extLst>
        </c:ser>
        <c:dLbls>
          <c:showLegendKey val="0"/>
          <c:showVal val="0"/>
          <c:showCatName val="0"/>
          <c:showSerName val="0"/>
          <c:showPercent val="0"/>
          <c:showBubbleSize val="0"/>
        </c:dLbls>
        <c:gapWidth val="150"/>
        <c:gapDepth val="0"/>
        <c:shape val="box"/>
        <c:axId val="353378304"/>
        <c:axId val="353379840"/>
        <c:axId val="0"/>
      </c:bar3DChart>
      <c:catAx>
        <c:axId val="353378304"/>
        <c:scaling>
          <c:orientation val="minMax"/>
        </c:scaling>
        <c:delete val="0"/>
        <c:axPos val="b"/>
        <c:numFmt formatCode="General" sourceLinked="1"/>
        <c:majorTickMark val="out"/>
        <c:minorTickMark val="none"/>
        <c:tickLblPos val="low"/>
        <c:spPr>
          <a:ln w="3055">
            <a:solidFill>
              <a:srgbClr val="000000"/>
            </a:solidFill>
            <a:prstDash val="solid"/>
          </a:ln>
        </c:spPr>
        <c:txPr>
          <a:bodyPr rot="0" vert="horz"/>
          <a:lstStyle/>
          <a:p>
            <a:pPr>
              <a:defRPr/>
            </a:pPr>
            <a:endParaRPr lang="en-US"/>
          </a:p>
        </c:txPr>
        <c:crossAx val="353379840"/>
        <c:crosses val="autoZero"/>
        <c:auto val="1"/>
        <c:lblAlgn val="ctr"/>
        <c:lblOffset val="100"/>
        <c:tickLblSkip val="1"/>
        <c:tickMarkSkip val="1"/>
        <c:noMultiLvlLbl val="0"/>
      </c:catAx>
      <c:valAx>
        <c:axId val="353379840"/>
        <c:scaling>
          <c:orientation val="minMax"/>
        </c:scaling>
        <c:delete val="0"/>
        <c:axPos val="l"/>
        <c:majorGridlines>
          <c:spPr>
            <a:ln w="3055">
              <a:solidFill>
                <a:srgbClr val="000000"/>
              </a:solidFill>
              <a:prstDash val="solid"/>
            </a:ln>
          </c:spPr>
        </c:majorGridlines>
        <c:numFmt formatCode="General" sourceLinked="1"/>
        <c:majorTickMark val="out"/>
        <c:minorTickMark val="none"/>
        <c:tickLblPos val="nextTo"/>
        <c:spPr>
          <a:ln w="3055">
            <a:solidFill>
              <a:srgbClr val="000000"/>
            </a:solidFill>
            <a:prstDash val="solid"/>
          </a:ln>
        </c:spPr>
        <c:txPr>
          <a:bodyPr rot="0" vert="horz"/>
          <a:lstStyle/>
          <a:p>
            <a:pPr>
              <a:defRPr/>
            </a:pPr>
            <a:endParaRPr lang="en-US"/>
          </a:p>
        </c:txPr>
        <c:crossAx val="353378304"/>
        <c:crosses val="autoZero"/>
        <c:crossBetween val="between"/>
      </c:valAx>
      <c:spPr>
        <a:noFill/>
        <a:ln w="24442">
          <a:noFill/>
        </a:ln>
      </c:spPr>
    </c:plotArea>
    <c:legend>
      <c:legendPos val="r"/>
      <c:layout>
        <c:manualLayout>
          <c:xMode val="edge"/>
          <c:yMode val="edge"/>
          <c:x val="0.75732895005273537"/>
          <c:y val="0.34398023263173277"/>
          <c:w val="0.23615629804352434"/>
          <c:h val="0.31203927428317374"/>
        </c:manualLayout>
      </c:layout>
      <c:overlay val="0"/>
      <c:spPr>
        <a:noFill/>
        <a:ln w="3055">
          <a:solidFill>
            <a:srgbClr val="000000"/>
          </a:solidFill>
          <a:prstDash val="solid"/>
        </a:ln>
      </c:spPr>
    </c:legend>
    <c:plotVisOnly val="1"/>
    <c:dispBlanksAs val="gap"/>
    <c:showDLblsOverMax val="0"/>
  </c:chart>
  <c:spPr>
    <a:noFill/>
    <a:ln>
      <a:noFill/>
    </a:ln>
  </c:spPr>
  <c:txPr>
    <a:bodyPr/>
    <a:lstStyle/>
    <a:p>
      <a:pPr>
        <a:defRPr sz="1708"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Contributia sectoarelor de activitate  la emisiile totale de poluanti cu efect de acidifiere</a:t>
            </a:r>
          </a:p>
        </c:rich>
      </c:tx>
      <c:layout>
        <c:manualLayout>
          <c:xMode val="edge"/>
          <c:yMode val="edge"/>
          <c:x val="0.11027183061493805"/>
          <c:y val="2.0548061480400569E-2"/>
        </c:manualLayout>
      </c:layout>
      <c:overlay val="0"/>
      <c:spPr>
        <a:noFill/>
        <a:ln w="25358">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493150684931606"/>
          <c:w val="0.88368580060422963"/>
          <c:h val="0.62328767123287765"/>
        </c:manualLayout>
      </c:layout>
      <c:bar3DChart>
        <c:barDir val="col"/>
        <c:grouping val="clustered"/>
        <c:varyColors val="0"/>
        <c:ser>
          <c:idx val="0"/>
          <c:order val="0"/>
          <c:tx>
            <c:strRef>
              <c:f>Sheet1!$A$2</c:f>
              <c:strCache>
                <c:ptCount val="1"/>
                <c:pt idx="0">
                  <c:v>Sox</c:v>
                </c:pt>
              </c:strCache>
            </c:strRef>
          </c:tx>
          <c:spPr>
            <a:solidFill>
              <a:srgbClr val="9999FF"/>
            </a:solidFill>
            <a:ln w="12679">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Sheet1!$B$2:$F$2</c:f>
              <c:numCache>
                <c:formatCode>General</c:formatCode>
                <c:ptCount val="5"/>
                <c:pt idx="0">
                  <c:v>32.72592980890952</c:v>
                </c:pt>
                <c:pt idx="1">
                  <c:v>67.274066831542243</c:v>
                </c:pt>
                <c:pt idx="2">
                  <c:v>3.3595482514596225E-6</c:v>
                </c:pt>
                <c:pt idx="3">
                  <c:v>0</c:v>
                </c:pt>
                <c:pt idx="4">
                  <c:v>0</c:v>
                </c:pt>
              </c:numCache>
            </c:numRef>
          </c:val>
          <c:extLst xmlns:c16r2="http://schemas.microsoft.com/office/drawing/2015/06/chart">
            <c:ext xmlns:c16="http://schemas.microsoft.com/office/drawing/2014/chart" uri="{C3380CC4-5D6E-409C-BE32-E72D297353CC}">
              <c16:uniqueId val="{00000000-4ED9-4E2C-9CB2-FBB67BD1A52D}"/>
            </c:ext>
          </c:extLst>
        </c:ser>
        <c:ser>
          <c:idx val="1"/>
          <c:order val="1"/>
          <c:tx>
            <c:strRef>
              <c:f>Sheet1!$A$3</c:f>
              <c:strCache>
                <c:ptCount val="1"/>
                <c:pt idx="0">
                  <c:v>Nox</c:v>
                </c:pt>
              </c:strCache>
            </c:strRef>
          </c:tx>
          <c:spPr>
            <a:solidFill>
              <a:srgbClr val="993366"/>
            </a:solidFill>
            <a:ln w="12679">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Sheet1!$B$3:$F$3</c:f>
              <c:numCache>
                <c:formatCode>General</c:formatCode>
                <c:ptCount val="5"/>
                <c:pt idx="0">
                  <c:v>13.13683762894477</c:v>
                </c:pt>
                <c:pt idx="1">
                  <c:v>86.827560987971083</c:v>
                </c:pt>
                <c:pt idx="2" formatCode="0.00E+00">
                  <c:v>0</c:v>
                </c:pt>
                <c:pt idx="3">
                  <c:v>0</c:v>
                </c:pt>
                <c:pt idx="4">
                  <c:v>9.442877175579038E-3</c:v>
                </c:pt>
              </c:numCache>
            </c:numRef>
          </c:val>
          <c:extLst xmlns:c16r2="http://schemas.microsoft.com/office/drawing/2015/06/chart">
            <c:ext xmlns:c16="http://schemas.microsoft.com/office/drawing/2014/chart" uri="{C3380CC4-5D6E-409C-BE32-E72D297353CC}">
              <c16:uniqueId val="{00000001-4ED9-4E2C-9CB2-FBB67BD1A52D}"/>
            </c:ext>
          </c:extLst>
        </c:ser>
        <c:ser>
          <c:idx val="2"/>
          <c:order val="2"/>
          <c:tx>
            <c:strRef>
              <c:f>Sheet1!$A$4</c:f>
              <c:strCache>
                <c:ptCount val="1"/>
                <c:pt idx="0">
                  <c:v>NH3</c:v>
                </c:pt>
              </c:strCache>
            </c:strRef>
          </c:tx>
          <c:spPr>
            <a:solidFill>
              <a:srgbClr val="FFFFCC"/>
            </a:solidFill>
            <a:ln w="12679">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Sheet1!$B$4:$F$4</c:f>
              <c:numCache>
                <c:formatCode>General</c:formatCode>
                <c:ptCount val="5"/>
                <c:pt idx="0">
                  <c:v>17.334028061771306</c:v>
                </c:pt>
                <c:pt idx="1">
                  <c:v>82.665438765931981</c:v>
                </c:pt>
                <c:pt idx="2">
                  <c:v>0</c:v>
                </c:pt>
                <c:pt idx="3">
                  <c:v>0</c:v>
                </c:pt>
                <c:pt idx="4">
                  <c:v>6.0801607624370228E-6</c:v>
                </c:pt>
              </c:numCache>
            </c:numRef>
          </c:val>
          <c:extLst xmlns:c16r2="http://schemas.microsoft.com/office/drawing/2015/06/chart">
            <c:ext xmlns:c16="http://schemas.microsoft.com/office/drawing/2014/chart" uri="{C3380CC4-5D6E-409C-BE32-E72D297353CC}">
              <c16:uniqueId val="{00000002-4ED9-4E2C-9CB2-FBB67BD1A52D}"/>
            </c:ext>
          </c:extLst>
        </c:ser>
        <c:dLbls>
          <c:showLegendKey val="0"/>
          <c:showVal val="0"/>
          <c:showCatName val="0"/>
          <c:showSerName val="0"/>
          <c:showPercent val="0"/>
          <c:showBubbleSize val="0"/>
        </c:dLbls>
        <c:gapWidth val="150"/>
        <c:gapDepth val="0"/>
        <c:shape val="box"/>
        <c:axId val="353444224"/>
        <c:axId val="353445760"/>
        <c:axId val="0"/>
      </c:bar3DChart>
      <c:catAx>
        <c:axId val="353444224"/>
        <c:scaling>
          <c:orientation val="minMax"/>
        </c:scaling>
        <c:delete val="0"/>
        <c:axPos val="b"/>
        <c:numFmt formatCode="General" sourceLinked="1"/>
        <c:majorTickMark val="out"/>
        <c:minorTickMark val="none"/>
        <c:tickLblPos val="low"/>
        <c:spPr>
          <a:ln w="3170">
            <a:solidFill>
              <a:srgbClr val="000000"/>
            </a:solidFill>
            <a:prstDash val="solid"/>
          </a:ln>
        </c:spPr>
        <c:txPr>
          <a:bodyPr rot="0" vert="horz"/>
          <a:lstStyle/>
          <a:p>
            <a:pPr>
              <a:defRPr sz="1200"/>
            </a:pPr>
            <a:endParaRPr lang="en-US"/>
          </a:p>
        </c:txPr>
        <c:crossAx val="353445760"/>
        <c:crosses val="autoZero"/>
        <c:auto val="1"/>
        <c:lblAlgn val="ctr"/>
        <c:lblOffset val="100"/>
        <c:tickLblSkip val="1"/>
        <c:tickMarkSkip val="1"/>
        <c:noMultiLvlLbl val="0"/>
      </c:catAx>
      <c:valAx>
        <c:axId val="353445760"/>
        <c:scaling>
          <c:orientation val="minMax"/>
          <c:max val="100"/>
        </c:scaling>
        <c:delete val="0"/>
        <c:axPos val="l"/>
        <c:majorGridlines>
          <c:spPr>
            <a:ln w="3170">
              <a:solidFill>
                <a:srgbClr val="000000"/>
              </a:solidFill>
              <a:prstDash val="solid"/>
            </a:ln>
          </c:spPr>
        </c:majorGridlines>
        <c:title>
          <c:tx>
            <c:rich>
              <a:bodyPr rot="0" vert="horz"/>
              <a:lstStyle/>
              <a:p>
                <a:pPr algn="ctr">
                  <a:defRPr/>
                </a:pPr>
                <a:r>
                  <a:rPr lang="en-US"/>
                  <a:t>%</a:t>
                </a:r>
              </a:p>
            </c:rich>
          </c:tx>
          <c:layout>
            <c:manualLayout>
              <c:xMode val="edge"/>
              <c:yMode val="edge"/>
              <c:x val="4.3806631378112096E-2"/>
              <c:y val="0.45433789353857085"/>
            </c:manualLayout>
          </c:layout>
          <c:overlay val="0"/>
          <c:spPr>
            <a:noFill/>
            <a:ln w="25358">
              <a:noFill/>
            </a:ln>
          </c:spPr>
        </c:title>
        <c:numFmt formatCode="General" sourceLinked="1"/>
        <c:majorTickMark val="out"/>
        <c:minorTickMark val="none"/>
        <c:tickLblPos val="nextTo"/>
        <c:spPr>
          <a:ln w="3170">
            <a:solidFill>
              <a:srgbClr val="000000"/>
            </a:solidFill>
            <a:prstDash val="solid"/>
          </a:ln>
        </c:spPr>
        <c:txPr>
          <a:bodyPr rot="0" vert="horz"/>
          <a:lstStyle/>
          <a:p>
            <a:pPr>
              <a:defRPr sz="1200"/>
            </a:pPr>
            <a:endParaRPr lang="en-US"/>
          </a:p>
        </c:txPr>
        <c:crossAx val="353444224"/>
        <c:crosses val="autoZero"/>
        <c:crossBetween val="between"/>
      </c:valAx>
      <c:spPr>
        <a:noFill/>
        <a:ln w="25358">
          <a:noFill/>
        </a:ln>
      </c:spPr>
    </c:plotArea>
    <c:legend>
      <c:legendPos val="b"/>
      <c:layout>
        <c:manualLayout>
          <c:xMode val="edge"/>
          <c:yMode val="edge"/>
          <c:x val="0.35498489829917013"/>
          <c:y val="0.92465750640610145"/>
          <c:w val="0.29003020340165975"/>
          <c:h val="6.8493219467279265E-2"/>
        </c:manualLayout>
      </c:layout>
      <c:overlay val="0"/>
      <c:spPr>
        <a:noFill/>
        <a:ln w="3170">
          <a:solidFill>
            <a:srgbClr val="000000"/>
          </a:solidFill>
          <a:prstDash val="solid"/>
        </a:ln>
      </c:spPr>
      <c:txPr>
        <a:bodyPr/>
        <a:lstStyle/>
        <a:p>
          <a:pPr>
            <a:defRPr sz="1200"/>
          </a:pPr>
          <a:endParaRPr lang="en-US"/>
        </a:p>
      </c:txPr>
    </c:legend>
    <c:plotVisOnly val="1"/>
    <c:dispBlanksAs val="gap"/>
    <c:showDLblsOverMax val="0"/>
  </c:chart>
  <c:spPr>
    <a:noFill/>
    <a:ln>
      <a:noFill/>
    </a:ln>
  </c:spPr>
  <c:txPr>
    <a:bodyPr/>
    <a:lstStyle/>
    <a:p>
      <a:pPr>
        <a:defRPr sz="1897"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Evoluția emisiilor de poluanți cu efect de acidifiere</a:t>
            </a:r>
          </a:p>
        </c:rich>
      </c:tx>
      <c:layout>
        <c:manualLayout>
          <c:xMode val="edge"/>
          <c:yMode val="edge"/>
          <c:x val="0.20845918032036803"/>
          <c:y val="2.0547847223485054E-2"/>
        </c:manualLayout>
      </c:layout>
      <c:overlay val="0"/>
      <c:spPr>
        <a:noFill/>
        <a:ln w="24391">
          <a:noFill/>
        </a:ln>
      </c:spPr>
    </c:title>
    <c:autoTitleDeleted val="0"/>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5166163141994872E-2"/>
          <c:y val="0.13926940639269597"/>
          <c:w val="0.8897280966767418"/>
          <c:h val="0.70319634703195943"/>
        </c:manualLayout>
      </c:layout>
      <c:bar3DChart>
        <c:barDir val="col"/>
        <c:grouping val="clustered"/>
        <c:varyColors val="0"/>
        <c:ser>
          <c:idx val="0"/>
          <c:order val="0"/>
          <c:tx>
            <c:strRef>
              <c:f>Sheet1!$A$2</c:f>
              <c:strCache>
                <c:ptCount val="1"/>
                <c:pt idx="0">
                  <c:v>Sox</c:v>
                </c:pt>
              </c:strCache>
            </c:strRef>
          </c:tx>
          <c:spPr>
            <a:solidFill>
              <a:srgbClr val="9999FF"/>
            </a:solidFill>
            <a:ln w="1219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6.5729585550313011E-2</c:v>
                </c:pt>
                <c:pt idx="1">
                  <c:v>0.31697197606377919</c:v>
                </c:pt>
                <c:pt idx="2">
                  <c:v>0.11431612090989682</c:v>
                </c:pt>
                <c:pt idx="3">
                  <c:v>6.7463312822695215E-2</c:v>
                </c:pt>
                <c:pt idx="4">
                  <c:v>5.9603023818087165E-2</c:v>
                </c:pt>
              </c:numCache>
            </c:numRef>
          </c:val>
          <c:extLst xmlns:c16r2="http://schemas.microsoft.com/office/drawing/2015/06/chart">
            <c:ext xmlns:c16="http://schemas.microsoft.com/office/drawing/2014/chart" uri="{C3380CC4-5D6E-409C-BE32-E72D297353CC}">
              <c16:uniqueId val="{00000000-D970-40E8-93A6-1EC4D3B1C342}"/>
            </c:ext>
          </c:extLst>
        </c:ser>
        <c:ser>
          <c:idx val="1"/>
          <c:order val="1"/>
          <c:tx>
            <c:strRef>
              <c:f>Sheet1!$A$3</c:f>
              <c:strCache>
                <c:ptCount val="1"/>
                <c:pt idx="0">
                  <c:v>Nox</c:v>
                </c:pt>
              </c:strCache>
            </c:strRef>
          </c:tx>
          <c:spPr>
            <a:solidFill>
              <a:srgbClr val="993366"/>
            </a:solidFill>
            <a:ln w="1219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22.505438077086314</c:v>
                </c:pt>
                <c:pt idx="1">
                  <c:v>28.155197658660288</c:v>
                </c:pt>
                <c:pt idx="2">
                  <c:v>26.316012788197803</c:v>
                </c:pt>
                <c:pt idx="3">
                  <c:v>26.393488595147556</c:v>
                </c:pt>
                <c:pt idx="4">
                  <c:v>29.473211510127886</c:v>
                </c:pt>
              </c:numCache>
            </c:numRef>
          </c:val>
          <c:extLst xmlns:c16r2="http://schemas.microsoft.com/office/drawing/2015/06/chart">
            <c:ext xmlns:c16="http://schemas.microsoft.com/office/drawing/2014/chart" uri="{C3380CC4-5D6E-409C-BE32-E72D297353CC}">
              <c16:uniqueId val="{00000001-D970-40E8-93A6-1EC4D3B1C342}"/>
            </c:ext>
          </c:extLst>
        </c:ser>
        <c:ser>
          <c:idx val="2"/>
          <c:order val="2"/>
          <c:tx>
            <c:strRef>
              <c:f>Sheet1!$A$4</c:f>
              <c:strCache>
                <c:ptCount val="1"/>
                <c:pt idx="0">
                  <c:v>NH3</c:v>
                </c:pt>
              </c:strCache>
            </c:strRef>
          </c:tx>
          <c:spPr>
            <a:solidFill>
              <a:srgbClr val="FFFFCC"/>
            </a:solidFill>
            <a:ln w="1219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Sheet1!$B$4:$F$4</c:f>
              <c:numCache>
                <c:formatCode>General</c:formatCode>
                <c:ptCount val="5"/>
                <c:pt idx="0">
                  <c:v>0.33289172077560869</c:v>
                </c:pt>
                <c:pt idx="1">
                  <c:v>0.38453121106451676</c:v>
                </c:pt>
                <c:pt idx="2">
                  <c:v>0.37498043503990147</c:v>
                </c:pt>
                <c:pt idx="3">
                  <c:v>0.36698214676370655</c:v>
                </c:pt>
                <c:pt idx="4">
                  <c:v>0.37526639329935535</c:v>
                </c:pt>
              </c:numCache>
            </c:numRef>
          </c:val>
          <c:extLst xmlns:c16r2="http://schemas.microsoft.com/office/drawing/2015/06/chart">
            <c:ext xmlns:c16="http://schemas.microsoft.com/office/drawing/2014/chart" uri="{C3380CC4-5D6E-409C-BE32-E72D297353CC}">
              <c16:uniqueId val="{00000002-D970-40E8-93A6-1EC4D3B1C342}"/>
            </c:ext>
          </c:extLst>
        </c:ser>
        <c:dLbls>
          <c:showLegendKey val="0"/>
          <c:showVal val="0"/>
          <c:showCatName val="0"/>
          <c:showSerName val="0"/>
          <c:showPercent val="0"/>
          <c:showBubbleSize val="0"/>
        </c:dLbls>
        <c:gapWidth val="150"/>
        <c:gapDepth val="0"/>
        <c:shape val="box"/>
        <c:axId val="353474048"/>
        <c:axId val="353475584"/>
        <c:axId val="0"/>
      </c:bar3DChart>
      <c:catAx>
        <c:axId val="353474048"/>
        <c:scaling>
          <c:orientation val="minMax"/>
        </c:scaling>
        <c:delete val="0"/>
        <c:axPos val="b"/>
        <c:numFmt formatCode="General" sourceLinked="1"/>
        <c:majorTickMark val="out"/>
        <c:minorTickMark val="none"/>
        <c:tickLblPos val="low"/>
        <c:spPr>
          <a:ln w="3049">
            <a:solidFill>
              <a:srgbClr val="000000"/>
            </a:solidFill>
            <a:prstDash val="solid"/>
          </a:ln>
        </c:spPr>
        <c:txPr>
          <a:bodyPr rot="0" vert="horz"/>
          <a:lstStyle/>
          <a:p>
            <a:pPr>
              <a:defRPr/>
            </a:pPr>
            <a:endParaRPr lang="en-US"/>
          </a:p>
        </c:txPr>
        <c:crossAx val="353475584"/>
        <c:crosses val="autoZero"/>
        <c:auto val="1"/>
        <c:lblAlgn val="ctr"/>
        <c:lblOffset val="100"/>
        <c:tickLblSkip val="1"/>
        <c:tickMarkSkip val="1"/>
        <c:noMultiLvlLbl val="0"/>
      </c:catAx>
      <c:valAx>
        <c:axId val="353475584"/>
        <c:scaling>
          <c:orientation val="minMax"/>
          <c:max val="30"/>
        </c:scaling>
        <c:delete val="0"/>
        <c:axPos val="l"/>
        <c:majorGridlines>
          <c:spPr>
            <a:ln w="3049">
              <a:solidFill>
                <a:srgbClr val="000000"/>
              </a:solidFill>
              <a:prstDash val="solid"/>
            </a:ln>
          </c:spPr>
        </c:majorGridlines>
        <c:title>
          <c:tx>
            <c:rich>
              <a:bodyPr/>
              <a:lstStyle/>
              <a:p>
                <a:pPr>
                  <a:defRPr/>
                </a:pPr>
                <a:r>
                  <a:rPr lang="en-US"/>
                  <a:t>mii tone</a:t>
                </a:r>
              </a:p>
            </c:rich>
          </c:tx>
          <c:layout>
            <c:manualLayout>
              <c:xMode val="edge"/>
              <c:yMode val="edge"/>
              <c:x val="2.1148117182658032E-2"/>
              <c:y val="0.42237432792032631"/>
            </c:manualLayout>
          </c:layout>
          <c:overlay val="0"/>
          <c:spPr>
            <a:noFill/>
            <a:ln w="24391">
              <a:noFill/>
            </a:ln>
          </c:spPr>
        </c:title>
        <c:numFmt formatCode="General" sourceLinked="1"/>
        <c:majorTickMark val="out"/>
        <c:minorTickMark val="none"/>
        <c:tickLblPos val="nextTo"/>
        <c:spPr>
          <a:ln w="3049">
            <a:solidFill>
              <a:srgbClr val="000000"/>
            </a:solidFill>
            <a:prstDash val="solid"/>
          </a:ln>
        </c:spPr>
        <c:txPr>
          <a:bodyPr rot="0" vert="horz"/>
          <a:lstStyle/>
          <a:p>
            <a:pPr>
              <a:defRPr/>
            </a:pPr>
            <a:endParaRPr lang="en-US"/>
          </a:p>
        </c:txPr>
        <c:crossAx val="353474048"/>
        <c:crosses val="autoZero"/>
        <c:crossBetween val="between"/>
      </c:valAx>
      <c:spPr>
        <a:noFill/>
        <a:ln w="24391">
          <a:noFill/>
        </a:ln>
      </c:spPr>
    </c:plotArea>
    <c:legend>
      <c:legendPos val="b"/>
      <c:layout>
        <c:manualLayout>
          <c:xMode val="edge"/>
          <c:yMode val="edge"/>
          <c:x val="0.35498492165499917"/>
          <c:y val="0.92465748940735748"/>
          <c:w val="0.29003015669000165"/>
          <c:h val="6.8493147363507978E-2"/>
        </c:manualLayout>
      </c:layout>
      <c:overlay val="0"/>
      <c:spPr>
        <a:noFill/>
        <a:ln w="3049">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Contributia sectoarelor de activitate  la emisiile totale de poluanti precursori ai ozonului</a:t>
            </a:r>
          </a:p>
        </c:rich>
      </c:tx>
      <c:layout>
        <c:manualLayout>
          <c:xMode val="edge"/>
          <c:yMode val="edge"/>
          <c:x val="0.12839876547702556"/>
          <c:y val="2.0547865899255585E-2"/>
        </c:manualLayout>
      </c:layout>
      <c:overlay val="0"/>
      <c:spPr>
        <a:noFill/>
        <a:ln w="16308">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493150684931606"/>
          <c:w val="0.88368580060422963"/>
          <c:h val="0.62328767123287765"/>
        </c:manualLayout>
      </c:layout>
      <c:bar3DChart>
        <c:barDir val="col"/>
        <c:grouping val="clustered"/>
        <c:varyColors val="0"/>
        <c:ser>
          <c:idx val="0"/>
          <c:order val="0"/>
          <c:tx>
            <c:strRef>
              <c:f>Sheet1!$A$2</c:f>
              <c:strCache>
                <c:ptCount val="1"/>
                <c:pt idx="0">
                  <c:v>CO</c:v>
                </c:pt>
              </c:strCache>
            </c:strRef>
          </c:tx>
          <c:spPr>
            <a:solidFill>
              <a:srgbClr val="9999FF"/>
            </a:solidFill>
            <a:ln w="8154">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Sheet1!$B$2:$F$2</c:f>
              <c:numCache>
                <c:formatCode>General</c:formatCode>
                <c:ptCount val="5"/>
                <c:pt idx="0">
                  <c:v>13.65422810519507</c:v>
                </c:pt>
                <c:pt idx="1">
                  <c:v>86.34029566121383</c:v>
                </c:pt>
                <c:pt idx="2">
                  <c:v>0</c:v>
                </c:pt>
                <c:pt idx="3">
                  <c:v>0</c:v>
                </c:pt>
                <c:pt idx="4">
                  <c:v>6.4772836520872977E-4</c:v>
                </c:pt>
              </c:numCache>
            </c:numRef>
          </c:val>
          <c:extLst xmlns:c16r2="http://schemas.microsoft.com/office/drawing/2015/06/chart">
            <c:ext xmlns:c16="http://schemas.microsoft.com/office/drawing/2014/chart" uri="{C3380CC4-5D6E-409C-BE32-E72D297353CC}">
              <c16:uniqueId val="{00000000-B1D2-46CC-B974-EAEB67739D88}"/>
            </c:ext>
          </c:extLst>
        </c:ser>
        <c:ser>
          <c:idx val="1"/>
          <c:order val="1"/>
          <c:tx>
            <c:strRef>
              <c:f>Sheet1!$A$3</c:f>
              <c:strCache>
                <c:ptCount val="1"/>
                <c:pt idx="0">
                  <c:v>Nox</c:v>
                </c:pt>
              </c:strCache>
            </c:strRef>
          </c:tx>
          <c:spPr>
            <a:solidFill>
              <a:srgbClr val="993366"/>
            </a:solidFill>
            <a:ln w="8154">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Sheet1!$B$3:$F$3</c:f>
              <c:numCache>
                <c:formatCode>General</c:formatCode>
                <c:ptCount val="5"/>
                <c:pt idx="0">
                  <c:v>13.13683762894477</c:v>
                </c:pt>
                <c:pt idx="1">
                  <c:v>86.827560987971083</c:v>
                </c:pt>
                <c:pt idx="2" formatCode="0.00E+00">
                  <c:v>0</c:v>
                </c:pt>
                <c:pt idx="3">
                  <c:v>0</c:v>
                </c:pt>
                <c:pt idx="4">
                  <c:v>9.442877175579038E-3</c:v>
                </c:pt>
              </c:numCache>
            </c:numRef>
          </c:val>
          <c:extLst xmlns:c16r2="http://schemas.microsoft.com/office/drawing/2015/06/chart">
            <c:ext xmlns:c16="http://schemas.microsoft.com/office/drawing/2014/chart" uri="{C3380CC4-5D6E-409C-BE32-E72D297353CC}">
              <c16:uniqueId val="{00000001-B1D2-46CC-B974-EAEB67739D88}"/>
            </c:ext>
          </c:extLst>
        </c:ser>
        <c:ser>
          <c:idx val="2"/>
          <c:order val="2"/>
          <c:tx>
            <c:strRef>
              <c:f>Sheet1!$A$4</c:f>
              <c:strCache>
                <c:ptCount val="1"/>
                <c:pt idx="0">
                  <c:v>NMVOC</c:v>
                </c:pt>
              </c:strCache>
            </c:strRef>
          </c:tx>
          <c:spPr>
            <a:solidFill>
              <a:srgbClr val="FFFFCC"/>
            </a:solidFill>
            <a:ln w="8154">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Sheet1!$B$4:$F$4</c:f>
              <c:numCache>
                <c:formatCode>General</c:formatCode>
                <c:ptCount val="5"/>
                <c:pt idx="0">
                  <c:v>4.2676656684697303</c:v>
                </c:pt>
                <c:pt idx="1">
                  <c:v>33.859310435038203</c:v>
                </c:pt>
                <c:pt idx="2">
                  <c:v>1.4811987745094422</c:v>
                </c:pt>
                <c:pt idx="3">
                  <c:v>8.3250589912276893E-2</c:v>
                </c:pt>
                <c:pt idx="4" formatCode="0.00E+00">
                  <c:v>51.964661746304863</c:v>
                </c:pt>
              </c:numCache>
            </c:numRef>
          </c:val>
          <c:extLst xmlns:c16r2="http://schemas.microsoft.com/office/drawing/2015/06/chart">
            <c:ext xmlns:c16="http://schemas.microsoft.com/office/drawing/2014/chart" uri="{C3380CC4-5D6E-409C-BE32-E72D297353CC}">
              <c16:uniqueId val="{00000002-B1D2-46CC-B974-EAEB67739D88}"/>
            </c:ext>
          </c:extLst>
        </c:ser>
        <c:dLbls>
          <c:showLegendKey val="0"/>
          <c:showVal val="0"/>
          <c:showCatName val="0"/>
          <c:showSerName val="0"/>
          <c:showPercent val="0"/>
          <c:showBubbleSize val="0"/>
        </c:dLbls>
        <c:gapWidth val="150"/>
        <c:gapDepth val="0"/>
        <c:shape val="box"/>
        <c:axId val="353614464"/>
        <c:axId val="353620352"/>
        <c:axId val="0"/>
      </c:bar3DChart>
      <c:catAx>
        <c:axId val="353614464"/>
        <c:scaling>
          <c:orientation val="minMax"/>
        </c:scaling>
        <c:delete val="0"/>
        <c:axPos val="b"/>
        <c:numFmt formatCode="General" sourceLinked="1"/>
        <c:majorTickMark val="out"/>
        <c:minorTickMark val="none"/>
        <c:tickLblPos val="low"/>
        <c:spPr>
          <a:ln w="2039">
            <a:solidFill>
              <a:srgbClr val="000000"/>
            </a:solidFill>
            <a:prstDash val="solid"/>
          </a:ln>
        </c:spPr>
        <c:txPr>
          <a:bodyPr rot="0" vert="horz"/>
          <a:lstStyle/>
          <a:p>
            <a:pPr>
              <a:defRPr sz="800"/>
            </a:pPr>
            <a:endParaRPr lang="en-US"/>
          </a:p>
        </c:txPr>
        <c:crossAx val="353620352"/>
        <c:crosses val="autoZero"/>
        <c:auto val="1"/>
        <c:lblAlgn val="ctr"/>
        <c:lblOffset val="100"/>
        <c:tickLblSkip val="1"/>
        <c:tickMarkSkip val="1"/>
        <c:noMultiLvlLbl val="0"/>
      </c:catAx>
      <c:valAx>
        <c:axId val="353620352"/>
        <c:scaling>
          <c:orientation val="minMax"/>
          <c:max val="100"/>
        </c:scaling>
        <c:delete val="0"/>
        <c:axPos val="l"/>
        <c:majorGridlines>
          <c:spPr>
            <a:ln w="2039">
              <a:solidFill>
                <a:srgbClr val="000000"/>
              </a:solidFill>
              <a:prstDash val="solid"/>
            </a:ln>
          </c:spPr>
        </c:majorGridlines>
        <c:title>
          <c:tx>
            <c:rich>
              <a:bodyPr rot="0" vert="horz"/>
              <a:lstStyle/>
              <a:p>
                <a:pPr algn="ctr">
                  <a:defRPr/>
                </a:pPr>
                <a:r>
                  <a:rPr lang="en-US"/>
                  <a:t>%</a:t>
                </a:r>
              </a:p>
            </c:rich>
          </c:tx>
          <c:layout>
            <c:manualLayout>
              <c:xMode val="edge"/>
              <c:yMode val="edge"/>
              <c:x val="4.380671144813636E-2"/>
              <c:y val="0.45433767374093603"/>
            </c:manualLayout>
          </c:layout>
          <c:overlay val="0"/>
          <c:spPr>
            <a:noFill/>
            <a:ln w="16308">
              <a:noFill/>
            </a:ln>
          </c:spPr>
        </c:title>
        <c:numFmt formatCode="General" sourceLinked="1"/>
        <c:majorTickMark val="out"/>
        <c:minorTickMark val="none"/>
        <c:tickLblPos val="nextTo"/>
        <c:spPr>
          <a:ln w="2039">
            <a:solidFill>
              <a:srgbClr val="000000"/>
            </a:solidFill>
            <a:prstDash val="solid"/>
          </a:ln>
        </c:spPr>
        <c:txPr>
          <a:bodyPr rot="0" vert="horz"/>
          <a:lstStyle/>
          <a:p>
            <a:pPr>
              <a:defRPr/>
            </a:pPr>
            <a:endParaRPr lang="en-US"/>
          </a:p>
        </c:txPr>
        <c:crossAx val="353614464"/>
        <c:crosses val="autoZero"/>
        <c:crossBetween val="between"/>
      </c:valAx>
      <c:spPr>
        <a:noFill/>
        <a:ln w="16308">
          <a:noFill/>
        </a:ln>
      </c:spPr>
    </c:plotArea>
    <c:legend>
      <c:legendPos val="b"/>
      <c:layout>
        <c:manualLayout>
          <c:xMode val="edge"/>
          <c:yMode val="edge"/>
          <c:x val="0.33383679024026641"/>
          <c:y val="0.92465758381296526"/>
          <c:w val="0.33232626266302084"/>
          <c:h val="6.849312755394954E-2"/>
        </c:manualLayout>
      </c:layout>
      <c:overlay val="0"/>
      <c:spPr>
        <a:noFill/>
        <a:ln w="2039">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Contributia sectoarelor de activitate  din industrie la emisiile de poluanti precursori ai ozonului din industrie</a:t>
            </a:r>
          </a:p>
        </c:rich>
      </c:tx>
      <c:layout>
        <c:manualLayout>
          <c:xMode val="edge"/>
          <c:yMode val="edge"/>
          <c:x val="0.13897287652043627"/>
          <c:y val="2.7397166605519465E-2"/>
        </c:manualLayout>
      </c:layout>
      <c:overlay val="0"/>
      <c:spPr>
        <a:noFill/>
        <a:ln w="16588">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721461187214786"/>
          <c:w val="0.88368580060422963"/>
          <c:h val="0.58675799086757996"/>
        </c:manualLayout>
      </c:layout>
      <c:bar3DChart>
        <c:barDir val="col"/>
        <c:grouping val="clustered"/>
        <c:varyColors val="0"/>
        <c:ser>
          <c:idx val="0"/>
          <c:order val="0"/>
          <c:tx>
            <c:strRef>
              <c:f>Sheet1!$A$2</c:f>
              <c:strCache>
                <c:ptCount val="1"/>
                <c:pt idx="0">
                  <c:v>CO</c:v>
                </c:pt>
              </c:strCache>
            </c:strRef>
          </c:tx>
          <c:spPr>
            <a:solidFill>
              <a:srgbClr val="9999FF"/>
            </a:solidFill>
            <a:ln w="8294">
              <a:solidFill>
                <a:srgbClr val="000000"/>
              </a:solidFill>
              <a:prstDash val="solid"/>
            </a:ln>
          </c:spPr>
          <c:invertIfNegative val="0"/>
          <c:cat>
            <c:strRef>
              <c:f>Sheet1!$B$1:$F$1</c:f>
              <c:strCache>
                <c:ptCount val="5"/>
                <c:pt idx="0">
                  <c:v> Fabricare fonta si otel</c:v>
                </c:pt>
                <c:pt idx="1">
                  <c:v> Fabricare feroaliaje</c:v>
                </c:pt>
                <c:pt idx="2">
                  <c:v>Fabricare aluminiu</c:v>
                </c:pt>
                <c:pt idx="3">
                  <c:v>Produse chimice</c:v>
                </c:pt>
                <c:pt idx="4">
                  <c:v>Fabricarea produselor alimentare</c:v>
                </c:pt>
              </c:strCache>
            </c:strRef>
          </c:cat>
          <c:val>
            <c:numRef>
              <c:f>Sheet1!$B$2:$F$2</c:f>
              <c:numCache>
                <c:formatCode>General</c:formatCode>
                <c:ptCount val="5"/>
              </c:numCache>
            </c:numRef>
          </c:val>
          <c:extLst xmlns:c16r2="http://schemas.microsoft.com/office/drawing/2015/06/chart">
            <c:ext xmlns:c16="http://schemas.microsoft.com/office/drawing/2014/chart" uri="{C3380CC4-5D6E-409C-BE32-E72D297353CC}">
              <c16:uniqueId val="{00000000-D225-4628-9824-1B6F8C2377B4}"/>
            </c:ext>
          </c:extLst>
        </c:ser>
        <c:ser>
          <c:idx val="1"/>
          <c:order val="1"/>
          <c:tx>
            <c:strRef>
              <c:f>Sheet1!$A$3</c:f>
              <c:strCache>
                <c:ptCount val="1"/>
                <c:pt idx="0">
                  <c:v>Nox</c:v>
                </c:pt>
              </c:strCache>
            </c:strRef>
          </c:tx>
          <c:spPr>
            <a:solidFill>
              <a:srgbClr val="993366"/>
            </a:solidFill>
            <a:ln w="8294">
              <a:solidFill>
                <a:srgbClr val="000000"/>
              </a:solidFill>
              <a:prstDash val="solid"/>
            </a:ln>
          </c:spPr>
          <c:invertIfNegative val="0"/>
          <c:cat>
            <c:strRef>
              <c:f>Sheet1!$B$1:$F$1</c:f>
              <c:strCache>
                <c:ptCount val="5"/>
                <c:pt idx="0">
                  <c:v> Fabricare fonta si otel</c:v>
                </c:pt>
                <c:pt idx="1">
                  <c:v> Fabricare feroaliaje</c:v>
                </c:pt>
                <c:pt idx="2">
                  <c:v>Fabricare aluminiu</c:v>
                </c:pt>
                <c:pt idx="3">
                  <c:v>Produse chimice</c:v>
                </c:pt>
                <c:pt idx="4">
                  <c:v>Fabricarea produselor alimentare</c:v>
                </c:pt>
              </c:strCache>
            </c:strRef>
          </c:cat>
          <c:val>
            <c:numRef>
              <c:f>Sheet1!$B$3:$F$3</c:f>
              <c:numCache>
                <c:formatCode>General</c:formatCode>
                <c:ptCount val="5"/>
              </c:numCache>
            </c:numRef>
          </c:val>
          <c:extLst xmlns:c16r2="http://schemas.microsoft.com/office/drawing/2015/06/chart">
            <c:ext xmlns:c16="http://schemas.microsoft.com/office/drawing/2014/chart" uri="{C3380CC4-5D6E-409C-BE32-E72D297353CC}">
              <c16:uniqueId val="{00000001-D225-4628-9824-1B6F8C2377B4}"/>
            </c:ext>
          </c:extLst>
        </c:ser>
        <c:ser>
          <c:idx val="2"/>
          <c:order val="2"/>
          <c:tx>
            <c:strRef>
              <c:f>Sheet1!$A$4</c:f>
              <c:strCache>
                <c:ptCount val="1"/>
                <c:pt idx="0">
                  <c:v>NMVOC</c:v>
                </c:pt>
              </c:strCache>
            </c:strRef>
          </c:tx>
          <c:spPr>
            <a:solidFill>
              <a:srgbClr val="FFFFCC"/>
            </a:solidFill>
            <a:ln w="8294">
              <a:solidFill>
                <a:srgbClr val="000000"/>
              </a:solidFill>
              <a:prstDash val="solid"/>
            </a:ln>
          </c:spPr>
          <c:invertIfNegative val="0"/>
          <c:cat>
            <c:strRef>
              <c:f>Sheet1!$B$1:$F$1</c:f>
              <c:strCache>
                <c:ptCount val="5"/>
                <c:pt idx="0">
                  <c:v> Fabricare fonta si otel</c:v>
                </c:pt>
                <c:pt idx="1">
                  <c:v> Fabricare feroaliaje</c:v>
                </c:pt>
                <c:pt idx="2">
                  <c:v>Fabricare aluminiu</c:v>
                </c:pt>
                <c:pt idx="3">
                  <c:v>Produse chimice</c:v>
                </c:pt>
                <c:pt idx="4">
                  <c:v>Fabricarea produselor alimentare</c:v>
                </c:pt>
              </c:strCache>
            </c:strRef>
          </c:cat>
          <c:val>
            <c:numRef>
              <c:f>Sheet1!$B$4:$F$4</c:f>
              <c:numCache>
                <c:formatCode>General</c:formatCode>
                <c:ptCount val="5"/>
                <c:pt idx="0">
                  <c:v>4.3511637064280619E-5</c:v>
                </c:pt>
                <c:pt idx="1">
                  <c:v>0</c:v>
                </c:pt>
                <c:pt idx="2">
                  <c:v>0</c:v>
                </c:pt>
                <c:pt idx="3">
                  <c:v>12.70933741320267</c:v>
                </c:pt>
                <c:pt idx="4">
                  <c:v>70.217324591764708</c:v>
                </c:pt>
              </c:numCache>
            </c:numRef>
          </c:val>
          <c:extLst xmlns:c16r2="http://schemas.microsoft.com/office/drawing/2015/06/chart">
            <c:ext xmlns:c16="http://schemas.microsoft.com/office/drawing/2014/chart" uri="{C3380CC4-5D6E-409C-BE32-E72D297353CC}">
              <c16:uniqueId val="{00000002-D225-4628-9824-1B6F8C2377B4}"/>
            </c:ext>
          </c:extLst>
        </c:ser>
        <c:dLbls>
          <c:showLegendKey val="0"/>
          <c:showVal val="0"/>
          <c:showCatName val="0"/>
          <c:showSerName val="0"/>
          <c:showPercent val="0"/>
          <c:showBubbleSize val="0"/>
        </c:dLbls>
        <c:gapWidth val="150"/>
        <c:gapDepth val="0"/>
        <c:shape val="box"/>
        <c:axId val="353734656"/>
        <c:axId val="353736192"/>
        <c:axId val="0"/>
      </c:bar3DChart>
      <c:catAx>
        <c:axId val="353734656"/>
        <c:scaling>
          <c:orientation val="minMax"/>
        </c:scaling>
        <c:delete val="0"/>
        <c:axPos val="b"/>
        <c:numFmt formatCode="General" sourceLinked="1"/>
        <c:majorTickMark val="out"/>
        <c:minorTickMark val="none"/>
        <c:tickLblPos val="low"/>
        <c:spPr>
          <a:ln w="2073">
            <a:solidFill>
              <a:srgbClr val="000000"/>
            </a:solidFill>
            <a:prstDash val="solid"/>
          </a:ln>
        </c:spPr>
        <c:txPr>
          <a:bodyPr rot="0" vert="horz"/>
          <a:lstStyle/>
          <a:p>
            <a:pPr>
              <a:defRPr sz="1000"/>
            </a:pPr>
            <a:endParaRPr lang="en-US"/>
          </a:p>
        </c:txPr>
        <c:crossAx val="353736192"/>
        <c:crosses val="autoZero"/>
        <c:auto val="1"/>
        <c:lblAlgn val="ctr"/>
        <c:lblOffset val="100"/>
        <c:tickLblSkip val="1"/>
        <c:tickMarkSkip val="1"/>
        <c:noMultiLvlLbl val="0"/>
      </c:catAx>
      <c:valAx>
        <c:axId val="353736192"/>
        <c:scaling>
          <c:orientation val="minMax"/>
          <c:max val="100"/>
        </c:scaling>
        <c:delete val="0"/>
        <c:axPos val="l"/>
        <c:majorGridlines>
          <c:spPr>
            <a:ln w="2073">
              <a:solidFill>
                <a:srgbClr val="000000"/>
              </a:solidFill>
              <a:prstDash val="solid"/>
            </a:ln>
          </c:spPr>
        </c:majorGridlines>
        <c:title>
          <c:tx>
            <c:rich>
              <a:bodyPr rot="0" vert="horz"/>
              <a:lstStyle/>
              <a:p>
                <a:pPr algn="ctr">
                  <a:defRPr/>
                </a:pPr>
                <a:r>
                  <a:rPr lang="en-US"/>
                  <a:t>%</a:t>
                </a:r>
              </a:p>
            </c:rich>
          </c:tx>
          <c:layout>
            <c:manualLayout>
              <c:xMode val="edge"/>
              <c:yMode val="edge"/>
              <c:x val="6.7975943690301785E-2"/>
              <c:y val="0.43835608040494844"/>
            </c:manualLayout>
          </c:layout>
          <c:overlay val="0"/>
          <c:spPr>
            <a:noFill/>
            <a:ln w="16588">
              <a:noFill/>
            </a:ln>
          </c:spPr>
        </c:title>
        <c:numFmt formatCode="General" sourceLinked="1"/>
        <c:majorTickMark val="out"/>
        <c:minorTickMark val="none"/>
        <c:tickLblPos val="nextTo"/>
        <c:spPr>
          <a:ln w="2073">
            <a:solidFill>
              <a:srgbClr val="000000"/>
            </a:solidFill>
            <a:prstDash val="solid"/>
          </a:ln>
        </c:spPr>
        <c:txPr>
          <a:bodyPr rot="0" vert="horz"/>
          <a:lstStyle/>
          <a:p>
            <a:pPr>
              <a:defRPr/>
            </a:pPr>
            <a:endParaRPr lang="en-US"/>
          </a:p>
        </c:txPr>
        <c:crossAx val="353734656"/>
        <c:crosses val="autoZero"/>
        <c:crossBetween val="between"/>
      </c:valAx>
      <c:spPr>
        <a:noFill/>
        <a:ln w="16588">
          <a:noFill/>
        </a:ln>
      </c:spPr>
    </c:plotArea>
    <c:legend>
      <c:legendPos val="b"/>
      <c:layout>
        <c:manualLayout>
          <c:xMode val="edge"/>
          <c:yMode val="edge"/>
          <c:x val="0.3338369384231335"/>
          <c:y val="0.92465761499524168"/>
          <c:w val="0.3323262835034751"/>
          <c:h val="6.8493034406851727E-2"/>
        </c:manualLayout>
      </c:layout>
      <c:overlay val="0"/>
      <c:spPr>
        <a:noFill/>
        <a:ln w="2073">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PM10 Concentraţii medii anuale 202</a:t>
            </a:r>
            <a:r>
              <a:rPr lang="ro-RO"/>
              <a:t>3</a:t>
            </a:r>
            <a:r>
              <a:rPr lang="en-US"/>
              <a:t> înregistrate la staţiile de monitorizare</a:t>
            </a:r>
          </a:p>
        </c:rich>
      </c:tx>
      <c:layout>
        <c:manualLayout>
          <c:xMode val="edge"/>
          <c:yMode val="edge"/>
          <c:x val="0.11169284596547327"/>
          <c:y val="2.0725315781488014E-2"/>
        </c:manualLayout>
      </c:layout>
      <c:overlay val="0"/>
      <c:spPr>
        <a:noFill/>
        <a:ln w="24688">
          <a:noFill/>
        </a:ln>
      </c:spPr>
    </c:title>
    <c:autoTitleDeleted val="0"/>
    <c:plotArea>
      <c:layout>
        <c:manualLayout>
          <c:layoutTarget val="inner"/>
          <c:xMode val="edge"/>
          <c:yMode val="edge"/>
          <c:x val="0.10645724258289703"/>
          <c:y val="0.22538860103626959"/>
          <c:w val="0.87783595113438728"/>
          <c:h val="0.5362694300518136"/>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12365">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24.41</c:v>
                </c:pt>
                <c:pt idx="2">
                  <c:v>29.14</c:v>
                </c:pt>
                <c:pt idx="4">
                  <c:v>24.86</c:v>
                </c:pt>
                <c:pt idx="6">
                  <c:v>23.93</c:v>
                </c:pt>
                <c:pt idx="8">
                  <c:v>24.93</c:v>
                </c:pt>
              </c:numCache>
            </c:numRef>
          </c:val>
          <c:extLst xmlns:c16r2="http://schemas.microsoft.com/office/drawing/2015/06/chart">
            <c:ext xmlns:c16="http://schemas.microsoft.com/office/drawing/2014/chart" uri="{C3380CC4-5D6E-409C-BE32-E72D297353CC}">
              <c16:uniqueId val="{00000000-102A-4101-BD70-E9CCFB96A977}"/>
            </c:ext>
          </c:extLst>
        </c:ser>
        <c:dLbls>
          <c:showLegendKey val="0"/>
          <c:showVal val="0"/>
          <c:showCatName val="0"/>
          <c:showSerName val="0"/>
          <c:showPercent val="0"/>
          <c:showBubbleSize val="0"/>
        </c:dLbls>
        <c:gapWidth val="150"/>
        <c:axId val="379958784"/>
        <c:axId val="384988288"/>
      </c:barChart>
      <c:lineChart>
        <c:grouping val="standard"/>
        <c:varyColors val="0"/>
        <c:ser>
          <c:idx val="0"/>
          <c:order val="1"/>
          <c:tx>
            <c:strRef>
              <c:f>Sheet1!$A$3</c:f>
              <c:strCache>
                <c:ptCount val="1"/>
                <c:pt idx="0">
                  <c:v>Valoare limită</c:v>
                </c:pt>
              </c:strCache>
            </c:strRef>
          </c:tx>
          <c:spPr>
            <a:ln w="24730">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xmlns:c16r2="http://schemas.microsoft.com/office/drawing/2015/06/chart">
            <c:ext xmlns:c16="http://schemas.microsoft.com/office/drawing/2014/chart" uri="{C3380CC4-5D6E-409C-BE32-E72D297353CC}">
              <c16:uniqueId val="{00000001-102A-4101-BD70-E9CCFB96A977}"/>
            </c:ext>
          </c:extLst>
        </c:ser>
        <c:dLbls>
          <c:showLegendKey val="0"/>
          <c:showVal val="0"/>
          <c:showCatName val="0"/>
          <c:showSerName val="0"/>
          <c:showPercent val="0"/>
          <c:showBubbleSize val="0"/>
        </c:dLbls>
        <c:marker val="1"/>
        <c:smooth val="0"/>
        <c:axId val="384990592"/>
        <c:axId val="385005440"/>
      </c:lineChart>
      <c:catAx>
        <c:axId val="379958784"/>
        <c:scaling>
          <c:orientation val="minMax"/>
        </c:scaling>
        <c:delete val="0"/>
        <c:axPos val="b"/>
        <c:title>
          <c:tx>
            <c:rich>
              <a:bodyPr/>
              <a:lstStyle/>
              <a:p>
                <a:pPr>
                  <a:defRPr/>
                </a:pPr>
                <a:r>
                  <a:rPr lang="en-US"/>
                  <a:t>staţii monitorizare</a:t>
                </a:r>
              </a:p>
            </c:rich>
          </c:tx>
          <c:layout>
            <c:manualLayout>
              <c:xMode val="edge"/>
              <c:yMode val="edge"/>
              <c:x val="0.43979062712756212"/>
              <c:y val="0.83937830075872455"/>
            </c:manualLayout>
          </c:layout>
          <c:overlay val="0"/>
          <c:spPr>
            <a:noFill/>
            <a:ln w="24688">
              <a:noFill/>
            </a:ln>
          </c:spPr>
        </c:title>
        <c:numFmt formatCode="General" sourceLinked="1"/>
        <c:majorTickMark val="cross"/>
        <c:minorTickMark val="none"/>
        <c:tickLblPos val="nextTo"/>
        <c:spPr>
          <a:ln w="3091">
            <a:solidFill>
              <a:srgbClr val="000000"/>
            </a:solidFill>
            <a:prstDash val="solid"/>
          </a:ln>
        </c:spPr>
        <c:txPr>
          <a:bodyPr rot="0" vert="horz"/>
          <a:lstStyle/>
          <a:p>
            <a:pPr>
              <a:defRPr/>
            </a:pPr>
            <a:endParaRPr lang="en-US"/>
          </a:p>
        </c:txPr>
        <c:crossAx val="384988288"/>
        <c:crosses val="autoZero"/>
        <c:auto val="0"/>
        <c:lblAlgn val="ctr"/>
        <c:lblOffset val="100"/>
        <c:tickLblSkip val="1"/>
        <c:tickMarkSkip val="1"/>
        <c:noMultiLvlLbl val="0"/>
      </c:catAx>
      <c:valAx>
        <c:axId val="384988288"/>
        <c:scaling>
          <c:orientation val="minMax"/>
          <c:max val="60"/>
        </c:scaling>
        <c:delete val="0"/>
        <c:axPos val="l"/>
        <c:title>
          <c:tx>
            <c:rich>
              <a:bodyPr/>
              <a:lstStyle/>
              <a:p>
                <a:pPr>
                  <a:defRPr/>
                </a:pPr>
                <a:r>
                  <a:rPr lang="en-US"/>
                  <a:t>concentraţie µg/m3</a:t>
                </a:r>
              </a:p>
            </c:rich>
          </c:tx>
          <c:layout>
            <c:manualLayout>
              <c:xMode val="edge"/>
              <c:yMode val="edge"/>
              <c:x val="1.9197311711965766E-2"/>
              <c:y val="0.32901564286798057"/>
            </c:manualLayout>
          </c:layout>
          <c:overlay val="0"/>
          <c:spPr>
            <a:noFill/>
            <a:ln w="24688">
              <a:noFill/>
            </a:ln>
          </c:spPr>
        </c:title>
        <c:numFmt formatCode="General" sourceLinked="1"/>
        <c:majorTickMark val="cross"/>
        <c:minorTickMark val="none"/>
        <c:tickLblPos val="nextTo"/>
        <c:spPr>
          <a:ln w="3091">
            <a:solidFill>
              <a:srgbClr val="000000"/>
            </a:solidFill>
            <a:prstDash val="solid"/>
          </a:ln>
        </c:spPr>
        <c:txPr>
          <a:bodyPr rot="0" vert="horz"/>
          <a:lstStyle/>
          <a:p>
            <a:pPr>
              <a:defRPr/>
            </a:pPr>
            <a:endParaRPr lang="en-US"/>
          </a:p>
        </c:txPr>
        <c:crossAx val="379958784"/>
        <c:crosses val="autoZero"/>
        <c:crossBetween val="between"/>
      </c:valAx>
      <c:catAx>
        <c:axId val="384990592"/>
        <c:scaling>
          <c:orientation val="minMax"/>
        </c:scaling>
        <c:delete val="1"/>
        <c:axPos val="b"/>
        <c:numFmt formatCode="General" sourceLinked="1"/>
        <c:majorTickMark val="out"/>
        <c:minorTickMark val="none"/>
        <c:tickLblPos val="nextTo"/>
        <c:crossAx val="385005440"/>
        <c:crosses val="autoZero"/>
        <c:auto val="0"/>
        <c:lblAlgn val="ctr"/>
        <c:lblOffset val="100"/>
        <c:noMultiLvlLbl val="0"/>
      </c:catAx>
      <c:valAx>
        <c:axId val="385005440"/>
        <c:scaling>
          <c:orientation val="minMax"/>
        </c:scaling>
        <c:delete val="1"/>
        <c:axPos val="l"/>
        <c:numFmt formatCode="General" sourceLinked="1"/>
        <c:majorTickMark val="out"/>
        <c:minorTickMark val="none"/>
        <c:tickLblPos val="nextTo"/>
        <c:crossAx val="384990592"/>
        <c:crosses val="autoZero"/>
        <c:crossBetween val="between"/>
      </c:valAx>
      <c:spPr>
        <a:solidFill>
          <a:srgbClr val="C0C0C0"/>
        </a:solidFill>
        <a:ln w="12365">
          <a:solidFill>
            <a:srgbClr val="808080"/>
          </a:solidFill>
          <a:prstDash val="solid"/>
        </a:ln>
      </c:spPr>
    </c:plotArea>
    <c:legend>
      <c:legendPos val="b"/>
      <c:layout>
        <c:manualLayout>
          <c:xMode val="edge"/>
          <c:yMode val="edge"/>
          <c:x val="0.28272258555787089"/>
          <c:y val="0.93005209508995967"/>
          <c:w val="0.52181493400255097"/>
          <c:h val="6.2175947344464078E-2"/>
        </c:manualLayout>
      </c:layout>
      <c:overlay val="0"/>
      <c:spPr>
        <a:solidFill>
          <a:srgbClr val="FFFFFF"/>
        </a:solidFill>
        <a:ln w="3091">
          <a:solidFill>
            <a:srgbClr val="000000"/>
          </a:solidFill>
          <a:prstDash val="solid"/>
        </a:ln>
      </c:spPr>
    </c:legend>
    <c:plotVisOnly val="1"/>
    <c:dispBlanksAs val="gap"/>
    <c:showDLblsOverMax val="0"/>
  </c:chart>
  <c:spPr>
    <a:noFill/>
    <a:ln>
      <a:noFill/>
    </a:ln>
  </c:spPr>
  <c:txPr>
    <a:bodyPr/>
    <a:lstStyle/>
    <a:p>
      <a:pPr>
        <a:defRPr sz="972"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Contribuţia sectoarelor de activitate , la emisiile totale de particule primare în suspensie PM2,5 şi PM10, in anul 202</a:t>
            </a:r>
            <a:r>
              <a:rPr lang="ro-RO" sz="1100"/>
              <a:t>3</a:t>
            </a:r>
            <a:endParaRPr lang="en-US" sz="1100"/>
          </a:p>
        </c:rich>
      </c:tx>
      <c:layout>
        <c:manualLayout>
          <c:xMode val="edge"/>
          <c:yMode val="edge"/>
          <c:x val="0.12903234451969423"/>
          <c:y val="2.0978957089837619E-2"/>
        </c:manualLayout>
      </c:layout>
      <c:overlay val="0"/>
      <c:spPr>
        <a:noFill/>
        <a:ln w="20192">
          <a:noFill/>
        </a:ln>
      </c:spPr>
    </c:title>
    <c:autoTitleDeleted val="0"/>
    <c:view3D>
      <c:rotX val="15"/>
      <c:hPercent val="4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3594470046083082"/>
          <c:y val="0.21678321678321691"/>
          <c:w val="0.8410138248847927"/>
          <c:h val="0.55244755244755261"/>
        </c:manualLayout>
      </c:layout>
      <c:bar3DChart>
        <c:barDir val="col"/>
        <c:grouping val="clustered"/>
        <c:varyColors val="0"/>
        <c:ser>
          <c:idx val="0"/>
          <c:order val="0"/>
          <c:tx>
            <c:strRef>
              <c:f>Sheet1!$A$2</c:f>
              <c:strCache>
                <c:ptCount val="1"/>
                <c:pt idx="0">
                  <c:v>PM10</c:v>
                </c:pt>
              </c:strCache>
            </c:strRef>
          </c:tx>
          <c:spPr>
            <a:solidFill>
              <a:srgbClr val="9999FF"/>
            </a:solidFill>
            <a:ln w="10096">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Sheet1!$B$2:$F$2</c:f>
              <c:numCache>
                <c:formatCode>General</c:formatCode>
                <c:ptCount val="5"/>
                <c:pt idx="0">
                  <c:v>24.285781104274562</c:v>
                </c:pt>
                <c:pt idx="1">
                  <c:v>74.249117368499881</c:v>
                </c:pt>
                <c:pt idx="2">
                  <c:v>1.414133394371452</c:v>
                </c:pt>
                <c:pt idx="3">
                  <c:v>0</c:v>
                </c:pt>
                <c:pt idx="4">
                  <c:v>4.0002589464239346E-2</c:v>
                </c:pt>
              </c:numCache>
            </c:numRef>
          </c:val>
          <c:extLst xmlns:c16r2="http://schemas.microsoft.com/office/drawing/2015/06/chart">
            <c:ext xmlns:c16="http://schemas.microsoft.com/office/drawing/2014/chart" uri="{C3380CC4-5D6E-409C-BE32-E72D297353CC}">
              <c16:uniqueId val="{00000000-78B7-4F21-88D2-9DA97B0C42A3}"/>
            </c:ext>
          </c:extLst>
        </c:ser>
        <c:ser>
          <c:idx val="1"/>
          <c:order val="1"/>
          <c:tx>
            <c:strRef>
              <c:f>Sheet1!$A$3</c:f>
              <c:strCache>
                <c:ptCount val="1"/>
                <c:pt idx="0">
                  <c:v>PM2,5</c:v>
                </c:pt>
              </c:strCache>
            </c:strRef>
          </c:tx>
          <c:spPr>
            <a:solidFill>
              <a:srgbClr val="993366"/>
            </a:solidFill>
            <a:ln w="10096">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Sheet1!$B$3:$F$3</c:f>
              <c:numCache>
                <c:formatCode>General</c:formatCode>
                <c:ptCount val="5"/>
                <c:pt idx="0">
                  <c:v>30.259973043959153</c:v>
                </c:pt>
                <c:pt idx="1">
                  <c:v>69.007355311439667</c:v>
                </c:pt>
                <c:pt idx="2">
                  <c:v>0.71092120673098336</c:v>
                </c:pt>
                <c:pt idx="3">
                  <c:v>0</c:v>
                </c:pt>
                <c:pt idx="4">
                  <c:v>7.7194860189126312E-3</c:v>
                </c:pt>
              </c:numCache>
            </c:numRef>
          </c:val>
          <c:extLst xmlns:c16r2="http://schemas.microsoft.com/office/drawing/2015/06/chart">
            <c:ext xmlns:c16="http://schemas.microsoft.com/office/drawing/2014/chart" uri="{C3380CC4-5D6E-409C-BE32-E72D297353CC}">
              <c16:uniqueId val="{00000001-78B7-4F21-88D2-9DA97B0C42A3}"/>
            </c:ext>
          </c:extLst>
        </c:ser>
        <c:dLbls>
          <c:showLegendKey val="0"/>
          <c:showVal val="0"/>
          <c:showCatName val="0"/>
          <c:showSerName val="0"/>
          <c:showPercent val="0"/>
          <c:showBubbleSize val="0"/>
        </c:dLbls>
        <c:gapWidth val="150"/>
        <c:gapDepth val="0"/>
        <c:shape val="box"/>
        <c:axId val="354009088"/>
        <c:axId val="354010624"/>
        <c:axId val="0"/>
      </c:bar3DChart>
      <c:catAx>
        <c:axId val="354009088"/>
        <c:scaling>
          <c:orientation val="minMax"/>
        </c:scaling>
        <c:delete val="0"/>
        <c:axPos val="b"/>
        <c:numFmt formatCode="General" sourceLinked="1"/>
        <c:majorTickMark val="out"/>
        <c:minorTickMark val="none"/>
        <c:tickLblPos val="low"/>
        <c:spPr>
          <a:ln w="2524">
            <a:solidFill>
              <a:srgbClr val="000000"/>
            </a:solidFill>
            <a:prstDash val="solid"/>
          </a:ln>
        </c:spPr>
        <c:txPr>
          <a:bodyPr rot="0" vert="horz"/>
          <a:lstStyle/>
          <a:p>
            <a:pPr>
              <a:defRPr/>
            </a:pPr>
            <a:endParaRPr lang="en-US"/>
          </a:p>
        </c:txPr>
        <c:crossAx val="354010624"/>
        <c:crosses val="autoZero"/>
        <c:auto val="1"/>
        <c:lblAlgn val="ctr"/>
        <c:lblOffset val="100"/>
        <c:tickLblSkip val="1"/>
        <c:tickMarkSkip val="1"/>
        <c:noMultiLvlLbl val="0"/>
      </c:catAx>
      <c:valAx>
        <c:axId val="354010624"/>
        <c:scaling>
          <c:orientation val="minMax"/>
          <c:max val="100"/>
        </c:scaling>
        <c:delete val="0"/>
        <c:axPos val="l"/>
        <c:majorGridlines>
          <c:spPr>
            <a:ln w="2524">
              <a:solidFill>
                <a:srgbClr val="000000"/>
              </a:solidFill>
              <a:prstDash val="solid"/>
            </a:ln>
          </c:spPr>
        </c:majorGridlines>
        <c:title>
          <c:tx>
            <c:rich>
              <a:bodyPr rot="0" vert="horz"/>
              <a:lstStyle/>
              <a:p>
                <a:pPr algn="ctr">
                  <a:defRPr/>
                </a:pPr>
                <a:r>
                  <a:rPr lang="en-US"/>
                  <a:t>%</a:t>
                </a:r>
              </a:p>
            </c:rich>
          </c:tx>
          <c:layout>
            <c:manualLayout>
              <c:xMode val="edge"/>
              <c:yMode val="edge"/>
              <c:x val="5.9907879871770903E-2"/>
              <c:y val="0.4510490131127291"/>
            </c:manualLayout>
          </c:layout>
          <c:overlay val="0"/>
          <c:spPr>
            <a:noFill/>
            <a:ln w="20192">
              <a:noFill/>
            </a:ln>
          </c:spPr>
        </c:title>
        <c:numFmt formatCode="General" sourceLinked="1"/>
        <c:majorTickMark val="out"/>
        <c:minorTickMark val="none"/>
        <c:tickLblPos val="nextTo"/>
        <c:spPr>
          <a:ln w="2524">
            <a:solidFill>
              <a:srgbClr val="000000"/>
            </a:solidFill>
            <a:prstDash val="solid"/>
          </a:ln>
        </c:spPr>
        <c:txPr>
          <a:bodyPr rot="0" vert="horz"/>
          <a:lstStyle/>
          <a:p>
            <a:pPr>
              <a:defRPr/>
            </a:pPr>
            <a:endParaRPr lang="en-US"/>
          </a:p>
        </c:txPr>
        <c:crossAx val="354009088"/>
        <c:crosses val="autoZero"/>
        <c:crossBetween val="between"/>
      </c:valAx>
      <c:spPr>
        <a:noFill/>
        <a:ln w="20192">
          <a:noFill/>
        </a:ln>
      </c:spPr>
    </c:plotArea>
    <c:legend>
      <c:legendPos val="b"/>
      <c:layout>
        <c:manualLayout>
          <c:xMode val="edge"/>
          <c:yMode val="edge"/>
          <c:x val="0.37787997582225002"/>
          <c:y val="0.90909083790010459"/>
          <c:w val="0.24423957539481972"/>
          <c:h val="8.0419814071450935E-2"/>
        </c:manualLayout>
      </c:layout>
      <c:overlay val="0"/>
      <c:spPr>
        <a:noFill/>
        <a:ln w="2524">
          <a:solidFill>
            <a:srgbClr val="000000"/>
          </a:solidFill>
          <a:prstDash val="solid"/>
        </a:ln>
      </c:spPr>
    </c:legend>
    <c:plotVisOnly val="1"/>
    <c:dispBlanksAs val="gap"/>
    <c:showDLblsOverMax val="0"/>
  </c:chart>
  <c:spPr>
    <a:noFill/>
    <a:ln>
      <a:noFill/>
    </a:ln>
  </c:spPr>
  <c:txPr>
    <a:bodyPr/>
    <a:lstStyle/>
    <a:p>
      <a:pPr>
        <a:defRPr sz="114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Contributia sectoarelor de activitate  din industrie la emisiile de particule  din industrie</a:t>
            </a:r>
          </a:p>
        </c:rich>
      </c:tx>
      <c:layout>
        <c:manualLayout>
          <c:xMode val="edge"/>
          <c:yMode val="edge"/>
          <c:x val="0.115207246911112"/>
          <c:y val="2.7971996683866886E-2"/>
        </c:manualLayout>
      </c:layout>
      <c:overlay val="0"/>
      <c:spPr>
        <a:noFill/>
        <a:ln w="16057">
          <a:noFill/>
        </a:ln>
      </c:spPr>
    </c:title>
    <c:autoTitleDeleted val="0"/>
    <c:view3D>
      <c:rotX val="15"/>
      <c:hPercent val="4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3510277974619417"/>
          <c:y val="0.12948081240274886"/>
          <c:w val="0.83676884504691029"/>
          <c:h val="0.60128836760577697"/>
        </c:manualLayout>
      </c:layout>
      <c:bar3DChart>
        <c:barDir val="col"/>
        <c:grouping val="clustered"/>
        <c:varyColors val="0"/>
        <c:ser>
          <c:idx val="0"/>
          <c:order val="0"/>
          <c:tx>
            <c:strRef>
              <c:f>Sheet1!$A$2</c:f>
              <c:strCache>
                <c:ptCount val="1"/>
                <c:pt idx="0">
                  <c:v>PM10</c:v>
                </c:pt>
              </c:strCache>
            </c:strRef>
          </c:tx>
          <c:spPr>
            <a:solidFill>
              <a:srgbClr val="9999FF"/>
            </a:solidFill>
            <a:ln w="8028">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Sheet1!$B$2:$F$2</c:f>
              <c:numCache>
                <c:formatCode>General</c:formatCode>
                <c:ptCount val="5"/>
                <c:pt idx="0">
                  <c:v>9.9952696805116654E-3</c:v>
                </c:pt>
                <c:pt idx="1">
                  <c:v>0</c:v>
                </c:pt>
                <c:pt idx="2">
                  <c:v>99.990004730319484</c:v>
                </c:pt>
                <c:pt idx="3">
                  <c:v>0</c:v>
                </c:pt>
                <c:pt idx="4">
                  <c:v>0</c:v>
                </c:pt>
              </c:numCache>
            </c:numRef>
          </c:val>
          <c:extLst xmlns:c16r2="http://schemas.microsoft.com/office/drawing/2015/06/chart">
            <c:ext xmlns:c16="http://schemas.microsoft.com/office/drawing/2014/chart" uri="{C3380CC4-5D6E-409C-BE32-E72D297353CC}">
              <c16:uniqueId val="{00000000-78A2-497F-B0A5-F518CFCE6ADA}"/>
            </c:ext>
          </c:extLst>
        </c:ser>
        <c:ser>
          <c:idx val="1"/>
          <c:order val="1"/>
          <c:tx>
            <c:strRef>
              <c:f>Sheet1!$A$3</c:f>
              <c:strCache>
                <c:ptCount val="1"/>
                <c:pt idx="0">
                  <c:v>PM 2,5</c:v>
                </c:pt>
              </c:strCache>
            </c:strRef>
          </c:tx>
          <c:spPr>
            <a:solidFill>
              <a:srgbClr val="993366"/>
            </a:solidFill>
            <a:ln w="8028">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Sheet1!$B$3:$F$3</c:f>
              <c:numCache>
                <c:formatCode>General</c:formatCode>
                <c:ptCount val="5"/>
                <c:pt idx="0">
                  <c:v>1.9080144742865467E-2</c:v>
                </c:pt>
                <c:pt idx="1">
                  <c:v>0</c:v>
                </c:pt>
                <c:pt idx="2">
                  <c:v>99.980919855257127</c:v>
                </c:pt>
                <c:pt idx="3">
                  <c:v>0</c:v>
                </c:pt>
                <c:pt idx="4">
                  <c:v>0</c:v>
                </c:pt>
              </c:numCache>
            </c:numRef>
          </c:val>
          <c:extLst xmlns:c16r2="http://schemas.microsoft.com/office/drawing/2015/06/chart">
            <c:ext xmlns:c16="http://schemas.microsoft.com/office/drawing/2014/chart" uri="{C3380CC4-5D6E-409C-BE32-E72D297353CC}">
              <c16:uniqueId val="{00000001-78A2-497F-B0A5-F518CFCE6ADA}"/>
            </c:ext>
          </c:extLst>
        </c:ser>
        <c:dLbls>
          <c:showLegendKey val="0"/>
          <c:showVal val="0"/>
          <c:showCatName val="0"/>
          <c:showSerName val="0"/>
          <c:showPercent val="0"/>
          <c:showBubbleSize val="0"/>
        </c:dLbls>
        <c:gapWidth val="150"/>
        <c:gapDepth val="0"/>
        <c:shape val="box"/>
        <c:axId val="353779712"/>
        <c:axId val="353781248"/>
        <c:axId val="0"/>
      </c:bar3DChart>
      <c:catAx>
        <c:axId val="353779712"/>
        <c:scaling>
          <c:orientation val="minMax"/>
        </c:scaling>
        <c:delete val="0"/>
        <c:axPos val="b"/>
        <c:numFmt formatCode="General" sourceLinked="1"/>
        <c:majorTickMark val="out"/>
        <c:minorTickMark val="none"/>
        <c:tickLblPos val="low"/>
        <c:spPr>
          <a:ln w="2007">
            <a:solidFill>
              <a:srgbClr val="000000"/>
            </a:solidFill>
            <a:prstDash val="solid"/>
          </a:ln>
        </c:spPr>
        <c:txPr>
          <a:bodyPr rot="0" vert="horz"/>
          <a:lstStyle/>
          <a:p>
            <a:pPr>
              <a:defRPr/>
            </a:pPr>
            <a:endParaRPr lang="en-US"/>
          </a:p>
        </c:txPr>
        <c:crossAx val="353781248"/>
        <c:crosses val="autoZero"/>
        <c:auto val="1"/>
        <c:lblAlgn val="ctr"/>
        <c:lblOffset val="100"/>
        <c:tickLblSkip val="1"/>
        <c:tickMarkSkip val="1"/>
        <c:noMultiLvlLbl val="0"/>
      </c:catAx>
      <c:valAx>
        <c:axId val="353781248"/>
        <c:scaling>
          <c:orientation val="minMax"/>
          <c:max val="100"/>
        </c:scaling>
        <c:delete val="0"/>
        <c:axPos val="l"/>
        <c:majorGridlines/>
        <c:title>
          <c:tx>
            <c:rich>
              <a:bodyPr rot="0" vert="horz"/>
              <a:lstStyle/>
              <a:p>
                <a:pPr algn="ctr">
                  <a:defRPr/>
                </a:pPr>
                <a:r>
                  <a:rPr lang="en-US"/>
                  <a:t>%</a:t>
                </a:r>
              </a:p>
            </c:rich>
          </c:tx>
          <c:layout>
            <c:manualLayout>
              <c:xMode val="edge"/>
              <c:yMode val="edge"/>
              <c:x val="8.294938651623876E-2"/>
              <c:y val="0.43007010150297936"/>
            </c:manualLayout>
          </c:layout>
          <c:overlay val="0"/>
          <c:spPr>
            <a:noFill/>
            <a:ln w="16057">
              <a:noFill/>
            </a:ln>
          </c:spPr>
        </c:title>
        <c:numFmt formatCode="General" sourceLinked="1"/>
        <c:majorTickMark val="out"/>
        <c:minorTickMark val="none"/>
        <c:tickLblPos val="nextTo"/>
        <c:spPr>
          <a:ln w="2007">
            <a:solidFill>
              <a:srgbClr val="000000"/>
            </a:solidFill>
            <a:prstDash val="solid"/>
          </a:ln>
        </c:spPr>
        <c:txPr>
          <a:bodyPr rot="0" vert="horz"/>
          <a:lstStyle/>
          <a:p>
            <a:pPr>
              <a:defRPr/>
            </a:pPr>
            <a:endParaRPr lang="en-US"/>
          </a:p>
        </c:txPr>
        <c:crossAx val="353779712"/>
        <c:crosses val="autoZero"/>
        <c:crossBetween val="between"/>
      </c:valAx>
      <c:spPr>
        <a:noFill/>
        <a:ln w="16057">
          <a:noFill/>
        </a:ln>
      </c:spPr>
    </c:plotArea>
    <c:legend>
      <c:legendPos val="b"/>
      <c:layout>
        <c:manualLayout>
          <c:xMode val="edge"/>
          <c:yMode val="edge"/>
          <c:x val="0.37557591546409863"/>
          <c:y val="0.89151156105486817"/>
          <c:w val="0.25115206644267402"/>
          <c:h val="8.0419770104056987E-2"/>
        </c:manualLayout>
      </c:layout>
      <c:overlay val="0"/>
      <c:spPr>
        <a:noFill/>
        <a:ln w="2007">
          <a:solidFill>
            <a:srgbClr val="000000"/>
          </a:solidFill>
          <a:prstDash val="solid"/>
        </a:ln>
      </c:spPr>
    </c:legend>
    <c:plotVisOnly val="1"/>
    <c:dispBlanksAs val="gap"/>
    <c:showDLblsOverMax val="0"/>
  </c:chart>
  <c:spPr>
    <a:noFill/>
    <a:ln>
      <a:noFill/>
    </a:ln>
  </c:spPr>
  <c:txPr>
    <a:bodyPr/>
    <a:lstStyle/>
    <a:p>
      <a:pPr>
        <a:defRPr sz="10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Contributia sectoarelor de activitate  la emisiile totale de metale grele</a:t>
            </a:r>
          </a:p>
        </c:rich>
      </c:tx>
      <c:layout>
        <c:manualLayout>
          <c:xMode val="edge"/>
          <c:yMode val="edge"/>
          <c:x val="0.13824895573241183"/>
          <c:y val="2.0978813896544001E-2"/>
        </c:manualLayout>
      </c:layout>
      <c:overlay val="0"/>
      <c:spPr>
        <a:noFill/>
        <a:ln w="25363">
          <a:noFill/>
        </a:ln>
      </c:spPr>
    </c:title>
    <c:autoTitleDeleted val="0"/>
    <c:view3D>
      <c:rotX val="15"/>
      <c:hPercent val="4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7.8865452371178771E-2"/>
          <c:y val="0.12525645417722706"/>
          <c:w val="0.89809309598740494"/>
          <c:h val="0.6439745526417322"/>
        </c:manualLayout>
      </c:layout>
      <c:bar3DChart>
        <c:barDir val="col"/>
        <c:grouping val="clustered"/>
        <c:varyColors val="0"/>
        <c:ser>
          <c:idx val="0"/>
          <c:order val="0"/>
          <c:tx>
            <c:strRef>
              <c:f>Sheet1!$A$2</c:f>
              <c:strCache>
                <c:ptCount val="1"/>
                <c:pt idx="0">
                  <c:v>Pb</c:v>
                </c:pt>
              </c:strCache>
            </c:strRef>
          </c:tx>
          <c:spPr>
            <a:solidFill>
              <a:srgbClr val="9999FF"/>
            </a:solidFill>
            <a:ln w="12681">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Sheet1!$B$2:$F$2</c:f>
              <c:numCache>
                <c:formatCode>General</c:formatCode>
                <c:ptCount val="5"/>
                <c:pt idx="0">
                  <c:v>0.87999360298499085</c:v>
                </c:pt>
                <c:pt idx="1">
                  <c:v>96.589025809343781</c:v>
                </c:pt>
                <c:pt idx="2">
                  <c:v>4.3364876664176537E-2</c:v>
                </c:pt>
                <c:pt idx="3">
                  <c:v>0</c:v>
                </c:pt>
                <c:pt idx="4" formatCode="0.00E+00">
                  <c:v>2.4876157110070376</c:v>
                </c:pt>
              </c:numCache>
            </c:numRef>
          </c:val>
          <c:extLst xmlns:c16r2="http://schemas.microsoft.com/office/drawing/2015/06/chart">
            <c:ext xmlns:c16="http://schemas.microsoft.com/office/drawing/2014/chart" uri="{C3380CC4-5D6E-409C-BE32-E72D297353CC}">
              <c16:uniqueId val="{00000000-E91B-4722-9FB2-960C35606C7F}"/>
            </c:ext>
          </c:extLst>
        </c:ser>
        <c:ser>
          <c:idx val="1"/>
          <c:order val="1"/>
          <c:tx>
            <c:strRef>
              <c:f>Sheet1!$A$3</c:f>
              <c:strCache>
                <c:ptCount val="1"/>
                <c:pt idx="0">
                  <c:v>Cd</c:v>
                </c:pt>
              </c:strCache>
            </c:strRef>
          </c:tx>
          <c:spPr>
            <a:solidFill>
              <a:srgbClr val="993366"/>
            </a:solidFill>
            <a:ln w="12681">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Sheet1!$B$3:$F$3</c:f>
              <c:numCache>
                <c:formatCode>General</c:formatCode>
                <c:ptCount val="5"/>
                <c:pt idx="0">
                  <c:v>29.665650030812635</c:v>
                </c:pt>
                <c:pt idx="1">
                  <c:v>40.044470776986152</c:v>
                </c:pt>
                <c:pt idx="2">
                  <c:v>1.0911365235605786E-2</c:v>
                </c:pt>
                <c:pt idx="3">
                  <c:v>0</c:v>
                </c:pt>
                <c:pt idx="4" formatCode="0.00E+00">
                  <c:v>30.278967287741171</c:v>
                </c:pt>
              </c:numCache>
            </c:numRef>
          </c:val>
          <c:extLst xmlns:c16r2="http://schemas.microsoft.com/office/drawing/2015/06/chart">
            <c:ext xmlns:c16="http://schemas.microsoft.com/office/drawing/2014/chart" uri="{C3380CC4-5D6E-409C-BE32-E72D297353CC}">
              <c16:uniqueId val="{00000001-E91B-4722-9FB2-960C35606C7F}"/>
            </c:ext>
          </c:extLst>
        </c:ser>
        <c:ser>
          <c:idx val="2"/>
          <c:order val="2"/>
          <c:tx>
            <c:strRef>
              <c:f>Sheet1!$A$4</c:f>
              <c:strCache>
                <c:ptCount val="1"/>
                <c:pt idx="0">
                  <c:v>Hg</c:v>
                </c:pt>
              </c:strCache>
            </c:strRef>
          </c:tx>
          <c:spPr>
            <a:solidFill>
              <a:srgbClr val="FFFFCC"/>
            </a:solidFill>
            <a:ln w="12681">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Sheet1!$B$4:$F$4</c:f>
              <c:numCache>
                <c:formatCode>General</c:formatCode>
                <c:ptCount val="5"/>
                <c:pt idx="0">
                  <c:v>10.695803295322234</c:v>
                </c:pt>
                <c:pt idx="1">
                  <c:v>18.145589672444153</c:v>
                </c:pt>
                <c:pt idx="2">
                  <c:v>0</c:v>
                </c:pt>
                <c:pt idx="3">
                  <c:v>0</c:v>
                </c:pt>
                <c:pt idx="4">
                  <c:v>71.158607032233604</c:v>
                </c:pt>
              </c:numCache>
            </c:numRef>
          </c:val>
          <c:extLst xmlns:c16r2="http://schemas.microsoft.com/office/drawing/2015/06/chart">
            <c:ext xmlns:c16="http://schemas.microsoft.com/office/drawing/2014/chart" uri="{C3380CC4-5D6E-409C-BE32-E72D297353CC}">
              <c16:uniqueId val="{00000002-E91B-4722-9FB2-960C35606C7F}"/>
            </c:ext>
          </c:extLst>
        </c:ser>
        <c:dLbls>
          <c:showLegendKey val="0"/>
          <c:showVal val="0"/>
          <c:showCatName val="0"/>
          <c:showSerName val="0"/>
          <c:showPercent val="0"/>
          <c:showBubbleSize val="0"/>
        </c:dLbls>
        <c:gapWidth val="150"/>
        <c:gapDepth val="0"/>
        <c:shape val="box"/>
        <c:axId val="354112640"/>
        <c:axId val="354114176"/>
        <c:axId val="0"/>
      </c:bar3DChart>
      <c:catAx>
        <c:axId val="354112640"/>
        <c:scaling>
          <c:orientation val="minMax"/>
        </c:scaling>
        <c:delete val="0"/>
        <c:axPos val="b"/>
        <c:numFmt formatCode="General" sourceLinked="1"/>
        <c:majorTickMark val="out"/>
        <c:minorTickMark val="none"/>
        <c:tickLblPos val="low"/>
        <c:spPr>
          <a:ln w="3170">
            <a:solidFill>
              <a:srgbClr val="000000"/>
            </a:solidFill>
            <a:prstDash val="solid"/>
          </a:ln>
        </c:spPr>
        <c:txPr>
          <a:bodyPr rot="0" vert="horz"/>
          <a:lstStyle/>
          <a:p>
            <a:pPr>
              <a:defRPr sz="1100"/>
            </a:pPr>
            <a:endParaRPr lang="en-US"/>
          </a:p>
        </c:txPr>
        <c:crossAx val="354114176"/>
        <c:crosses val="autoZero"/>
        <c:auto val="1"/>
        <c:lblAlgn val="ctr"/>
        <c:lblOffset val="100"/>
        <c:tickLblSkip val="1"/>
        <c:tickMarkSkip val="1"/>
        <c:noMultiLvlLbl val="0"/>
      </c:catAx>
      <c:valAx>
        <c:axId val="354114176"/>
        <c:scaling>
          <c:orientation val="minMax"/>
          <c:max val="100"/>
        </c:scaling>
        <c:delete val="0"/>
        <c:axPos val="l"/>
        <c:majorGridlines>
          <c:spPr>
            <a:ln w="3170">
              <a:solidFill>
                <a:srgbClr val="000000"/>
              </a:solidFill>
              <a:prstDash val="solid"/>
            </a:ln>
          </c:spPr>
        </c:majorGridlines>
        <c:title>
          <c:tx>
            <c:rich>
              <a:bodyPr rot="0" vert="horz"/>
              <a:lstStyle/>
              <a:p>
                <a:pPr algn="ctr">
                  <a:defRPr/>
                </a:pPr>
                <a:r>
                  <a:rPr lang="en-US"/>
                  <a:t>%</a:t>
                </a:r>
              </a:p>
            </c:rich>
          </c:tx>
          <c:layout>
            <c:manualLayout>
              <c:xMode val="edge"/>
              <c:yMode val="edge"/>
              <c:x val="5.7603592305568219E-2"/>
              <c:y val="0.45104881730818469"/>
            </c:manualLayout>
          </c:layout>
          <c:overlay val="0"/>
          <c:spPr>
            <a:noFill/>
            <a:ln w="25363">
              <a:noFill/>
            </a:ln>
          </c:spPr>
        </c:title>
        <c:numFmt formatCode="General" sourceLinked="1"/>
        <c:majorTickMark val="out"/>
        <c:minorTickMark val="none"/>
        <c:tickLblPos val="nextTo"/>
        <c:spPr>
          <a:ln w="3170">
            <a:solidFill>
              <a:srgbClr val="000000"/>
            </a:solidFill>
            <a:prstDash val="solid"/>
          </a:ln>
        </c:spPr>
        <c:txPr>
          <a:bodyPr rot="0" vert="horz"/>
          <a:lstStyle/>
          <a:p>
            <a:pPr>
              <a:defRPr/>
            </a:pPr>
            <a:endParaRPr lang="en-US"/>
          </a:p>
        </c:txPr>
        <c:crossAx val="354112640"/>
        <c:crosses val="autoZero"/>
        <c:crossBetween val="between"/>
      </c:valAx>
      <c:spPr>
        <a:noFill/>
        <a:ln w="25363">
          <a:noFill/>
        </a:ln>
      </c:spPr>
    </c:plotArea>
    <c:legend>
      <c:legendPos val="b"/>
      <c:layout>
        <c:manualLayout>
          <c:xMode val="edge"/>
          <c:yMode val="edge"/>
          <c:x val="0.3756392694063927"/>
          <c:y val="0.90112575928008998"/>
          <c:w val="0.23271908940785357"/>
          <c:h val="8.0419712003237609E-2"/>
        </c:manualLayout>
      </c:layout>
      <c:overlay val="0"/>
      <c:spPr>
        <a:noFill/>
        <a:ln w="3170">
          <a:solidFill>
            <a:srgbClr val="000000"/>
          </a:solidFill>
          <a:prstDash val="solid"/>
        </a:ln>
      </c:spPr>
    </c:legend>
    <c:plotVisOnly val="1"/>
    <c:dispBlanksAs val="gap"/>
    <c:showDLblsOverMax val="0"/>
  </c:chart>
  <c:spPr>
    <a:noFill/>
    <a:ln>
      <a:noFill/>
    </a:ln>
  </c:spPr>
  <c:txPr>
    <a:bodyPr/>
    <a:lstStyle/>
    <a:p>
      <a:pPr>
        <a:defRPr sz="1198"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Contributia sectoarelor de activitate  din industrie la emisiile de metale grele din industrie</a:t>
            </a:r>
          </a:p>
        </c:rich>
      </c:tx>
      <c:layout>
        <c:manualLayout>
          <c:xMode val="edge"/>
          <c:yMode val="edge"/>
          <c:x val="0.13765166238809187"/>
          <c:y val="2.7607284628026842E-2"/>
        </c:manualLayout>
      </c:layout>
      <c:overlay val="0"/>
      <c:spPr>
        <a:noFill/>
        <a:ln w="15029">
          <a:noFill/>
        </a:ln>
      </c:spPr>
    </c:title>
    <c:autoTitleDeleted val="0"/>
    <c:view3D>
      <c:rotX val="15"/>
      <c:hPercent val="4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8.5776791985508874E-2"/>
          <c:y val="0.14784660449866974"/>
          <c:w val="0.85829959514170062"/>
          <c:h val="0.66244067614415092"/>
        </c:manualLayout>
      </c:layout>
      <c:bar3DChart>
        <c:barDir val="col"/>
        <c:grouping val="clustered"/>
        <c:varyColors val="0"/>
        <c:ser>
          <c:idx val="0"/>
          <c:order val="0"/>
          <c:tx>
            <c:strRef>
              <c:f>Sheet1!$A$2</c:f>
              <c:strCache>
                <c:ptCount val="1"/>
                <c:pt idx="0">
                  <c:v>Pb</c:v>
                </c:pt>
              </c:strCache>
            </c:strRef>
          </c:tx>
          <c:spPr>
            <a:solidFill>
              <a:srgbClr val="9999FF"/>
            </a:solidFill>
            <a:ln w="7515">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Sheet1!$B$2:$F$2</c:f>
              <c:numCache>
                <c:formatCode>General</c:formatCode>
                <c:ptCount val="5"/>
                <c:pt idx="0">
                  <c:v>100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02A3-4BE5-B9AA-09E2DDA22CE1}"/>
            </c:ext>
          </c:extLst>
        </c:ser>
        <c:ser>
          <c:idx val="1"/>
          <c:order val="1"/>
          <c:tx>
            <c:strRef>
              <c:f>Sheet1!$A$3</c:f>
              <c:strCache>
                <c:ptCount val="1"/>
                <c:pt idx="0">
                  <c:v>Cd</c:v>
                </c:pt>
              </c:strCache>
            </c:strRef>
          </c:tx>
          <c:spPr>
            <a:solidFill>
              <a:srgbClr val="993366"/>
            </a:solidFill>
            <a:ln w="7515">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Sheet1!$B$3:$F$3</c:f>
              <c:numCache>
                <c:formatCode>General</c:formatCode>
                <c:ptCount val="5"/>
                <c:pt idx="0">
                  <c:v>100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02A3-4BE5-B9AA-09E2DDA22CE1}"/>
            </c:ext>
          </c:extLst>
        </c:ser>
        <c:ser>
          <c:idx val="2"/>
          <c:order val="2"/>
          <c:tx>
            <c:strRef>
              <c:f>Sheet1!$A$4</c:f>
              <c:strCache>
                <c:ptCount val="1"/>
                <c:pt idx="0">
                  <c:v>Hg</c:v>
                </c:pt>
              </c:strCache>
            </c:strRef>
          </c:tx>
          <c:spPr>
            <a:solidFill>
              <a:srgbClr val="FFFFCC"/>
            </a:solidFill>
            <a:ln w="7515">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Sheet1!$B$4:$F$4</c:f>
              <c:numCache>
                <c:formatCode>General</c:formatCode>
                <c:ptCount val="5"/>
              </c:numCache>
            </c:numRef>
          </c:val>
          <c:extLst xmlns:c16r2="http://schemas.microsoft.com/office/drawing/2015/06/chart">
            <c:ext xmlns:c16="http://schemas.microsoft.com/office/drawing/2014/chart" uri="{C3380CC4-5D6E-409C-BE32-E72D297353CC}">
              <c16:uniqueId val="{00000002-02A3-4BE5-B9AA-09E2DDA22CE1}"/>
            </c:ext>
          </c:extLst>
        </c:ser>
        <c:dLbls>
          <c:showLegendKey val="0"/>
          <c:showVal val="0"/>
          <c:showCatName val="0"/>
          <c:showSerName val="0"/>
          <c:showPercent val="0"/>
          <c:showBubbleSize val="0"/>
        </c:dLbls>
        <c:gapWidth val="150"/>
        <c:gapDepth val="0"/>
        <c:shape val="box"/>
        <c:axId val="353835264"/>
        <c:axId val="353845248"/>
        <c:axId val="0"/>
      </c:bar3DChart>
      <c:catAx>
        <c:axId val="353835264"/>
        <c:scaling>
          <c:orientation val="minMax"/>
        </c:scaling>
        <c:delete val="0"/>
        <c:axPos val="b"/>
        <c:numFmt formatCode="General" sourceLinked="1"/>
        <c:majorTickMark val="out"/>
        <c:minorTickMark val="none"/>
        <c:tickLblPos val="low"/>
        <c:spPr>
          <a:ln w="1879">
            <a:solidFill>
              <a:srgbClr val="000000"/>
            </a:solidFill>
            <a:prstDash val="solid"/>
          </a:ln>
        </c:spPr>
        <c:txPr>
          <a:bodyPr rot="0" vert="horz"/>
          <a:lstStyle/>
          <a:p>
            <a:pPr>
              <a:defRPr/>
            </a:pPr>
            <a:endParaRPr lang="en-US"/>
          </a:p>
        </c:txPr>
        <c:crossAx val="353845248"/>
        <c:crosses val="autoZero"/>
        <c:auto val="1"/>
        <c:lblAlgn val="ctr"/>
        <c:lblOffset val="100"/>
        <c:tickLblSkip val="1"/>
        <c:tickMarkSkip val="1"/>
        <c:noMultiLvlLbl val="0"/>
      </c:catAx>
      <c:valAx>
        <c:axId val="353845248"/>
        <c:scaling>
          <c:orientation val="minMax"/>
          <c:max val="100"/>
        </c:scaling>
        <c:delete val="0"/>
        <c:axPos val="l"/>
        <c:majorGridlines>
          <c:spPr>
            <a:ln w="1879">
              <a:solidFill>
                <a:srgbClr val="000000"/>
              </a:solidFill>
              <a:prstDash val="solid"/>
            </a:ln>
          </c:spPr>
        </c:majorGridlines>
        <c:title>
          <c:tx>
            <c:rich>
              <a:bodyPr rot="0" vert="horz"/>
              <a:lstStyle/>
              <a:p>
                <a:pPr algn="ctr">
                  <a:defRPr/>
                </a:pPr>
                <a:r>
                  <a:rPr lang="en-US"/>
                  <a:t>%</a:t>
                </a:r>
              </a:p>
            </c:rich>
          </c:tx>
          <c:layout>
            <c:manualLayout>
              <c:xMode val="edge"/>
              <c:yMode val="edge"/>
              <c:x val="7.1968331827374041E-2"/>
              <c:y val="0.41809928666892099"/>
            </c:manualLayout>
          </c:layout>
          <c:overlay val="0"/>
          <c:spPr>
            <a:noFill/>
            <a:ln w="15029">
              <a:noFill/>
            </a:ln>
          </c:spPr>
        </c:title>
        <c:numFmt formatCode="General" sourceLinked="1"/>
        <c:majorTickMark val="out"/>
        <c:minorTickMark val="none"/>
        <c:tickLblPos val="nextTo"/>
        <c:spPr>
          <a:ln w="1879">
            <a:solidFill>
              <a:srgbClr val="000000"/>
            </a:solidFill>
            <a:prstDash val="solid"/>
          </a:ln>
        </c:spPr>
        <c:txPr>
          <a:bodyPr rot="0" vert="horz"/>
          <a:lstStyle/>
          <a:p>
            <a:pPr>
              <a:defRPr/>
            </a:pPr>
            <a:endParaRPr lang="en-US"/>
          </a:p>
        </c:txPr>
        <c:crossAx val="353835264"/>
        <c:crosses val="autoZero"/>
        <c:crossBetween val="between"/>
      </c:valAx>
      <c:spPr>
        <a:noFill/>
        <a:ln w="15029">
          <a:noFill/>
        </a:ln>
      </c:spPr>
    </c:plotArea>
    <c:legend>
      <c:legendPos val="b"/>
      <c:overlay val="0"/>
      <c:spPr>
        <a:noFill/>
        <a:ln w="1879">
          <a:solidFill>
            <a:srgbClr val="000000"/>
          </a:solidFill>
          <a:prstDash val="solid"/>
        </a:ln>
      </c:spPr>
    </c:legend>
    <c:plotVisOnly val="1"/>
    <c:dispBlanksAs val="gap"/>
    <c:showDLblsOverMax val="0"/>
  </c:chart>
  <c:spPr>
    <a:noFill/>
    <a:ln>
      <a:noFill/>
    </a:ln>
  </c:spPr>
  <c:txPr>
    <a:bodyPr/>
    <a:lstStyle/>
    <a:p>
      <a:pPr>
        <a:defRPr sz="843"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Contribuţia sectoarelor de activitate , la emisiile totale 
de poluanti organici persistenti</a:t>
            </a:r>
          </a:p>
        </c:rich>
      </c:tx>
      <c:layout>
        <c:manualLayout>
          <c:xMode val="edge"/>
          <c:yMode val="edge"/>
          <c:x val="0.23973622862359598"/>
          <c:y val="0.10052314075774697"/>
        </c:manualLayout>
      </c:layout>
      <c:overlay val="0"/>
      <c:spPr>
        <a:noFill/>
        <a:ln w="25146">
          <a:noFill/>
        </a:ln>
      </c:spPr>
    </c:title>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8.2926829268293811E-2"/>
          <c:y val="0.23703703703703857"/>
          <c:w val="0.79497322858561603"/>
          <c:h val="0.521793247922402"/>
        </c:manualLayout>
      </c:layout>
      <c:bar3DChart>
        <c:barDir val="col"/>
        <c:grouping val="clustered"/>
        <c:varyColors val="0"/>
        <c:ser>
          <c:idx val="0"/>
          <c:order val="0"/>
          <c:tx>
            <c:strRef>
              <c:f>Sheet1!$A$2</c:f>
              <c:strCache>
                <c:ptCount val="1"/>
                <c:pt idx="0">
                  <c:v>PCDD/PCDF</c:v>
                </c:pt>
              </c:strCache>
            </c:strRef>
          </c:tx>
          <c:spPr>
            <a:solidFill>
              <a:srgbClr val="9999FF"/>
            </a:solidFill>
            <a:ln w="12573">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Sheet1!$B$2:$F$2</c:f>
              <c:numCache>
                <c:formatCode>General</c:formatCode>
                <c:ptCount val="5"/>
                <c:pt idx="0">
                  <c:v>1.2824902844113484</c:v>
                </c:pt>
                <c:pt idx="1">
                  <c:v>1.6079327661996896</c:v>
                </c:pt>
                <c:pt idx="2">
                  <c:v>1.7195842147737825</c:v>
                </c:pt>
                <c:pt idx="3">
                  <c:v>0</c:v>
                </c:pt>
                <c:pt idx="4">
                  <c:v>95.389992734615177</c:v>
                </c:pt>
              </c:numCache>
            </c:numRef>
          </c:val>
          <c:extLst xmlns:c16r2="http://schemas.microsoft.com/office/drawing/2015/06/chart">
            <c:ext xmlns:c16="http://schemas.microsoft.com/office/drawing/2014/chart" uri="{C3380CC4-5D6E-409C-BE32-E72D297353CC}">
              <c16:uniqueId val="{00000000-0D2A-45C9-AC65-643943E95742}"/>
            </c:ext>
          </c:extLst>
        </c:ser>
        <c:ser>
          <c:idx val="1"/>
          <c:order val="1"/>
          <c:tx>
            <c:strRef>
              <c:f>Sheet1!$A$3</c:f>
              <c:strCache>
                <c:ptCount val="1"/>
                <c:pt idx="0">
                  <c:v>PAH</c:v>
                </c:pt>
              </c:strCache>
            </c:strRef>
          </c:tx>
          <c:spPr>
            <a:solidFill>
              <a:srgbClr val="993366"/>
            </a:solidFill>
            <a:ln w="12573">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Sheet1!$B$3:$F$3</c:f>
              <c:numCache>
                <c:formatCode>General</c:formatCode>
                <c:ptCount val="5"/>
                <c:pt idx="0">
                  <c:v>6.1395893737866745</c:v>
                </c:pt>
                <c:pt idx="1">
                  <c:v>93.859959633786303</c:v>
                </c:pt>
                <c:pt idx="2">
                  <c:v>0</c:v>
                </c:pt>
                <c:pt idx="3">
                  <c:v>0</c:v>
                </c:pt>
                <c:pt idx="4">
                  <c:v>4.5013252669623611E-4</c:v>
                </c:pt>
              </c:numCache>
            </c:numRef>
          </c:val>
          <c:extLst xmlns:c16r2="http://schemas.microsoft.com/office/drawing/2015/06/chart">
            <c:ext xmlns:c16="http://schemas.microsoft.com/office/drawing/2014/chart" uri="{C3380CC4-5D6E-409C-BE32-E72D297353CC}">
              <c16:uniqueId val="{00000001-0D2A-45C9-AC65-643943E95742}"/>
            </c:ext>
          </c:extLst>
        </c:ser>
        <c:ser>
          <c:idx val="2"/>
          <c:order val="2"/>
          <c:tx>
            <c:strRef>
              <c:f>Sheet1!$A$4</c:f>
              <c:strCache>
                <c:ptCount val="1"/>
                <c:pt idx="0">
                  <c:v>HCB</c:v>
                </c:pt>
              </c:strCache>
            </c:strRef>
          </c:tx>
          <c:spPr>
            <a:solidFill>
              <a:srgbClr val="FFFFCC"/>
            </a:solidFill>
            <a:ln w="12573">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Sheet1!$B$4:$F$4</c:f>
              <c:numCache>
                <c:formatCode>General</c:formatCode>
                <c:ptCount val="5"/>
                <c:pt idx="0" formatCode="0.00E+00">
                  <c:v>2.9319969580674995E-3</c:v>
                </c:pt>
                <c:pt idx="1">
                  <c:v>6.2724081098493431E-4</c:v>
                </c:pt>
                <c:pt idx="2">
                  <c:v>99.899427839609757</c:v>
                </c:pt>
                <c:pt idx="3">
                  <c:v>0</c:v>
                </c:pt>
                <c:pt idx="4">
                  <c:v>9.7012922621189768E-2</c:v>
                </c:pt>
              </c:numCache>
            </c:numRef>
          </c:val>
          <c:extLst xmlns:c16r2="http://schemas.microsoft.com/office/drawing/2015/06/chart">
            <c:ext xmlns:c16="http://schemas.microsoft.com/office/drawing/2014/chart" uri="{C3380CC4-5D6E-409C-BE32-E72D297353CC}">
              <c16:uniqueId val="{00000002-0D2A-45C9-AC65-643943E95742}"/>
            </c:ext>
          </c:extLst>
        </c:ser>
        <c:ser>
          <c:idx val="3"/>
          <c:order val="3"/>
          <c:tx>
            <c:strRef>
              <c:f>Sheet1!$A$5</c:f>
              <c:strCache>
                <c:ptCount val="1"/>
                <c:pt idx="0">
                  <c:v>PCBs</c:v>
                </c:pt>
              </c:strCache>
            </c:strRef>
          </c:tx>
          <c:spPr>
            <a:solidFill>
              <a:srgbClr val="CCFFFF"/>
            </a:solidFill>
            <a:ln w="12573">
              <a:solidFill>
                <a:srgbClr val="000000"/>
              </a:solidFill>
              <a:prstDash val="solid"/>
            </a:ln>
          </c:spPr>
          <c:invertIfNegative val="0"/>
          <c:cat>
            <c:strRef>
              <c:f>Sheet1!$B$1:$F$1</c:f>
              <c:strCache>
                <c:ptCount val="5"/>
                <c:pt idx="0">
                  <c:v>energia</c:v>
                </c:pt>
                <c:pt idx="1">
                  <c:v>transporturi</c:v>
                </c:pt>
                <c:pt idx="2">
                  <c:v>procese industriale</c:v>
                </c:pt>
                <c:pt idx="3">
                  <c:v>utilizarea produselor</c:v>
                </c:pt>
                <c:pt idx="4">
                  <c:v>deseuri</c:v>
                </c:pt>
              </c:strCache>
            </c:strRef>
          </c:cat>
          <c:val>
            <c:numRef>
              <c:f>Sheet1!$B$5:$F$5</c:f>
              <c:numCache>
                <c:formatCode>General</c:formatCode>
                <c:ptCount val="5"/>
                <c:pt idx="0">
                  <c:v>32.618396309593635</c:v>
                </c:pt>
                <c:pt idx="1">
                  <c:v>0.44550112064788333</c:v>
                </c:pt>
                <c:pt idx="2">
                  <c:v>0</c:v>
                </c:pt>
                <c:pt idx="3">
                  <c:v>0</c:v>
                </c:pt>
                <c:pt idx="4">
                  <c:v>66.936102569758475</c:v>
                </c:pt>
              </c:numCache>
            </c:numRef>
          </c:val>
          <c:extLst xmlns:c16r2="http://schemas.microsoft.com/office/drawing/2015/06/chart">
            <c:ext xmlns:c16="http://schemas.microsoft.com/office/drawing/2014/chart" uri="{C3380CC4-5D6E-409C-BE32-E72D297353CC}">
              <c16:uniqueId val="{00000003-0D2A-45C9-AC65-643943E95742}"/>
            </c:ext>
          </c:extLst>
        </c:ser>
        <c:dLbls>
          <c:showLegendKey val="0"/>
          <c:showVal val="0"/>
          <c:showCatName val="0"/>
          <c:showSerName val="0"/>
          <c:showPercent val="0"/>
          <c:showBubbleSize val="0"/>
        </c:dLbls>
        <c:gapWidth val="150"/>
        <c:gapDepth val="0"/>
        <c:shape val="box"/>
        <c:axId val="351355648"/>
        <c:axId val="351357184"/>
        <c:axId val="0"/>
      </c:bar3DChart>
      <c:catAx>
        <c:axId val="351355648"/>
        <c:scaling>
          <c:orientation val="minMax"/>
        </c:scaling>
        <c:delete val="0"/>
        <c:axPos val="b"/>
        <c:numFmt formatCode="General" sourceLinked="1"/>
        <c:majorTickMark val="out"/>
        <c:minorTickMark val="none"/>
        <c:tickLblPos val="low"/>
        <c:spPr>
          <a:ln w="3143">
            <a:solidFill>
              <a:srgbClr val="000000"/>
            </a:solidFill>
            <a:prstDash val="solid"/>
          </a:ln>
        </c:spPr>
        <c:txPr>
          <a:bodyPr rot="0" vert="horz"/>
          <a:lstStyle/>
          <a:p>
            <a:pPr>
              <a:defRPr sz="800"/>
            </a:pPr>
            <a:endParaRPr lang="en-US"/>
          </a:p>
        </c:txPr>
        <c:crossAx val="351357184"/>
        <c:crosses val="autoZero"/>
        <c:auto val="1"/>
        <c:lblAlgn val="ctr"/>
        <c:lblOffset val="100"/>
        <c:tickLblSkip val="1"/>
        <c:tickMarkSkip val="1"/>
        <c:noMultiLvlLbl val="0"/>
      </c:catAx>
      <c:valAx>
        <c:axId val="351357184"/>
        <c:scaling>
          <c:orientation val="minMax"/>
          <c:max val="100"/>
        </c:scaling>
        <c:delete val="0"/>
        <c:axPos val="l"/>
        <c:majorGridlines>
          <c:spPr>
            <a:ln w="3143">
              <a:solidFill>
                <a:srgbClr val="000000"/>
              </a:solidFill>
              <a:prstDash val="solid"/>
            </a:ln>
          </c:spPr>
        </c:majorGridlines>
        <c:numFmt formatCode="General" sourceLinked="1"/>
        <c:majorTickMark val="out"/>
        <c:minorTickMark val="none"/>
        <c:tickLblPos val="nextTo"/>
        <c:spPr>
          <a:ln w="3143">
            <a:solidFill>
              <a:srgbClr val="000000"/>
            </a:solidFill>
            <a:prstDash val="solid"/>
          </a:ln>
        </c:spPr>
        <c:txPr>
          <a:bodyPr rot="0" vert="horz"/>
          <a:lstStyle/>
          <a:p>
            <a:pPr>
              <a:defRPr/>
            </a:pPr>
            <a:endParaRPr lang="en-US"/>
          </a:p>
        </c:txPr>
        <c:crossAx val="351355648"/>
        <c:crosses val="autoZero"/>
        <c:crossBetween val="between"/>
      </c:valAx>
      <c:spPr>
        <a:noFill/>
        <a:ln w="25146">
          <a:noFill/>
        </a:ln>
      </c:spPr>
    </c:plotArea>
    <c:legend>
      <c:legendPos val="b"/>
      <c:layout>
        <c:manualLayout>
          <c:xMode val="edge"/>
          <c:yMode val="edge"/>
          <c:x val="0.23414618880112167"/>
          <c:y val="0.90370364696630834"/>
          <c:w val="0.5292684300789906"/>
          <c:h val="8.5185156816487417E-2"/>
        </c:manualLayout>
      </c:layout>
      <c:overlay val="0"/>
      <c:spPr>
        <a:noFill/>
        <a:ln w="3143">
          <a:solidFill>
            <a:srgbClr val="000000"/>
          </a:solidFill>
          <a:prstDash val="solid"/>
        </a:ln>
      </c:spPr>
    </c:legend>
    <c:plotVisOnly val="1"/>
    <c:dispBlanksAs val="gap"/>
    <c:showDLblsOverMax val="0"/>
  </c:chart>
  <c:spPr>
    <a:noFill/>
    <a:ln>
      <a:noFill/>
    </a:ln>
  </c:spPr>
  <c:txPr>
    <a:bodyPr/>
    <a:lstStyle/>
    <a:p>
      <a:pPr>
        <a:defRPr sz="1163"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Contributia sectoarelor de activitate  din industrie la emisiile de POP din industrie</a:t>
            </a:r>
          </a:p>
        </c:rich>
      </c:tx>
      <c:layout>
        <c:manualLayout>
          <c:xMode val="edge"/>
          <c:yMode val="edge"/>
          <c:x val="0.23785880195976955"/>
          <c:y val="6.6563876141281217E-2"/>
        </c:manualLayout>
      </c:layout>
      <c:overlay val="0"/>
      <c:spPr>
        <a:noFill/>
        <a:ln w="11428">
          <a:noFill/>
        </a:ln>
      </c:spPr>
    </c:title>
    <c:autoTitleDeleted val="0"/>
    <c:view3D>
      <c:rotX val="15"/>
      <c:hPercent val="4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139942066827997"/>
          <c:y val="0.21634265381521725"/>
          <c:w val="0.85829959514170062"/>
          <c:h val="0.50920245398772956"/>
        </c:manualLayout>
      </c:layout>
      <c:bar3DChart>
        <c:barDir val="col"/>
        <c:grouping val="clustered"/>
        <c:varyColors val="0"/>
        <c:ser>
          <c:idx val="0"/>
          <c:order val="0"/>
          <c:tx>
            <c:strRef>
              <c:f>Sheet1!$A$2</c:f>
              <c:strCache>
                <c:ptCount val="1"/>
                <c:pt idx="0">
                  <c:v>PCDD/PCDF</c:v>
                </c:pt>
              </c:strCache>
            </c:strRef>
          </c:tx>
          <c:spPr>
            <a:solidFill>
              <a:srgbClr val="9999FF"/>
            </a:solidFill>
            <a:ln w="5714">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Sheet1!$B$2:$F$2</c:f>
              <c:numCache>
                <c:formatCode>General</c:formatCode>
                <c:ptCount val="5"/>
                <c:pt idx="0">
                  <c:v>0</c:v>
                </c:pt>
                <c:pt idx="1">
                  <c:v>0</c:v>
                </c:pt>
                <c:pt idx="2">
                  <c:v>100</c:v>
                </c:pt>
                <c:pt idx="3">
                  <c:v>0</c:v>
                </c:pt>
                <c:pt idx="4">
                  <c:v>0</c:v>
                </c:pt>
              </c:numCache>
            </c:numRef>
          </c:val>
          <c:extLst xmlns:c16r2="http://schemas.microsoft.com/office/drawing/2015/06/chart">
            <c:ext xmlns:c16="http://schemas.microsoft.com/office/drawing/2014/chart" uri="{C3380CC4-5D6E-409C-BE32-E72D297353CC}">
              <c16:uniqueId val="{00000000-D7CB-4C32-88D4-272C35CDC5F5}"/>
            </c:ext>
          </c:extLst>
        </c:ser>
        <c:ser>
          <c:idx val="1"/>
          <c:order val="1"/>
          <c:tx>
            <c:strRef>
              <c:f>Sheet1!$A$3</c:f>
              <c:strCache>
                <c:ptCount val="1"/>
                <c:pt idx="0">
                  <c:v>PAH</c:v>
                </c:pt>
              </c:strCache>
            </c:strRef>
          </c:tx>
          <c:spPr>
            <a:solidFill>
              <a:srgbClr val="993366"/>
            </a:solidFill>
            <a:ln w="5714">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Sheet1!$B$3:$F$3</c:f>
              <c:numCache>
                <c:formatCode>General</c:formatCode>
                <c:ptCount val="5"/>
              </c:numCache>
            </c:numRef>
          </c:val>
          <c:extLst xmlns:c16r2="http://schemas.microsoft.com/office/drawing/2015/06/chart">
            <c:ext xmlns:c16="http://schemas.microsoft.com/office/drawing/2014/chart" uri="{C3380CC4-5D6E-409C-BE32-E72D297353CC}">
              <c16:uniqueId val="{00000001-D7CB-4C32-88D4-272C35CDC5F5}"/>
            </c:ext>
          </c:extLst>
        </c:ser>
        <c:ser>
          <c:idx val="2"/>
          <c:order val="2"/>
          <c:tx>
            <c:strRef>
              <c:f>Sheet1!$A$4</c:f>
              <c:strCache>
                <c:ptCount val="1"/>
                <c:pt idx="0">
                  <c:v>HCB</c:v>
                </c:pt>
              </c:strCache>
            </c:strRef>
          </c:tx>
          <c:spPr>
            <a:solidFill>
              <a:srgbClr val="FFFFCC"/>
            </a:solidFill>
            <a:ln w="5714">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Sheet1!$B$4:$F$4</c:f>
              <c:numCache>
                <c:formatCode>General</c:formatCode>
                <c:ptCount val="5"/>
                <c:pt idx="0" formatCode="0.00E+00">
                  <c:v>0</c:v>
                </c:pt>
                <c:pt idx="1">
                  <c:v>0</c:v>
                </c:pt>
                <c:pt idx="2">
                  <c:v>100</c:v>
                </c:pt>
                <c:pt idx="3">
                  <c:v>0</c:v>
                </c:pt>
                <c:pt idx="4">
                  <c:v>0</c:v>
                </c:pt>
              </c:numCache>
            </c:numRef>
          </c:val>
          <c:extLst xmlns:c16r2="http://schemas.microsoft.com/office/drawing/2015/06/chart">
            <c:ext xmlns:c16="http://schemas.microsoft.com/office/drawing/2014/chart" uri="{C3380CC4-5D6E-409C-BE32-E72D297353CC}">
              <c16:uniqueId val="{00000002-D7CB-4C32-88D4-272C35CDC5F5}"/>
            </c:ext>
          </c:extLst>
        </c:ser>
        <c:ser>
          <c:idx val="3"/>
          <c:order val="3"/>
          <c:tx>
            <c:strRef>
              <c:f>Sheet1!$A$5</c:f>
              <c:strCache>
                <c:ptCount val="1"/>
                <c:pt idx="0">
                  <c:v>PCBs</c:v>
                </c:pt>
              </c:strCache>
            </c:strRef>
          </c:tx>
          <c:spPr>
            <a:solidFill>
              <a:srgbClr val="CCFFFF"/>
            </a:solidFill>
            <a:ln w="5714">
              <a:solidFill>
                <a:srgbClr val="000000"/>
              </a:solidFill>
              <a:prstDash val="solid"/>
            </a:ln>
          </c:spPr>
          <c:invertIfNegative val="0"/>
          <c:cat>
            <c:strRef>
              <c:f>Sheet1!$B$1:$F$1</c:f>
              <c:strCache>
                <c:ptCount val="5"/>
                <c:pt idx="0">
                  <c:v> Fabricare fonta si otel</c:v>
                </c:pt>
                <c:pt idx="1">
                  <c:v> Fabricare feroaliaje</c:v>
                </c:pt>
                <c:pt idx="2">
                  <c:v>Fabricare aluminiu</c:v>
                </c:pt>
                <c:pt idx="3">
                  <c:v>Fabricare alte metale</c:v>
                </c:pt>
                <c:pt idx="4">
                  <c:v>Fabricarea produselor alimentare</c:v>
                </c:pt>
              </c:strCache>
            </c:strRef>
          </c:cat>
          <c:val>
            <c:numRef>
              <c:f>Sheet1!$B$5:$F$5</c:f>
              <c:numCache>
                <c:formatCode>General</c:formatCode>
                <c:ptCount val="5"/>
              </c:numCache>
            </c:numRef>
          </c:val>
          <c:extLst xmlns:c16r2="http://schemas.microsoft.com/office/drawing/2015/06/chart">
            <c:ext xmlns:c16="http://schemas.microsoft.com/office/drawing/2014/chart" uri="{C3380CC4-5D6E-409C-BE32-E72D297353CC}">
              <c16:uniqueId val="{00000003-D7CB-4C32-88D4-272C35CDC5F5}"/>
            </c:ext>
          </c:extLst>
        </c:ser>
        <c:dLbls>
          <c:showLegendKey val="0"/>
          <c:showVal val="0"/>
          <c:showCatName val="0"/>
          <c:showSerName val="0"/>
          <c:showPercent val="0"/>
          <c:showBubbleSize val="0"/>
        </c:dLbls>
        <c:gapWidth val="150"/>
        <c:gapDepth val="0"/>
        <c:shape val="box"/>
        <c:axId val="351537792"/>
        <c:axId val="351539584"/>
        <c:axId val="0"/>
      </c:bar3DChart>
      <c:catAx>
        <c:axId val="351537792"/>
        <c:scaling>
          <c:orientation val="minMax"/>
        </c:scaling>
        <c:delete val="0"/>
        <c:axPos val="b"/>
        <c:numFmt formatCode="General" sourceLinked="1"/>
        <c:majorTickMark val="out"/>
        <c:minorTickMark val="none"/>
        <c:tickLblPos val="low"/>
        <c:spPr>
          <a:ln w="1428">
            <a:solidFill>
              <a:srgbClr val="000000"/>
            </a:solidFill>
            <a:prstDash val="solid"/>
          </a:ln>
        </c:spPr>
        <c:txPr>
          <a:bodyPr rot="0" vert="horz"/>
          <a:lstStyle/>
          <a:p>
            <a:pPr>
              <a:defRPr sz="800"/>
            </a:pPr>
            <a:endParaRPr lang="en-US"/>
          </a:p>
        </c:txPr>
        <c:crossAx val="351539584"/>
        <c:crosses val="autoZero"/>
        <c:auto val="1"/>
        <c:lblAlgn val="ctr"/>
        <c:lblOffset val="100"/>
        <c:tickLblSkip val="1"/>
        <c:tickMarkSkip val="1"/>
        <c:noMultiLvlLbl val="0"/>
      </c:catAx>
      <c:valAx>
        <c:axId val="351539584"/>
        <c:scaling>
          <c:orientation val="minMax"/>
          <c:max val="100"/>
        </c:scaling>
        <c:delete val="0"/>
        <c:axPos val="l"/>
        <c:majorGridlines>
          <c:spPr>
            <a:ln w="1428">
              <a:solidFill>
                <a:srgbClr val="000000"/>
              </a:solidFill>
              <a:prstDash val="solid"/>
            </a:ln>
          </c:spPr>
        </c:majorGridlines>
        <c:title>
          <c:tx>
            <c:rich>
              <a:bodyPr rot="0" vert="horz"/>
              <a:lstStyle/>
              <a:p>
                <a:pPr algn="ctr">
                  <a:defRPr sz="1200"/>
                </a:pPr>
                <a:r>
                  <a:rPr lang="ro-RO" sz="1200"/>
                  <a:t>%</a:t>
                </a:r>
              </a:p>
            </c:rich>
          </c:tx>
          <c:layout>
            <c:manualLayout>
              <c:xMode val="edge"/>
              <c:yMode val="edge"/>
              <c:x val="0.10931181247443414"/>
              <c:y val="0.41717772106449474"/>
            </c:manualLayout>
          </c:layout>
          <c:overlay val="0"/>
          <c:spPr>
            <a:noFill/>
            <a:ln w="11428">
              <a:noFill/>
            </a:ln>
          </c:spPr>
        </c:title>
        <c:numFmt formatCode="General" sourceLinked="1"/>
        <c:majorTickMark val="out"/>
        <c:minorTickMark val="none"/>
        <c:tickLblPos val="nextTo"/>
        <c:spPr>
          <a:ln w="1428">
            <a:solidFill>
              <a:srgbClr val="000000"/>
            </a:solidFill>
            <a:prstDash val="solid"/>
          </a:ln>
        </c:spPr>
        <c:txPr>
          <a:bodyPr rot="0" vert="horz"/>
          <a:lstStyle/>
          <a:p>
            <a:pPr>
              <a:defRPr sz="800"/>
            </a:pPr>
            <a:endParaRPr lang="en-US"/>
          </a:p>
        </c:txPr>
        <c:crossAx val="351537792"/>
        <c:crosses val="autoZero"/>
        <c:crossBetween val="between"/>
      </c:valAx>
      <c:spPr>
        <a:noFill/>
        <a:ln w="11428">
          <a:noFill/>
        </a:ln>
      </c:spPr>
    </c:plotArea>
    <c:legend>
      <c:legendPos val="b"/>
      <c:layout>
        <c:manualLayout>
          <c:xMode val="edge"/>
          <c:yMode val="edge"/>
          <c:x val="0.24089086690250675"/>
          <c:y val="0.90338646007050727"/>
          <c:w val="0.52024295033246604"/>
          <c:h val="7.6687141965198102E-2"/>
        </c:manualLayout>
      </c:layout>
      <c:overlay val="0"/>
      <c:spPr>
        <a:noFill/>
        <a:ln w="1428">
          <a:solidFill>
            <a:srgbClr val="000000"/>
          </a:solidFill>
          <a:prstDash val="solid"/>
        </a:ln>
      </c:spPr>
      <c:txPr>
        <a:bodyPr/>
        <a:lstStyle/>
        <a:p>
          <a:pPr>
            <a:defRPr sz="800"/>
          </a:pPr>
          <a:endParaRPr lang="en-US"/>
        </a:p>
      </c:txPr>
    </c:legend>
    <c:plotVisOnly val="1"/>
    <c:dispBlanksAs val="gap"/>
    <c:showDLblsOverMax val="0"/>
  </c:chart>
  <c:spPr>
    <a:noFill/>
    <a:ln>
      <a:noFill/>
    </a:ln>
  </c:spPr>
  <c:txPr>
    <a:bodyPr/>
    <a:lstStyle/>
    <a:p>
      <a:pPr>
        <a:defRPr sz="641"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Contributia tipurilor de vehicule la emisiile de poluanti cu efect de acidifiere provenite din transporturi</a:t>
            </a:r>
          </a:p>
        </c:rich>
      </c:tx>
      <c:layout>
        <c:manualLayout>
          <c:xMode val="edge"/>
          <c:yMode val="edge"/>
          <c:x val="0.12386712343469232"/>
          <c:y val="2.0547799949667895E-2"/>
        </c:manualLayout>
      </c:layout>
      <c:overlay val="0"/>
      <c:spPr>
        <a:noFill/>
        <a:ln w="24430">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264840182648612"/>
          <c:w val="0.88368580060422963"/>
          <c:h val="0.65981735159818211"/>
        </c:manualLayout>
      </c:layout>
      <c:bar3DChart>
        <c:barDir val="col"/>
        <c:grouping val="clustered"/>
        <c:varyColors val="0"/>
        <c:ser>
          <c:idx val="0"/>
          <c:order val="0"/>
          <c:tx>
            <c:strRef>
              <c:f>Sheet1!$A$2</c:f>
              <c:strCache>
                <c:ptCount val="1"/>
                <c:pt idx="0">
                  <c:v>Sox</c:v>
                </c:pt>
              </c:strCache>
            </c:strRef>
          </c:tx>
          <c:spPr>
            <a:solidFill>
              <a:srgbClr val="9999FF"/>
            </a:solidFill>
            <a:ln w="12215">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Sheet1!$B$2:$G$2</c:f>
              <c:numCache>
                <c:formatCode>General</c:formatCode>
                <c:ptCount val="6"/>
                <c:pt idx="0">
                  <c:v>54.563620538943994</c:v>
                </c:pt>
                <c:pt idx="1">
                  <c:v>11.53410701846574</c:v>
                </c:pt>
                <c:pt idx="2">
                  <c:v>33.802695363202858</c:v>
                </c:pt>
                <c:pt idx="3">
                  <c:v>9.9577079387399473E-2</c:v>
                </c:pt>
                <c:pt idx="4">
                  <c:v>0</c:v>
                </c:pt>
                <c:pt idx="5">
                  <c:v>0</c:v>
                </c:pt>
              </c:numCache>
            </c:numRef>
          </c:val>
          <c:extLst xmlns:c16r2="http://schemas.microsoft.com/office/drawing/2015/06/chart">
            <c:ext xmlns:c16="http://schemas.microsoft.com/office/drawing/2014/chart" uri="{C3380CC4-5D6E-409C-BE32-E72D297353CC}">
              <c16:uniqueId val="{00000000-16CC-48B0-973B-64BCBF9D7714}"/>
            </c:ext>
          </c:extLst>
        </c:ser>
        <c:ser>
          <c:idx val="1"/>
          <c:order val="1"/>
          <c:tx>
            <c:strRef>
              <c:f>Sheet1!$A$3</c:f>
              <c:strCache>
                <c:ptCount val="1"/>
                <c:pt idx="0">
                  <c:v>Nox</c:v>
                </c:pt>
              </c:strCache>
            </c:strRef>
          </c:tx>
          <c:spPr>
            <a:solidFill>
              <a:srgbClr val="993366"/>
            </a:solidFill>
            <a:ln w="12215">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Sheet1!$B$3:$G$3</c:f>
              <c:numCache>
                <c:formatCode>General</c:formatCode>
                <c:ptCount val="6"/>
                <c:pt idx="0">
                  <c:v>39.214618713089337</c:v>
                </c:pt>
                <c:pt idx="1">
                  <c:v>13.097732208548138</c:v>
                </c:pt>
                <c:pt idx="2">
                  <c:v>47.314769287783662</c:v>
                </c:pt>
                <c:pt idx="3">
                  <c:v>5.2997630402989278E-2</c:v>
                </c:pt>
                <c:pt idx="4">
                  <c:v>0.23925911204820829</c:v>
                </c:pt>
                <c:pt idx="5">
                  <c:v>8.0623048127666061E-2</c:v>
                </c:pt>
              </c:numCache>
            </c:numRef>
          </c:val>
          <c:extLst xmlns:c16r2="http://schemas.microsoft.com/office/drawing/2015/06/chart">
            <c:ext xmlns:c16="http://schemas.microsoft.com/office/drawing/2014/chart" uri="{C3380CC4-5D6E-409C-BE32-E72D297353CC}">
              <c16:uniqueId val="{00000001-16CC-48B0-973B-64BCBF9D7714}"/>
            </c:ext>
          </c:extLst>
        </c:ser>
        <c:ser>
          <c:idx val="2"/>
          <c:order val="2"/>
          <c:tx>
            <c:strRef>
              <c:f>Sheet1!$A$4</c:f>
              <c:strCache>
                <c:ptCount val="1"/>
                <c:pt idx="0">
                  <c:v>NH3</c:v>
                </c:pt>
              </c:strCache>
            </c:strRef>
          </c:tx>
          <c:spPr>
            <a:solidFill>
              <a:srgbClr val="FFFFCC"/>
            </a:solidFill>
            <a:ln w="12215">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Sheet1!$B$4:$G$4</c:f>
              <c:numCache>
                <c:formatCode>General</c:formatCode>
                <c:ptCount val="6"/>
                <c:pt idx="0">
                  <c:v>88.261567463987376</c:v>
                </c:pt>
                <c:pt idx="1">
                  <c:v>4.0954035475467627</c:v>
                </c:pt>
                <c:pt idx="2">
                  <c:v>7.6016380566015975</c:v>
                </c:pt>
                <c:pt idx="3">
                  <c:v>3.8754056181183848E-2</c:v>
                </c:pt>
                <c:pt idx="4">
                  <c:v>2.6368756830711252E-3</c:v>
                </c:pt>
                <c:pt idx="5">
                  <c:v>0</c:v>
                </c:pt>
              </c:numCache>
            </c:numRef>
          </c:val>
          <c:extLst xmlns:c16r2="http://schemas.microsoft.com/office/drawing/2015/06/chart">
            <c:ext xmlns:c16="http://schemas.microsoft.com/office/drawing/2014/chart" uri="{C3380CC4-5D6E-409C-BE32-E72D297353CC}">
              <c16:uniqueId val="{00000002-16CC-48B0-973B-64BCBF9D7714}"/>
            </c:ext>
          </c:extLst>
        </c:ser>
        <c:dLbls>
          <c:showLegendKey val="0"/>
          <c:showVal val="0"/>
          <c:showCatName val="0"/>
          <c:showSerName val="0"/>
          <c:showPercent val="0"/>
          <c:showBubbleSize val="0"/>
        </c:dLbls>
        <c:gapWidth val="150"/>
        <c:gapDepth val="0"/>
        <c:shape val="box"/>
        <c:axId val="351424512"/>
        <c:axId val="351426048"/>
        <c:axId val="0"/>
      </c:bar3DChart>
      <c:catAx>
        <c:axId val="351424512"/>
        <c:scaling>
          <c:orientation val="minMax"/>
        </c:scaling>
        <c:delete val="0"/>
        <c:axPos val="b"/>
        <c:numFmt formatCode="General" sourceLinked="1"/>
        <c:majorTickMark val="out"/>
        <c:minorTickMark val="none"/>
        <c:tickLblPos val="low"/>
        <c:spPr>
          <a:ln w="3054">
            <a:solidFill>
              <a:srgbClr val="000000"/>
            </a:solidFill>
            <a:prstDash val="solid"/>
          </a:ln>
        </c:spPr>
        <c:txPr>
          <a:bodyPr rot="0" vert="horz"/>
          <a:lstStyle/>
          <a:p>
            <a:pPr>
              <a:defRPr sz="1000"/>
            </a:pPr>
            <a:endParaRPr lang="en-US"/>
          </a:p>
        </c:txPr>
        <c:crossAx val="351426048"/>
        <c:crosses val="autoZero"/>
        <c:auto val="1"/>
        <c:lblAlgn val="ctr"/>
        <c:lblOffset val="100"/>
        <c:tickLblSkip val="1"/>
        <c:tickMarkSkip val="1"/>
        <c:noMultiLvlLbl val="0"/>
      </c:catAx>
      <c:valAx>
        <c:axId val="351426048"/>
        <c:scaling>
          <c:orientation val="minMax"/>
          <c:max val="100"/>
        </c:scaling>
        <c:delete val="0"/>
        <c:axPos val="l"/>
        <c:majorGridlines>
          <c:spPr>
            <a:ln w="3054">
              <a:solidFill>
                <a:srgbClr val="000000"/>
              </a:solidFill>
              <a:prstDash val="solid"/>
            </a:ln>
          </c:spPr>
        </c:majorGridlines>
        <c:title>
          <c:tx>
            <c:rich>
              <a:bodyPr rot="0" vert="horz"/>
              <a:lstStyle/>
              <a:p>
                <a:pPr algn="ctr">
                  <a:defRPr/>
                </a:pPr>
                <a:r>
                  <a:rPr lang="en-US"/>
                  <a:t>%</a:t>
                </a:r>
              </a:p>
            </c:rich>
          </c:tx>
          <c:layout>
            <c:manualLayout>
              <c:xMode val="edge"/>
              <c:yMode val="edge"/>
              <c:x val="1.3725595944342568E-3"/>
              <c:y val="0.45216842147605113"/>
            </c:manualLayout>
          </c:layout>
          <c:overlay val="0"/>
          <c:spPr>
            <a:noFill/>
            <a:ln w="24430">
              <a:noFill/>
            </a:ln>
          </c:spPr>
        </c:title>
        <c:numFmt formatCode="General" sourceLinked="1"/>
        <c:majorTickMark val="out"/>
        <c:minorTickMark val="none"/>
        <c:tickLblPos val="nextTo"/>
        <c:spPr>
          <a:ln w="3054">
            <a:solidFill>
              <a:srgbClr val="000000"/>
            </a:solidFill>
            <a:prstDash val="solid"/>
          </a:ln>
        </c:spPr>
        <c:txPr>
          <a:bodyPr rot="0" vert="horz"/>
          <a:lstStyle/>
          <a:p>
            <a:pPr>
              <a:defRPr/>
            </a:pPr>
            <a:endParaRPr lang="en-US"/>
          </a:p>
        </c:txPr>
        <c:crossAx val="351424512"/>
        <c:crosses val="autoZero"/>
        <c:crossBetween val="between"/>
      </c:valAx>
      <c:spPr>
        <a:noFill/>
        <a:ln w="24430">
          <a:noFill/>
        </a:ln>
      </c:spPr>
    </c:plotArea>
    <c:legend>
      <c:legendPos val="b"/>
      <c:layout>
        <c:manualLayout>
          <c:xMode val="edge"/>
          <c:yMode val="edge"/>
          <c:x val="0.35498489620640639"/>
          <c:y val="0.92465759557680693"/>
          <c:w val="0.29003020758718712"/>
          <c:h val="6.8493137773303792E-2"/>
        </c:manualLayout>
      </c:layout>
      <c:overlay val="0"/>
      <c:spPr>
        <a:noFill/>
        <a:ln w="3054">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Contributia tipurilor de vehicule la emisiile de poluanti precursori ai ozonului din transport in anul 202</a:t>
            </a:r>
            <a:r>
              <a:rPr lang="ro-RO"/>
              <a:t>3</a:t>
            </a:r>
            <a:endParaRPr lang="en-US"/>
          </a:p>
        </c:rich>
      </c:tx>
      <c:layout>
        <c:manualLayout>
          <c:xMode val="edge"/>
          <c:yMode val="edge"/>
          <c:x val="0.17929956775205078"/>
          <c:y val="5.2012790436593653E-2"/>
        </c:manualLayout>
      </c:layout>
      <c:overlay val="0"/>
      <c:spPr>
        <a:noFill/>
        <a:ln w="11186">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8264840182648612"/>
          <c:w val="0.88368580060422963"/>
          <c:h val="0.65981735159818211"/>
        </c:manualLayout>
      </c:layout>
      <c:bar3DChart>
        <c:barDir val="col"/>
        <c:grouping val="clustered"/>
        <c:varyColors val="0"/>
        <c:ser>
          <c:idx val="0"/>
          <c:order val="0"/>
          <c:tx>
            <c:strRef>
              <c:f>Sheet1!$A$2</c:f>
              <c:strCache>
                <c:ptCount val="1"/>
                <c:pt idx="0">
                  <c:v>CO</c:v>
                </c:pt>
              </c:strCache>
            </c:strRef>
          </c:tx>
          <c:spPr>
            <a:solidFill>
              <a:srgbClr val="9999FF"/>
            </a:solidFill>
            <a:ln w="5593">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Sheet1!$B$2:$G$2</c:f>
              <c:numCache>
                <c:formatCode>General</c:formatCode>
                <c:ptCount val="6"/>
                <c:pt idx="0">
                  <c:v>64.122623983366395</c:v>
                </c:pt>
                <c:pt idx="1">
                  <c:v>6.3604486999886705</c:v>
                </c:pt>
                <c:pt idx="2">
                  <c:v>10.846143375783472</c:v>
                </c:pt>
                <c:pt idx="3">
                  <c:v>1.8276032198514762</c:v>
                </c:pt>
                <c:pt idx="4">
                  <c:v>4.0873198084406752E-2</c:v>
                </c:pt>
                <c:pt idx="5">
                  <c:v>16.80230752292557</c:v>
                </c:pt>
              </c:numCache>
            </c:numRef>
          </c:val>
          <c:extLst xmlns:c16r2="http://schemas.microsoft.com/office/drawing/2015/06/chart">
            <c:ext xmlns:c16="http://schemas.microsoft.com/office/drawing/2014/chart" uri="{C3380CC4-5D6E-409C-BE32-E72D297353CC}">
              <c16:uniqueId val="{00000000-0A0C-4D9A-8041-00CB05B4C362}"/>
            </c:ext>
          </c:extLst>
        </c:ser>
        <c:ser>
          <c:idx val="1"/>
          <c:order val="1"/>
          <c:tx>
            <c:strRef>
              <c:f>Sheet1!$A$3</c:f>
              <c:strCache>
                <c:ptCount val="1"/>
                <c:pt idx="0">
                  <c:v>Nox</c:v>
                </c:pt>
              </c:strCache>
            </c:strRef>
          </c:tx>
          <c:spPr>
            <a:solidFill>
              <a:srgbClr val="993366"/>
            </a:solidFill>
            <a:ln w="5593">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Sheet1!$B$3:$G$3</c:f>
              <c:numCache>
                <c:formatCode>General</c:formatCode>
                <c:ptCount val="6"/>
                <c:pt idx="0">
                  <c:v>39.214618713089337</c:v>
                </c:pt>
                <c:pt idx="1">
                  <c:v>13.097732208548138</c:v>
                </c:pt>
                <c:pt idx="2">
                  <c:v>47.314769287783662</c:v>
                </c:pt>
                <c:pt idx="3">
                  <c:v>5.2997630402989278E-2</c:v>
                </c:pt>
                <c:pt idx="4">
                  <c:v>0.23925911204820829</c:v>
                </c:pt>
                <c:pt idx="5">
                  <c:v>8.0623048127666061E-2</c:v>
                </c:pt>
              </c:numCache>
            </c:numRef>
          </c:val>
          <c:extLst xmlns:c16r2="http://schemas.microsoft.com/office/drawing/2015/06/chart">
            <c:ext xmlns:c16="http://schemas.microsoft.com/office/drawing/2014/chart" uri="{C3380CC4-5D6E-409C-BE32-E72D297353CC}">
              <c16:uniqueId val="{00000001-0A0C-4D9A-8041-00CB05B4C362}"/>
            </c:ext>
          </c:extLst>
        </c:ser>
        <c:ser>
          <c:idx val="2"/>
          <c:order val="2"/>
          <c:tx>
            <c:strRef>
              <c:f>Sheet1!$A$4</c:f>
              <c:strCache>
                <c:ptCount val="1"/>
                <c:pt idx="0">
                  <c:v>NMVOC</c:v>
                </c:pt>
              </c:strCache>
            </c:strRef>
          </c:tx>
          <c:spPr>
            <a:solidFill>
              <a:srgbClr val="FFFFCC"/>
            </a:solidFill>
            <a:ln w="5593">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Sheet1!$B$4:$G$4</c:f>
              <c:numCache>
                <c:formatCode>General</c:formatCode>
                <c:ptCount val="6"/>
                <c:pt idx="0">
                  <c:v>73.700532872523283</c:v>
                </c:pt>
                <c:pt idx="1">
                  <c:v>6.4848977935651515</c:v>
                </c:pt>
                <c:pt idx="2">
                  <c:v>14.565121606752596</c:v>
                </c:pt>
                <c:pt idx="3">
                  <c:v>3.3289048091068585</c:v>
                </c:pt>
                <c:pt idx="4">
                  <c:v>0.12025885998666229</c:v>
                </c:pt>
                <c:pt idx="5">
                  <c:v>1.8002840580654471</c:v>
                </c:pt>
              </c:numCache>
            </c:numRef>
          </c:val>
          <c:extLst xmlns:c16r2="http://schemas.microsoft.com/office/drawing/2015/06/chart">
            <c:ext xmlns:c16="http://schemas.microsoft.com/office/drawing/2014/chart" uri="{C3380CC4-5D6E-409C-BE32-E72D297353CC}">
              <c16:uniqueId val="{00000002-0A0C-4D9A-8041-00CB05B4C362}"/>
            </c:ext>
          </c:extLst>
        </c:ser>
        <c:dLbls>
          <c:showLegendKey val="0"/>
          <c:showVal val="0"/>
          <c:showCatName val="0"/>
          <c:showSerName val="0"/>
          <c:showPercent val="0"/>
          <c:showBubbleSize val="0"/>
        </c:dLbls>
        <c:gapWidth val="150"/>
        <c:gapDepth val="0"/>
        <c:shape val="box"/>
        <c:axId val="353862784"/>
        <c:axId val="353864320"/>
        <c:axId val="0"/>
      </c:bar3DChart>
      <c:catAx>
        <c:axId val="353862784"/>
        <c:scaling>
          <c:orientation val="minMax"/>
        </c:scaling>
        <c:delete val="0"/>
        <c:axPos val="b"/>
        <c:numFmt formatCode="General" sourceLinked="1"/>
        <c:majorTickMark val="out"/>
        <c:minorTickMark val="none"/>
        <c:tickLblPos val="low"/>
        <c:spPr>
          <a:ln w="1398">
            <a:solidFill>
              <a:srgbClr val="000000"/>
            </a:solidFill>
            <a:prstDash val="solid"/>
          </a:ln>
        </c:spPr>
        <c:txPr>
          <a:bodyPr rot="0" vert="horz"/>
          <a:lstStyle/>
          <a:p>
            <a:pPr>
              <a:defRPr/>
            </a:pPr>
            <a:endParaRPr lang="en-US"/>
          </a:p>
        </c:txPr>
        <c:crossAx val="353864320"/>
        <c:crosses val="autoZero"/>
        <c:auto val="1"/>
        <c:lblAlgn val="ctr"/>
        <c:lblOffset val="100"/>
        <c:tickLblSkip val="1"/>
        <c:tickMarkSkip val="1"/>
        <c:noMultiLvlLbl val="0"/>
      </c:catAx>
      <c:valAx>
        <c:axId val="353864320"/>
        <c:scaling>
          <c:orientation val="minMax"/>
          <c:max val="100"/>
        </c:scaling>
        <c:delete val="0"/>
        <c:axPos val="l"/>
        <c:majorGridlines>
          <c:spPr>
            <a:ln w="1398">
              <a:solidFill>
                <a:srgbClr val="000000"/>
              </a:solidFill>
              <a:prstDash val="solid"/>
            </a:ln>
          </c:spPr>
        </c:majorGridlines>
        <c:title>
          <c:tx>
            <c:rich>
              <a:bodyPr rot="0" vert="horz"/>
              <a:lstStyle/>
              <a:p>
                <a:pPr algn="ctr">
                  <a:defRPr/>
                </a:pPr>
                <a:r>
                  <a:rPr lang="en-US"/>
                  <a:t>%</a:t>
                </a:r>
              </a:p>
            </c:rich>
          </c:tx>
          <c:layout>
            <c:manualLayout>
              <c:xMode val="edge"/>
              <c:yMode val="edge"/>
              <c:x val="1.9637588106517667E-2"/>
              <c:y val="0.47260261144303628"/>
            </c:manualLayout>
          </c:layout>
          <c:overlay val="0"/>
          <c:spPr>
            <a:noFill/>
            <a:ln w="11186">
              <a:noFill/>
            </a:ln>
          </c:spPr>
        </c:title>
        <c:numFmt formatCode="General" sourceLinked="1"/>
        <c:majorTickMark val="out"/>
        <c:minorTickMark val="none"/>
        <c:tickLblPos val="nextTo"/>
        <c:spPr>
          <a:ln w="1398">
            <a:solidFill>
              <a:srgbClr val="000000"/>
            </a:solidFill>
            <a:prstDash val="solid"/>
          </a:ln>
        </c:spPr>
        <c:txPr>
          <a:bodyPr rot="0" vert="horz"/>
          <a:lstStyle/>
          <a:p>
            <a:pPr>
              <a:defRPr/>
            </a:pPr>
            <a:endParaRPr lang="en-US"/>
          </a:p>
        </c:txPr>
        <c:crossAx val="353862784"/>
        <c:crosses val="autoZero"/>
        <c:crossBetween val="between"/>
      </c:valAx>
      <c:spPr>
        <a:noFill/>
        <a:ln w="11186">
          <a:noFill/>
        </a:ln>
      </c:spPr>
    </c:plotArea>
    <c:legend>
      <c:legendPos val="b"/>
      <c:layout>
        <c:manualLayout>
          <c:xMode val="edge"/>
          <c:yMode val="edge"/>
          <c:x val="0.33383699396675953"/>
          <c:y val="0.92465743359376695"/>
          <c:w val="0.33232634604048766"/>
          <c:h val="6.8493111213241975E-2"/>
        </c:manualLayout>
      </c:layout>
      <c:overlay val="0"/>
      <c:spPr>
        <a:noFill/>
        <a:ln w="1398">
          <a:solidFill>
            <a:srgbClr val="000000"/>
          </a:solidFill>
          <a:prstDash val="solid"/>
        </a:ln>
      </c:spPr>
    </c:legend>
    <c:plotVisOnly val="1"/>
    <c:dispBlanksAs val="gap"/>
    <c:showDLblsOverMax val="0"/>
  </c:chart>
  <c:spPr>
    <a:noFill/>
    <a:ln>
      <a:noFill/>
    </a:ln>
  </c:spPr>
  <c:txPr>
    <a:bodyPr/>
    <a:lstStyle/>
    <a:p>
      <a:pPr>
        <a:defRPr sz="837"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Contribuţia tipurilor de vehicule, la emisiile de particule primare în suspensie PM2,5 şi PM10, din transport, in 202</a:t>
            </a:r>
            <a:r>
              <a:rPr lang="ro-RO" sz="1200"/>
              <a:t>3</a:t>
            </a:r>
            <a:endParaRPr lang="en-US" sz="1200"/>
          </a:p>
        </c:rich>
      </c:tx>
      <c:layout>
        <c:manualLayout>
          <c:xMode val="edge"/>
          <c:yMode val="edge"/>
          <c:x val="0.12235660825224196"/>
          <c:y val="2.0547968015772314E-2"/>
        </c:manualLayout>
      </c:layout>
      <c:overlay val="0"/>
      <c:spPr>
        <a:noFill/>
        <a:ln w="25455">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280092945371076"/>
          <c:w val="0.88368580060422963"/>
          <c:h val="0.71445639187574672"/>
        </c:manualLayout>
      </c:layout>
      <c:bar3DChart>
        <c:barDir val="col"/>
        <c:grouping val="clustered"/>
        <c:varyColors val="0"/>
        <c:ser>
          <c:idx val="0"/>
          <c:order val="0"/>
          <c:tx>
            <c:strRef>
              <c:f>Sheet1!$A$2</c:f>
              <c:strCache>
                <c:ptCount val="1"/>
                <c:pt idx="0">
                  <c:v>PM10</c:v>
                </c:pt>
              </c:strCache>
            </c:strRef>
          </c:tx>
          <c:spPr>
            <a:solidFill>
              <a:srgbClr val="9999FF"/>
            </a:solidFill>
            <a:ln w="12727">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Sheet1!$B$2:$G$2</c:f>
              <c:numCache>
                <c:formatCode>General</c:formatCode>
                <c:ptCount val="6"/>
                <c:pt idx="0">
                  <c:v>50.314009235103462</c:v>
                </c:pt>
                <c:pt idx="1">
                  <c:v>14.751823773758652</c:v>
                </c:pt>
                <c:pt idx="2">
                  <c:v>34.676253371888272</c:v>
                </c:pt>
                <c:pt idx="3">
                  <c:v>0.16479883912552537</c:v>
                </c:pt>
                <c:pt idx="4">
                  <c:v>9.3114780124096297E-2</c:v>
                </c:pt>
                <c:pt idx="5">
                  <c:v>0</c:v>
                </c:pt>
              </c:numCache>
            </c:numRef>
          </c:val>
          <c:extLst xmlns:c16r2="http://schemas.microsoft.com/office/drawing/2015/06/chart">
            <c:ext xmlns:c16="http://schemas.microsoft.com/office/drawing/2014/chart" uri="{C3380CC4-5D6E-409C-BE32-E72D297353CC}">
              <c16:uniqueId val="{00000000-5FD6-4D65-BB8F-138A540F5F3E}"/>
            </c:ext>
          </c:extLst>
        </c:ser>
        <c:ser>
          <c:idx val="1"/>
          <c:order val="1"/>
          <c:tx>
            <c:strRef>
              <c:f>Sheet1!$A$3</c:f>
              <c:strCache>
                <c:ptCount val="1"/>
                <c:pt idx="0">
                  <c:v>PM2,5</c:v>
                </c:pt>
              </c:strCache>
            </c:strRef>
          </c:tx>
          <c:spPr>
            <a:solidFill>
              <a:srgbClr val="993366"/>
            </a:solidFill>
            <a:ln w="12727">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Sheet1!$B$3:$G$3</c:f>
              <c:numCache>
                <c:formatCode>General</c:formatCode>
                <c:ptCount val="6"/>
                <c:pt idx="0">
                  <c:v>49.213620774511753</c:v>
                </c:pt>
                <c:pt idx="1">
                  <c:v>15.233843604355155</c:v>
                </c:pt>
                <c:pt idx="2">
                  <c:v>35.23240061224557</c:v>
                </c:pt>
                <c:pt idx="3">
                  <c:v>0.19817132140975474</c:v>
                </c:pt>
                <c:pt idx="4">
                  <c:v>0.12196368747777483</c:v>
                </c:pt>
                <c:pt idx="5">
                  <c:v>0</c:v>
                </c:pt>
              </c:numCache>
            </c:numRef>
          </c:val>
          <c:extLst xmlns:c16r2="http://schemas.microsoft.com/office/drawing/2015/06/chart">
            <c:ext xmlns:c16="http://schemas.microsoft.com/office/drawing/2014/chart" uri="{C3380CC4-5D6E-409C-BE32-E72D297353CC}">
              <c16:uniqueId val="{00000001-5FD6-4D65-BB8F-138A540F5F3E}"/>
            </c:ext>
          </c:extLst>
        </c:ser>
        <c:dLbls>
          <c:showLegendKey val="0"/>
          <c:showVal val="0"/>
          <c:showCatName val="0"/>
          <c:showSerName val="0"/>
          <c:showPercent val="0"/>
          <c:showBubbleSize val="0"/>
        </c:dLbls>
        <c:gapWidth val="150"/>
        <c:gapDepth val="0"/>
        <c:shape val="box"/>
        <c:axId val="353559680"/>
        <c:axId val="353561216"/>
        <c:axId val="0"/>
      </c:bar3DChart>
      <c:catAx>
        <c:axId val="353559680"/>
        <c:scaling>
          <c:orientation val="minMax"/>
        </c:scaling>
        <c:delete val="0"/>
        <c:axPos val="b"/>
        <c:numFmt formatCode="General" sourceLinked="1"/>
        <c:majorTickMark val="out"/>
        <c:minorTickMark val="none"/>
        <c:tickLblPos val="low"/>
        <c:spPr>
          <a:ln w="3182">
            <a:solidFill>
              <a:srgbClr val="000000"/>
            </a:solidFill>
            <a:prstDash val="solid"/>
          </a:ln>
        </c:spPr>
        <c:txPr>
          <a:bodyPr rot="0" vert="horz"/>
          <a:lstStyle/>
          <a:p>
            <a:pPr>
              <a:defRPr sz="900"/>
            </a:pPr>
            <a:endParaRPr lang="en-US"/>
          </a:p>
        </c:txPr>
        <c:crossAx val="353561216"/>
        <c:crosses val="autoZero"/>
        <c:auto val="1"/>
        <c:lblAlgn val="ctr"/>
        <c:lblOffset val="100"/>
        <c:tickLblSkip val="1"/>
        <c:tickMarkSkip val="1"/>
        <c:noMultiLvlLbl val="0"/>
      </c:catAx>
      <c:valAx>
        <c:axId val="353561216"/>
        <c:scaling>
          <c:orientation val="minMax"/>
          <c:max val="100"/>
        </c:scaling>
        <c:delete val="0"/>
        <c:axPos val="l"/>
        <c:majorGridlines>
          <c:spPr>
            <a:ln w="3182">
              <a:solidFill>
                <a:srgbClr val="000000"/>
              </a:solidFill>
              <a:prstDash val="solid"/>
            </a:ln>
          </c:spPr>
        </c:majorGridlines>
        <c:title>
          <c:tx>
            <c:rich>
              <a:bodyPr rot="0" vert="horz"/>
              <a:lstStyle/>
              <a:p>
                <a:pPr algn="ctr">
                  <a:defRPr sz="1200"/>
                </a:pPr>
                <a:r>
                  <a:rPr lang="en-US" sz="1200"/>
                  <a:t>%</a:t>
                </a:r>
              </a:p>
            </c:rich>
          </c:tx>
          <c:layout>
            <c:manualLayout>
              <c:xMode val="edge"/>
              <c:yMode val="edge"/>
              <c:x val="1.6616313201307593E-2"/>
              <c:y val="0.47031962818596984"/>
            </c:manualLayout>
          </c:layout>
          <c:overlay val="0"/>
          <c:spPr>
            <a:noFill/>
            <a:ln w="25455">
              <a:noFill/>
            </a:ln>
          </c:spPr>
        </c:title>
        <c:numFmt formatCode="General" sourceLinked="1"/>
        <c:majorTickMark val="out"/>
        <c:minorTickMark val="none"/>
        <c:tickLblPos val="nextTo"/>
        <c:spPr>
          <a:ln w="3182">
            <a:solidFill>
              <a:srgbClr val="000000"/>
            </a:solidFill>
            <a:prstDash val="solid"/>
          </a:ln>
        </c:spPr>
        <c:txPr>
          <a:bodyPr rot="0" vert="horz"/>
          <a:lstStyle/>
          <a:p>
            <a:pPr>
              <a:defRPr sz="1200"/>
            </a:pPr>
            <a:endParaRPr lang="en-US"/>
          </a:p>
        </c:txPr>
        <c:crossAx val="353559680"/>
        <c:crosses val="autoZero"/>
        <c:crossBetween val="between"/>
      </c:valAx>
      <c:spPr>
        <a:noFill/>
        <a:ln w="25455">
          <a:noFill/>
        </a:ln>
      </c:spPr>
    </c:plotArea>
    <c:legend>
      <c:legendPos val="b"/>
      <c:layout>
        <c:manualLayout>
          <c:xMode val="edge"/>
          <c:yMode val="edge"/>
          <c:x val="0.3746223490098069"/>
          <c:y val="0.92465760919468054"/>
          <c:w val="0.25075530198038615"/>
          <c:h val="6.849314742631829E-2"/>
        </c:manualLayout>
      </c:layout>
      <c:overlay val="0"/>
      <c:spPr>
        <a:noFill/>
        <a:ln w="3182">
          <a:solidFill>
            <a:srgbClr val="000000"/>
          </a:solidFill>
          <a:prstDash val="solid"/>
        </a:ln>
      </c:spPr>
      <c:txPr>
        <a:bodyPr/>
        <a:lstStyle/>
        <a:p>
          <a:pPr>
            <a:defRPr sz="1200"/>
          </a:pPr>
          <a:endParaRPr lang="en-US"/>
        </a:p>
      </c:txPr>
    </c:legend>
    <c:plotVisOnly val="1"/>
    <c:dispBlanksAs val="gap"/>
    <c:showDLblsOverMax val="0"/>
  </c:chart>
  <c:spPr>
    <a:noFill/>
    <a:ln>
      <a:noFill/>
    </a:ln>
  </c:spPr>
  <c:txPr>
    <a:bodyPr/>
    <a:lstStyle/>
    <a:p>
      <a:pPr>
        <a:defRPr sz="1904"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Contribuţia tipurilor de vehicule, la emisiile de  metale grele din transport in anul 202</a:t>
            </a:r>
            <a:r>
              <a:rPr lang="ro-RO" sz="1100"/>
              <a:t>3</a:t>
            </a:r>
            <a:endParaRPr lang="en-US" sz="1100"/>
          </a:p>
        </c:rich>
      </c:tx>
      <c:layout>
        <c:manualLayout>
          <c:xMode val="edge"/>
          <c:yMode val="edge"/>
          <c:x val="0.14199396419150065"/>
          <c:y val="2.0547968015772314E-2"/>
        </c:manualLayout>
      </c:layout>
      <c:overlay val="0"/>
      <c:spPr>
        <a:noFill/>
        <a:ln w="25411">
          <a:noFill/>
        </a:ln>
      </c:spPr>
    </c:title>
    <c:autoTitleDeleted val="0"/>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7579908675799363"/>
          <c:w val="0.88368580060422963"/>
          <c:h val="0.66666666666666663"/>
        </c:manualLayout>
      </c:layout>
      <c:bar3DChart>
        <c:barDir val="col"/>
        <c:grouping val="clustered"/>
        <c:varyColors val="0"/>
        <c:ser>
          <c:idx val="0"/>
          <c:order val="0"/>
          <c:tx>
            <c:strRef>
              <c:f>Sheet1!$A$2</c:f>
              <c:strCache>
                <c:ptCount val="1"/>
                <c:pt idx="0">
                  <c:v>Pb</c:v>
                </c:pt>
              </c:strCache>
            </c:strRef>
          </c:tx>
          <c:spPr>
            <a:solidFill>
              <a:srgbClr val="9999FF"/>
            </a:solidFill>
            <a:ln w="12706">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Sheet1!$B$2:$G$2</c:f>
              <c:numCache>
                <c:formatCode>General</c:formatCode>
                <c:ptCount val="6"/>
                <c:pt idx="0">
                  <c:v>56.381325982758327</c:v>
                </c:pt>
                <c:pt idx="1">
                  <c:v>14.44619183610677</c:v>
                </c:pt>
                <c:pt idx="2">
                  <c:v>29.095988929189637</c:v>
                </c:pt>
                <c:pt idx="3">
                  <c:v>7.6493251945267793E-2</c:v>
                </c:pt>
                <c:pt idx="4">
                  <c:v>0</c:v>
                </c:pt>
                <c:pt idx="5">
                  <c:v>0</c:v>
                </c:pt>
              </c:numCache>
            </c:numRef>
          </c:val>
          <c:extLst xmlns:c16r2="http://schemas.microsoft.com/office/drawing/2015/06/chart">
            <c:ext xmlns:c16="http://schemas.microsoft.com/office/drawing/2014/chart" uri="{C3380CC4-5D6E-409C-BE32-E72D297353CC}">
              <c16:uniqueId val="{00000000-8AFA-449D-825E-412259F920B3}"/>
            </c:ext>
          </c:extLst>
        </c:ser>
        <c:ser>
          <c:idx val="1"/>
          <c:order val="1"/>
          <c:tx>
            <c:strRef>
              <c:f>Sheet1!$A$3</c:f>
              <c:strCache>
                <c:ptCount val="1"/>
                <c:pt idx="0">
                  <c:v>Cd</c:v>
                </c:pt>
              </c:strCache>
            </c:strRef>
          </c:tx>
          <c:spPr>
            <a:solidFill>
              <a:srgbClr val="993366"/>
            </a:solidFill>
            <a:ln w="12706">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Sheet1!$B$3:$G$3</c:f>
              <c:numCache>
                <c:formatCode>General</c:formatCode>
                <c:ptCount val="6"/>
                <c:pt idx="0">
                  <c:v>56.633000288882975</c:v>
                </c:pt>
                <c:pt idx="1">
                  <c:v>11.766793655792675</c:v>
                </c:pt>
                <c:pt idx="2">
                  <c:v>31.412541083393574</c:v>
                </c:pt>
                <c:pt idx="3">
                  <c:v>0.13965677216437775</c:v>
                </c:pt>
                <c:pt idx="4">
                  <c:v>4.8008199766411269E-2</c:v>
                </c:pt>
                <c:pt idx="5">
                  <c:v>0</c:v>
                </c:pt>
              </c:numCache>
            </c:numRef>
          </c:val>
          <c:extLst xmlns:c16r2="http://schemas.microsoft.com/office/drawing/2015/06/chart">
            <c:ext xmlns:c16="http://schemas.microsoft.com/office/drawing/2014/chart" uri="{C3380CC4-5D6E-409C-BE32-E72D297353CC}">
              <c16:uniqueId val="{00000001-8AFA-449D-825E-412259F920B3}"/>
            </c:ext>
          </c:extLst>
        </c:ser>
        <c:ser>
          <c:idx val="2"/>
          <c:order val="2"/>
          <c:tx>
            <c:strRef>
              <c:f>Sheet1!$A$4</c:f>
              <c:strCache>
                <c:ptCount val="1"/>
                <c:pt idx="0">
                  <c:v>Ni</c:v>
                </c:pt>
              </c:strCache>
            </c:strRef>
          </c:tx>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Sheet1!$B$4:$G$4</c:f>
              <c:numCache>
                <c:formatCode>General</c:formatCode>
                <c:ptCount val="6"/>
                <c:pt idx="0">
                  <c:v>56.407323012899504</c:v>
                </c:pt>
                <c:pt idx="1">
                  <c:v>14.365030675976456</c:v>
                </c:pt>
                <c:pt idx="2">
                  <c:v>29.054179396366941</c:v>
                </c:pt>
                <c:pt idx="3">
                  <c:v>8.0950044022544979E-2</c:v>
                </c:pt>
                <c:pt idx="4">
                  <c:v>9.2516870734552947E-2</c:v>
                </c:pt>
                <c:pt idx="5">
                  <c:v>0</c:v>
                </c:pt>
              </c:numCache>
            </c:numRef>
          </c:val>
          <c:extLst xmlns:c16r2="http://schemas.microsoft.com/office/drawing/2015/06/chart">
            <c:ext xmlns:c16="http://schemas.microsoft.com/office/drawing/2014/chart" uri="{C3380CC4-5D6E-409C-BE32-E72D297353CC}">
              <c16:uniqueId val="{00000002-8AFA-449D-825E-412259F920B3}"/>
            </c:ext>
          </c:extLst>
        </c:ser>
        <c:dLbls>
          <c:showLegendKey val="0"/>
          <c:showVal val="0"/>
          <c:showCatName val="0"/>
          <c:showSerName val="0"/>
          <c:showPercent val="0"/>
          <c:showBubbleSize val="0"/>
        </c:dLbls>
        <c:gapWidth val="150"/>
        <c:gapDepth val="0"/>
        <c:shape val="box"/>
        <c:axId val="354064640"/>
        <c:axId val="354066432"/>
        <c:axId val="0"/>
      </c:bar3DChart>
      <c:catAx>
        <c:axId val="354064640"/>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1000"/>
            </a:pPr>
            <a:endParaRPr lang="en-US"/>
          </a:p>
        </c:txPr>
        <c:crossAx val="354066432"/>
        <c:crosses val="autoZero"/>
        <c:auto val="1"/>
        <c:lblAlgn val="ctr"/>
        <c:lblOffset val="100"/>
        <c:tickLblSkip val="1"/>
        <c:tickMarkSkip val="1"/>
        <c:noMultiLvlLbl val="0"/>
      </c:catAx>
      <c:valAx>
        <c:axId val="354066432"/>
        <c:scaling>
          <c:orientation val="minMax"/>
          <c:max val="100"/>
        </c:scaling>
        <c:delete val="0"/>
        <c:axPos val="l"/>
        <c:majorGridlines>
          <c:spPr>
            <a:ln w="3176">
              <a:solidFill>
                <a:srgbClr val="000000"/>
              </a:solidFill>
              <a:prstDash val="solid"/>
            </a:ln>
          </c:spPr>
        </c:majorGridlines>
        <c:title>
          <c:tx>
            <c:rich>
              <a:bodyPr rot="0" vert="horz"/>
              <a:lstStyle/>
              <a:p>
                <a:pPr algn="ctr">
                  <a:defRPr/>
                </a:pPr>
                <a:r>
                  <a:rPr lang="en-US"/>
                  <a:t>%</a:t>
                </a:r>
              </a:p>
            </c:rich>
          </c:tx>
          <c:layout>
            <c:manualLayout>
              <c:xMode val="edge"/>
              <c:yMode val="edge"/>
              <c:x val="1.6616313201307593E-2"/>
              <c:y val="0.47031962818596984"/>
            </c:manualLayout>
          </c:layout>
          <c:overlay val="0"/>
          <c:spPr>
            <a:noFill/>
            <a:ln w="25411">
              <a:noFill/>
            </a:ln>
          </c:spPr>
        </c:title>
        <c:numFmt formatCode="General" sourceLinked="1"/>
        <c:majorTickMark val="out"/>
        <c:minorTickMark val="none"/>
        <c:tickLblPos val="nextTo"/>
        <c:spPr>
          <a:ln w="3176">
            <a:solidFill>
              <a:srgbClr val="000000"/>
            </a:solidFill>
            <a:prstDash val="solid"/>
          </a:ln>
        </c:spPr>
        <c:txPr>
          <a:bodyPr rot="0" vert="horz"/>
          <a:lstStyle/>
          <a:p>
            <a:pPr>
              <a:defRPr/>
            </a:pPr>
            <a:endParaRPr lang="en-US"/>
          </a:p>
        </c:txPr>
        <c:crossAx val="354064640"/>
        <c:crosses val="autoZero"/>
        <c:crossBetween val="between"/>
      </c:valAx>
      <c:spPr>
        <a:noFill/>
        <a:ln w="25411">
          <a:noFill/>
        </a:ln>
      </c:spPr>
    </c:plotArea>
    <c:legend>
      <c:legendPos val="b"/>
      <c:layout>
        <c:manualLayout>
          <c:xMode val="edge"/>
          <c:yMode val="edge"/>
          <c:x val="0.4184290379542342"/>
          <c:y val="0.92465760919468054"/>
          <c:w val="0.19685011405927116"/>
          <c:h val="5.7545490746278016E-2"/>
        </c:manualLayout>
      </c:layout>
      <c:overlay val="0"/>
      <c:spPr>
        <a:noFill/>
        <a:ln w="3176">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a:t>
            </a:r>
            <a:r>
              <a:rPr lang="ro-RO"/>
              <a:t>3</a:t>
            </a:r>
            <a:r>
              <a:rPr lang="en-US"/>
              <a:t> Concentraţii medii anuale 20</a:t>
            </a:r>
            <a:r>
              <a:rPr lang="ro-RO"/>
              <a:t>23 </a:t>
            </a:r>
            <a:r>
              <a:rPr lang="en-US"/>
              <a:t> înregistrate la staţiile de monitorizare</a:t>
            </a:r>
          </a:p>
        </c:rich>
      </c:tx>
      <c:layout>
        <c:manualLayout>
          <c:xMode val="edge"/>
          <c:yMode val="edge"/>
          <c:x val="0.11169278531526407"/>
          <c:y val="2.0725335028292245E-2"/>
        </c:manualLayout>
      </c:layout>
      <c:overlay val="0"/>
      <c:spPr>
        <a:noFill/>
        <a:ln w="24693">
          <a:noFill/>
        </a:ln>
      </c:spPr>
    </c:title>
    <c:autoTitleDeleted val="0"/>
    <c:plotArea>
      <c:layout>
        <c:manualLayout>
          <c:layoutTarget val="inner"/>
          <c:xMode val="edge"/>
          <c:yMode val="edge"/>
          <c:x val="0.10645724258289703"/>
          <c:y val="0.22538860103626959"/>
          <c:w val="0.87783595113438828"/>
          <c:h val="0.5362694300518136"/>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12368">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49.88</c:v>
                </c:pt>
                <c:pt idx="4">
                  <c:v>50.45</c:v>
                </c:pt>
                <c:pt idx="6">
                  <c:v>44.27</c:v>
                </c:pt>
                <c:pt idx="7">
                  <c:v>54.19</c:v>
                </c:pt>
                <c:pt idx="8">
                  <c:v>43.36</c:v>
                </c:pt>
              </c:numCache>
            </c:numRef>
          </c:val>
          <c:extLst xmlns:c16r2="http://schemas.microsoft.com/office/drawing/2015/06/chart">
            <c:ext xmlns:c16="http://schemas.microsoft.com/office/drawing/2014/chart" uri="{C3380CC4-5D6E-409C-BE32-E72D297353CC}">
              <c16:uniqueId val="{00000000-606E-4104-9470-F176DE8095E7}"/>
            </c:ext>
          </c:extLst>
        </c:ser>
        <c:dLbls>
          <c:showLegendKey val="0"/>
          <c:showVal val="0"/>
          <c:showCatName val="0"/>
          <c:showSerName val="0"/>
          <c:showPercent val="0"/>
          <c:showBubbleSize val="0"/>
        </c:dLbls>
        <c:gapWidth val="150"/>
        <c:axId val="430547328"/>
        <c:axId val="430549632"/>
      </c:barChart>
      <c:lineChart>
        <c:grouping val="standard"/>
        <c:varyColors val="0"/>
        <c:ser>
          <c:idx val="0"/>
          <c:order val="1"/>
          <c:tx>
            <c:strRef>
              <c:f>Sheet1!$A$3</c:f>
              <c:strCache>
                <c:ptCount val="1"/>
              </c:strCache>
            </c:strRef>
          </c:tx>
          <c:spPr>
            <a:ln w="24735">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numCache>
            </c:numRef>
          </c:val>
          <c:smooth val="0"/>
          <c:extLst xmlns:c16r2="http://schemas.microsoft.com/office/drawing/2015/06/chart">
            <c:ext xmlns:c16="http://schemas.microsoft.com/office/drawing/2014/chart" uri="{C3380CC4-5D6E-409C-BE32-E72D297353CC}">
              <c16:uniqueId val="{00000001-606E-4104-9470-F176DE8095E7}"/>
            </c:ext>
          </c:extLst>
        </c:ser>
        <c:dLbls>
          <c:showLegendKey val="0"/>
          <c:showVal val="0"/>
          <c:showCatName val="0"/>
          <c:showSerName val="0"/>
          <c:showPercent val="0"/>
          <c:showBubbleSize val="0"/>
        </c:dLbls>
        <c:marker val="1"/>
        <c:smooth val="0"/>
        <c:axId val="352305920"/>
        <c:axId val="352307456"/>
      </c:lineChart>
      <c:catAx>
        <c:axId val="430547328"/>
        <c:scaling>
          <c:orientation val="minMax"/>
        </c:scaling>
        <c:delete val="0"/>
        <c:axPos val="b"/>
        <c:title>
          <c:tx>
            <c:rich>
              <a:bodyPr/>
              <a:lstStyle/>
              <a:p>
                <a:pPr>
                  <a:defRPr/>
                </a:pPr>
                <a:r>
                  <a:rPr lang="en-US"/>
                  <a:t>staţii monitorizare</a:t>
                </a:r>
              </a:p>
            </c:rich>
          </c:tx>
          <c:layout>
            <c:manualLayout>
              <c:xMode val="edge"/>
              <c:yMode val="edge"/>
              <c:x val="0.43979061946977904"/>
              <c:y val="0.83937824539101413"/>
            </c:manualLayout>
          </c:layout>
          <c:overlay val="0"/>
          <c:spPr>
            <a:noFill/>
            <a:ln w="24693">
              <a:noFill/>
            </a:ln>
          </c:spPr>
        </c:title>
        <c:numFmt formatCode="General" sourceLinked="1"/>
        <c:majorTickMark val="cross"/>
        <c:minorTickMark val="none"/>
        <c:tickLblPos val="nextTo"/>
        <c:spPr>
          <a:ln w="3092">
            <a:solidFill>
              <a:srgbClr val="000000"/>
            </a:solidFill>
            <a:prstDash val="solid"/>
          </a:ln>
        </c:spPr>
        <c:txPr>
          <a:bodyPr rot="0" vert="horz"/>
          <a:lstStyle/>
          <a:p>
            <a:pPr>
              <a:defRPr/>
            </a:pPr>
            <a:endParaRPr lang="en-US"/>
          </a:p>
        </c:txPr>
        <c:crossAx val="430549632"/>
        <c:crosses val="autoZero"/>
        <c:auto val="0"/>
        <c:lblAlgn val="ctr"/>
        <c:lblOffset val="100"/>
        <c:tickLblSkip val="1"/>
        <c:tickMarkSkip val="1"/>
        <c:noMultiLvlLbl val="0"/>
      </c:catAx>
      <c:valAx>
        <c:axId val="430549632"/>
        <c:scaling>
          <c:orientation val="minMax"/>
          <c:max val="60"/>
        </c:scaling>
        <c:delete val="0"/>
        <c:axPos val="l"/>
        <c:title>
          <c:tx>
            <c:rich>
              <a:bodyPr/>
              <a:lstStyle/>
              <a:p>
                <a:pPr>
                  <a:defRPr/>
                </a:pPr>
                <a:r>
                  <a:rPr lang="en-US"/>
                  <a:t>concentraţie µg/m3</a:t>
                </a:r>
              </a:p>
            </c:rich>
          </c:tx>
          <c:layout>
            <c:manualLayout>
              <c:xMode val="edge"/>
              <c:yMode val="edge"/>
              <c:x val="1.9197220583638246E-2"/>
              <c:y val="0.32901557787686808"/>
            </c:manualLayout>
          </c:layout>
          <c:overlay val="0"/>
          <c:spPr>
            <a:noFill/>
            <a:ln w="24693">
              <a:noFill/>
            </a:ln>
          </c:spPr>
        </c:title>
        <c:numFmt formatCode="General" sourceLinked="1"/>
        <c:majorTickMark val="cross"/>
        <c:minorTickMark val="none"/>
        <c:tickLblPos val="nextTo"/>
        <c:spPr>
          <a:ln w="3092">
            <a:solidFill>
              <a:srgbClr val="000000"/>
            </a:solidFill>
            <a:prstDash val="solid"/>
          </a:ln>
        </c:spPr>
        <c:txPr>
          <a:bodyPr rot="0" vert="horz"/>
          <a:lstStyle/>
          <a:p>
            <a:pPr>
              <a:defRPr/>
            </a:pPr>
            <a:endParaRPr lang="en-US"/>
          </a:p>
        </c:txPr>
        <c:crossAx val="430547328"/>
        <c:crosses val="autoZero"/>
        <c:crossBetween val="between"/>
      </c:valAx>
      <c:catAx>
        <c:axId val="352305920"/>
        <c:scaling>
          <c:orientation val="minMax"/>
        </c:scaling>
        <c:delete val="1"/>
        <c:axPos val="b"/>
        <c:numFmt formatCode="General" sourceLinked="1"/>
        <c:majorTickMark val="out"/>
        <c:minorTickMark val="none"/>
        <c:tickLblPos val="nextTo"/>
        <c:crossAx val="352307456"/>
        <c:crosses val="autoZero"/>
        <c:auto val="0"/>
        <c:lblAlgn val="ctr"/>
        <c:lblOffset val="100"/>
        <c:noMultiLvlLbl val="0"/>
      </c:catAx>
      <c:valAx>
        <c:axId val="352307456"/>
        <c:scaling>
          <c:orientation val="minMax"/>
        </c:scaling>
        <c:delete val="1"/>
        <c:axPos val="l"/>
        <c:numFmt formatCode="General" sourceLinked="1"/>
        <c:majorTickMark val="out"/>
        <c:minorTickMark val="none"/>
        <c:tickLblPos val="nextTo"/>
        <c:crossAx val="352305920"/>
        <c:crosses val="autoZero"/>
        <c:crossBetween val="between"/>
      </c:valAx>
      <c:spPr>
        <a:solidFill>
          <a:srgbClr val="C0C0C0"/>
        </a:solidFill>
        <a:ln w="12368">
          <a:solidFill>
            <a:srgbClr val="808080"/>
          </a:solidFill>
          <a:prstDash val="solid"/>
        </a:ln>
      </c:spPr>
    </c:plotArea>
    <c:legend>
      <c:legendPos val="b"/>
      <c:layout>
        <c:manualLayout>
          <c:xMode val="edge"/>
          <c:yMode val="edge"/>
          <c:x val="0.28272250147472555"/>
          <c:y val="0.93005165416307956"/>
          <c:w val="0.52181493936294443"/>
          <c:h val="6.2176005084876751E-2"/>
        </c:manualLayout>
      </c:layout>
      <c:overlay val="0"/>
      <c:spPr>
        <a:solidFill>
          <a:srgbClr val="FFFFFF"/>
        </a:solidFill>
        <a:ln w="3092">
          <a:solidFill>
            <a:srgbClr val="000000"/>
          </a:solidFill>
          <a:prstDash val="solid"/>
        </a:ln>
      </c:spPr>
    </c:legend>
    <c:plotVisOnly val="1"/>
    <c:dispBlanksAs val="gap"/>
    <c:showDLblsOverMax val="0"/>
  </c:chart>
  <c:spPr>
    <a:noFill/>
    <a:ln>
      <a:noFill/>
    </a:ln>
  </c:spPr>
  <c:txPr>
    <a:bodyPr/>
    <a:lstStyle/>
    <a:p>
      <a:pPr>
        <a:defRPr sz="972"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Contribuţia tipurilor de vehicule, la emisiile de  </a:t>
            </a:r>
            <a:r>
              <a:rPr lang="ro-RO" sz="1200"/>
              <a:t>poluanti organici persistenti </a:t>
            </a:r>
            <a:r>
              <a:rPr lang="en-US" sz="1200"/>
              <a:t>din transport in anul 202</a:t>
            </a:r>
            <a:r>
              <a:rPr lang="ro-RO" sz="1200"/>
              <a:t>3</a:t>
            </a:r>
            <a:endParaRPr lang="en-US" sz="1200"/>
          </a:p>
        </c:rich>
      </c:tx>
      <c:layout>
        <c:manualLayout>
          <c:xMode val="edge"/>
          <c:yMode val="edge"/>
          <c:x val="0.10337606837606837"/>
          <c:y val="5.9729398630691877E-2"/>
        </c:manualLayout>
      </c:layout>
      <c:overlay val="0"/>
      <c:spPr>
        <a:noFill/>
        <a:ln w="25146">
          <a:noFill/>
        </a:ln>
      </c:spPr>
    </c:title>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8.2926829268293811E-2"/>
          <c:y val="0.23703703703703857"/>
          <c:w val="0.79497322858561603"/>
          <c:h val="0.521793247922402"/>
        </c:manualLayout>
      </c:layout>
      <c:bar3DChart>
        <c:barDir val="col"/>
        <c:grouping val="clustered"/>
        <c:varyColors val="0"/>
        <c:ser>
          <c:idx val="0"/>
          <c:order val="0"/>
          <c:tx>
            <c:strRef>
              <c:f>Sheet1!$A$2</c:f>
              <c:strCache>
                <c:ptCount val="1"/>
                <c:pt idx="0">
                  <c:v>PCDD/PCDF</c:v>
                </c:pt>
              </c:strCache>
            </c:strRef>
          </c:tx>
          <c:spPr>
            <a:solidFill>
              <a:srgbClr val="9999FF"/>
            </a:solidFill>
            <a:ln w="12573">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Sheet1!$B$2:$G$2</c:f>
              <c:numCache>
                <c:formatCode>General</c:formatCode>
                <c:ptCount val="6"/>
                <c:pt idx="0">
                  <c:v>72.744449692961751</c:v>
                </c:pt>
                <c:pt idx="1">
                  <c:v>13.555677100166571</c:v>
                </c:pt>
                <c:pt idx="2">
                  <c:v>13.532058772344183</c:v>
                </c:pt>
                <c:pt idx="3">
                  <c:v>0.16781443452750916</c:v>
                </c:pt>
                <c:pt idx="4">
                  <c:v>0</c:v>
                </c:pt>
                <c:pt idx="5">
                  <c:v>0</c:v>
                </c:pt>
              </c:numCache>
            </c:numRef>
          </c:val>
          <c:extLst xmlns:c16r2="http://schemas.microsoft.com/office/drawing/2015/06/chart">
            <c:ext xmlns:c16="http://schemas.microsoft.com/office/drawing/2014/chart" uri="{C3380CC4-5D6E-409C-BE32-E72D297353CC}">
              <c16:uniqueId val="{00000000-0D2A-45C9-AC65-643943E95742}"/>
            </c:ext>
          </c:extLst>
        </c:ser>
        <c:ser>
          <c:idx val="1"/>
          <c:order val="1"/>
          <c:tx>
            <c:strRef>
              <c:f>Sheet1!$A$3</c:f>
              <c:strCache>
                <c:ptCount val="1"/>
                <c:pt idx="0">
                  <c:v>PAH</c:v>
                </c:pt>
              </c:strCache>
            </c:strRef>
          </c:tx>
          <c:spPr>
            <a:solidFill>
              <a:srgbClr val="993366"/>
            </a:solidFill>
            <a:ln w="12573">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Sheet1!$B$3:$G$3</c:f>
              <c:numCache>
                <c:formatCode>General</c:formatCode>
                <c:ptCount val="6"/>
                <c:pt idx="0">
                  <c:v>55.989513630664092</c:v>
                </c:pt>
                <c:pt idx="1">
                  <c:v>14.452410110369806</c:v>
                </c:pt>
                <c:pt idx="2">
                  <c:v>29.410638012721897</c:v>
                </c:pt>
                <c:pt idx="3">
                  <c:v>8.4493183728490739E-2</c:v>
                </c:pt>
                <c:pt idx="4">
                  <c:v>6.2945062515707667E-2</c:v>
                </c:pt>
                <c:pt idx="5">
                  <c:v>0</c:v>
                </c:pt>
              </c:numCache>
            </c:numRef>
          </c:val>
          <c:extLst xmlns:c16r2="http://schemas.microsoft.com/office/drawing/2015/06/chart">
            <c:ext xmlns:c16="http://schemas.microsoft.com/office/drawing/2014/chart" uri="{C3380CC4-5D6E-409C-BE32-E72D297353CC}">
              <c16:uniqueId val="{00000001-0D2A-45C9-AC65-643943E95742}"/>
            </c:ext>
          </c:extLst>
        </c:ser>
        <c:ser>
          <c:idx val="2"/>
          <c:order val="2"/>
          <c:tx>
            <c:strRef>
              <c:f>Sheet1!$A$4</c:f>
              <c:strCache>
                <c:ptCount val="1"/>
                <c:pt idx="0">
                  <c:v>HCB</c:v>
                </c:pt>
              </c:strCache>
            </c:strRef>
          </c:tx>
          <c:spPr>
            <a:solidFill>
              <a:srgbClr val="FFFFCC"/>
            </a:solidFill>
            <a:ln w="12573">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Sheet1!$B$4:$G$4</c:f>
              <c:numCache>
                <c:formatCode>General</c:formatCode>
                <c:ptCount val="6"/>
                <c:pt idx="0" formatCode="0.00E+00">
                  <c:v>75.834775422476639</c:v>
                </c:pt>
                <c:pt idx="1">
                  <c:v>14.131223983155694</c:v>
                </c:pt>
                <c:pt idx="2">
                  <c:v>9.8590703466653515</c:v>
                </c:pt>
                <c:pt idx="3">
                  <c:v>0.17493024770232501</c:v>
                </c:pt>
                <c:pt idx="4">
                  <c:v>0</c:v>
                </c:pt>
                <c:pt idx="5">
                  <c:v>0</c:v>
                </c:pt>
              </c:numCache>
            </c:numRef>
          </c:val>
          <c:extLst xmlns:c16r2="http://schemas.microsoft.com/office/drawing/2015/06/chart">
            <c:ext xmlns:c16="http://schemas.microsoft.com/office/drawing/2014/chart" uri="{C3380CC4-5D6E-409C-BE32-E72D297353CC}">
              <c16:uniqueId val="{00000002-0D2A-45C9-AC65-643943E95742}"/>
            </c:ext>
          </c:extLst>
        </c:ser>
        <c:ser>
          <c:idx val="3"/>
          <c:order val="3"/>
          <c:tx>
            <c:strRef>
              <c:f>Sheet1!$A$5</c:f>
              <c:strCache>
                <c:ptCount val="1"/>
                <c:pt idx="0">
                  <c:v>PCBs</c:v>
                </c:pt>
              </c:strCache>
            </c:strRef>
          </c:tx>
          <c:spPr>
            <a:solidFill>
              <a:srgbClr val="CCFFFF"/>
            </a:solidFill>
            <a:ln w="12573">
              <a:solidFill>
                <a:srgbClr val="000000"/>
              </a:solidFill>
              <a:prstDash val="solid"/>
            </a:ln>
          </c:spPr>
          <c:invertIfNegative val="0"/>
          <c:cat>
            <c:strRef>
              <c:f>Sheet1!$B$1:$G$1</c:f>
              <c:strCache>
                <c:ptCount val="6"/>
                <c:pt idx="0">
                  <c:v>Autoturisme</c:v>
                </c:pt>
                <c:pt idx="1">
                  <c:v>Vehicule usoare</c:v>
                </c:pt>
                <c:pt idx="2">
                  <c:v>Vehicule grele</c:v>
                </c:pt>
                <c:pt idx="3">
                  <c:v>Motorete si mopede</c:v>
                </c:pt>
                <c:pt idx="4">
                  <c:v>Transport feroviar</c:v>
                </c:pt>
                <c:pt idx="5">
                  <c:v>Transport Aerian</c:v>
                </c:pt>
              </c:strCache>
            </c:strRef>
          </c:cat>
          <c:val>
            <c:numRef>
              <c:f>Sheet1!$B$5:$G$5</c:f>
              <c:numCache>
                <c:formatCode>General</c:formatCode>
                <c:ptCount val="6"/>
                <c:pt idx="0">
                  <c:v>73.893971563245188</c:v>
                </c:pt>
                <c:pt idx="1">
                  <c:v>14.386069409701625</c:v>
                </c:pt>
                <c:pt idx="2">
                  <c:v>11.330276794378893</c:v>
                </c:pt>
                <c:pt idx="3">
                  <c:v>0.38968223267428687</c:v>
                </c:pt>
                <c:pt idx="4">
                  <c:v>0</c:v>
                </c:pt>
                <c:pt idx="5">
                  <c:v>0</c:v>
                </c:pt>
              </c:numCache>
            </c:numRef>
          </c:val>
          <c:extLst xmlns:c16r2="http://schemas.microsoft.com/office/drawing/2015/06/chart">
            <c:ext xmlns:c16="http://schemas.microsoft.com/office/drawing/2014/chart" uri="{C3380CC4-5D6E-409C-BE32-E72D297353CC}">
              <c16:uniqueId val="{00000003-0D2A-45C9-AC65-643943E95742}"/>
            </c:ext>
          </c:extLst>
        </c:ser>
        <c:dLbls>
          <c:showLegendKey val="0"/>
          <c:showVal val="0"/>
          <c:showCatName val="0"/>
          <c:showSerName val="0"/>
          <c:showPercent val="0"/>
          <c:showBubbleSize val="0"/>
        </c:dLbls>
        <c:gapWidth val="150"/>
        <c:gapDepth val="0"/>
        <c:shape val="box"/>
        <c:axId val="354648832"/>
        <c:axId val="354650368"/>
        <c:axId val="0"/>
      </c:bar3DChart>
      <c:catAx>
        <c:axId val="354648832"/>
        <c:scaling>
          <c:orientation val="minMax"/>
        </c:scaling>
        <c:delete val="0"/>
        <c:axPos val="b"/>
        <c:numFmt formatCode="General" sourceLinked="1"/>
        <c:majorTickMark val="out"/>
        <c:minorTickMark val="none"/>
        <c:tickLblPos val="low"/>
        <c:spPr>
          <a:ln w="3143">
            <a:solidFill>
              <a:srgbClr val="000000"/>
            </a:solidFill>
            <a:prstDash val="solid"/>
          </a:ln>
        </c:spPr>
        <c:txPr>
          <a:bodyPr rot="0" vert="horz"/>
          <a:lstStyle/>
          <a:p>
            <a:pPr>
              <a:defRPr sz="900"/>
            </a:pPr>
            <a:endParaRPr lang="en-US"/>
          </a:p>
        </c:txPr>
        <c:crossAx val="354650368"/>
        <c:crosses val="autoZero"/>
        <c:auto val="1"/>
        <c:lblAlgn val="ctr"/>
        <c:lblOffset val="100"/>
        <c:tickLblSkip val="1"/>
        <c:tickMarkSkip val="1"/>
        <c:noMultiLvlLbl val="0"/>
      </c:catAx>
      <c:valAx>
        <c:axId val="354650368"/>
        <c:scaling>
          <c:orientation val="minMax"/>
          <c:max val="100"/>
        </c:scaling>
        <c:delete val="0"/>
        <c:axPos val="l"/>
        <c:majorGridlines>
          <c:spPr>
            <a:ln w="3143">
              <a:solidFill>
                <a:srgbClr val="000000"/>
              </a:solidFill>
              <a:prstDash val="solid"/>
            </a:ln>
          </c:spPr>
        </c:majorGridlines>
        <c:numFmt formatCode="General" sourceLinked="1"/>
        <c:majorTickMark val="out"/>
        <c:minorTickMark val="none"/>
        <c:tickLblPos val="nextTo"/>
        <c:spPr>
          <a:ln w="3143">
            <a:solidFill>
              <a:srgbClr val="000000"/>
            </a:solidFill>
            <a:prstDash val="solid"/>
          </a:ln>
        </c:spPr>
        <c:txPr>
          <a:bodyPr rot="0" vert="horz"/>
          <a:lstStyle/>
          <a:p>
            <a:pPr>
              <a:defRPr/>
            </a:pPr>
            <a:endParaRPr lang="en-US"/>
          </a:p>
        </c:txPr>
        <c:crossAx val="354648832"/>
        <c:crosses val="autoZero"/>
        <c:crossBetween val="between"/>
      </c:valAx>
      <c:spPr>
        <a:noFill/>
        <a:ln w="25146">
          <a:noFill/>
        </a:ln>
      </c:spPr>
    </c:plotArea>
    <c:legend>
      <c:legendPos val="b"/>
      <c:layout>
        <c:manualLayout>
          <c:xMode val="edge"/>
          <c:yMode val="edge"/>
          <c:x val="0.22346237970253718"/>
          <c:y val="0.9115781128049083"/>
          <c:w val="0.5292684300789906"/>
          <c:h val="8.5185156816487417E-2"/>
        </c:manualLayout>
      </c:layout>
      <c:overlay val="0"/>
      <c:spPr>
        <a:noFill/>
        <a:ln w="3143">
          <a:solidFill>
            <a:srgbClr val="000000"/>
          </a:solidFill>
          <a:prstDash val="solid"/>
        </a:ln>
      </c:spPr>
      <c:txPr>
        <a:bodyPr/>
        <a:lstStyle/>
        <a:p>
          <a:pPr>
            <a:defRPr sz="1000"/>
          </a:pPr>
          <a:endParaRPr lang="en-US"/>
        </a:p>
      </c:txPr>
    </c:legend>
    <c:plotVisOnly val="1"/>
    <c:dispBlanksAs val="gap"/>
    <c:showDLblsOverMax val="0"/>
  </c:chart>
  <c:spPr>
    <a:noFill/>
    <a:ln>
      <a:noFill/>
    </a:ln>
  </c:spPr>
  <c:txPr>
    <a:bodyPr/>
    <a:lstStyle/>
    <a:p>
      <a:pPr>
        <a:defRPr sz="1163"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Evoluția emisiilor de poluanți cu efect de acidifiere</a:t>
            </a:r>
          </a:p>
        </c:rich>
      </c:tx>
      <c:layout>
        <c:manualLayout>
          <c:xMode val="edge"/>
          <c:yMode val="edge"/>
          <c:x val="0.20845918032036803"/>
          <c:y val="2.0547847223485054E-2"/>
        </c:manualLayout>
      </c:layout>
      <c:overlay val="0"/>
      <c:spPr>
        <a:noFill/>
        <a:ln w="24391">
          <a:noFill/>
        </a:ln>
      </c:spPr>
    </c:title>
    <c:autoTitleDeleted val="0"/>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5166163141994872E-2"/>
          <c:y val="0.13926940639269597"/>
          <c:w val="0.8897280966767418"/>
          <c:h val="0.70319634703195943"/>
        </c:manualLayout>
      </c:layout>
      <c:bar3DChart>
        <c:barDir val="col"/>
        <c:grouping val="clustered"/>
        <c:varyColors val="0"/>
        <c:ser>
          <c:idx val="0"/>
          <c:order val="0"/>
          <c:tx>
            <c:strRef>
              <c:f>Sheet1!$A$2</c:f>
              <c:strCache>
                <c:ptCount val="1"/>
                <c:pt idx="0">
                  <c:v>Sox</c:v>
                </c:pt>
              </c:strCache>
            </c:strRef>
          </c:tx>
          <c:spPr>
            <a:solidFill>
              <a:srgbClr val="9999FF"/>
            </a:solidFill>
            <a:ln w="1219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6.5729585550313011E-2</c:v>
                </c:pt>
                <c:pt idx="1">
                  <c:v>0.31697197606377919</c:v>
                </c:pt>
                <c:pt idx="2">
                  <c:v>0.11431612090989682</c:v>
                </c:pt>
                <c:pt idx="3">
                  <c:v>6.7463312822695215E-2</c:v>
                </c:pt>
                <c:pt idx="4">
                  <c:v>5.9603023818087165E-2</c:v>
                </c:pt>
              </c:numCache>
            </c:numRef>
          </c:val>
          <c:extLst xmlns:c16r2="http://schemas.microsoft.com/office/drawing/2015/06/chart">
            <c:ext xmlns:c16="http://schemas.microsoft.com/office/drawing/2014/chart" uri="{C3380CC4-5D6E-409C-BE32-E72D297353CC}">
              <c16:uniqueId val="{00000000-D970-40E8-93A6-1EC4D3B1C342}"/>
            </c:ext>
          </c:extLst>
        </c:ser>
        <c:ser>
          <c:idx val="1"/>
          <c:order val="1"/>
          <c:tx>
            <c:strRef>
              <c:f>Sheet1!$A$3</c:f>
              <c:strCache>
                <c:ptCount val="1"/>
                <c:pt idx="0">
                  <c:v>Nox</c:v>
                </c:pt>
              </c:strCache>
            </c:strRef>
          </c:tx>
          <c:spPr>
            <a:solidFill>
              <a:srgbClr val="993366"/>
            </a:solidFill>
            <a:ln w="1219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22.505438077086314</c:v>
                </c:pt>
                <c:pt idx="1">
                  <c:v>28.155197658660288</c:v>
                </c:pt>
                <c:pt idx="2">
                  <c:v>26.316012788197803</c:v>
                </c:pt>
                <c:pt idx="3">
                  <c:v>26.393488595147556</c:v>
                </c:pt>
                <c:pt idx="4">
                  <c:v>29.473211510127886</c:v>
                </c:pt>
              </c:numCache>
            </c:numRef>
          </c:val>
          <c:extLst xmlns:c16r2="http://schemas.microsoft.com/office/drawing/2015/06/chart">
            <c:ext xmlns:c16="http://schemas.microsoft.com/office/drawing/2014/chart" uri="{C3380CC4-5D6E-409C-BE32-E72D297353CC}">
              <c16:uniqueId val="{00000001-D970-40E8-93A6-1EC4D3B1C342}"/>
            </c:ext>
          </c:extLst>
        </c:ser>
        <c:ser>
          <c:idx val="2"/>
          <c:order val="2"/>
          <c:tx>
            <c:strRef>
              <c:f>Sheet1!$A$4</c:f>
              <c:strCache>
                <c:ptCount val="1"/>
                <c:pt idx="0">
                  <c:v>NH3</c:v>
                </c:pt>
              </c:strCache>
            </c:strRef>
          </c:tx>
          <c:spPr>
            <a:solidFill>
              <a:srgbClr val="FFFFCC"/>
            </a:solidFill>
            <a:ln w="1219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Sheet1!$B$4:$F$4</c:f>
              <c:numCache>
                <c:formatCode>General</c:formatCode>
                <c:ptCount val="5"/>
                <c:pt idx="0">
                  <c:v>0.33289172077560869</c:v>
                </c:pt>
                <c:pt idx="1">
                  <c:v>0.38453121106451676</c:v>
                </c:pt>
                <c:pt idx="2">
                  <c:v>0.37498043503990147</c:v>
                </c:pt>
                <c:pt idx="3">
                  <c:v>0.36698214676370655</c:v>
                </c:pt>
                <c:pt idx="4">
                  <c:v>0.37526639329935535</c:v>
                </c:pt>
              </c:numCache>
            </c:numRef>
          </c:val>
          <c:extLst xmlns:c16r2="http://schemas.microsoft.com/office/drawing/2015/06/chart">
            <c:ext xmlns:c16="http://schemas.microsoft.com/office/drawing/2014/chart" uri="{C3380CC4-5D6E-409C-BE32-E72D297353CC}">
              <c16:uniqueId val="{00000002-D970-40E8-93A6-1EC4D3B1C342}"/>
            </c:ext>
          </c:extLst>
        </c:ser>
        <c:dLbls>
          <c:showLegendKey val="0"/>
          <c:showVal val="0"/>
          <c:showCatName val="0"/>
          <c:showSerName val="0"/>
          <c:showPercent val="0"/>
          <c:showBubbleSize val="0"/>
        </c:dLbls>
        <c:gapWidth val="150"/>
        <c:gapDepth val="0"/>
        <c:shape val="box"/>
        <c:axId val="354182656"/>
        <c:axId val="354184192"/>
        <c:axId val="0"/>
      </c:bar3DChart>
      <c:catAx>
        <c:axId val="354182656"/>
        <c:scaling>
          <c:orientation val="minMax"/>
        </c:scaling>
        <c:delete val="0"/>
        <c:axPos val="b"/>
        <c:numFmt formatCode="General" sourceLinked="1"/>
        <c:majorTickMark val="out"/>
        <c:minorTickMark val="none"/>
        <c:tickLblPos val="low"/>
        <c:spPr>
          <a:ln w="3049">
            <a:solidFill>
              <a:srgbClr val="000000"/>
            </a:solidFill>
            <a:prstDash val="solid"/>
          </a:ln>
        </c:spPr>
        <c:txPr>
          <a:bodyPr rot="0" vert="horz"/>
          <a:lstStyle/>
          <a:p>
            <a:pPr>
              <a:defRPr/>
            </a:pPr>
            <a:endParaRPr lang="en-US"/>
          </a:p>
        </c:txPr>
        <c:crossAx val="354184192"/>
        <c:crosses val="autoZero"/>
        <c:auto val="1"/>
        <c:lblAlgn val="ctr"/>
        <c:lblOffset val="100"/>
        <c:tickLblSkip val="1"/>
        <c:tickMarkSkip val="1"/>
        <c:noMultiLvlLbl val="0"/>
      </c:catAx>
      <c:valAx>
        <c:axId val="354184192"/>
        <c:scaling>
          <c:orientation val="minMax"/>
          <c:max val="30"/>
        </c:scaling>
        <c:delete val="0"/>
        <c:axPos val="l"/>
        <c:majorGridlines>
          <c:spPr>
            <a:ln w="3049">
              <a:solidFill>
                <a:srgbClr val="000000"/>
              </a:solidFill>
              <a:prstDash val="solid"/>
            </a:ln>
          </c:spPr>
        </c:majorGridlines>
        <c:title>
          <c:tx>
            <c:rich>
              <a:bodyPr/>
              <a:lstStyle/>
              <a:p>
                <a:pPr>
                  <a:defRPr/>
                </a:pPr>
                <a:r>
                  <a:rPr lang="en-US"/>
                  <a:t>mii tone</a:t>
                </a:r>
              </a:p>
            </c:rich>
          </c:tx>
          <c:layout>
            <c:manualLayout>
              <c:xMode val="edge"/>
              <c:yMode val="edge"/>
              <c:x val="2.1148117182658032E-2"/>
              <c:y val="0.42237432792032631"/>
            </c:manualLayout>
          </c:layout>
          <c:overlay val="0"/>
          <c:spPr>
            <a:noFill/>
            <a:ln w="24391">
              <a:noFill/>
            </a:ln>
          </c:spPr>
        </c:title>
        <c:numFmt formatCode="General" sourceLinked="1"/>
        <c:majorTickMark val="out"/>
        <c:minorTickMark val="none"/>
        <c:tickLblPos val="nextTo"/>
        <c:spPr>
          <a:ln w="3049">
            <a:solidFill>
              <a:srgbClr val="000000"/>
            </a:solidFill>
            <a:prstDash val="solid"/>
          </a:ln>
        </c:spPr>
        <c:txPr>
          <a:bodyPr rot="0" vert="horz"/>
          <a:lstStyle/>
          <a:p>
            <a:pPr>
              <a:defRPr/>
            </a:pPr>
            <a:endParaRPr lang="en-US"/>
          </a:p>
        </c:txPr>
        <c:crossAx val="354182656"/>
        <c:crosses val="autoZero"/>
        <c:crossBetween val="between"/>
      </c:valAx>
      <c:spPr>
        <a:noFill/>
        <a:ln w="24391">
          <a:noFill/>
        </a:ln>
      </c:spPr>
    </c:plotArea>
    <c:legend>
      <c:legendPos val="b"/>
      <c:layout>
        <c:manualLayout>
          <c:xMode val="edge"/>
          <c:yMode val="edge"/>
          <c:x val="0.35498492165499917"/>
          <c:y val="0.92465748940735748"/>
          <c:w val="0.29003015669000165"/>
          <c:h val="6.8493147363507978E-2"/>
        </c:manualLayout>
      </c:layout>
      <c:overlay val="0"/>
      <c:spPr>
        <a:noFill/>
        <a:ln w="3049">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Evoluţia emisiilor de poluanţi precursori ai ozonului</a:t>
            </a:r>
          </a:p>
        </c:rich>
      </c:tx>
      <c:layout>
        <c:manualLayout>
          <c:xMode val="edge"/>
          <c:yMode val="edge"/>
          <c:x val="0.20090629697791457"/>
          <c:y val="2.0547842626289854E-2"/>
        </c:manualLayout>
      </c:layout>
      <c:overlay val="0"/>
      <c:spPr>
        <a:noFill/>
        <a:ln w="11411">
          <a:noFill/>
        </a:ln>
      </c:spPr>
    </c:title>
    <c:autoTitleDeleted val="0"/>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5166163141994872E-2"/>
          <c:y val="0.13926940639269597"/>
          <c:w val="0.8897280966767418"/>
          <c:h val="0.70319634703195943"/>
        </c:manualLayout>
      </c:layout>
      <c:bar3DChart>
        <c:barDir val="col"/>
        <c:grouping val="clustered"/>
        <c:varyColors val="0"/>
        <c:ser>
          <c:idx val="0"/>
          <c:order val="0"/>
          <c:tx>
            <c:strRef>
              <c:f>Sheet1!$A$2</c:f>
              <c:strCache>
                <c:ptCount val="1"/>
                <c:pt idx="0">
                  <c:v>NMVOC</c:v>
                </c:pt>
              </c:strCache>
            </c:strRef>
          </c:tx>
          <c:spPr>
            <a:solidFill>
              <a:srgbClr val="9999FF"/>
            </a:solidFill>
            <a:ln w="5693">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0.000</c:formatCode>
                <c:ptCount val="5"/>
                <c:pt idx="0">
                  <c:v>7.303709769820121</c:v>
                </c:pt>
                <c:pt idx="1">
                  <c:v>6.4757940036700532</c:v>
                </c:pt>
                <c:pt idx="2">
                  <c:v>5.7279423215598033</c:v>
                </c:pt>
                <c:pt idx="3">
                  <c:v>5.7096165357380411</c:v>
                </c:pt>
                <c:pt idx="4">
                  <c:v>13.34380491081877</c:v>
                </c:pt>
              </c:numCache>
            </c:numRef>
          </c:val>
          <c:extLst xmlns:c16r2="http://schemas.microsoft.com/office/drawing/2015/06/chart">
            <c:ext xmlns:c16="http://schemas.microsoft.com/office/drawing/2014/chart" uri="{C3380CC4-5D6E-409C-BE32-E72D297353CC}">
              <c16:uniqueId val="{00000000-AF50-4439-9C3E-0AB64CF2358C}"/>
            </c:ext>
          </c:extLst>
        </c:ser>
        <c:ser>
          <c:idx val="1"/>
          <c:order val="1"/>
          <c:tx>
            <c:strRef>
              <c:f>Sheet1!$A$3</c:f>
              <c:strCache>
                <c:ptCount val="1"/>
                <c:pt idx="0">
                  <c:v>Nox</c:v>
                </c:pt>
              </c:strCache>
            </c:strRef>
          </c:tx>
          <c:spPr>
            <a:solidFill>
              <a:srgbClr val="993366"/>
            </a:solidFill>
            <a:ln w="5693">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Sheet1!$B$3:$F$3</c:f>
              <c:numCache>
                <c:formatCode>0.000</c:formatCode>
                <c:ptCount val="5"/>
                <c:pt idx="0">
                  <c:v>22.505438077086314</c:v>
                </c:pt>
                <c:pt idx="1">
                  <c:v>28.155197658660288</c:v>
                </c:pt>
                <c:pt idx="2">
                  <c:v>26.316012788197803</c:v>
                </c:pt>
                <c:pt idx="3">
                  <c:v>26.393488595147556</c:v>
                </c:pt>
                <c:pt idx="4">
                  <c:v>29.473211510127886</c:v>
                </c:pt>
              </c:numCache>
            </c:numRef>
          </c:val>
          <c:extLst xmlns:c16r2="http://schemas.microsoft.com/office/drawing/2015/06/chart">
            <c:ext xmlns:c16="http://schemas.microsoft.com/office/drawing/2014/chart" uri="{C3380CC4-5D6E-409C-BE32-E72D297353CC}">
              <c16:uniqueId val="{00000001-AF50-4439-9C3E-0AB64CF2358C}"/>
            </c:ext>
          </c:extLst>
        </c:ser>
        <c:ser>
          <c:idx val="2"/>
          <c:order val="2"/>
          <c:tx>
            <c:strRef>
              <c:f>Sheet1!$A$4</c:f>
              <c:strCache>
                <c:ptCount val="1"/>
                <c:pt idx="0">
                  <c:v>CO</c:v>
                </c:pt>
              </c:strCache>
            </c:strRef>
          </c:tx>
          <c:spPr>
            <a:solidFill>
              <a:srgbClr val="FFFFCC"/>
            </a:solidFill>
            <a:ln w="5693">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Sheet1!$B$4:$F$4</c:f>
              <c:numCache>
                <c:formatCode>0.000</c:formatCode>
                <c:ptCount val="5"/>
                <c:pt idx="0">
                  <c:v>33.170784210621306</c:v>
                </c:pt>
                <c:pt idx="1">
                  <c:v>29.676914892325772</c:v>
                </c:pt>
                <c:pt idx="2">
                  <c:v>42.74342660140784</c:v>
                </c:pt>
                <c:pt idx="3">
                  <c:v>46.595129867954242</c:v>
                </c:pt>
                <c:pt idx="4">
                  <c:v>35.428579776037751</c:v>
                </c:pt>
              </c:numCache>
            </c:numRef>
          </c:val>
          <c:extLst xmlns:c16r2="http://schemas.microsoft.com/office/drawing/2015/06/chart">
            <c:ext xmlns:c16="http://schemas.microsoft.com/office/drawing/2014/chart" uri="{C3380CC4-5D6E-409C-BE32-E72D297353CC}">
              <c16:uniqueId val="{00000002-AF50-4439-9C3E-0AB64CF2358C}"/>
            </c:ext>
          </c:extLst>
        </c:ser>
        <c:dLbls>
          <c:showLegendKey val="0"/>
          <c:showVal val="0"/>
          <c:showCatName val="0"/>
          <c:showSerName val="0"/>
          <c:showPercent val="0"/>
          <c:showBubbleSize val="0"/>
        </c:dLbls>
        <c:gapWidth val="150"/>
        <c:gapDepth val="0"/>
        <c:shape val="box"/>
        <c:axId val="354777728"/>
        <c:axId val="354795904"/>
        <c:axId val="0"/>
      </c:bar3DChart>
      <c:catAx>
        <c:axId val="354777728"/>
        <c:scaling>
          <c:orientation val="minMax"/>
        </c:scaling>
        <c:delete val="0"/>
        <c:axPos val="b"/>
        <c:numFmt formatCode="General" sourceLinked="1"/>
        <c:majorTickMark val="out"/>
        <c:minorTickMark val="none"/>
        <c:tickLblPos val="low"/>
        <c:spPr>
          <a:ln w="1423">
            <a:solidFill>
              <a:srgbClr val="000000"/>
            </a:solidFill>
            <a:prstDash val="solid"/>
          </a:ln>
        </c:spPr>
        <c:txPr>
          <a:bodyPr rot="0" vert="horz"/>
          <a:lstStyle/>
          <a:p>
            <a:pPr>
              <a:defRPr/>
            </a:pPr>
            <a:endParaRPr lang="en-US"/>
          </a:p>
        </c:txPr>
        <c:crossAx val="354795904"/>
        <c:crosses val="autoZero"/>
        <c:auto val="1"/>
        <c:lblAlgn val="ctr"/>
        <c:lblOffset val="100"/>
        <c:tickLblSkip val="1"/>
        <c:tickMarkSkip val="1"/>
        <c:noMultiLvlLbl val="0"/>
      </c:catAx>
      <c:valAx>
        <c:axId val="354795904"/>
        <c:scaling>
          <c:orientation val="minMax"/>
          <c:max val="50"/>
        </c:scaling>
        <c:delete val="0"/>
        <c:axPos val="l"/>
        <c:majorGridlines>
          <c:spPr>
            <a:ln w="1423">
              <a:solidFill>
                <a:srgbClr val="000000"/>
              </a:solidFill>
              <a:prstDash val="solid"/>
            </a:ln>
          </c:spPr>
        </c:majorGridlines>
        <c:title>
          <c:tx>
            <c:rich>
              <a:bodyPr/>
              <a:lstStyle/>
              <a:p>
                <a:pPr>
                  <a:defRPr/>
                </a:pPr>
                <a:r>
                  <a:rPr lang="en-US"/>
                  <a:t>mii tone</a:t>
                </a:r>
              </a:p>
            </c:rich>
          </c:tx>
          <c:layout>
            <c:manualLayout>
              <c:xMode val="edge"/>
              <c:yMode val="edge"/>
              <c:x val="2.1148089079990197E-2"/>
              <c:y val="0.42237466785533273"/>
            </c:manualLayout>
          </c:layout>
          <c:overlay val="0"/>
          <c:spPr>
            <a:noFill/>
            <a:ln w="11411">
              <a:noFill/>
            </a:ln>
          </c:spPr>
        </c:title>
        <c:numFmt formatCode="0" sourceLinked="0"/>
        <c:majorTickMark val="out"/>
        <c:minorTickMark val="none"/>
        <c:tickLblPos val="nextTo"/>
        <c:txPr>
          <a:bodyPr rot="0" vert="horz"/>
          <a:lstStyle/>
          <a:p>
            <a:pPr>
              <a:defRPr/>
            </a:pPr>
            <a:endParaRPr lang="en-US"/>
          </a:p>
        </c:txPr>
        <c:crossAx val="354777728"/>
        <c:crosses val="autoZero"/>
        <c:crossBetween val="between"/>
        <c:majorUnit val="5"/>
        <c:minorUnit val="1"/>
      </c:valAx>
      <c:spPr>
        <a:noFill/>
        <a:ln w="11411">
          <a:noFill/>
        </a:ln>
      </c:spPr>
    </c:plotArea>
    <c:legend>
      <c:legendPos val="b"/>
      <c:layout>
        <c:manualLayout>
          <c:xMode val="edge"/>
          <c:yMode val="edge"/>
          <c:x val="0.33383675027928705"/>
          <c:y val="0.92465780527159214"/>
          <c:w val="0.33232640789442724"/>
          <c:h val="6.8493018951656492E-2"/>
        </c:manualLayout>
      </c:layout>
      <c:overlay val="0"/>
      <c:spPr>
        <a:noFill/>
        <a:ln w="1423">
          <a:solidFill>
            <a:srgbClr val="000000"/>
          </a:solidFill>
          <a:prstDash val="solid"/>
        </a:ln>
      </c:spPr>
    </c:legend>
    <c:plotVisOnly val="1"/>
    <c:dispBlanksAs val="gap"/>
    <c:showDLblsOverMax val="0"/>
  </c:chart>
  <c:spPr>
    <a:noFill/>
    <a:ln>
      <a:noFill/>
    </a:ln>
  </c:spPr>
  <c:txPr>
    <a:bodyPr/>
    <a:lstStyle/>
    <a:p>
      <a:pPr>
        <a:defRPr sz="851"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Evoluţia emisiilor de particule primare în suspensie</a:t>
            </a:r>
          </a:p>
        </c:rich>
      </c:tx>
      <c:layout>
        <c:manualLayout>
          <c:xMode val="edge"/>
          <c:yMode val="edge"/>
          <c:x val="0.20392757029800773"/>
          <c:y val="2.0547968015772314E-2"/>
        </c:manualLayout>
      </c:layout>
      <c:overlay val="0"/>
      <c:spPr>
        <a:noFill/>
        <a:ln w="24401">
          <a:noFill/>
        </a:ln>
      </c:spPr>
    </c:title>
    <c:autoTitleDeleted val="0"/>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120845921450151"/>
          <c:y val="0.13470319634703326"/>
          <c:w val="0.88368580060422963"/>
          <c:h val="0.70776255707762559"/>
        </c:manualLayout>
      </c:layout>
      <c:bar3DChart>
        <c:barDir val="col"/>
        <c:grouping val="clustered"/>
        <c:varyColors val="0"/>
        <c:ser>
          <c:idx val="0"/>
          <c:order val="0"/>
          <c:tx>
            <c:strRef>
              <c:f>Sheet1!$A$2</c:f>
              <c:strCache>
                <c:ptCount val="1"/>
                <c:pt idx="0">
                  <c:v>PM10</c:v>
                </c:pt>
              </c:strCache>
            </c:strRef>
          </c:tx>
          <c:spPr>
            <a:solidFill>
              <a:srgbClr val="9999FF"/>
            </a:solidFill>
            <a:ln w="12174">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1.5002407733569441</c:v>
                </c:pt>
                <c:pt idx="1">
                  <c:v>1.5404909521519055</c:v>
                </c:pt>
                <c:pt idx="2">
                  <c:v>1.8715348678031452</c:v>
                </c:pt>
                <c:pt idx="3">
                  <c:v>2.2666007706089717</c:v>
                </c:pt>
                <c:pt idx="4">
                  <c:v>2.4337364591617754</c:v>
                </c:pt>
              </c:numCache>
            </c:numRef>
          </c:val>
          <c:extLst xmlns:c16r2="http://schemas.microsoft.com/office/drawing/2015/06/chart">
            <c:ext xmlns:c16="http://schemas.microsoft.com/office/drawing/2014/chart" uri="{C3380CC4-5D6E-409C-BE32-E72D297353CC}">
              <c16:uniqueId val="{00000000-BE81-4227-8826-07EF3AF016BB}"/>
            </c:ext>
          </c:extLst>
        </c:ser>
        <c:ser>
          <c:idx val="1"/>
          <c:order val="1"/>
          <c:tx>
            <c:strRef>
              <c:f>Sheet1!$A$3</c:f>
              <c:strCache>
                <c:ptCount val="1"/>
                <c:pt idx="0">
                  <c:v>PM2,5</c:v>
                </c:pt>
              </c:strCache>
            </c:strRef>
          </c:tx>
          <c:spPr>
            <a:solidFill>
              <a:srgbClr val="993366"/>
            </a:solidFill>
            <a:ln w="12174">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1.2196171482065161</c:v>
                </c:pt>
                <c:pt idx="1">
                  <c:v>1.2461971004536379</c:v>
                </c:pt>
                <c:pt idx="2">
                  <c:v>1.568562049907186</c:v>
                </c:pt>
                <c:pt idx="3">
                  <c:v>1.759224400962204</c:v>
                </c:pt>
                <c:pt idx="4">
                  <c:v>1.9020265357081645</c:v>
                </c:pt>
              </c:numCache>
            </c:numRef>
          </c:val>
          <c:extLst xmlns:c16r2="http://schemas.microsoft.com/office/drawing/2015/06/chart">
            <c:ext xmlns:c16="http://schemas.microsoft.com/office/drawing/2014/chart" uri="{C3380CC4-5D6E-409C-BE32-E72D297353CC}">
              <c16:uniqueId val="{00000001-BE81-4227-8826-07EF3AF016BB}"/>
            </c:ext>
          </c:extLst>
        </c:ser>
        <c:dLbls>
          <c:showLegendKey val="0"/>
          <c:showVal val="0"/>
          <c:showCatName val="0"/>
          <c:showSerName val="0"/>
          <c:showPercent val="0"/>
          <c:showBubbleSize val="0"/>
        </c:dLbls>
        <c:gapWidth val="150"/>
        <c:gapDepth val="0"/>
        <c:shape val="box"/>
        <c:axId val="354503296"/>
        <c:axId val="354505088"/>
        <c:axId val="0"/>
      </c:bar3DChart>
      <c:catAx>
        <c:axId val="354503296"/>
        <c:scaling>
          <c:orientation val="minMax"/>
        </c:scaling>
        <c:delete val="0"/>
        <c:axPos val="b"/>
        <c:numFmt formatCode="General" sourceLinked="1"/>
        <c:majorTickMark val="out"/>
        <c:minorTickMark val="none"/>
        <c:tickLblPos val="low"/>
        <c:spPr>
          <a:ln w="3043">
            <a:solidFill>
              <a:srgbClr val="000000"/>
            </a:solidFill>
            <a:prstDash val="solid"/>
          </a:ln>
        </c:spPr>
        <c:txPr>
          <a:bodyPr rot="0" vert="horz"/>
          <a:lstStyle/>
          <a:p>
            <a:pPr>
              <a:defRPr sz="1200"/>
            </a:pPr>
            <a:endParaRPr lang="en-US"/>
          </a:p>
        </c:txPr>
        <c:crossAx val="354505088"/>
        <c:crosses val="autoZero"/>
        <c:auto val="1"/>
        <c:lblAlgn val="ctr"/>
        <c:lblOffset val="100"/>
        <c:tickLblSkip val="1"/>
        <c:tickMarkSkip val="1"/>
        <c:noMultiLvlLbl val="0"/>
      </c:catAx>
      <c:valAx>
        <c:axId val="354505088"/>
        <c:scaling>
          <c:orientation val="minMax"/>
        </c:scaling>
        <c:delete val="0"/>
        <c:axPos val="l"/>
        <c:majorGridlines>
          <c:spPr>
            <a:ln w="3043">
              <a:solidFill>
                <a:srgbClr val="000000"/>
              </a:solidFill>
              <a:prstDash val="solid"/>
            </a:ln>
          </c:spPr>
        </c:majorGridlines>
        <c:title>
          <c:tx>
            <c:rich>
              <a:bodyPr/>
              <a:lstStyle/>
              <a:p>
                <a:pPr>
                  <a:defRPr sz="1200"/>
                </a:pPr>
                <a:r>
                  <a:rPr lang="en-US" sz="1200"/>
                  <a:t>mii tone</a:t>
                </a:r>
              </a:p>
            </c:rich>
          </c:tx>
          <c:layout>
            <c:manualLayout>
              <c:xMode val="edge"/>
              <c:yMode val="edge"/>
              <c:x val="1.812675197848649E-2"/>
              <c:y val="0.42237444877542391"/>
            </c:manualLayout>
          </c:layout>
          <c:overlay val="0"/>
          <c:spPr>
            <a:noFill/>
            <a:ln w="24401">
              <a:noFill/>
            </a:ln>
          </c:spPr>
        </c:title>
        <c:numFmt formatCode="General" sourceLinked="1"/>
        <c:majorTickMark val="out"/>
        <c:minorTickMark val="none"/>
        <c:tickLblPos val="nextTo"/>
        <c:spPr>
          <a:ln w="3043">
            <a:solidFill>
              <a:srgbClr val="000000"/>
            </a:solidFill>
            <a:prstDash val="solid"/>
          </a:ln>
        </c:spPr>
        <c:txPr>
          <a:bodyPr rot="0" vert="horz"/>
          <a:lstStyle/>
          <a:p>
            <a:pPr>
              <a:defRPr sz="1200"/>
            </a:pPr>
            <a:endParaRPr lang="en-US"/>
          </a:p>
        </c:txPr>
        <c:crossAx val="354503296"/>
        <c:crosses val="autoZero"/>
        <c:crossBetween val="between"/>
      </c:valAx>
      <c:spPr>
        <a:noFill/>
        <a:ln w="24401">
          <a:noFill/>
        </a:ln>
      </c:spPr>
    </c:plotArea>
    <c:legend>
      <c:legendPos val="b"/>
      <c:layout>
        <c:manualLayout>
          <c:xMode val="edge"/>
          <c:yMode val="edge"/>
          <c:x val="0.3746223490098069"/>
          <c:y val="0.92465760919468054"/>
          <c:w val="0.25075530198038615"/>
          <c:h val="6.849314742631829E-2"/>
        </c:manualLayout>
      </c:layout>
      <c:overlay val="0"/>
      <c:spPr>
        <a:noFill/>
        <a:ln w="3043">
          <a:solidFill>
            <a:srgbClr val="000000"/>
          </a:solidFill>
          <a:prstDash val="solid"/>
        </a:ln>
      </c:spPr>
      <c:txPr>
        <a:bodyPr/>
        <a:lstStyle/>
        <a:p>
          <a:pPr>
            <a:defRPr sz="1200"/>
          </a:pPr>
          <a:endParaRPr lang="en-US"/>
        </a:p>
      </c:txPr>
    </c:legend>
    <c:plotVisOnly val="1"/>
    <c:dispBlanksAs val="gap"/>
    <c:showDLblsOverMax val="0"/>
  </c:chart>
  <c:spPr>
    <a:noFill/>
    <a:ln>
      <a:noFill/>
    </a:ln>
  </c:spPr>
  <c:txPr>
    <a:bodyPr/>
    <a:lstStyle/>
    <a:p>
      <a:pPr>
        <a:defRPr sz="182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Evoluţia emisiilor de metale grele</a:t>
            </a:r>
          </a:p>
        </c:rich>
      </c:tx>
      <c:layout>
        <c:manualLayout>
          <c:xMode val="edge"/>
          <c:yMode val="edge"/>
          <c:x val="0.30815714323722698"/>
          <c:y val="2.0547777361269323E-2"/>
        </c:manualLayout>
      </c:layout>
      <c:overlay val="0"/>
      <c:spPr>
        <a:noFill/>
        <a:ln w="24435">
          <a:noFill/>
        </a:ln>
      </c:spPr>
    </c:title>
    <c:autoTitleDeleted val="0"/>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3293051359516644"/>
          <c:y val="0.13926940639269597"/>
          <c:w val="0.85196374622356563"/>
          <c:h val="0.70319634703195943"/>
        </c:manualLayout>
      </c:layout>
      <c:bar3DChart>
        <c:barDir val="col"/>
        <c:grouping val="clustered"/>
        <c:varyColors val="0"/>
        <c:ser>
          <c:idx val="0"/>
          <c:order val="0"/>
          <c:tx>
            <c:strRef>
              <c:f>Sheet1!$A$2</c:f>
              <c:strCache>
                <c:ptCount val="1"/>
                <c:pt idx="0">
                  <c:v>Pb</c:v>
                </c:pt>
              </c:strCache>
            </c:strRef>
          </c:tx>
          <c:spPr>
            <a:solidFill>
              <a:srgbClr val="9999FF"/>
            </a:solidFill>
            <a:ln w="12191">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0.85193975897999985</c:v>
                </c:pt>
                <c:pt idx="1">
                  <c:v>0.9418979321333999</c:v>
                </c:pt>
                <c:pt idx="2">
                  <c:v>1.44107512529</c:v>
                </c:pt>
                <c:pt idx="3">
                  <c:v>2.8974023868489995</c:v>
                </c:pt>
                <c:pt idx="4">
                  <c:v>2.9747576823287982</c:v>
                </c:pt>
              </c:numCache>
            </c:numRef>
          </c:val>
          <c:extLst xmlns:c16r2="http://schemas.microsoft.com/office/drawing/2015/06/chart">
            <c:ext xmlns:c16="http://schemas.microsoft.com/office/drawing/2014/chart" uri="{C3380CC4-5D6E-409C-BE32-E72D297353CC}">
              <c16:uniqueId val="{00000000-78B5-4E48-A63D-6C9C93BEF603}"/>
            </c:ext>
          </c:extLst>
        </c:ser>
        <c:ser>
          <c:idx val="1"/>
          <c:order val="1"/>
          <c:tx>
            <c:strRef>
              <c:f>Sheet1!$A$3</c:f>
              <c:strCache>
                <c:ptCount val="1"/>
                <c:pt idx="0">
                  <c:v>Cd</c:v>
                </c:pt>
              </c:strCache>
            </c:strRef>
          </c:tx>
          <c:spPr>
            <a:solidFill>
              <a:srgbClr val="993366"/>
            </a:solidFill>
            <a:ln w="12191">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2.0655807053929401E-2</c:v>
                </c:pt>
                <c:pt idx="1">
                  <c:v>2.7465665208669998E-2</c:v>
                </c:pt>
                <c:pt idx="2">
                  <c:v>5.2004533125099991E-2</c:v>
                </c:pt>
                <c:pt idx="3">
                  <c:v>2.8884360259799999E-2</c:v>
                </c:pt>
                <c:pt idx="4">
                  <c:v>3.1526760636465999E-2</c:v>
                </c:pt>
              </c:numCache>
            </c:numRef>
          </c:val>
          <c:extLst xmlns:c16r2="http://schemas.microsoft.com/office/drawing/2015/06/chart">
            <c:ext xmlns:c16="http://schemas.microsoft.com/office/drawing/2014/chart" uri="{C3380CC4-5D6E-409C-BE32-E72D297353CC}">
              <c16:uniqueId val="{00000001-78B5-4E48-A63D-6C9C93BEF603}"/>
            </c:ext>
          </c:extLst>
        </c:ser>
        <c:ser>
          <c:idx val="2"/>
          <c:order val="2"/>
          <c:tx>
            <c:strRef>
              <c:f>Sheet1!$A$4</c:f>
              <c:strCache>
                <c:ptCount val="1"/>
                <c:pt idx="0">
                  <c:v>Hg</c:v>
                </c:pt>
              </c:strCache>
            </c:strRef>
          </c:tx>
          <c:spPr>
            <a:solidFill>
              <a:srgbClr val="FFFFCC"/>
            </a:solidFill>
            <a:ln w="12191">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Sheet1!$B$4:$F$4</c:f>
              <c:numCache>
                <c:formatCode>General</c:formatCode>
                <c:ptCount val="5"/>
                <c:pt idx="0">
                  <c:v>4.4118327159999992E-4</c:v>
                </c:pt>
                <c:pt idx="1">
                  <c:v>2.5747404292990002E-2</c:v>
                </c:pt>
                <c:pt idx="2">
                  <c:v>2.5862631257200001E-2</c:v>
                </c:pt>
                <c:pt idx="3">
                  <c:v>1.0381086682276</c:v>
                </c:pt>
                <c:pt idx="4">
                  <c:v>7.2081397662500005E-2</c:v>
                </c:pt>
              </c:numCache>
            </c:numRef>
          </c:val>
          <c:extLst xmlns:c16r2="http://schemas.microsoft.com/office/drawing/2015/06/chart">
            <c:ext xmlns:c16="http://schemas.microsoft.com/office/drawing/2014/chart" uri="{C3380CC4-5D6E-409C-BE32-E72D297353CC}">
              <c16:uniqueId val="{00000002-78B5-4E48-A63D-6C9C93BEF603}"/>
            </c:ext>
          </c:extLst>
        </c:ser>
        <c:dLbls>
          <c:showLegendKey val="0"/>
          <c:showVal val="0"/>
          <c:showCatName val="0"/>
          <c:showSerName val="0"/>
          <c:showPercent val="0"/>
          <c:showBubbleSize val="0"/>
        </c:dLbls>
        <c:gapWidth val="150"/>
        <c:gapDepth val="0"/>
        <c:shape val="box"/>
        <c:axId val="354893824"/>
        <c:axId val="354895360"/>
        <c:axId val="0"/>
      </c:bar3DChart>
      <c:catAx>
        <c:axId val="354893824"/>
        <c:scaling>
          <c:orientation val="minMax"/>
        </c:scaling>
        <c:delete val="0"/>
        <c:axPos val="b"/>
        <c:numFmt formatCode="General" sourceLinked="1"/>
        <c:majorTickMark val="out"/>
        <c:minorTickMark val="none"/>
        <c:tickLblPos val="low"/>
        <c:spPr>
          <a:ln w="3048">
            <a:solidFill>
              <a:srgbClr val="000000"/>
            </a:solidFill>
            <a:prstDash val="solid"/>
          </a:ln>
        </c:spPr>
        <c:txPr>
          <a:bodyPr rot="0" vert="horz"/>
          <a:lstStyle/>
          <a:p>
            <a:pPr>
              <a:defRPr/>
            </a:pPr>
            <a:endParaRPr lang="en-US"/>
          </a:p>
        </c:txPr>
        <c:crossAx val="354895360"/>
        <c:crosses val="autoZero"/>
        <c:auto val="1"/>
        <c:lblAlgn val="ctr"/>
        <c:lblOffset val="100"/>
        <c:tickLblSkip val="1"/>
        <c:tickMarkSkip val="1"/>
        <c:noMultiLvlLbl val="0"/>
      </c:catAx>
      <c:valAx>
        <c:axId val="354895360"/>
        <c:scaling>
          <c:orientation val="minMax"/>
        </c:scaling>
        <c:delete val="0"/>
        <c:axPos val="l"/>
        <c:majorGridlines>
          <c:spPr>
            <a:ln w="3048">
              <a:solidFill>
                <a:srgbClr val="000000"/>
              </a:solidFill>
              <a:prstDash val="solid"/>
            </a:ln>
          </c:spPr>
        </c:majorGridlines>
        <c:title>
          <c:tx>
            <c:rich>
              <a:bodyPr/>
              <a:lstStyle/>
              <a:p>
                <a:pPr>
                  <a:defRPr/>
                </a:pPr>
                <a:r>
                  <a:rPr lang="en-US"/>
                  <a:t>
tone</a:t>
                </a:r>
              </a:p>
            </c:rich>
          </c:tx>
          <c:layout>
            <c:manualLayout>
              <c:xMode val="edge"/>
              <c:yMode val="edge"/>
              <c:x val="1.8126738620809942E-2"/>
              <c:y val="0.45205474134218426"/>
            </c:manualLayout>
          </c:layout>
          <c:overlay val="0"/>
          <c:spPr>
            <a:noFill/>
            <a:ln w="24435">
              <a:noFill/>
            </a:ln>
          </c:spPr>
        </c:title>
        <c:numFmt formatCode="General" sourceLinked="1"/>
        <c:majorTickMark val="out"/>
        <c:minorTickMark val="none"/>
        <c:tickLblPos val="nextTo"/>
        <c:spPr>
          <a:ln w="3048">
            <a:solidFill>
              <a:srgbClr val="000000"/>
            </a:solidFill>
            <a:prstDash val="solid"/>
          </a:ln>
        </c:spPr>
        <c:txPr>
          <a:bodyPr rot="0" vert="horz"/>
          <a:lstStyle/>
          <a:p>
            <a:pPr>
              <a:defRPr/>
            </a:pPr>
            <a:endParaRPr lang="en-US"/>
          </a:p>
        </c:txPr>
        <c:crossAx val="354893824"/>
        <c:crosses val="autoZero"/>
        <c:crossBetween val="between"/>
      </c:valAx>
      <c:spPr>
        <a:noFill/>
        <a:ln w="24435">
          <a:noFill/>
        </a:ln>
      </c:spPr>
    </c:plotArea>
    <c:legend>
      <c:legendPos val="b"/>
      <c:layout>
        <c:manualLayout>
          <c:xMode val="edge"/>
          <c:yMode val="edge"/>
          <c:x val="0.37915421363344776"/>
          <c:y val="0.92465750267192182"/>
          <c:w val="0.24018113435677307"/>
          <c:h val="6.8493157332226939E-2"/>
        </c:manualLayout>
      </c:layout>
      <c:overlay val="0"/>
      <c:spPr>
        <a:noFill/>
        <a:ln w="3048">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Evoluţia emisiilor de poluanti organici persistenţi</a:t>
            </a:r>
          </a:p>
        </c:rich>
      </c:tx>
      <c:layout>
        <c:manualLayout>
          <c:xMode val="edge"/>
          <c:yMode val="edge"/>
          <c:x val="0.21752271603999546"/>
          <c:y val="2.054782312657201E-2"/>
        </c:manualLayout>
      </c:layout>
      <c:overlay val="0"/>
      <c:spPr>
        <a:noFill/>
        <a:ln w="27273">
          <a:noFill/>
        </a:ln>
      </c:spPr>
    </c:title>
    <c:autoTitleDeleted val="0"/>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6827794561933526E-2"/>
          <c:y val="0.14155251141552511"/>
          <c:w val="0.93806646525679749"/>
          <c:h val="0.70091324200913263"/>
        </c:manualLayout>
      </c:layout>
      <c:bar3DChart>
        <c:barDir val="col"/>
        <c:grouping val="clustered"/>
        <c:varyColors val="0"/>
        <c:ser>
          <c:idx val="0"/>
          <c:order val="0"/>
          <c:tx>
            <c:strRef>
              <c:f>Sheet1!$A$2</c:f>
              <c:strCache>
                <c:ptCount val="1"/>
                <c:pt idx="0">
                  <c:v>PCDD/PCDF (g-TEQ)</c:v>
                </c:pt>
              </c:strCache>
            </c:strRef>
          </c:tx>
          <c:spPr>
            <a:solidFill>
              <a:srgbClr val="9999FF"/>
            </a:solidFill>
            <a:ln w="13607">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0.62114999999999987</c:v>
                </c:pt>
                <c:pt idx="1">
                  <c:v>18.178081719999998</c:v>
                </c:pt>
                <c:pt idx="2">
                  <c:v>15.532910000000001</c:v>
                </c:pt>
                <c:pt idx="3">
                  <c:v>40.407496763330002</c:v>
                </c:pt>
                <c:pt idx="4">
                  <c:v>50.030698852</c:v>
                </c:pt>
              </c:numCache>
            </c:numRef>
          </c:val>
          <c:extLst xmlns:c16r2="http://schemas.microsoft.com/office/drawing/2015/06/chart">
            <c:ext xmlns:c16="http://schemas.microsoft.com/office/drawing/2014/chart" uri="{C3380CC4-5D6E-409C-BE32-E72D297353CC}">
              <c16:uniqueId val="{00000000-53D2-478A-AB97-80E5FF0475B9}"/>
            </c:ext>
          </c:extLst>
        </c:ser>
        <c:ser>
          <c:idx val="1"/>
          <c:order val="1"/>
          <c:tx>
            <c:strRef>
              <c:f>Sheet1!$A$3</c:f>
              <c:strCache>
                <c:ptCount val="1"/>
                <c:pt idx="0">
                  <c:v>PAH(t)</c:v>
                </c:pt>
              </c:strCache>
            </c:strRef>
          </c:tx>
          <c:spPr>
            <a:solidFill>
              <a:srgbClr val="993366"/>
            </a:solidFill>
            <a:ln w="13607">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1.78839562E-4</c:v>
                </c:pt>
                <c:pt idx="1">
                  <c:v>6.9863513999999998E-5</c:v>
                </c:pt>
                <c:pt idx="2">
                  <c:v>0.29070561963000002</c:v>
                </c:pt>
                <c:pt idx="3">
                  <c:v>2.05822E-7</c:v>
                </c:pt>
                <c:pt idx="4">
                  <c:v>1.976973329458E-2</c:v>
                </c:pt>
              </c:numCache>
            </c:numRef>
          </c:val>
          <c:extLst xmlns:c16r2="http://schemas.microsoft.com/office/drawing/2015/06/chart">
            <c:ext xmlns:c16="http://schemas.microsoft.com/office/drawing/2014/chart" uri="{C3380CC4-5D6E-409C-BE32-E72D297353CC}">
              <c16:uniqueId val="{00000001-53D2-478A-AB97-80E5FF0475B9}"/>
            </c:ext>
          </c:extLst>
        </c:ser>
        <c:ser>
          <c:idx val="2"/>
          <c:order val="2"/>
          <c:tx>
            <c:strRef>
              <c:f>Sheet1!$A$4</c:f>
              <c:strCache>
                <c:ptCount val="1"/>
                <c:pt idx="0">
                  <c:v>HCB(kg)</c:v>
                </c:pt>
              </c:strCache>
            </c:strRef>
          </c:tx>
          <c:spPr>
            <a:solidFill>
              <a:srgbClr val="FFFFCC"/>
            </a:solidFill>
            <a:ln w="13607">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Sheet1!$B$4:$F$4</c:f>
              <c:numCache>
                <c:formatCode>General</c:formatCode>
                <c:ptCount val="5"/>
                <c:pt idx="0">
                  <c:v>73.112848817199989</c:v>
                </c:pt>
                <c:pt idx="1">
                  <c:v>109.21261907362999</c:v>
                </c:pt>
                <c:pt idx="2">
                  <c:v>132.90659339240003</c:v>
                </c:pt>
                <c:pt idx="3">
                  <c:v>123.26369903919999</c:v>
                </c:pt>
                <c:pt idx="4">
                  <c:v>123.02673064086301</c:v>
                </c:pt>
              </c:numCache>
            </c:numRef>
          </c:val>
          <c:extLst xmlns:c16r2="http://schemas.microsoft.com/office/drawing/2015/06/chart">
            <c:ext xmlns:c16="http://schemas.microsoft.com/office/drawing/2014/chart" uri="{C3380CC4-5D6E-409C-BE32-E72D297353CC}">
              <c16:uniqueId val="{00000002-53D2-478A-AB97-80E5FF0475B9}"/>
            </c:ext>
          </c:extLst>
        </c:ser>
        <c:ser>
          <c:idx val="3"/>
          <c:order val="3"/>
          <c:tx>
            <c:strRef>
              <c:f>Sheet1!$A$5</c:f>
              <c:strCache>
                <c:ptCount val="1"/>
                <c:pt idx="0">
                  <c:v>PCB(kg)</c:v>
                </c:pt>
              </c:strCache>
            </c:strRef>
          </c:tx>
          <c:spPr>
            <a:solidFill>
              <a:srgbClr val="CCFFFF"/>
            </a:solidFill>
            <a:ln w="13607">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Sheet1!$B$5:$F$5</c:f>
              <c:numCache>
                <c:formatCode>General</c:formatCode>
                <c:ptCount val="5"/>
                <c:pt idx="0">
                  <c:v>1.657424E-3</c:v>
                </c:pt>
                <c:pt idx="1">
                  <c:v>3.6408768760000002E-2</c:v>
                </c:pt>
                <c:pt idx="2">
                  <c:v>2.0067909999999998E-2</c:v>
                </c:pt>
                <c:pt idx="3">
                  <c:v>2.8521291999999997E-2</c:v>
                </c:pt>
                <c:pt idx="4">
                  <c:v>3.5639643009000001E-2</c:v>
                </c:pt>
              </c:numCache>
            </c:numRef>
          </c:val>
          <c:extLst xmlns:c16r2="http://schemas.microsoft.com/office/drawing/2015/06/chart">
            <c:ext xmlns:c16="http://schemas.microsoft.com/office/drawing/2014/chart" uri="{C3380CC4-5D6E-409C-BE32-E72D297353CC}">
              <c16:uniqueId val="{00000003-53D2-478A-AB97-80E5FF0475B9}"/>
            </c:ext>
          </c:extLst>
        </c:ser>
        <c:dLbls>
          <c:showLegendKey val="0"/>
          <c:showVal val="0"/>
          <c:showCatName val="0"/>
          <c:showSerName val="0"/>
          <c:showPercent val="0"/>
          <c:showBubbleSize val="0"/>
        </c:dLbls>
        <c:gapWidth val="150"/>
        <c:gapDepth val="0"/>
        <c:shape val="box"/>
        <c:axId val="354552064"/>
        <c:axId val="354553856"/>
        <c:axId val="0"/>
      </c:bar3DChart>
      <c:catAx>
        <c:axId val="354552064"/>
        <c:scaling>
          <c:orientation val="minMax"/>
        </c:scaling>
        <c:delete val="0"/>
        <c:axPos val="b"/>
        <c:numFmt formatCode="General" sourceLinked="1"/>
        <c:majorTickMark val="out"/>
        <c:minorTickMark val="none"/>
        <c:tickLblPos val="low"/>
        <c:spPr>
          <a:ln w="3402">
            <a:solidFill>
              <a:srgbClr val="000000"/>
            </a:solidFill>
            <a:prstDash val="solid"/>
          </a:ln>
        </c:spPr>
        <c:txPr>
          <a:bodyPr rot="0" vert="horz"/>
          <a:lstStyle/>
          <a:p>
            <a:pPr>
              <a:defRPr/>
            </a:pPr>
            <a:endParaRPr lang="en-US"/>
          </a:p>
        </c:txPr>
        <c:crossAx val="354553856"/>
        <c:crosses val="autoZero"/>
        <c:auto val="1"/>
        <c:lblAlgn val="ctr"/>
        <c:lblOffset val="100"/>
        <c:tickLblSkip val="1"/>
        <c:tickMarkSkip val="1"/>
        <c:noMultiLvlLbl val="0"/>
      </c:catAx>
      <c:valAx>
        <c:axId val="354553856"/>
        <c:scaling>
          <c:orientation val="minMax"/>
        </c:scaling>
        <c:delete val="0"/>
        <c:axPos val="l"/>
        <c:majorGridlines>
          <c:spPr>
            <a:ln w="3402">
              <a:solidFill>
                <a:srgbClr val="000000"/>
              </a:solidFill>
              <a:prstDash val="solid"/>
            </a:ln>
          </c:spPr>
        </c:majorGridlines>
        <c:numFmt formatCode="General" sourceLinked="1"/>
        <c:majorTickMark val="out"/>
        <c:minorTickMark val="none"/>
        <c:tickLblPos val="nextTo"/>
        <c:spPr>
          <a:ln w="3402">
            <a:solidFill>
              <a:srgbClr val="000000"/>
            </a:solidFill>
            <a:prstDash val="solid"/>
          </a:ln>
        </c:spPr>
        <c:txPr>
          <a:bodyPr rot="0" vert="horz"/>
          <a:lstStyle/>
          <a:p>
            <a:pPr>
              <a:defRPr/>
            </a:pPr>
            <a:endParaRPr lang="en-US"/>
          </a:p>
        </c:txPr>
        <c:crossAx val="354552064"/>
        <c:crosses val="autoZero"/>
        <c:crossBetween val="between"/>
      </c:valAx>
      <c:spPr>
        <a:noFill/>
        <a:ln w="27273">
          <a:noFill/>
        </a:ln>
      </c:spPr>
    </c:plotArea>
    <c:legend>
      <c:legendPos val="b"/>
      <c:layout>
        <c:manualLayout>
          <c:xMode val="edge"/>
          <c:yMode val="edge"/>
          <c:x val="0.11631414511288102"/>
          <c:y val="0.92465773224009751"/>
          <c:w val="0.76586112631560854"/>
          <c:h val="6.8493243013517002E-2"/>
        </c:manualLayout>
      </c:layout>
      <c:overlay val="0"/>
      <c:spPr>
        <a:noFill/>
        <a:ln w="3402">
          <a:solidFill>
            <a:srgbClr val="000000"/>
          </a:solidFill>
          <a:prstDash val="solid"/>
        </a:ln>
      </c:spPr>
    </c:legend>
    <c:plotVisOnly val="1"/>
    <c:dispBlanksAs val="gap"/>
    <c:showDLblsOverMax val="0"/>
  </c:chart>
  <c:spPr>
    <a:noFill/>
    <a:ln>
      <a:noFill/>
    </a:ln>
  </c:spPr>
  <c:txPr>
    <a:bodyPr/>
    <a:lstStyle/>
    <a:p>
      <a:pPr>
        <a:defRPr sz="1200" b="1"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Evoluția resursei de apă (teoretică și utilizabilă) in mii m3</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'Tabel 1_Resursa teoretica'!$B$6</c:f>
              <c:strCache>
                <c:ptCount val="1"/>
                <c:pt idx="0">
                  <c:v>Anii</c:v>
                </c:pt>
              </c:strCache>
            </c:strRef>
          </c:tx>
          <c:invertIfNegative val="0"/>
          <c:val>
            <c:numRef>
              <c:f>'Tabel 1_Resursa teoretica'!$B$7:$B$12</c:f>
              <c:numCache>
                <c:formatCode>General</c:formatCode>
                <c:ptCount val="6"/>
                <c:pt idx="0">
                  <c:v>2018</c:v>
                </c:pt>
                <c:pt idx="1">
                  <c:v>2019</c:v>
                </c:pt>
                <c:pt idx="2">
                  <c:v>2020</c:v>
                </c:pt>
                <c:pt idx="3">
                  <c:v>2021</c:v>
                </c:pt>
                <c:pt idx="4">
                  <c:v>2022</c:v>
                </c:pt>
                <c:pt idx="5">
                  <c:v>2023</c:v>
                </c:pt>
              </c:numCache>
            </c:numRef>
          </c:val>
          <c:extLst xmlns:c16r2="http://schemas.microsoft.com/office/drawing/2015/06/chart">
            <c:ext xmlns:c16="http://schemas.microsoft.com/office/drawing/2014/chart" uri="{C3380CC4-5D6E-409C-BE32-E72D297353CC}">
              <c16:uniqueId val="{00000000-55DB-49C5-BCA8-81304AC2F9FA}"/>
            </c:ext>
          </c:extLst>
        </c:ser>
        <c:ser>
          <c:idx val="1"/>
          <c:order val="1"/>
          <c:tx>
            <c:strRef>
              <c:f>'Tabel 1_Resursa teoretica'!$C$6</c:f>
              <c:strCache>
                <c:ptCount val="1"/>
                <c:pt idx="0">
                  <c:v>Resursa teoretică</c:v>
                </c:pt>
              </c:strCache>
            </c:strRef>
          </c:tx>
          <c:invertIfNegative val="0"/>
          <c:val>
            <c:numRef>
              <c:f>'Tabel 1_Resursa teoretica'!$C$7:$C$12</c:f>
              <c:numCache>
                <c:formatCode>General</c:formatCode>
                <c:ptCount val="6"/>
                <c:pt idx="0">
                  <c:v>134600000</c:v>
                </c:pt>
                <c:pt idx="1">
                  <c:v>134600000</c:v>
                </c:pt>
                <c:pt idx="2">
                  <c:v>134600000</c:v>
                </c:pt>
                <c:pt idx="3">
                  <c:v>134600000</c:v>
                </c:pt>
                <c:pt idx="4">
                  <c:v>134600000</c:v>
                </c:pt>
                <c:pt idx="5">
                  <c:v>134600000</c:v>
                </c:pt>
              </c:numCache>
            </c:numRef>
          </c:val>
          <c:extLst xmlns:c16r2="http://schemas.microsoft.com/office/drawing/2015/06/chart">
            <c:ext xmlns:c16="http://schemas.microsoft.com/office/drawing/2014/chart" uri="{C3380CC4-5D6E-409C-BE32-E72D297353CC}">
              <c16:uniqueId val="{00000001-55DB-49C5-BCA8-81304AC2F9FA}"/>
            </c:ext>
          </c:extLst>
        </c:ser>
        <c:ser>
          <c:idx val="2"/>
          <c:order val="2"/>
          <c:tx>
            <c:strRef>
              <c:f>'Tabel 1_Resursa teoretica'!$D$6</c:f>
              <c:strCache>
                <c:ptCount val="1"/>
                <c:pt idx="0">
                  <c:v>Resursa utilizabilă</c:v>
                </c:pt>
              </c:strCache>
            </c:strRef>
          </c:tx>
          <c:invertIfNegative val="0"/>
          <c:val>
            <c:numRef>
              <c:f>'Tabel 1_Resursa teoretica'!$D$7:$D$12</c:f>
              <c:numCache>
                <c:formatCode>General</c:formatCode>
                <c:ptCount val="6"/>
                <c:pt idx="0">
                  <c:v>38346760</c:v>
                </c:pt>
                <c:pt idx="1">
                  <c:v>38346760</c:v>
                </c:pt>
                <c:pt idx="2">
                  <c:v>38346760</c:v>
                </c:pt>
                <c:pt idx="3">
                  <c:v>38346760</c:v>
                </c:pt>
                <c:pt idx="4">
                  <c:v>38346760</c:v>
                </c:pt>
                <c:pt idx="5">
                  <c:v>38346760</c:v>
                </c:pt>
              </c:numCache>
            </c:numRef>
          </c:val>
          <c:extLst xmlns:c16r2="http://schemas.microsoft.com/office/drawing/2015/06/chart">
            <c:ext xmlns:c16="http://schemas.microsoft.com/office/drawing/2014/chart" uri="{C3380CC4-5D6E-409C-BE32-E72D297353CC}">
              <c16:uniqueId val="{00000002-55DB-49C5-BCA8-81304AC2F9FA}"/>
            </c:ext>
          </c:extLst>
        </c:ser>
        <c:dLbls>
          <c:showLegendKey val="0"/>
          <c:showVal val="0"/>
          <c:showCatName val="0"/>
          <c:showSerName val="0"/>
          <c:showPercent val="0"/>
          <c:showBubbleSize val="0"/>
        </c:dLbls>
        <c:gapWidth val="150"/>
        <c:shape val="box"/>
        <c:axId val="354581504"/>
        <c:axId val="354611968"/>
        <c:axId val="0"/>
      </c:bar3DChart>
      <c:catAx>
        <c:axId val="354581504"/>
        <c:scaling>
          <c:orientation val="minMax"/>
        </c:scaling>
        <c:delete val="0"/>
        <c:axPos val="b"/>
        <c:numFmt formatCode="0.0" sourceLinked="1"/>
        <c:majorTickMark val="none"/>
        <c:minorTickMark val="none"/>
        <c:tickLblPos val="nextTo"/>
        <c:crossAx val="354611968"/>
        <c:crosses val="autoZero"/>
        <c:auto val="1"/>
        <c:lblAlgn val="ctr"/>
        <c:lblOffset val="100"/>
        <c:noMultiLvlLbl val="0"/>
      </c:catAx>
      <c:valAx>
        <c:axId val="354611968"/>
        <c:scaling>
          <c:orientation val="minMax"/>
        </c:scaling>
        <c:delete val="0"/>
        <c:axPos val="l"/>
        <c:majorGridlines/>
        <c:title>
          <c:tx>
            <c:rich>
              <a:bodyPr/>
              <a:lstStyle/>
              <a:p>
                <a:pPr>
                  <a:defRPr/>
                </a:pPr>
                <a:r>
                  <a:rPr lang="en-US"/>
                  <a:t>Volum mii m3</a:t>
                </a:r>
              </a:p>
            </c:rich>
          </c:tx>
          <c:layout>
            <c:manualLayout>
              <c:xMode val="edge"/>
              <c:yMode val="edge"/>
              <c:x val="7.4818341868091123E-2"/>
              <c:y val="0.36308532289078838"/>
            </c:manualLayout>
          </c:layout>
          <c:overlay val="0"/>
        </c:title>
        <c:numFmt formatCode="General" sourceLinked="1"/>
        <c:majorTickMark val="none"/>
        <c:minorTickMark val="none"/>
        <c:tickLblPos val="nextTo"/>
        <c:crossAx val="354581504"/>
        <c:crosses val="autoZero"/>
        <c:crossBetween val="between"/>
      </c:valAx>
      <c:dTable>
        <c:showHorzBorder val="1"/>
        <c:showVertBorder val="1"/>
        <c:showOutline val="1"/>
        <c:showKeys val="1"/>
      </c:dTable>
    </c:plotArea>
    <c:plotVisOnly val="1"/>
    <c:dispBlanksAs val="gap"/>
    <c:showDLblsOverMax val="0"/>
  </c:chart>
  <c:txPr>
    <a:bodyPr/>
    <a:lstStyle/>
    <a:p>
      <a:pPr>
        <a:defRPr baseline="0">
          <a:latin typeface="Trebuchet MS" pitchFamily="34"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259657607426346"/>
          <c:y val="1.0246105535907548E-2"/>
          <c:w val="0.7564998987015088"/>
          <c:h val="0.79385544548866871"/>
        </c:manualLayout>
      </c:layout>
      <c:barChart>
        <c:barDir val="bar"/>
        <c:grouping val="stacked"/>
        <c:varyColors val="0"/>
        <c:ser>
          <c:idx val="0"/>
          <c:order val="0"/>
          <c:tx>
            <c:strRef>
              <c:f>'Rauri_km 2022'!$C$4</c:f>
              <c:strCache>
                <c:ptCount val="1"/>
                <c:pt idx="0">
                  <c:v>SE bună/bun (km)</c:v>
                </c:pt>
              </c:strCache>
            </c:strRef>
          </c:tx>
          <c:spPr>
            <a:solidFill>
              <a:srgbClr val="00B050"/>
            </a:solidFill>
            <a:ln>
              <a:noFill/>
            </a:ln>
            <a:effectLst/>
          </c:spPr>
          <c:invertIfNegative val="0"/>
          <c:dLbls>
            <c:dLbl>
              <c:idx val="9"/>
              <c:layout>
                <c:manualLayout>
                  <c:x val="1.1752144843280694E-2"/>
                  <c:y val="-3.2401220117755552E-3"/>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AB8-43BA-AF30-5874AA14AB0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2022'!$D$3:$N$3</c:f>
              <c:strCache>
                <c:ptCount val="11"/>
                <c:pt idx="0">
                  <c:v>Someș-Tisa</c:v>
                </c:pt>
                <c:pt idx="1">
                  <c:v>Crișuri</c:v>
                </c:pt>
                <c:pt idx="2">
                  <c:v>Mureș</c:v>
                </c:pt>
                <c:pt idx="3">
                  <c:v>Banat</c:v>
                </c:pt>
                <c:pt idx="4">
                  <c:v>Jiu</c:v>
                </c:pt>
                <c:pt idx="5">
                  <c:v>Olt</c:v>
                </c:pt>
                <c:pt idx="6">
                  <c:v>Argeș-Vedea</c:v>
                </c:pt>
                <c:pt idx="7">
                  <c:v>Buzău-Ialomița</c:v>
                </c:pt>
                <c:pt idx="8">
                  <c:v>Siret</c:v>
                </c:pt>
                <c:pt idx="9">
                  <c:v>Prut-Bârlad</c:v>
                </c:pt>
                <c:pt idx="10">
                  <c:v>Dobrogea-Litoral</c:v>
                </c:pt>
              </c:strCache>
            </c:strRef>
          </c:cat>
          <c:val>
            <c:numRef>
              <c:f>'Rauri_km 2022'!$D$4:$N$4</c:f>
              <c:numCache>
                <c:formatCode>0.00</c:formatCode>
                <c:ptCount val="11"/>
                <c:pt idx="0">
                  <c:v>1243.5219999999999</c:v>
                </c:pt>
                <c:pt idx="1">
                  <c:v>467.00799999999998</c:v>
                </c:pt>
                <c:pt idx="2">
                  <c:v>2526.2919999999999</c:v>
                </c:pt>
                <c:pt idx="3">
                  <c:v>949.43399999999997</c:v>
                </c:pt>
                <c:pt idx="4">
                  <c:v>1679.92</c:v>
                </c:pt>
                <c:pt idx="5">
                  <c:v>2053.991</c:v>
                </c:pt>
                <c:pt idx="6">
                  <c:v>520.03200000000004</c:v>
                </c:pt>
                <c:pt idx="7">
                  <c:v>871.1</c:v>
                </c:pt>
                <c:pt idx="8">
                  <c:v>1535.6489999999999</c:v>
                </c:pt>
                <c:pt idx="9">
                  <c:v>263.25900000000001</c:v>
                </c:pt>
                <c:pt idx="10">
                  <c:v>836.49900000000002</c:v>
                </c:pt>
              </c:numCache>
            </c:numRef>
          </c:val>
          <c:extLst xmlns:c16r2="http://schemas.microsoft.com/office/drawing/2015/06/chart">
            <c:ext xmlns:c16="http://schemas.microsoft.com/office/drawing/2014/chart" uri="{C3380CC4-5D6E-409C-BE32-E72D297353CC}">
              <c16:uniqueId val="{00000001-2AB8-43BA-AF30-5874AA14AB09}"/>
            </c:ext>
          </c:extLst>
        </c:ser>
        <c:ser>
          <c:idx val="1"/>
          <c:order val="1"/>
          <c:tx>
            <c:strRef>
              <c:f>'Rauri_km 2022'!$C$5</c:f>
              <c:strCache>
                <c:ptCount val="1"/>
                <c:pt idx="0">
                  <c:v>SE inferioară stării bune (km)</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2022'!$D$3:$N$3</c:f>
              <c:strCache>
                <c:ptCount val="11"/>
                <c:pt idx="0">
                  <c:v>Someș-Tisa</c:v>
                </c:pt>
                <c:pt idx="1">
                  <c:v>Crișuri</c:v>
                </c:pt>
                <c:pt idx="2">
                  <c:v>Mureș</c:v>
                </c:pt>
                <c:pt idx="3">
                  <c:v>Banat</c:v>
                </c:pt>
                <c:pt idx="4">
                  <c:v>Jiu</c:v>
                </c:pt>
                <c:pt idx="5">
                  <c:v>Olt</c:v>
                </c:pt>
                <c:pt idx="6">
                  <c:v>Argeș-Vedea</c:v>
                </c:pt>
                <c:pt idx="7">
                  <c:v>Buzău-Ialomița</c:v>
                </c:pt>
                <c:pt idx="8">
                  <c:v>Siret</c:v>
                </c:pt>
                <c:pt idx="9">
                  <c:v>Prut-Bârlad</c:v>
                </c:pt>
                <c:pt idx="10">
                  <c:v>Dobrogea-Litoral</c:v>
                </c:pt>
              </c:strCache>
            </c:strRef>
          </c:cat>
          <c:val>
            <c:numRef>
              <c:f>'Rauri_km 2022'!$D$5:$N$5</c:f>
              <c:numCache>
                <c:formatCode>0.00</c:formatCode>
                <c:ptCount val="11"/>
                <c:pt idx="0">
                  <c:v>3328.252</c:v>
                </c:pt>
                <c:pt idx="1">
                  <c:v>1521.837</c:v>
                </c:pt>
                <c:pt idx="2">
                  <c:v>1789.16</c:v>
                </c:pt>
                <c:pt idx="3">
                  <c:v>2593.3609999999999</c:v>
                </c:pt>
                <c:pt idx="4">
                  <c:v>1881.85</c:v>
                </c:pt>
                <c:pt idx="5">
                  <c:v>4059.7629999999999</c:v>
                </c:pt>
                <c:pt idx="6">
                  <c:v>3058.1060000000002</c:v>
                </c:pt>
                <c:pt idx="7">
                  <c:v>1632.1</c:v>
                </c:pt>
                <c:pt idx="8">
                  <c:v>3929.8389999999999</c:v>
                </c:pt>
                <c:pt idx="9">
                  <c:v>3522.15</c:v>
                </c:pt>
                <c:pt idx="10">
                  <c:v>387.87099999999998</c:v>
                </c:pt>
              </c:numCache>
            </c:numRef>
          </c:val>
          <c:extLst xmlns:c16r2="http://schemas.microsoft.com/office/drawing/2015/06/chart">
            <c:ext xmlns:c16="http://schemas.microsoft.com/office/drawing/2014/chart" uri="{C3380CC4-5D6E-409C-BE32-E72D297353CC}">
              <c16:uniqueId val="{00000002-2AB8-43BA-AF30-5874AA14AB09}"/>
            </c:ext>
          </c:extLst>
        </c:ser>
        <c:dLbls>
          <c:dLblPos val="ctr"/>
          <c:showLegendKey val="0"/>
          <c:showVal val="1"/>
          <c:showCatName val="0"/>
          <c:showSerName val="0"/>
          <c:showPercent val="0"/>
          <c:showBubbleSize val="0"/>
        </c:dLbls>
        <c:gapWidth val="182"/>
        <c:overlap val="100"/>
        <c:axId val="355239040"/>
        <c:axId val="355240960"/>
      </c:barChart>
      <c:catAx>
        <c:axId val="35523904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r>
                  <a:rPr lang="ro-RO"/>
                  <a:t>Bazine/spații hidrografice</a:t>
                </a:r>
                <a:endParaRPr lang="en-US"/>
              </a:p>
            </c:rich>
          </c:tx>
          <c:layout>
            <c:manualLayout>
              <c:xMode val="edge"/>
              <c:yMode val="edge"/>
              <c:x val="4.1517743411218493E-2"/>
              <c:y val="0.2669773835589806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crossAx val="355240960"/>
        <c:crosses val="autoZero"/>
        <c:auto val="1"/>
        <c:lblAlgn val="ctr"/>
        <c:lblOffset val="100"/>
        <c:noMultiLvlLbl val="0"/>
      </c:catAx>
      <c:valAx>
        <c:axId val="35524096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crossAx val="3552390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rebuchet MS" panose="020B0603020202020204" pitchFamily="34" charset="0"/>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rebuchet MS" panose="020B0603020202020204" pitchFamily="34" charset="0"/>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518308681399253"/>
          <c:y val="3.316749585406302E-2"/>
          <c:w val="0.73795371251725306"/>
          <c:h val="0.68909390057586084"/>
        </c:manualLayout>
      </c:layout>
      <c:barChart>
        <c:barDir val="bar"/>
        <c:grouping val="percentStacked"/>
        <c:varyColors val="0"/>
        <c:ser>
          <c:idx val="0"/>
          <c:order val="0"/>
          <c:tx>
            <c:strRef>
              <c:f>'Rauri_km 2022'!$C$12</c:f>
              <c:strCache>
                <c:ptCount val="1"/>
                <c:pt idx="0">
                  <c:v>SE bună/bun (%)</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2022'!$D$11:$N$11</c:f>
              <c:strCache>
                <c:ptCount val="11"/>
                <c:pt idx="0">
                  <c:v>Someș-Tisa</c:v>
                </c:pt>
                <c:pt idx="1">
                  <c:v>Crișuri</c:v>
                </c:pt>
                <c:pt idx="2">
                  <c:v>Mureș</c:v>
                </c:pt>
                <c:pt idx="3">
                  <c:v>Banat</c:v>
                </c:pt>
                <c:pt idx="4">
                  <c:v>Jiu</c:v>
                </c:pt>
                <c:pt idx="5">
                  <c:v>Olt</c:v>
                </c:pt>
                <c:pt idx="6">
                  <c:v>Argeș-Vedea</c:v>
                </c:pt>
                <c:pt idx="7">
                  <c:v>Buzău-Ialomița</c:v>
                </c:pt>
                <c:pt idx="8">
                  <c:v>Siret</c:v>
                </c:pt>
                <c:pt idx="9">
                  <c:v>Prut-Bârlad</c:v>
                </c:pt>
                <c:pt idx="10">
                  <c:v>Dobrogea-Litoral</c:v>
                </c:pt>
              </c:strCache>
            </c:strRef>
          </c:cat>
          <c:val>
            <c:numRef>
              <c:f>'Rauri_km 2022'!$D$12:$N$12</c:f>
              <c:numCache>
                <c:formatCode>0.00%</c:formatCode>
                <c:ptCount val="11"/>
                <c:pt idx="0">
                  <c:v>0.27199988450872681</c:v>
                </c:pt>
                <c:pt idx="1">
                  <c:v>0.23481367326262226</c:v>
                </c:pt>
                <c:pt idx="2">
                  <c:v>0.585406117366153</c:v>
                </c:pt>
                <c:pt idx="3">
                  <c:v>0.26799010385867655</c:v>
                </c:pt>
                <c:pt idx="4">
                  <c:v>0.47165313874843129</c:v>
                </c:pt>
                <c:pt idx="5">
                  <c:v>0.33596232363945294</c:v>
                </c:pt>
                <c:pt idx="6">
                  <c:v>0.14533592611576188</c:v>
                </c:pt>
                <c:pt idx="7">
                  <c:v>0.34799456695429853</c:v>
                </c:pt>
                <c:pt idx="8">
                  <c:v>0.28097198273969315</c:v>
                </c:pt>
                <c:pt idx="9">
                  <c:v>6.9545721479501957E-2</c:v>
                </c:pt>
                <c:pt idx="10">
                  <c:v>0.68320769048571928</c:v>
                </c:pt>
              </c:numCache>
            </c:numRef>
          </c:val>
          <c:extLst xmlns:c16r2="http://schemas.microsoft.com/office/drawing/2015/06/chart">
            <c:ext xmlns:c16="http://schemas.microsoft.com/office/drawing/2014/chart" uri="{C3380CC4-5D6E-409C-BE32-E72D297353CC}">
              <c16:uniqueId val="{00000000-8C5F-4295-97BE-2177FDACE5E9}"/>
            </c:ext>
          </c:extLst>
        </c:ser>
        <c:ser>
          <c:idx val="1"/>
          <c:order val="1"/>
          <c:tx>
            <c:strRef>
              <c:f>'Rauri_km 2022'!$C$13</c:f>
              <c:strCache>
                <c:ptCount val="1"/>
                <c:pt idx="0">
                  <c:v>SE inferioară stării bune (%)</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2022'!$D$11:$N$11</c:f>
              <c:strCache>
                <c:ptCount val="11"/>
                <c:pt idx="0">
                  <c:v>Someș-Tisa</c:v>
                </c:pt>
                <c:pt idx="1">
                  <c:v>Crișuri</c:v>
                </c:pt>
                <c:pt idx="2">
                  <c:v>Mureș</c:v>
                </c:pt>
                <c:pt idx="3">
                  <c:v>Banat</c:v>
                </c:pt>
                <c:pt idx="4">
                  <c:v>Jiu</c:v>
                </c:pt>
                <c:pt idx="5">
                  <c:v>Olt</c:v>
                </c:pt>
                <c:pt idx="6">
                  <c:v>Argeș-Vedea</c:v>
                </c:pt>
                <c:pt idx="7">
                  <c:v>Buzău-Ialomița</c:v>
                </c:pt>
                <c:pt idx="8">
                  <c:v>Siret</c:v>
                </c:pt>
                <c:pt idx="9">
                  <c:v>Prut-Bârlad</c:v>
                </c:pt>
                <c:pt idx="10">
                  <c:v>Dobrogea-Litoral</c:v>
                </c:pt>
              </c:strCache>
            </c:strRef>
          </c:cat>
          <c:val>
            <c:numRef>
              <c:f>'Rauri_km 2022'!$D$13:$N$13</c:f>
              <c:numCache>
                <c:formatCode>0.00%</c:formatCode>
                <c:ptCount val="11"/>
                <c:pt idx="0">
                  <c:v>0.7280001154912733</c:v>
                </c:pt>
                <c:pt idx="1">
                  <c:v>0.76518632673737774</c:v>
                </c:pt>
                <c:pt idx="2">
                  <c:v>0.41459388263384694</c:v>
                </c:pt>
                <c:pt idx="3">
                  <c:v>0.73200989614132339</c:v>
                </c:pt>
                <c:pt idx="4">
                  <c:v>0.52834686125156871</c:v>
                </c:pt>
                <c:pt idx="5">
                  <c:v>0.664037676360547</c:v>
                </c:pt>
                <c:pt idx="6">
                  <c:v>0.85466407388423804</c:v>
                </c:pt>
                <c:pt idx="7">
                  <c:v>0.65200543304570147</c:v>
                </c:pt>
                <c:pt idx="8">
                  <c:v>0.71902801726030696</c:v>
                </c:pt>
                <c:pt idx="9">
                  <c:v>0.930454278520498</c:v>
                </c:pt>
                <c:pt idx="10">
                  <c:v>0.31679230951428083</c:v>
                </c:pt>
              </c:numCache>
            </c:numRef>
          </c:val>
          <c:extLst xmlns:c16r2="http://schemas.microsoft.com/office/drawing/2015/06/chart">
            <c:ext xmlns:c16="http://schemas.microsoft.com/office/drawing/2014/chart" uri="{C3380CC4-5D6E-409C-BE32-E72D297353CC}">
              <c16:uniqueId val="{00000001-8C5F-4295-97BE-2177FDACE5E9}"/>
            </c:ext>
          </c:extLst>
        </c:ser>
        <c:dLbls>
          <c:showLegendKey val="0"/>
          <c:showVal val="0"/>
          <c:showCatName val="0"/>
          <c:showSerName val="0"/>
          <c:showPercent val="0"/>
          <c:showBubbleSize val="0"/>
        </c:dLbls>
        <c:gapWidth val="150"/>
        <c:overlap val="100"/>
        <c:axId val="354695424"/>
        <c:axId val="354705792"/>
      </c:barChart>
      <c:catAx>
        <c:axId val="35469542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r>
                  <a:rPr lang="ro-RO"/>
                  <a:t>Bazine/spații hidrografice</a:t>
                </a:r>
                <a:endParaRPr lang="en-US"/>
              </a:p>
            </c:rich>
          </c:tx>
          <c:layout>
            <c:manualLayout>
              <c:xMode val="edge"/>
              <c:yMode val="edge"/>
              <c:x val="7.1005917159763315E-2"/>
              <c:y val="0.2714856323305159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crossAx val="354705792"/>
        <c:crosses val="autoZero"/>
        <c:auto val="1"/>
        <c:lblAlgn val="ctr"/>
        <c:lblOffset val="100"/>
        <c:noMultiLvlLbl val="0"/>
      </c:catAx>
      <c:valAx>
        <c:axId val="3547057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n-US"/>
          </a:p>
        </c:txPr>
        <c:crossAx val="3546954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rebuchet MS" panose="020B0603020202020204" pitchFamily="34" charset="0"/>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rebuchet MS" panose="020B0603020202020204" pitchFamily="34" charset="0"/>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'Evolutie '!$F$27</c:f>
              <c:strCache>
                <c:ptCount val="1"/>
                <c:pt idx="0">
                  <c:v>SE bună/bun (km)</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'!$G$26:$I$26</c:f>
              <c:numCache>
                <c:formatCode>General</c:formatCode>
                <c:ptCount val="3"/>
                <c:pt idx="0">
                  <c:v>2021</c:v>
                </c:pt>
                <c:pt idx="1">
                  <c:v>2022</c:v>
                </c:pt>
                <c:pt idx="2">
                  <c:v>2023</c:v>
                </c:pt>
              </c:numCache>
            </c:numRef>
          </c:cat>
          <c:val>
            <c:numRef>
              <c:f>'Evolutie '!$G$27:$I$27</c:f>
              <c:numCache>
                <c:formatCode>General</c:formatCode>
                <c:ptCount val="3"/>
                <c:pt idx="0">
                  <c:v>14681.357</c:v>
                </c:pt>
                <c:pt idx="1">
                  <c:v>14623.159</c:v>
                </c:pt>
                <c:pt idx="2">
                  <c:v>12946.705999999998</c:v>
                </c:pt>
              </c:numCache>
            </c:numRef>
          </c:val>
          <c:extLst xmlns:c16r2="http://schemas.microsoft.com/office/drawing/2015/06/chart">
            <c:ext xmlns:c16="http://schemas.microsoft.com/office/drawing/2014/chart" uri="{C3380CC4-5D6E-409C-BE32-E72D297353CC}">
              <c16:uniqueId val="{00000000-65D1-430F-A490-F974DA188A59}"/>
            </c:ext>
          </c:extLst>
        </c:ser>
        <c:ser>
          <c:idx val="1"/>
          <c:order val="1"/>
          <c:tx>
            <c:strRef>
              <c:f>'Evolutie '!$F$28</c:f>
              <c:strCache>
                <c:ptCount val="1"/>
                <c:pt idx="0">
                  <c:v>SE inferioară stării bune (km)</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'!$G$26:$I$26</c:f>
              <c:numCache>
                <c:formatCode>General</c:formatCode>
                <c:ptCount val="3"/>
                <c:pt idx="0">
                  <c:v>2021</c:v>
                </c:pt>
                <c:pt idx="1">
                  <c:v>2022</c:v>
                </c:pt>
                <c:pt idx="2">
                  <c:v>2023</c:v>
                </c:pt>
              </c:numCache>
            </c:numRef>
          </c:cat>
          <c:val>
            <c:numRef>
              <c:f>'Evolutie '!$G$28:$I$28</c:f>
              <c:numCache>
                <c:formatCode>0.000</c:formatCode>
                <c:ptCount val="3"/>
                <c:pt idx="0" formatCode="General">
                  <c:v>24192.815999999999</c:v>
                </c:pt>
                <c:pt idx="1">
                  <c:v>27753.8</c:v>
                </c:pt>
                <c:pt idx="2" formatCode="General">
                  <c:v>27704.289000000001</c:v>
                </c:pt>
              </c:numCache>
            </c:numRef>
          </c:val>
          <c:extLst xmlns:c16r2="http://schemas.microsoft.com/office/drawing/2015/06/chart">
            <c:ext xmlns:c16="http://schemas.microsoft.com/office/drawing/2014/chart" uri="{C3380CC4-5D6E-409C-BE32-E72D297353CC}">
              <c16:uniqueId val="{00000001-65D1-430F-A490-F974DA188A59}"/>
            </c:ext>
          </c:extLst>
        </c:ser>
        <c:dLbls>
          <c:dLblPos val="ctr"/>
          <c:showLegendKey val="0"/>
          <c:showVal val="1"/>
          <c:showCatName val="0"/>
          <c:showSerName val="0"/>
          <c:showPercent val="0"/>
          <c:showBubbleSize val="0"/>
        </c:dLbls>
        <c:gapWidth val="150"/>
        <c:overlap val="100"/>
        <c:axId val="355221504"/>
        <c:axId val="355223424"/>
      </c:barChart>
      <c:catAx>
        <c:axId val="35522150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r>
                  <a:rPr lang="ro-RO"/>
                  <a:t>AN</a:t>
                </a:r>
                <a:endParaRPr lang="en-US"/>
              </a:p>
            </c:rich>
          </c:tx>
          <c:layout>
            <c:manualLayout>
              <c:xMode val="edge"/>
              <c:yMode val="edge"/>
              <c:x val="8.7024047472645735E-2"/>
              <c:y val="0.3811562554680664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5223424"/>
        <c:crosses val="autoZero"/>
        <c:auto val="1"/>
        <c:lblAlgn val="ctr"/>
        <c:lblOffset val="100"/>
        <c:noMultiLvlLbl val="0"/>
      </c:catAx>
      <c:valAx>
        <c:axId val="3552234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r>
                  <a:rPr lang="ro-RO"/>
                  <a:t>Număr kilometri</a:t>
                </a:r>
              </a:p>
            </c:rich>
          </c:tx>
          <c:layout>
            <c:manualLayout>
              <c:xMode val="edge"/>
              <c:yMode val="edge"/>
              <c:x val="0.43562283165314786"/>
              <c:y val="0.86237177019539213"/>
            </c:manualLayout>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52215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rebuchet MS" panose="020B0603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Trebuchet MS" pitchFamily="34" charset="0"/>
                <a:ea typeface="Arial"/>
                <a:cs typeface="Arial"/>
              </a:defRPr>
            </a:pPr>
            <a:r>
              <a:rPr lang="en-US" sz="1000" baseline="0">
                <a:latin typeface="Trebuchet MS" pitchFamily="34" charset="0"/>
              </a:rPr>
              <a:t>Pb - Concentraţii medii anuale 2</a:t>
            </a:r>
            <a:r>
              <a:rPr lang="ro-RO" sz="1000" baseline="0">
                <a:latin typeface="Trebuchet MS" pitchFamily="34" charset="0"/>
              </a:rPr>
              <a:t>023</a:t>
            </a:r>
            <a:r>
              <a:rPr lang="en-US" sz="1000" baseline="0">
                <a:latin typeface="Trebuchet MS" pitchFamily="34" charset="0"/>
              </a:rPr>
              <a:t> înregistrate la staţiile de monitorizare</a:t>
            </a:r>
          </a:p>
        </c:rich>
      </c:tx>
      <c:layout>
        <c:manualLayout>
          <c:xMode val="edge"/>
          <c:yMode val="edge"/>
          <c:x val="0.11702123477969581"/>
          <c:y val="2.1276443759226469E-2"/>
        </c:manualLayout>
      </c:layout>
      <c:overlay val="0"/>
      <c:spPr>
        <a:noFill/>
        <a:ln w="13111">
          <a:noFill/>
        </a:ln>
      </c:spPr>
    </c:title>
    <c:autoTitleDeleted val="0"/>
    <c:plotArea>
      <c:layout>
        <c:manualLayout>
          <c:layoutTarget val="inner"/>
          <c:xMode val="edge"/>
          <c:yMode val="edge"/>
          <c:x val="0.11524822695035462"/>
          <c:y val="9.708118157883347E-2"/>
          <c:w val="0.86879432624114172"/>
          <c:h val="0.65823810095045665"/>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6555">
              <a:solidFill>
                <a:srgbClr val="000000"/>
              </a:solidFill>
              <a:prstDash val="solid"/>
            </a:ln>
          </c:spPr>
          <c:invertIfNegative val="0"/>
          <c:dLbls>
            <c:numFmt formatCode="#,##0.0000" sourceLinked="0"/>
            <c:spPr>
              <a:noFill/>
              <a:ln>
                <a:noFill/>
              </a:ln>
              <a:effectLst/>
            </c:spPr>
            <c:txPr>
              <a:bodyPr/>
              <a:lstStyle/>
              <a:p>
                <a:pPr>
                  <a:defRPr sz="610" baseline="0">
                    <a:latin typeface="Trebuchet MS"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formatCode="0.0000">
                  <c:v>1.0862500000000001E-2</c:v>
                </c:pt>
                <c:pt idx="6" formatCode="0.0000">
                  <c:v>1.20166666666667E-2</c:v>
                </c:pt>
              </c:numCache>
            </c:numRef>
          </c:val>
          <c:extLst xmlns:c16r2="http://schemas.microsoft.com/office/drawing/2015/06/chart">
            <c:ext xmlns:c16="http://schemas.microsoft.com/office/drawing/2014/chart" uri="{C3380CC4-5D6E-409C-BE32-E72D297353CC}">
              <c16:uniqueId val="{00000000-B682-4C50-B632-D14AAF07F14F}"/>
            </c:ext>
          </c:extLst>
        </c:ser>
        <c:dLbls>
          <c:showLegendKey val="0"/>
          <c:showVal val="0"/>
          <c:showCatName val="0"/>
          <c:showSerName val="0"/>
          <c:showPercent val="0"/>
          <c:showBubbleSize val="0"/>
        </c:dLbls>
        <c:gapWidth val="150"/>
        <c:axId val="351277824"/>
        <c:axId val="351279744"/>
      </c:barChart>
      <c:lineChart>
        <c:grouping val="standard"/>
        <c:varyColors val="0"/>
        <c:ser>
          <c:idx val="0"/>
          <c:order val="1"/>
          <c:tx>
            <c:strRef>
              <c:f>Sheet1!$A$3</c:f>
              <c:strCache>
                <c:ptCount val="1"/>
                <c:pt idx="0">
                  <c:v>Valoarea limită</c:v>
                </c:pt>
              </c:strCache>
            </c:strRef>
          </c:tx>
          <c:spPr>
            <a:ln w="13111">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0.5</c:v>
                </c:pt>
                <c:pt idx="1">
                  <c:v>0.5</c:v>
                </c:pt>
                <c:pt idx="2">
                  <c:v>0.5</c:v>
                </c:pt>
                <c:pt idx="3">
                  <c:v>0.5</c:v>
                </c:pt>
                <c:pt idx="4">
                  <c:v>0.5</c:v>
                </c:pt>
                <c:pt idx="5">
                  <c:v>0.5</c:v>
                </c:pt>
                <c:pt idx="6">
                  <c:v>0.5</c:v>
                </c:pt>
                <c:pt idx="7">
                  <c:v>0.5</c:v>
                </c:pt>
                <c:pt idx="8">
                  <c:v>0.5</c:v>
                </c:pt>
                <c:pt idx="9">
                  <c:v>0.5</c:v>
                </c:pt>
                <c:pt idx="10">
                  <c:v>0.5</c:v>
                </c:pt>
              </c:numCache>
            </c:numRef>
          </c:val>
          <c:smooth val="0"/>
          <c:extLst xmlns:c16r2="http://schemas.microsoft.com/office/drawing/2015/06/chart">
            <c:ext xmlns:c16="http://schemas.microsoft.com/office/drawing/2014/chart" uri="{C3380CC4-5D6E-409C-BE32-E72D297353CC}">
              <c16:uniqueId val="{00000001-B682-4C50-B632-D14AAF07F14F}"/>
            </c:ext>
          </c:extLst>
        </c:ser>
        <c:dLbls>
          <c:showLegendKey val="0"/>
          <c:showVal val="0"/>
          <c:showCatName val="0"/>
          <c:showSerName val="0"/>
          <c:showPercent val="0"/>
          <c:showBubbleSize val="0"/>
        </c:dLbls>
        <c:marker val="1"/>
        <c:smooth val="0"/>
        <c:axId val="351306496"/>
        <c:axId val="351308032"/>
      </c:lineChart>
      <c:catAx>
        <c:axId val="351277824"/>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n-US" sz="1000" baseline="0"/>
                  <a:t>staţii monitorizare</a:t>
                </a:r>
              </a:p>
            </c:rich>
          </c:tx>
          <c:layout>
            <c:manualLayout>
              <c:xMode val="edge"/>
              <c:yMode val="edge"/>
              <c:x val="0.4432624051525475"/>
              <c:y val="0.83510626898963258"/>
            </c:manualLayout>
          </c:layout>
          <c:overlay val="0"/>
          <c:spPr>
            <a:noFill/>
            <a:ln w="13111">
              <a:noFill/>
            </a:ln>
          </c:spPr>
        </c:title>
        <c:numFmt formatCode="General" sourceLinked="1"/>
        <c:majorTickMark val="cross"/>
        <c:minorTickMark val="none"/>
        <c:tickLblPos val="nextTo"/>
        <c:spPr>
          <a:ln w="1639">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351279744"/>
        <c:crosses val="autoZero"/>
        <c:auto val="0"/>
        <c:lblAlgn val="ctr"/>
        <c:lblOffset val="100"/>
        <c:tickLblSkip val="1"/>
        <c:tickMarkSkip val="1"/>
        <c:noMultiLvlLbl val="0"/>
      </c:catAx>
      <c:valAx>
        <c:axId val="351279744"/>
        <c:scaling>
          <c:orientation val="minMax"/>
        </c:scaling>
        <c:delete val="0"/>
        <c:axPos val="l"/>
        <c:title>
          <c:tx>
            <c:rich>
              <a:bodyPr/>
              <a:lstStyle/>
              <a:p>
                <a:pPr>
                  <a:defRPr sz="1000" b="1" i="0" u="none" strike="noStrike" baseline="0">
                    <a:solidFill>
                      <a:srgbClr val="000000"/>
                    </a:solidFill>
                    <a:latin typeface="Arial"/>
                    <a:ea typeface="Arial"/>
                    <a:cs typeface="Arial"/>
                  </a:defRPr>
                </a:pPr>
                <a:r>
                  <a:rPr lang="en-US" sz="1000" baseline="0"/>
                  <a:t>concentraţie µg/m3</a:t>
                </a:r>
              </a:p>
            </c:rich>
          </c:tx>
          <c:layout>
            <c:manualLayout>
              <c:xMode val="edge"/>
              <c:yMode val="edge"/>
              <c:x val="1.9503411745874447E-2"/>
              <c:y val="0.32446827508820097"/>
            </c:manualLayout>
          </c:layout>
          <c:overlay val="0"/>
          <c:spPr>
            <a:noFill/>
            <a:ln w="13111">
              <a:noFill/>
            </a:ln>
          </c:spPr>
        </c:title>
        <c:numFmt formatCode="0.0" sourceLinked="0"/>
        <c:majorTickMark val="cross"/>
        <c:minorTickMark val="none"/>
        <c:tickLblPos val="nextTo"/>
        <c:spPr>
          <a:ln w="1639">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351277824"/>
        <c:crosses val="autoZero"/>
        <c:crossBetween val="between"/>
      </c:valAx>
      <c:catAx>
        <c:axId val="351306496"/>
        <c:scaling>
          <c:orientation val="minMax"/>
        </c:scaling>
        <c:delete val="1"/>
        <c:axPos val="b"/>
        <c:numFmt formatCode="General" sourceLinked="1"/>
        <c:majorTickMark val="out"/>
        <c:minorTickMark val="none"/>
        <c:tickLblPos val="nextTo"/>
        <c:crossAx val="351308032"/>
        <c:crosses val="autoZero"/>
        <c:auto val="0"/>
        <c:lblAlgn val="ctr"/>
        <c:lblOffset val="100"/>
        <c:noMultiLvlLbl val="0"/>
      </c:catAx>
      <c:valAx>
        <c:axId val="351308032"/>
        <c:scaling>
          <c:orientation val="minMax"/>
        </c:scaling>
        <c:delete val="1"/>
        <c:axPos val="l"/>
        <c:numFmt formatCode="General" sourceLinked="1"/>
        <c:majorTickMark val="out"/>
        <c:minorTickMark val="none"/>
        <c:tickLblPos val="nextTo"/>
        <c:crossAx val="351306496"/>
        <c:crosses val="autoZero"/>
        <c:crossBetween val="between"/>
      </c:valAx>
      <c:spPr>
        <a:solidFill>
          <a:srgbClr val="C0C0C0"/>
        </a:solidFill>
        <a:ln w="6555">
          <a:solidFill>
            <a:srgbClr val="808080"/>
          </a:solidFill>
          <a:prstDash val="solid"/>
        </a:ln>
      </c:spPr>
    </c:plotArea>
    <c:legend>
      <c:legendPos val="b"/>
      <c:layout>
        <c:manualLayout>
          <c:xMode val="edge"/>
          <c:yMode val="edge"/>
          <c:x val="0.27482280693211031"/>
          <c:y val="0.9281912803817024"/>
          <c:w val="0.61636218597186887"/>
          <c:h val="6.1627366014562979E-2"/>
        </c:manualLayout>
      </c:layout>
      <c:overlay val="0"/>
      <c:spPr>
        <a:solidFill>
          <a:srgbClr val="FFFFFF"/>
        </a:solidFill>
        <a:ln w="1639">
          <a:solidFill>
            <a:srgbClr val="000000"/>
          </a:solidFill>
          <a:prstDash val="solid"/>
        </a:ln>
      </c:spPr>
      <c:txPr>
        <a:bodyPr/>
        <a:lstStyle/>
        <a:p>
          <a:pPr>
            <a:defRPr sz="759" b="0"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516" b="0" i="0" u="none" strike="noStrike" baseline="0">
          <a:solidFill>
            <a:srgbClr val="000000"/>
          </a:solidFill>
          <a:latin typeface="Arial"/>
          <a:ea typeface="Arial"/>
          <a:cs typeface="Arial"/>
        </a:defRPr>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'Evolutie '!$F$44</c:f>
              <c:strCache>
                <c:ptCount val="1"/>
                <c:pt idx="0">
                  <c:v>SE bună/bun (%)</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D9E2-4B35-B6E2-A24282D89DA3}"/>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'!$G$43:$I$43</c:f>
              <c:numCache>
                <c:formatCode>General</c:formatCode>
                <c:ptCount val="3"/>
                <c:pt idx="0">
                  <c:v>2021</c:v>
                </c:pt>
                <c:pt idx="1">
                  <c:v>2022</c:v>
                </c:pt>
                <c:pt idx="2">
                  <c:v>2023</c:v>
                </c:pt>
              </c:numCache>
            </c:numRef>
          </c:cat>
          <c:val>
            <c:numRef>
              <c:f>'Evolutie '!$G$44:$I$44</c:f>
              <c:numCache>
                <c:formatCode>0%</c:formatCode>
                <c:ptCount val="3"/>
                <c:pt idx="0">
                  <c:v>0.3776635196843931</c:v>
                </c:pt>
                <c:pt idx="1">
                  <c:v>0.34507334516381888</c:v>
                </c:pt>
                <c:pt idx="2">
                  <c:v>0.31848435690196514</c:v>
                </c:pt>
              </c:numCache>
            </c:numRef>
          </c:val>
          <c:extLst xmlns:c16r2="http://schemas.microsoft.com/office/drawing/2015/06/chart">
            <c:ext xmlns:c16="http://schemas.microsoft.com/office/drawing/2014/chart" uri="{C3380CC4-5D6E-409C-BE32-E72D297353CC}">
              <c16:uniqueId val="{00000002-D9E2-4B35-B6E2-A24282D89DA3}"/>
            </c:ext>
          </c:extLst>
        </c:ser>
        <c:ser>
          <c:idx val="1"/>
          <c:order val="1"/>
          <c:tx>
            <c:strRef>
              <c:f>'Evolutie '!$F$45</c:f>
              <c:strCache>
                <c:ptCount val="1"/>
                <c:pt idx="0">
                  <c:v>SE inferioară stării bune (%)</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'!$G$43:$I$43</c:f>
              <c:numCache>
                <c:formatCode>General</c:formatCode>
                <c:ptCount val="3"/>
                <c:pt idx="0">
                  <c:v>2021</c:v>
                </c:pt>
                <c:pt idx="1">
                  <c:v>2022</c:v>
                </c:pt>
                <c:pt idx="2">
                  <c:v>2023</c:v>
                </c:pt>
              </c:numCache>
            </c:numRef>
          </c:cat>
          <c:val>
            <c:numRef>
              <c:f>'Evolutie '!$G$45:$I$45</c:f>
              <c:numCache>
                <c:formatCode>0%</c:formatCode>
                <c:ptCount val="3"/>
                <c:pt idx="0">
                  <c:v>0.62233648031560707</c:v>
                </c:pt>
                <c:pt idx="1">
                  <c:v>0.65492665483618118</c:v>
                </c:pt>
                <c:pt idx="2">
                  <c:v>0.68151564309803492</c:v>
                </c:pt>
              </c:numCache>
            </c:numRef>
          </c:val>
          <c:extLst xmlns:c16r2="http://schemas.microsoft.com/office/drawing/2015/06/chart">
            <c:ext xmlns:c16="http://schemas.microsoft.com/office/drawing/2014/chart" uri="{C3380CC4-5D6E-409C-BE32-E72D297353CC}">
              <c16:uniqueId val="{00000003-D9E2-4B35-B6E2-A24282D89DA3}"/>
            </c:ext>
          </c:extLst>
        </c:ser>
        <c:dLbls>
          <c:showLegendKey val="0"/>
          <c:showVal val="0"/>
          <c:showCatName val="0"/>
          <c:showSerName val="0"/>
          <c:showPercent val="0"/>
          <c:showBubbleSize val="0"/>
        </c:dLbls>
        <c:gapWidth val="150"/>
        <c:overlap val="100"/>
        <c:axId val="354991104"/>
        <c:axId val="354997376"/>
      </c:barChart>
      <c:catAx>
        <c:axId val="35499110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r>
                  <a:rPr lang="en-US"/>
                  <a:t>AN</a:t>
                </a:r>
              </a:p>
            </c:rich>
          </c:tx>
          <c:layout>
            <c:manualLayout>
              <c:xMode val="edge"/>
              <c:yMode val="edge"/>
              <c:x val="0.11752603803253639"/>
              <c:y val="0.348152914281098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4997376"/>
        <c:crosses val="autoZero"/>
        <c:auto val="1"/>
        <c:lblAlgn val="ctr"/>
        <c:lblOffset val="100"/>
        <c:noMultiLvlLbl val="0"/>
      </c:catAx>
      <c:valAx>
        <c:axId val="3549973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r>
                  <a:rPr lang="ro-RO"/>
                  <a:t>Procente</a:t>
                </a:r>
              </a:p>
            </c:rich>
          </c:tx>
          <c:layout>
            <c:manualLayout>
              <c:xMode val="edge"/>
              <c:yMode val="edge"/>
              <c:x val="0.49564330616483998"/>
              <c:y val="0.83831049333625318"/>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49911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rebuchet MS" panose="020B0603020202020204" pitchFamily="34" charset="0"/>
          <a:cs typeface="Arial" panose="020B0604020202020204" pitchFamily="34" charset="0"/>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77877387979175"/>
          <c:y val="4.1583965080185317E-2"/>
          <c:w val="0.79563227004949399"/>
          <c:h val="0.70258179664120257"/>
        </c:manualLayout>
      </c:layout>
      <c:barChart>
        <c:barDir val="bar"/>
        <c:grouping val="stacked"/>
        <c:varyColors val="0"/>
        <c:ser>
          <c:idx val="1"/>
          <c:order val="0"/>
          <c:tx>
            <c:strRef>
              <c:f>Grafice!$D$3</c:f>
              <c:strCache>
                <c:ptCount val="1"/>
                <c:pt idx="0">
                  <c:v>Metale prioritare (nr.)</c:v>
                </c:pt>
              </c:strCache>
            </c:strRef>
          </c:tx>
          <c:spPr>
            <a:solidFill>
              <a:schemeClr val="tx2">
                <a:lumMod val="60000"/>
                <a:lumOff val="40000"/>
              </a:schemeClr>
            </a:solidFill>
            <a:ln>
              <a:no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Grafice!$D$4:$D$14</c:f>
              <c:numCache>
                <c:formatCode>General</c:formatCode>
                <c:ptCount val="11"/>
                <c:pt idx="0">
                  <c:v>3</c:v>
                </c:pt>
                <c:pt idx="1">
                  <c:v>3</c:v>
                </c:pt>
                <c:pt idx="2">
                  <c:v>3</c:v>
                </c:pt>
                <c:pt idx="3">
                  <c:v>3</c:v>
                </c:pt>
                <c:pt idx="4">
                  <c:v>3</c:v>
                </c:pt>
                <c:pt idx="5">
                  <c:v>3</c:v>
                </c:pt>
                <c:pt idx="6">
                  <c:v>3</c:v>
                </c:pt>
                <c:pt idx="7">
                  <c:v>3</c:v>
                </c:pt>
                <c:pt idx="8">
                  <c:v>3</c:v>
                </c:pt>
                <c:pt idx="9">
                  <c:v>3</c:v>
                </c:pt>
                <c:pt idx="10">
                  <c:v>3</c:v>
                </c:pt>
              </c:numCache>
            </c:numRef>
          </c:val>
          <c:extLst xmlns:c16r2="http://schemas.microsoft.com/office/drawing/2015/06/chart">
            <c:ext xmlns:c16="http://schemas.microsoft.com/office/drawing/2014/chart" uri="{C3380CC4-5D6E-409C-BE32-E72D297353CC}">
              <c16:uniqueId val="{00000000-CE3D-4E5A-AB3F-9DE7772158C3}"/>
            </c:ext>
          </c:extLst>
        </c:ser>
        <c:ser>
          <c:idx val="0"/>
          <c:order val="1"/>
          <c:tx>
            <c:strRef>
              <c:f>Grafice!$E$3</c:f>
              <c:strCache>
                <c:ptCount val="1"/>
                <c:pt idx="0">
                  <c:v>Micropoluanţi organici (nr.)</c:v>
                </c:pt>
              </c:strCache>
            </c:strRef>
          </c:tx>
          <c:spPr>
            <a:solidFill>
              <a:schemeClr val="accent6">
                <a:lumMod val="75000"/>
              </a:schemeClr>
            </a:solidFill>
            <a:ln>
              <a:solidFill>
                <a:schemeClr val="accent6">
                  <a:lumMod val="75000"/>
                </a:schemeClr>
              </a:solid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Grafice!$E$4:$E$14</c:f>
              <c:numCache>
                <c:formatCode>General</c:formatCode>
                <c:ptCount val="11"/>
                <c:pt idx="0">
                  <c:v>37</c:v>
                </c:pt>
                <c:pt idx="1">
                  <c:v>37</c:v>
                </c:pt>
                <c:pt idx="2">
                  <c:v>38</c:v>
                </c:pt>
                <c:pt idx="3">
                  <c:v>37</c:v>
                </c:pt>
                <c:pt idx="4">
                  <c:v>40</c:v>
                </c:pt>
                <c:pt idx="5">
                  <c:v>36</c:v>
                </c:pt>
                <c:pt idx="6">
                  <c:v>40</c:v>
                </c:pt>
                <c:pt idx="7">
                  <c:v>40</c:v>
                </c:pt>
                <c:pt idx="8">
                  <c:v>40</c:v>
                </c:pt>
                <c:pt idx="9">
                  <c:v>40</c:v>
                </c:pt>
                <c:pt idx="10">
                  <c:v>40</c:v>
                </c:pt>
              </c:numCache>
            </c:numRef>
          </c:val>
          <c:extLst xmlns:c16r2="http://schemas.microsoft.com/office/drawing/2015/06/chart">
            <c:ext xmlns:c16="http://schemas.microsoft.com/office/drawing/2014/chart" uri="{C3380CC4-5D6E-409C-BE32-E72D297353CC}">
              <c16:uniqueId val="{00000001-CE3D-4E5A-AB3F-9DE7772158C3}"/>
            </c:ext>
          </c:extLst>
        </c:ser>
        <c:dLbls>
          <c:showLegendKey val="0"/>
          <c:showVal val="0"/>
          <c:showCatName val="0"/>
          <c:showSerName val="0"/>
          <c:showPercent val="0"/>
          <c:showBubbleSize val="0"/>
        </c:dLbls>
        <c:gapWidth val="150"/>
        <c:overlap val="100"/>
        <c:axId val="355103104"/>
        <c:axId val="355105024"/>
        <c:extLst xmlns:c16r2="http://schemas.microsoft.com/office/drawing/2015/06/chart">
          <c:ext xmlns:c15="http://schemas.microsoft.com/office/drawing/2012/chart" uri="{02D57815-91ED-43cb-92C2-25804820EDAC}">
            <c15:filteredBarSeries>
              <c15:ser>
                <c:idx val="2"/>
                <c:order val="2"/>
                <c:tx>
                  <c:strRef>
                    <c:extLst>
                      <c:ext uri="{02D57815-91ED-43cb-92C2-25804820EDAC}">
                        <c15:formulaRef>
                          <c15:sqref>Grafice!$A$4</c15:sqref>
                        </c15:formulaRef>
                      </c:ext>
                    </c:extLst>
                    <c:strCache>
                      <c:ptCount val="1"/>
                      <c:pt idx="0">
                        <c:v>Someș-Tisa</c:v>
                      </c:pt>
                    </c:strCache>
                  </c:strRef>
                </c:tx>
                <c:spPr>
                  <a:solidFill>
                    <a:schemeClr val="accent3"/>
                  </a:solidFill>
                  <a:ln>
                    <a:noFill/>
                  </a:ln>
                  <a:effectLst/>
                </c:spPr>
                <c:invertIfNegative val="0"/>
                <c:cat>
                  <c:strRef>
                    <c:extLst>
                      <c:ext uri="{02D57815-91ED-43cb-92C2-25804820EDAC}">
                        <c15:formulaRef>
                          <c15:sqref>Grafice!$A$4:$A$14</c15:sqref>
                        </c15:formulaRef>
                      </c:ext>
                    </c:extLst>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extLst>
                      <c:ext uri="{02D57815-91ED-43cb-92C2-25804820EDAC}">
                        <c15:formulaRef>
                          <c15:sqref>Grafice!$A$5:$A$14</c15:sqref>
                        </c15:formulaRef>
                      </c:ext>
                    </c:extLst>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2-CE3D-4E5A-AB3F-9DE7772158C3}"/>
                  </c:ext>
                </c:extLst>
              </c15:ser>
            </c15:filteredBarSeries>
          </c:ext>
        </c:extLst>
      </c:barChart>
      <c:catAx>
        <c:axId val="35510310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r>
                  <a:rPr lang="en-US"/>
                  <a:t>Bazine</a:t>
                </a:r>
                <a:r>
                  <a:rPr lang="ro-RO"/>
                  <a:t>/spatii hidrografice</a:t>
                </a:r>
              </a:p>
            </c:rich>
          </c:tx>
          <c:layout>
            <c:manualLayout>
              <c:xMode val="edge"/>
              <c:yMode val="edge"/>
              <c:x val="4.0147323415039946E-2"/>
              <c:y val="0.17091678374228117"/>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5105024"/>
        <c:crosses val="autoZero"/>
        <c:auto val="1"/>
        <c:lblAlgn val="ctr"/>
        <c:lblOffset val="100"/>
        <c:noMultiLvlLbl val="0"/>
      </c:catAx>
      <c:valAx>
        <c:axId val="355105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5103104"/>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Trebuchet MS" panose="020B0603020202020204" pitchFamily="34" charset="0"/>
          <a:cs typeface="Arial" panose="020B0604020202020204" pitchFamily="34" charset="0"/>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833533860686994"/>
          <c:y val="7.3384581570110186E-2"/>
          <c:w val="0.80089949419944517"/>
          <c:h val="0.69211371686619216"/>
        </c:manualLayout>
      </c:layout>
      <c:barChart>
        <c:barDir val="bar"/>
        <c:grouping val="stacked"/>
        <c:varyColors val="0"/>
        <c:ser>
          <c:idx val="2"/>
          <c:order val="0"/>
          <c:tx>
            <c:strRef>
              <c:f>Grafice!$F$3</c:f>
              <c:strCache>
                <c:ptCount val="1"/>
                <c:pt idx="0">
                  <c:v>Metale prioritare (nr.)</c:v>
                </c:pt>
              </c:strCache>
            </c:strRef>
          </c:tx>
          <c:spPr>
            <a:solidFill>
              <a:schemeClr val="tx2">
                <a:lumMod val="60000"/>
                <a:lumOff val="40000"/>
              </a:schemeClr>
            </a:solidFill>
            <a:ln>
              <a:no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Grafice!$F$4:$F$14</c:f>
              <c:numCache>
                <c:formatCode>General</c:formatCode>
                <c:ptCount val="11"/>
                <c:pt idx="0">
                  <c:v>1</c:v>
                </c:pt>
                <c:pt idx="1">
                  <c:v>1</c:v>
                </c:pt>
                <c:pt idx="2">
                  <c:v>1</c:v>
                </c:pt>
                <c:pt idx="3">
                  <c:v>1</c:v>
                </c:pt>
                <c:pt idx="4">
                  <c:v>1</c:v>
                </c:pt>
                <c:pt idx="5">
                  <c:v>1</c:v>
                </c:pt>
                <c:pt idx="6">
                  <c:v>1</c:v>
                </c:pt>
                <c:pt idx="7">
                  <c:v>0</c:v>
                </c:pt>
                <c:pt idx="8">
                  <c:v>1</c:v>
                </c:pt>
                <c:pt idx="9">
                  <c:v>1</c:v>
                </c:pt>
                <c:pt idx="10">
                  <c:v>0</c:v>
                </c:pt>
              </c:numCache>
            </c:numRef>
          </c:val>
          <c:extLst xmlns:c16r2="http://schemas.microsoft.com/office/drawing/2015/06/chart">
            <c:ext xmlns:c16="http://schemas.microsoft.com/office/drawing/2014/chart" uri="{C3380CC4-5D6E-409C-BE32-E72D297353CC}">
              <c16:uniqueId val="{00000000-8432-4978-B4F9-BDCF1160DE60}"/>
            </c:ext>
          </c:extLst>
        </c:ser>
        <c:ser>
          <c:idx val="0"/>
          <c:order val="1"/>
          <c:tx>
            <c:strRef>
              <c:f>Grafice!$G$3</c:f>
              <c:strCache>
                <c:ptCount val="1"/>
                <c:pt idx="0">
                  <c:v>Micropoluanţi organici (nr.)</c:v>
                </c:pt>
              </c:strCache>
            </c:strRef>
          </c:tx>
          <c:spPr>
            <a:solidFill>
              <a:schemeClr val="accent6">
                <a:lumMod val="75000"/>
              </a:schemeClr>
            </a:solidFill>
            <a:ln>
              <a:no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Grafice!$G$4:$G$14</c:f>
              <c:numCache>
                <c:formatCode>General</c:formatCode>
                <c:ptCount val="11"/>
                <c:pt idx="0">
                  <c:v>4</c:v>
                </c:pt>
                <c:pt idx="1">
                  <c:v>6</c:v>
                </c:pt>
                <c:pt idx="2">
                  <c:v>5</c:v>
                </c:pt>
                <c:pt idx="3">
                  <c:v>5</c:v>
                </c:pt>
                <c:pt idx="4">
                  <c:v>5</c:v>
                </c:pt>
                <c:pt idx="5">
                  <c:v>3</c:v>
                </c:pt>
                <c:pt idx="6">
                  <c:v>5</c:v>
                </c:pt>
                <c:pt idx="7">
                  <c:v>0</c:v>
                </c:pt>
                <c:pt idx="8">
                  <c:v>5</c:v>
                </c:pt>
                <c:pt idx="9">
                  <c:v>7</c:v>
                </c:pt>
                <c:pt idx="10">
                  <c:v>0</c:v>
                </c:pt>
              </c:numCache>
            </c:numRef>
          </c:val>
          <c:extLst xmlns:c16r2="http://schemas.microsoft.com/office/drawing/2015/06/chart">
            <c:ext xmlns:c16="http://schemas.microsoft.com/office/drawing/2014/chart" uri="{C3380CC4-5D6E-409C-BE32-E72D297353CC}">
              <c16:uniqueId val="{00000001-8432-4978-B4F9-BDCF1160DE60}"/>
            </c:ext>
          </c:extLst>
        </c:ser>
        <c:dLbls>
          <c:showLegendKey val="0"/>
          <c:showVal val="0"/>
          <c:showCatName val="0"/>
          <c:showSerName val="0"/>
          <c:showPercent val="0"/>
          <c:showBubbleSize val="0"/>
        </c:dLbls>
        <c:gapWidth val="150"/>
        <c:overlap val="100"/>
        <c:axId val="355410688"/>
        <c:axId val="355412608"/>
      </c:barChart>
      <c:catAx>
        <c:axId val="3554106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r>
                  <a:rPr lang="en-US"/>
                  <a:t>Bazine</a:t>
                </a:r>
                <a:r>
                  <a:rPr lang="ro-RO"/>
                  <a:t>/spatii hidrografice</a:t>
                </a:r>
              </a:p>
            </c:rich>
          </c:tx>
          <c:layout>
            <c:manualLayout>
              <c:xMode val="edge"/>
              <c:yMode val="edge"/>
              <c:x val="3.9630303068237296E-2"/>
              <c:y val="0.1112862230823901"/>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5412608"/>
        <c:crosses val="autoZero"/>
        <c:auto val="1"/>
        <c:lblAlgn val="ctr"/>
        <c:lblOffset val="100"/>
        <c:noMultiLvlLbl val="0"/>
      </c:catAx>
      <c:valAx>
        <c:axId val="355412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355410688"/>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Trebuchet MS" panose="020B0603020202020204" pitchFamily="34" charset="0"/>
          <a:cs typeface="Arial" panose="020B0604020202020204" pitchFamily="34" charset="0"/>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0890826754012"/>
          <c:y val="4.1583828712541585E-2"/>
          <c:w val="0.79563227004949399"/>
          <c:h val="0.70258179664120257"/>
        </c:manualLayout>
      </c:layout>
      <c:barChart>
        <c:barDir val="bar"/>
        <c:grouping val="stacked"/>
        <c:varyColors val="0"/>
        <c:ser>
          <c:idx val="0"/>
          <c:order val="0"/>
          <c:tx>
            <c:strRef>
              <c:f>Grafice!$C$40</c:f>
              <c:strCache>
                <c:ptCount val="1"/>
                <c:pt idx="0">
                  <c:v>Metale prioritare (nr.)</c:v>
                </c:pt>
              </c:strCache>
            </c:strRef>
          </c:tx>
          <c:spPr>
            <a:solidFill>
              <a:schemeClr val="tx2">
                <a:lumMod val="60000"/>
                <a:lumOff val="40000"/>
              </a:schemeClr>
            </a:solidFill>
            <a:ln>
              <a:noFill/>
            </a:ln>
            <a:effectLst/>
          </c:spPr>
          <c:invertIfNegative val="0"/>
          <c:cat>
            <c:strRef>
              <c:f>Grafice!$A$41:$A$51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Grafice!$C$41:$C$51</c:f>
              <c:numCache>
                <c:formatCode>General</c:formatCode>
                <c:ptCount val="11"/>
                <c:pt idx="0">
                  <c:v>3</c:v>
                </c:pt>
                <c:pt idx="1">
                  <c:v>0</c:v>
                </c:pt>
                <c:pt idx="2">
                  <c:v>3</c:v>
                </c:pt>
                <c:pt idx="3">
                  <c:v>3</c:v>
                </c:pt>
                <c:pt idx="4">
                  <c:v>3</c:v>
                </c:pt>
                <c:pt idx="5">
                  <c:v>3</c:v>
                </c:pt>
                <c:pt idx="6">
                  <c:v>3</c:v>
                </c:pt>
                <c:pt idx="7">
                  <c:v>3</c:v>
                </c:pt>
                <c:pt idx="8">
                  <c:v>3</c:v>
                </c:pt>
                <c:pt idx="9">
                  <c:v>3</c:v>
                </c:pt>
                <c:pt idx="10">
                  <c:v>3</c:v>
                </c:pt>
              </c:numCache>
            </c:numRef>
          </c:val>
          <c:extLst xmlns:c16r2="http://schemas.microsoft.com/office/drawing/2015/06/chart">
            <c:ext xmlns:c16="http://schemas.microsoft.com/office/drawing/2014/chart" uri="{C3380CC4-5D6E-409C-BE32-E72D297353CC}">
              <c16:uniqueId val="{00000000-B5E2-49F9-9F07-2EF34CCCC9EE}"/>
            </c:ext>
          </c:extLst>
        </c:ser>
        <c:ser>
          <c:idx val="1"/>
          <c:order val="1"/>
          <c:tx>
            <c:strRef>
              <c:f>Grafice!$D$40</c:f>
              <c:strCache>
                <c:ptCount val="1"/>
                <c:pt idx="0">
                  <c:v>Micropoluanţi organici (nr.)</c:v>
                </c:pt>
              </c:strCache>
            </c:strRef>
          </c:tx>
          <c:spPr>
            <a:solidFill>
              <a:schemeClr val="accent6">
                <a:lumMod val="75000"/>
              </a:schemeClr>
            </a:solidFill>
            <a:ln>
              <a:noFill/>
            </a:ln>
            <a:effectLst/>
          </c:spPr>
          <c:invertIfNegative val="0"/>
          <c:cat>
            <c:strRef>
              <c:f>Grafice!$A$41:$A$51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Grafice!$D$41:$D$51</c:f>
              <c:numCache>
                <c:formatCode>General</c:formatCode>
                <c:ptCount val="11"/>
                <c:pt idx="0">
                  <c:v>35</c:v>
                </c:pt>
                <c:pt idx="1">
                  <c:v>0</c:v>
                </c:pt>
                <c:pt idx="2">
                  <c:v>36</c:v>
                </c:pt>
                <c:pt idx="3">
                  <c:v>35</c:v>
                </c:pt>
                <c:pt idx="4">
                  <c:v>38</c:v>
                </c:pt>
                <c:pt idx="5">
                  <c:v>37</c:v>
                </c:pt>
                <c:pt idx="6">
                  <c:v>40</c:v>
                </c:pt>
                <c:pt idx="7">
                  <c:v>40</c:v>
                </c:pt>
                <c:pt idx="8">
                  <c:v>40</c:v>
                </c:pt>
                <c:pt idx="9">
                  <c:v>40</c:v>
                </c:pt>
                <c:pt idx="10">
                  <c:v>38</c:v>
                </c:pt>
              </c:numCache>
            </c:numRef>
          </c:val>
          <c:extLst xmlns:c16r2="http://schemas.microsoft.com/office/drawing/2015/06/chart">
            <c:ext xmlns:c16="http://schemas.microsoft.com/office/drawing/2014/chart" uri="{C3380CC4-5D6E-409C-BE32-E72D297353CC}">
              <c16:uniqueId val="{00000001-B5E2-49F9-9F07-2EF34CCCC9EE}"/>
            </c:ext>
          </c:extLst>
        </c:ser>
        <c:dLbls>
          <c:showLegendKey val="0"/>
          <c:showVal val="0"/>
          <c:showCatName val="0"/>
          <c:showSerName val="0"/>
          <c:showPercent val="0"/>
          <c:showBubbleSize val="0"/>
        </c:dLbls>
        <c:gapWidth val="150"/>
        <c:overlap val="100"/>
        <c:axId val="430273664"/>
        <c:axId val="430275584"/>
      </c:barChart>
      <c:catAx>
        <c:axId val="43027366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r>
                  <a:rPr lang="en-US">
                    <a:solidFill>
                      <a:sysClr val="windowText" lastClr="000000"/>
                    </a:solidFill>
                  </a:rPr>
                  <a:t>Bazine</a:t>
                </a:r>
                <a:r>
                  <a:rPr lang="ro-RO">
                    <a:solidFill>
                      <a:sysClr val="windowText" lastClr="000000"/>
                    </a:solidFill>
                  </a:rPr>
                  <a:t>/spatii hidrografice</a:t>
                </a:r>
              </a:p>
            </c:rich>
          </c:tx>
          <c:layout>
            <c:manualLayout>
              <c:xMode val="edge"/>
              <c:yMode val="edge"/>
              <c:x val="3.6326033364905939E-2"/>
              <c:y val="0.11939753001889254"/>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430275584"/>
        <c:crosses val="autoZero"/>
        <c:auto val="1"/>
        <c:lblAlgn val="ctr"/>
        <c:lblOffset val="100"/>
        <c:noMultiLvlLbl val="0"/>
      </c:catAx>
      <c:valAx>
        <c:axId val="430275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crossAx val="430273664"/>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rebuchet MS" panose="020B0603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Trebuchet MS" panose="020B0603020202020204" pitchFamily="34" charset="0"/>
          <a:cs typeface="Arial" panose="020B0604020202020204" pitchFamily="34" charset="0"/>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74660633484163"/>
          <c:y val="2.4050437824506794E-2"/>
          <c:w val="0.64253393665158376"/>
          <c:h val="0.67164661802677805"/>
        </c:manualLayout>
      </c:layout>
      <c:barChart>
        <c:barDir val="col"/>
        <c:grouping val="clustered"/>
        <c:varyColors val="0"/>
        <c:ser>
          <c:idx val="0"/>
          <c:order val="0"/>
          <c:tx>
            <c:strRef>
              <c:f>Subterane_NO3!$A$37</c:f>
              <c:strCache>
                <c:ptCount val="1"/>
                <c:pt idx="0">
                  <c:v> Puncte de  monitorizare cu conc.      &lt; 50 mg NO₃/L (%)</c:v>
                </c:pt>
              </c:strCache>
            </c:strRef>
          </c:tx>
          <c:spPr>
            <a:solidFill>
              <a:schemeClr val="accent1"/>
            </a:solidFill>
            <a:ln>
              <a:noFill/>
            </a:ln>
            <a:effectLst/>
          </c:spPr>
          <c:invertIfNegative val="0"/>
          <c:cat>
            <c:numRef>
              <c:f>Subterane_NO3!$B$36:$J$36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Subterane_NO3!$B$37:$J$37</c:f>
              <c:numCache>
                <c:formatCode>0.00</c:formatCode>
                <c:ptCount val="9"/>
                <c:pt idx="0">
                  <c:v>85.496183206106863</c:v>
                </c:pt>
                <c:pt idx="1">
                  <c:v>86.277084701247546</c:v>
                </c:pt>
                <c:pt idx="2">
                  <c:v>86.197916666666657</c:v>
                </c:pt>
                <c:pt idx="3">
                  <c:v>86.384364820846898</c:v>
                </c:pt>
                <c:pt idx="4">
                  <c:v>87.597911227154043</c:v>
                </c:pt>
                <c:pt idx="5">
                  <c:v>88.365837256220587</c:v>
                </c:pt>
                <c:pt idx="6">
                  <c:v>88.648293963254602</c:v>
                </c:pt>
                <c:pt idx="7">
                  <c:v>88.547120418848166</c:v>
                </c:pt>
                <c:pt idx="8" formatCode="General">
                  <c:v>88.85</c:v>
                </c:pt>
              </c:numCache>
            </c:numRef>
          </c:val>
          <c:extLst xmlns:c16r2="http://schemas.microsoft.com/office/drawing/2015/06/chart">
            <c:ext xmlns:c16="http://schemas.microsoft.com/office/drawing/2014/chart" uri="{C3380CC4-5D6E-409C-BE32-E72D297353CC}">
              <c16:uniqueId val="{00000000-BBE8-4D77-AF96-AAF6C21D016B}"/>
            </c:ext>
          </c:extLst>
        </c:ser>
        <c:ser>
          <c:idx val="1"/>
          <c:order val="1"/>
          <c:tx>
            <c:strRef>
              <c:f>Subterane_NO3!$A$38</c:f>
              <c:strCache>
                <c:ptCount val="1"/>
                <c:pt idx="0">
                  <c:v>Depășiri ale conc. 50 mg NO₃/L (%)</c:v>
                </c:pt>
              </c:strCache>
            </c:strRef>
          </c:tx>
          <c:spPr>
            <a:solidFill>
              <a:schemeClr val="bg1">
                <a:lumMod val="75000"/>
              </a:schemeClr>
            </a:solidFill>
            <a:ln>
              <a:noFill/>
            </a:ln>
            <a:effectLst/>
          </c:spPr>
          <c:invertIfNegative val="0"/>
          <c:cat>
            <c:numRef>
              <c:f>Subterane_NO3!$B$36:$J$36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Subterane_NO3!$B$38:$J$38</c:f>
              <c:numCache>
                <c:formatCode>0.00</c:formatCode>
                <c:ptCount val="9"/>
                <c:pt idx="0">
                  <c:v>14.503816793893129</c:v>
                </c:pt>
                <c:pt idx="1">
                  <c:v>13.722915298752461</c:v>
                </c:pt>
                <c:pt idx="2">
                  <c:v>13.802083333333334</c:v>
                </c:pt>
                <c:pt idx="3">
                  <c:v>13.615635179153093</c:v>
                </c:pt>
                <c:pt idx="4">
                  <c:v>12.402088772845952</c:v>
                </c:pt>
                <c:pt idx="5">
                  <c:v>11.634162743779422</c:v>
                </c:pt>
                <c:pt idx="6" formatCode="General">
                  <c:v>11.35</c:v>
                </c:pt>
                <c:pt idx="7" formatCode="General">
                  <c:v>11.45</c:v>
                </c:pt>
                <c:pt idx="8" formatCode="General">
                  <c:v>11.15</c:v>
                </c:pt>
              </c:numCache>
            </c:numRef>
          </c:val>
          <c:extLst xmlns:c16r2="http://schemas.microsoft.com/office/drawing/2015/06/chart">
            <c:ext xmlns:c16="http://schemas.microsoft.com/office/drawing/2014/chart" uri="{C3380CC4-5D6E-409C-BE32-E72D297353CC}">
              <c16:uniqueId val="{00000001-BBE8-4D77-AF96-AAF6C21D016B}"/>
            </c:ext>
          </c:extLst>
        </c:ser>
        <c:dLbls>
          <c:showLegendKey val="0"/>
          <c:showVal val="0"/>
          <c:showCatName val="0"/>
          <c:showSerName val="0"/>
          <c:showPercent val="0"/>
          <c:showBubbleSize val="0"/>
        </c:dLbls>
        <c:gapWidth val="219"/>
        <c:overlap val="-27"/>
        <c:axId val="355288576"/>
        <c:axId val="355290112"/>
      </c:barChart>
      <c:catAx>
        <c:axId val="35528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55290112"/>
        <c:crosses val="autoZero"/>
        <c:auto val="1"/>
        <c:lblAlgn val="ctr"/>
        <c:lblOffset val="100"/>
        <c:noMultiLvlLbl val="0"/>
      </c:catAx>
      <c:valAx>
        <c:axId val="355290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a:t>
                </a:r>
                <a:endParaRPr lang="ro-RO"/>
              </a:p>
            </c:rich>
          </c:tx>
          <c:layout>
            <c:manualLayout>
              <c:xMode val="edge"/>
              <c:yMode val="edge"/>
              <c:x val="0.2388888888888889"/>
              <c:y val="0.35468358121901422"/>
            </c:manualLayout>
          </c:layout>
          <c:overlay val="0"/>
          <c:spPr>
            <a:noFill/>
            <a:ln>
              <a:noFill/>
            </a:ln>
            <a:effectLst/>
          </c:spPr>
        </c:title>
        <c:numFmt formatCode="0" sourceLinked="0"/>
        <c:majorTickMark val="none"/>
        <c:minorTickMark val="none"/>
        <c:tickLblPos val="nextTo"/>
        <c:spPr>
          <a:noFill/>
          <a:ln>
            <a:solidFill>
              <a:schemeClr val="tx1"/>
            </a:solidFill>
          </a:ln>
          <a:effectLst/>
        </c:spPr>
        <c:txPr>
          <a:bodyPr rot="-60000000" vert="horz"/>
          <a:lstStyle/>
          <a:p>
            <a:pPr>
              <a:defRPr/>
            </a:pPr>
            <a:endParaRPr lang="en-US"/>
          </a:p>
        </c:txPr>
        <c:crossAx val="355288576"/>
        <c:crosses val="autoZero"/>
        <c:crossBetween val="between"/>
      </c:valAx>
      <c:dTable>
        <c:showHorzBorder val="1"/>
        <c:showVertBorder val="1"/>
        <c:showOutline val="1"/>
        <c:showKeys val="1"/>
        <c:spPr>
          <a:noFill/>
          <a:ln w="9525" cap="flat" cmpd="sng" algn="ctr">
            <a:solidFill>
              <a:schemeClr val="tx1"/>
            </a:solidFill>
            <a:round/>
          </a:ln>
          <a:effectLst/>
        </c:spPr>
      </c:dTable>
      <c:spPr>
        <a:noFill/>
        <a:ln w="12700">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baseline="0">
          <a:solidFill>
            <a:sysClr val="windowText" lastClr="000000"/>
          </a:solidFill>
          <a:latin typeface="Trebuchet MS" pitchFamily="34" charset="0"/>
          <a:cs typeface="Arial" panose="020B0604020202020204" pitchFamily="34" charset="0"/>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154244476477156E-2"/>
          <c:y val="3.9320822162645222E-2"/>
          <c:w val="0.88001227835146167"/>
          <c:h val="0.672244200037997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F24-4489-A43D-99E111ACA7C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F24-4489-A43D-99E111ACA7C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F24-4489-A43D-99E111ACA7C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F24-4489-A43D-99E111ACA7C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2F24-4489-A43D-99E111ACA7C3}"/>
              </c:ext>
            </c:extLst>
          </c:dPt>
          <c:dLbls>
            <c:dLbl>
              <c:idx val="4"/>
              <c:layout>
                <c:manualLayout>
                  <c:x val="3.3338801399825022E-2"/>
                  <c:y val="0.1067413969087197"/>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F24-4489-A43D-99E111ACA7C3}"/>
                </c:ext>
              </c:extLst>
            </c:dLbl>
            <c:spPr>
              <a:noFill/>
              <a:ln>
                <a:noFill/>
              </a:ln>
              <a:effectLst/>
            </c:spPr>
            <c:txPr>
              <a:bodyPr rot="0" vert="horz"/>
              <a:lstStyle/>
              <a:p>
                <a:pPr>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Sheet3!$A$2:$A$6</c:f>
              <c:strCache>
                <c:ptCount val="5"/>
                <c:pt idx="0">
                  <c:v>Unități agricole</c:v>
                </c:pt>
                <c:pt idx="1">
                  <c:v>Unități industriale</c:v>
                </c:pt>
                <c:pt idx="2">
                  <c:v>Ferme acvacultură</c:v>
                </c:pt>
                <c:pt idx="3">
                  <c:v>Aglomerări umane</c:v>
                </c:pt>
                <c:pt idx="4">
                  <c:v>Alte presiuni punctiforme</c:v>
                </c:pt>
              </c:strCache>
            </c:strRef>
          </c:cat>
          <c:val>
            <c:numRef>
              <c:f>Sheet3!$B$2:$B$6</c:f>
              <c:numCache>
                <c:formatCode>0.00%</c:formatCode>
                <c:ptCount val="5"/>
                <c:pt idx="0">
                  <c:v>1.0462074978204011E-2</c:v>
                </c:pt>
                <c:pt idx="1">
                  <c:v>0.35527462946817784</c:v>
                </c:pt>
                <c:pt idx="2">
                  <c:v>8.7183958151700089E-2</c:v>
                </c:pt>
                <c:pt idx="3">
                  <c:v>0.46425457715780294</c:v>
                </c:pt>
                <c:pt idx="4">
                  <c:v>8.2824760244115087E-2</c:v>
                </c:pt>
              </c:numCache>
            </c:numRef>
          </c:val>
          <c:extLst xmlns:c16r2="http://schemas.microsoft.com/office/drawing/2015/06/chart">
            <c:ext xmlns:c16="http://schemas.microsoft.com/office/drawing/2014/chart" uri="{C3380CC4-5D6E-409C-BE32-E72D297353CC}">
              <c16:uniqueId val="{0000000A-2F24-4489-A43D-99E111ACA7C3}"/>
            </c:ext>
          </c:extLst>
        </c:ser>
        <c:dLbls>
          <c:dLblPos val="ctr"/>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1.2499508326064274E-2"/>
          <c:y val="0.74120087535974888"/>
          <c:w val="0.92112875224338286"/>
          <c:h val="0.23735140346062636"/>
        </c:manualLayout>
      </c:layout>
      <c:overlay val="0"/>
      <c:spPr>
        <a:noFill/>
        <a:ln>
          <a:noFill/>
        </a:ln>
        <a:effectLst/>
      </c:spPr>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solidFill>
        <a:schemeClr val="dk1"/>
      </a:solidFill>
      <a:prstDash val="solid"/>
      <a:miter lim="800000"/>
    </a:ln>
    <a:effectLst/>
  </c:spPr>
  <c:txPr>
    <a:bodyPr/>
    <a:lstStyle/>
    <a:p>
      <a:pPr>
        <a:defRPr baseline="0">
          <a:solidFill>
            <a:schemeClr val="dk1"/>
          </a:solidFill>
          <a:latin typeface="Trebuchet MS" pitchFamily="34" charset="0"/>
          <a:ea typeface="+mn-ea"/>
          <a:cs typeface="+mn-cs"/>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597573845870162"/>
          <c:y val="0.1460761103277205"/>
          <c:w val="0.84010796856670944"/>
          <c:h val="0.59149151319579496"/>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2.3809520833705682E-2"/>
                  <c:y val="-4.452689299677296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DB1-4687-A007-A4710E31A786}"/>
                </c:ext>
              </c:extLst>
            </c:dLbl>
            <c:dLbl>
              <c:idx val="1"/>
              <c:layout>
                <c:manualLayout>
                  <c:x val="1.1111109722395927E-2"/>
                  <c:y val="-4.452689299677305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DB1-4687-A007-A4710E31A786}"/>
                </c:ext>
              </c:extLst>
            </c:dLbl>
            <c:dLbl>
              <c:idx val="2"/>
              <c:layout>
                <c:manualLayout>
                  <c:x val="1.428571250022341E-2"/>
                  <c:y val="-3.46320278863789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DB1-4687-A007-A4710E31A786}"/>
                </c:ext>
              </c:extLst>
            </c:dLbl>
            <c:dLbl>
              <c:idx val="3"/>
              <c:layout>
                <c:manualLayout>
                  <c:x val="2.3809520833705682E-2"/>
                  <c:y val="-3.2158311608780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DB1-4687-A007-A4710E31A78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'nivele 2021'!$A$3:$A$6</c:f>
              <c:strCache>
                <c:ptCount val="4"/>
                <c:pt idx="0">
                  <c:v>1. Sisteme de canalizare fără epurare </c:v>
                </c:pt>
                <c:pt idx="1">
                  <c:v>2. Stații de epurare orășenești cu treaptă primară de epurare</c:v>
                </c:pt>
                <c:pt idx="2">
                  <c:v>3. Stații de epurare orășenești cu treaptă secundară de epurare</c:v>
                </c:pt>
                <c:pt idx="3">
                  <c:v>4. Stații de epurare orășenești cu treaptă terțiară de epurare</c:v>
                </c:pt>
              </c:strCache>
            </c:strRef>
          </c:cat>
          <c:val>
            <c:numRef>
              <c:f>'nivele 2021'!$C$3:$C$6</c:f>
              <c:numCache>
                <c:formatCode>0.0</c:formatCode>
                <c:ptCount val="4"/>
                <c:pt idx="0">
                  <c:v>1.8997469108760927</c:v>
                </c:pt>
                <c:pt idx="1">
                  <c:v>7.1588041139841057</c:v>
                </c:pt>
                <c:pt idx="2">
                  <c:v>12.039513472960966</c:v>
                </c:pt>
                <c:pt idx="3">
                  <c:v>78.90193550217883</c:v>
                </c:pt>
              </c:numCache>
            </c:numRef>
          </c:val>
          <c:extLst xmlns:c16r2="http://schemas.microsoft.com/office/drawing/2015/06/chart">
            <c:ext xmlns:c16="http://schemas.microsoft.com/office/drawing/2014/chart" uri="{C3380CC4-5D6E-409C-BE32-E72D297353CC}">
              <c16:uniqueId val="{00000004-9DB1-4687-A007-A4710E31A786}"/>
            </c:ext>
          </c:extLst>
        </c:ser>
        <c:dLbls>
          <c:showLegendKey val="0"/>
          <c:showVal val="0"/>
          <c:showCatName val="0"/>
          <c:showSerName val="0"/>
          <c:showPercent val="0"/>
          <c:showBubbleSize val="0"/>
        </c:dLbls>
        <c:gapWidth val="150"/>
        <c:shape val="box"/>
        <c:axId val="355353344"/>
        <c:axId val="355354880"/>
        <c:axId val="0"/>
      </c:bar3DChart>
      <c:catAx>
        <c:axId val="355353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5354880"/>
        <c:crosses val="autoZero"/>
        <c:auto val="1"/>
        <c:lblAlgn val="ctr"/>
        <c:lblOffset val="100"/>
        <c:noMultiLvlLbl val="0"/>
      </c:catAx>
      <c:valAx>
        <c:axId val="355354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53533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userShapes r:id="rId3"/>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198" b="0">
                <a:latin typeface="Arial" pitchFamily="34" charset="0"/>
                <a:cs typeface="Arial" pitchFamily="34" charset="0"/>
              </a:rPr>
              <a:t>Acoperirea terenurilor</a:t>
            </a:r>
            <a:r>
              <a:rPr lang="ro-RO" sz="1198" b="0" baseline="0">
                <a:latin typeface="Arial" pitchFamily="34" charset="0"/>
                <a:cs typeface="Arial" pitchFamily="34" charset="0"/>
              </a:rPr>
              <a:t> în anul 201</a:t>
            </a:r>
            <a:r>
              <a:rPr lang="ro-RO" sz="1198" b="0" baseline="0">
                <a:solidFill>
                  <a:sysClr val="windowText" lastClr="000000"/>
                </a:solidFill>
                <a:latin typeface="Arial" pitchFamily="34" charset="0"/>
                <a:cs typeface="Arial" pitchFamily="34" charset="0"/>
              </a:rPr>
              <a:t>4</a:t>
            </a:r>
            <a:endParaRPr lang="en-US" sz="1200" b="0">
              <a:solidFill>
                <a:sysClr val="windowText" lastClr="000000"/>
              </a:solidFill>
              <a:latin typeface="Arial" pitchFamily="34" charset="0"/>
              <a:cs typeface="Arial" pitchFamily="34" charset="0"/>
            </a:endParaRPr>
          </a:p>
        </c:rich>
      </c:tx>
      <c:layout>
        <c:manualLayout>
          <c:xMode val="edge"/>
          <c:yMode val="edge"/>
          <c:x val="0.26369753199454721"/>
          <c:y val="2.3809891410632493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dPt>
          <c:dPt>
            <c:idx val="1"/>
            <c:bubble3D val="0"/>
          </c:dPt>
          <c:dPt>
            <c:idx val="2"/>
            <c:bubble3D val="0"/>
          </c:dPt>
          <c:dPt>
            <c:idx val="3"/>
            <c:bubble3D val="0"/>
          </c:dPt>
          <c:dLbls>
            <c:dLbl>
              <c:idx val="1"/>
              <c:tx>
                <c:rich>
                  <a:bodyPr/>
                  <a:lstStyle/>
                  <a:p>
                    <a:pPr>
                      <a:defRPr/>
                    </a:pPr>
                    <a:r>
                      <a:rPr lang="vi-VN"/>
                      <a:t>păduri</a:t>
                    </a:r>
                    <a:r>
                      <a:rPr lang="ro-RO"/>
                      <a:t> </a:t>
                    </a:r>
                    <a:r>
                      <a:rPr lang="vi-VN"/>
                      <a:t>şi alte suprafeţe cu vegetaţie forestieră
2%</a:t>
                    </a:r>
                  </a:p>
                </c:rich>
              </c:tx>
              <c:spPr/>
              <c:showLegendKey val="0"/>
              <c:showVal val="0"/>
              <c:showCatName val="0"/>
              <c:showSerName val="0"/>
              <c:showPercent val="0"/>
              <c:showBubbleSize val="0"/>
            </c:dLbl>
            <c:dLbl>
              <c:idx val="3"/>
              <c:layout>
                <c:manualLayout>
                  <c:x val="-7.6399555824752732E-2"/>
                  <c:y val="-6.9182389937108471E-2"/>
                </c:manualLayout>
              </c:layout>
              <c:tx>
                <c:rich>
                  <a:bodyPr/>
                  <a:lstStyle/>
                  <a:p>
                    <a:pPr>
                      <a:defRPr/>
                    </a:pPr>
                    <a:r>
                      <a:rPr lang="en-US">
                        <a:latin typeface="Arial" pitchFamily="34" charset="0"/>
                        <a:cs typeface="Arial" pitchFamily="34" charset="0"/>
                      </a:rPr>
                      <a:t>const</a:t>
                    </a:r>
                    <a:r>
                      <a:rPr lang="ro-RO">
                        <a:latin typeface="Arial" pitchFamily="34" charset="0"/>
                        <a:cs typeface="Arial" pitchFamily="34" charset="0"/>
                      </a:rPr>
                      <a:t>r</a:t>
                    </a:r>
                    <a:r>
                      <a:rPr lang="en-US">
                        <a:latin typeface="Arial" pitchFamily="34" charset="0"/>
                        <a:cs typeface="Arial" pitchFamily="34" charset="0"/>
                      </a:rPr>
                      <a:t>uc</a:t>
                    </a:r>
                    <a:r>
                      <a:rPr lang="ro-RO">
                        <a:latin typeface="Arial" pitchFamily="34" charset="0"/>
                        <a:cs typeface="Arial" pitchFamily="34" charset="0"/>
                      </a:rPr>
                      <a:t>ţ</a:t>
                    </a:r>
                    <a:r>
                      <a:rPr lang="en-US">
                        <a:latin typeface="Arial" pitchFamily="34" charset="0"/>
                        <a:cs typeface="Arial" pitchFamily="34" charset="0"/>
                      </a:rPr>
                      <a:t>ii,</a:t>
                    </a:r>
                    <a:r>
                      <a:rPr lang="ro-RO">
                        <a:latin typeface="Arial" pitchFamily="34" charset="0"/>
                        <a:cs typeface="Arial" pitchFamily="34" charset="0"/>
                      </a:rPr>
                      <a:t> </a:t>
                    </a:r>
                    <a:r>
                      <a:rPr lang="en-US">
                        <a:latin typeface="Arial" pitchFamily="34" charset="0"/>
                        <a:cs typeface="Arial" pitchFamily="34" charset="0"/>
                      </a:rPr>
                      <a:t>drum</a:t>
                    </a:r>
                    <a:r>
                      <a:rPr lang="ro-RO">
                        <a:latin typeface="Arial" pitchFamily="34" charset="0"/>
                        <a:cs typeface="Arial" pitchFamily="34" charset="0"/>
                      </a:rPr>
                      <a:t>u</a:t>
                    </a:r>
                    <a:r>
                      <a:rPr lang="en-US">
                        <a:latin typeface="Arial" pitchFamily="34" charset="0"/>
                        <a:cs typeface="Arial" pitchFamily="34" charset="0"/>
                      </a:rPr>
                      <a:t>ri </a:t>
                    </a:r>
                    <a:r>
                      <a:rPr lang="ro-RO">
                        <a:latin typeface="Arial" pitchFamily="34" charset="0"/>
                        <a:cs typeface="Arial" pitchFamily="34" charset="0"/>
                      </a:rPr>
                      <a:t>ş</a:t>
                    </a:r>
                    <a:r>
                      <a:rPr lang="en-US">
                        <a:latin typeface="Arial" pitchFamily="34" charset="0"/>
                        <a:cs typeface="Arial" pitchFamily="34" charset="0"/>
                      </a:rPr>
                      <a:t>i c</a:t>
                    </a:r>
                    <a:r>
                      <a:rPr lang="ro-RO">
                        <a:latin typeface="Arial" pitchFamily="34" charset="0"/>
                        <a:cs typeface="Arial" pitchFamily="34" charset="0"/>
                      </a:rPr>
                      <a:t>ă</a:t>
                    </a:r>
                    <a:r>
                      <a:rPr lang="en-US">
                        <a:latin typeface="Arial" pitchFamily="34" charset="0"/>
                        <a:cs typeface="Arial" pitchFamily="34" charset="0"/>
                      </a:rPr>
                      <a:t>i ferate
81%</a:t>
                    </a:r>
                  </a:p>
                </c:rich>
              </c:tx>
              <c:spPr/>
              <c:dLblPos val="bestFit"/>
              <c:showLegendKey val="0"/>
              <c:showVal val="0"/>
              <c:showCatName val="0"/>
              <c:showSerName val="0"/>
              <c:showPercent val="0"/>
              <c:showBubbleSize val="0"/>
            </c:dLbl>
            <c:showLegendKey val="0"/>
            <c:showVal val="0"/>
            <c:showCatName val="1"/>
            <c:showSerName val="0"/>
            <c:showPercent val="1"/>
            <c:showBubbleSize val="0"/>
            <c:showLeaderLines val="1"/>
          </c:dLbls>
          <c:cat>
            <c:strRef>
              <c:f>Sheet1!$A$2:$A$5</c:f>
              <c:strCache>
                <c:ptCount val="4"/>
                <c:pt idx="0">
                  <c:v>suprafaţa agricolă</c:v>
                </c:pt>
                <c:pt idx="1">
                  <c:v>pădurişi alte suprafeţe cu vegetaţie forestieră</c:v>
                </c:pt>
                <c:pt idx="2">
                  <c:v>ape şi bălţi</c:v>
                </c:pt>
                <c:pt idx="3">
                  <c:v>constructii,drumuri si cai ferate</c:v>
                </c:pt>
              </c:strCache>
            </c:strRef>
          </c:cat>
          <c:val>
            <c:numRef>
              <c:f>Sheet1!$B$2:$B$5</c:f>
              <c:numCache>
                <c:formatCode>General</c:formatCode>
                <c:ptCount val="4"/>
                <c:pt idx="0">
                  <c:v>12.83</c:v>
                </c:pt>
                <c:pt idx="1">
                  <c:v>2.57</c:v>
                </c:pt>
                <c:pt idx="2">
                  <c:v>3.82</c:v>
                </c:pt>
                <c:pt idx="3">
                  <c:v>80.78</c:v>
                </c:pt>
              </c:numCache>
            </c:numRef>
          </c:val>
        </c:ser>
        <c:dLbls>
          <c:showLegendKey val="0"/>
          <c:showVal val="0"/>
          <c:showCatName val="0"/>
          <c:showSerName val="0"/>
          <c:showPercent val="0"/>
          <c:showBubbleSize val="0"/>
          <c:showLeaderLines val="1"/>
        </c:dLbls>
      </c:pie3DChart>
      <c:spPr>
        <a:noFill/>
        <a:ln w="25380">
          <a:noFill/>
        </a:ln>
      </c:spPr>
    </c:plotArea>
    <c:plotVisOnly val="1"/>
    <c:dispBlanksAs val="zero"/>
    <c:showDLblsOverMax val="0"/>
  </c:chart>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a:t>Evoluţia suprafeţelor faţă de anul 2008</a:t>
            </a:r>
            <a:endParaRPr lang="en-US"/>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cat>
            <c:strRef>
              <c:f>Sheet1!$A$2:$A$10</c:f>
              <c:strCache>
                <c:ptCount val="9"/>
                <c:pt idx="0">
                  <c:v>Suprafaţa agricolă</c:v>
                </c:pt>
                <c:pt idx="1">
                  <c:v>Suprafaţa agricolă pe categorii de folosinţă:</c:v>
                </c:pt>
                <c:pt idx="2">
                  <c:v>arabil</c:v>
                </c:pt>
                <c:pt idx="3">
                  <c:v>păşuni</c:v>
                </c:pt>
                <c:pt idx="4">
                  <c:v>vii şi pepiniere viticole</c:v>
                </c:pt>
                <c:pt idx="5">
                  <c:v>livezi şi pepiniere pomicole</c:v>
                </c:pt>
                <c:pt idx="6">
                  <c:v>Păduri şi alte terenuri cu vegetaţie forestieră</c:v>
                </c:pt>
                <c:pt idx="7">
                  <c:v>Ape şi bălţi</c:v>
                </c:pt>
                <c:pt idx="8">
                  <c:v>Alte suprafeţe</c:v>
                </c:pt>
              </c:strCache>
            </c:strRef>
          </c:cat>
          <c:val>
            <c:numRef>
              <c:f>Sheet1!$B$2:$B$10</c:f>
              <c:numCache>
                <c:formatCode>General</c:formatCode>
                <c:ptCount val="9"/>
                <c:pt idx="0">
                  <c:v>-444</c:v>
                </c:pt>
                <c:pt idx="2">
                  <c:v>-389</c:v>
                </c:pt>
                <c:pt idx="3">
                  <c:v>-51</c:v>
                </c:pt>
                <c:pt idx="4">
                  <c:v>0</c:v>
                </c:pt>
                <c:pt idx="5">
                  <c:v>-4</c:v>
                </c:pt>
                <c:pt idx="6">
                  <c:v>0</c:v>
                </c:pt>
                <c:pt idx="7">
                  <c:v>0</c:v>
                </c:pt>
                <c:pt idx="8">
                  <c:v>444</c:v>
                </c:pt>
              </c:numCache>
            </c:numRef>
          </c:val>
        </c:ser>
        <c:dLbls>
          <c:showLegendKey val="0"/>
          <c:showVal val="0"/>
          <c:showCatName val="0"/>
          <c:showSerName val="0"/>
          <c:showPercent val="0"/>
          <c:showBubbleSize val="0"/>
        </c:dLbls>
        <c:gapWidth val="150"/>
        <c:axId val="432377856"/>
        <c:axId val="432379392"/>
      </c:barChart>
      <c:catAx>
        <c:axId val="432377856"/>
        <c:scaling>
          <c:orientation val="minMax"/>
        </c:scaling>
        <c:delete val="0"/>
        <c:axPos val="b"/>
        <c:numFmt formatCode="General" sourceLinked="1"/>
        <c:majorTickMark val="out"/>
        <c:minorTickMark val="none"/>
        <c:tickLblPos val="nextTo"/>
        <c:crossAx val="432379392"/>
        <c:crosses val="autoZero"/>
        <c:auto val="1"/>
        <c:lblAlgn val="ctr"/>
        <c:lblOffset val="100"/>
        <c:noMultiLvlLbl val="0"/>
      </c:catAx>
      <c:valAx>
        <c:axId val="432379392"/>
        <c:scaling>
          <c:orientation val="minMax"/>
        </c:scaling>
        <c:delete val="0"/>
        <c:axPos val="l"/>
        <c:majorGridlines/>
        <c:numFmt formatCode="General" sourceLinked="1"/>
        <c:majorTickMark val="out"/>
        <c:minorTickMark val="none"/>
        <c:tickLblPos val="nextTo"/>
        <c:crossAx val="432377856"/>
        <c:crosses val="autoZero"/>
        <c:crossBetween val="between"/>
      </c:valAx>
    </c:plotArea>
    <c:plotVisOnly val="1"/>
    <c:dispBlanksAs val="gap"/>
    <c:showDLblsOverMax val="0"/>
  </c:chart>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US" sz="1100"/>
              <a:t>Num</a:t>
            </a:r>
            <a:r>
              <a:rPr lang="ro-RO" sz="1100"/>
              <a:t>ă</a:t>
            </a:r>
            <a:r>
              <a:rPr lang="en-US" sz="1100"/>
              <a:t>rul de specii de nevertebrate invazive din Bucure</a:t>
            </a:r>
            <a:r>
              <a:rPr lang="ro-RO" sz="1100"/>
              <a:t>şt</a:t>
            </a:r>
            <a:r>
              <a:rPr lang="en-US" sz="1100"/>
              <a:t>i</a:t>
            </a:r>
          </a:p>
        </c:rich>
      </c:tx>
      <c:layout>
        <c:manualLayout>
          <c:xMode val="edge"/>
          <c:yMode val="edge"/>
          <c:x val="0.14686922085269377"/>
          <c:y val="1.9841231502503904E-2"/>
        </c:manualLayout>
      </c:layout>
      <c:overlay val="0"/>
    </c:title>
    <c:autoTitleDeleted val="0"/>
    <c:plotArea>
      <c:layout>
        <c:manualLayout>
          <c:layoutTarget val="inner"/>
          <c:xMode val="edge"/>
          <c:yMode val="edge"/>
          <c:x val="0.1363792286380866"/>
          <c:y val="0.13453380827396577"/>
          <c:w val="0.63527704870224455"/>
          <c:h val="0.71762248468941503"/>
        </c:manualLayout>
      </c:layout>
      <c:barChart>
        <c:barDir val="col"/>
        <c:grouping val="clustered"/>
        <c:varyColors val="1"/>
        <c:ser>
          <c:idx val="0"/>
          <c:order val="0"/>
          <c:tx>
            <c:strRef>
              <c:f>Sheet1!$B$1</c:f>
              <c:strCache>
                <c:ptCount val="1"/>
                <c:pt idx="0">
                  <c:v>Numar</c:v>
                </c:pt>
              </c:strCache>
            </c:strRef>
          </c:tx>
          <c:invertIfNegative val="0"/>
          <c:dPt>
            <c:idx val="0"/>
            <c:invertIfNegative val="0"/>
            <c:bubble3D val="0"/>
            <c:extLst xmlns:c16r2="http://schemas.microsoft.com/office/drawing/2015/06/chart">
              <c:ext xmlns:c16="http://schemas.microsoft.com/office/drawing/2014/chart" uri="{C3380CC4-5D6E-409C-BE32-E72D297353CC}">
                <c16:uniqueId val="{00000000-3249-4C05-BFBF-4BD73B7A84D3}"/>
              </c:ext>
            </c:extLst>
          </c:dPt>
          <c:dPt>
            <c:idx val="1"/>
            <c:invertIfNegative val="0"/>
            <c:bubble3D val="0"/>
            <c:extLst xmlns:c16r2="http://schemas.microsoft.com/office/drawing/2015/06/chart">
              <c:ext xmlns:c16="http://schemas.microsoft.com/office/drawing/2014/chart" uri="{C3380CC4-5D6E-409C-BE32-E72D297353CC}">
                <c16:uniqueId val="{00000001-3249-4C05-BFBF-4BD73B7A84D3}"/>
              </c:ext>
            </c:extLst>
          </c:dPt>
          <c:dPt>
            <c:idx val="2"/>
            <c:invertIfNegative val="0"/>
            <c:bubble3D val="0"/>
            <c:extLst xmlns:c16r2="http://schemas.microsoft.com/office/drawing/2015/06/chart">
              <c:ext xmlns:c16="http://schemas.microsoft.com/office/drawing/2014/chart" uri="{C3380CC4-5D6E-409C-BE32-E72D297353CC}">
                <c16:uniqueId val="{00000002-3249-4C05-BFBF-4BD73B7A84D3}"/>
              </c:ext>
            </c:extLst>
          </c:dPt>
          <c:dPt>
            <c:idx val="3"/>
            <c:invertIfNegative val="0"/>
            <c:bubble3D val="0"/>
            <c:extLst xmlns:c16r2="http://schemas.microsoft.com/office/drawing/2015/06/chart">
              <c:ext xmlns:c16="http://schemas.microsoft.com/office/drawing/2014/chart" uri="{C3380CC4-5D6E-409C-BE32-E72D297353CC}">
                <c16:uniqueId val="{00000003-3249-4C05-BFBF-4BD73B7A84D3}"/>
              </c:ext>
            </c:extLst>
          </c:dPt>
          <c:cat>
            <c:strRef>
              <c:f>Sheet1!$A$2:$A$5</c:f>
              <c:strCache>
                <c:ptCount val="4"/>
                <c:pt idx="0">
                  <c:v>Total specii nev invazive</c:v>
                </c:pt>
                <c:pt idx="1">
                  <c:v>Lepidoptera</c:v>
                </c:pt>
                <c:pt idx="2">
                  <c:v>Thysanoptera</c:v>
                </c:pt>
                <c:pt idx="3">
                  <c:v>Miriapode</c:v>
                </c:pt>
              </c:strCache>
            </c:strRef>
          </c:cat>
          <c:val>
            <c:numRef>
              <c:f>Sheet1!$B$2:$B$5</c:f>
              <c:numCache>
                <c:formatCode>General</c:formatCode>
                <c:ptCount val="4"/>
                <c:pt idx="0">
                  <c:v>11</c:v>
                </c:pt>
                <c:pt idx="1">
                  <c:v>4</c:v>
                </c:pt>
                <c:pt idx="2">
                  <c:v>6</c:v>
                </c:pt>
                <c:pt idx="3">
                  <c:v>1</c:v>
                </c:pt>
              </c:numCache>
            </c:numRef>
          </c:val>
          <c:extLst xmlns:c16r2="http://schemas.microsoft.com/office/drawing/2015/06/chart">
            <c:ext xmlns:c16="http://schemas.microsoft.com/office/drawing/2014/chart" uri="{C3380CC4-5D6E-409C-BE32-E72D297353CC}">
              <c16:uniqueId val="{00000004-3249-4C05-BFBF-4BD73B7A84D3}"/>
            </c:ext>
          </c:extLst>
        </c:ser>
        <c:dLbls>
          <c:showLegendKey val="0"/>
          <c:showVal val="0"/>
          <c:showCatName val="0"/>
          <c:showSerName val="0"/>
          <c:showPercent val="0"/>
          <c:showBubbleSize val="0"/>
        </c:dLbls>
        <c:gapWidth val="150"/>
        <c:axId val="432409600"/>
        <c:axId val="432423680"/>
      </c:barChart>
      <c:catAx>
        <c:axId val="432409600"/>
        <c:scaling>
          <c:orientation val="minMax"/>
        </c:scaling>
        <c:delete val="0"/>
        <c:axPos val="b"/>
        <c:numFmt formatCode="General" sourceLinked="1"/>
        <c:majorTickMark val="out"/>
        <c:minorTickMark val="none"/>
        <c:tickLblPos val="nextTo"/>
        <c:crossAx val="432423680"/>
        <c:crosses val="autoZero"/>
        <c:auto val="1"/>
        <c:lblAlgn val="ctr"/>
        <c:lblOffset val="100"/>
        <c:noMultiLvlLbl val="0"/>
      </c:catAx>
      <c:valAx>
        <c:axId val="432423680"/>
        <c:scaling>
          <c:orientation val="minMax"/>
        </c:scaling>
        <c:delete val="0"/>
        <c:axPos val="l"/>
        <c:majorGridlines/>
        <c:numFmt formatCode="General" sourceLinked="1"/>
        <c:majorTickMark val="out"/>
        <c:minorTickMark val="none"/>
        <c:tickLblPos val="nextTo"/>
        <c:crossAx val="432409600"/>
        <c:crosses val="autoZero"/>
        <c:crossBetween val="between"/>
      </c:valAx>
    </c:plotArea>
    <c:legend>
      <c:legendPos val="r"/>
      <c:layout>
        <c:manualLayout>
          <c:xMode val="edge"/>
          <c:yMode val="edge"/>
          <c:x val="0.8110080409560112"/>
          <c:y val="0.33426243498703767"/>
          <c:w val="0.17741780510651717"/>
          <c:h val="0.35845901164194971"/>
        </c:manualLayout>
      </c:layout>
      <c:overlay val="0"/>
    </c:legend>
    <c:plotVisOnly val="1"/>
    <c:dispBlanksAs val="gap"/>
    <c:showDLblsOverMax val="0"/>
  </c:chart>
  <c:txPr>
    <a:bodyPr/>
    <a:lstStyle/>
    <a:p>
      <a:pPr>
        <a:defRPr baseline="0">
          <a:latin typeface="Trebuchet MS"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Cd - Concentraţii medii anuale 202</a:t>
            </a:r>
            <a:r>
              <a:rPr lang="ro-RO"/>
              <a:t>3</a:t>
            </a:r>
            <a:r>
              <a:rPr lang="en-US"/>
              <a:t> înregistrate la staţiile de monitorizare</a:t>
            </a:r>
          </a:p>
        </c:rich>
      </c:tx>
      <c:layout>
        <c:manualLayout>
          <c:xMode val="edge"/>
          <c:yMode val="edge"/>
          <c:x val="0.14124292485341408"/>
          <c:y val="2.0201997183991651E-2"/>
        </c:manualLayout>
      </c:layout>
      <c:overlay val="0"/>
      <c:spPr>
        <a:noFill/>
        <a:ln w="24422">
          <a:noFill/>
        </a:ln>
      </c:spPr>
    </c:title>
    <c:autoTitleDeleted val="0"/>
    <c:plotArea>
      <c:layout>
        <c:manualLayout>
          <c:layoutTarget val="inner"/>
          <c:xMode val="edge"/>
          <c:yMode val="edge"/>
          <c:x val="0.10169491525423729"/>
          <c:y val="0.22222222222222221"/>
          <c:w val="0.88135593220339581"/>
          <c:h val="0.54545454545454541"/>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12211">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1.4</c:v>
                </c:pt>
                <c:pt idx="6">
                  <c:v>1.07</c:v>
                </c:pt>
              </c:numCache>
            </c:numRef>
          </c:val>
          <c:extLst xmlns:c16r2="http://schemas.microsoft.com/office/drawing/2015/06/chart">
            <c:ext xmlns:c16="http://schemas.microsoft.com/office/drawing/2014/chart" uri="{C3380CC4-5D6E-409C-BE32-E72D297353CC}">
              <c16:uniqueId val="{00000000-56D5-4FD8-A678-513784492720}"/>
            </c:ext>
          </c:extLst>
        </c:ser>
        <c:dLbls>
          <c:showLegendKey val="0"/>
          <c:showVal val="0"/>
          <c:showCatName val="0"/>
          <c:showSerName val="0"/>
          <c:showPercent val="0"/>
          <c:showBubbleSize val="0"/>
        </c:dLbls>
        <c:gapWidth val="150"/>
        <c:axId val="352167424"/>
        <c:axId val="352169344"/>
      </c:barChart>
      <c:lineChart>
        <c:grouping val="standard"/>
        <c:varyColors val="0"/>
        <c:ser>
          <c:idx val="0"/>
          <c:order val="1"/>
          <c:tx>
            <c:strRef>
              <c:f>Sheet1!$A$3</c:f>
              <c:strCache>
                <c:ptCount val="1"/>
                <c:pt idx="0">
                  <c:v>Valoarea limită</c:v>
                </c:pt>
              </c:strCache>
            </c:strRef>
          </c:tx>
          <c:spPr>
            <a:ln w="24422">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5</c:v>
                </c:pt>
                <c:pt idx="1">
                  <c:v>5</c:v>
                </c:pt>
                <c:pt idx="2">
                  <c:v>5</c:v>
                </c:pt>
                <c:pt idx="3">
                  <c:v>5</c:v>
                </c:pt>
                <c:pt idx="4">
                  <c:v>5</c:v>
                </c:pt>
                <c:pt idx="5">
                  <c:v>5</c:v>
                </c:pt>
                <c:pt idx="6">
                  <c:v>5</c:v>
                </c:pt>
                <c:pt idx="7">
                  <c:v>5</c:v>
                </c:pt>
                <c:pt idx="8">
                  <c:v>5</c:v>
                </c:pt>
                <c:pt idx="9">
                  <c:v>5</c:v>
                </c:pt>
                <c:pt idx="10">
                  <c:v>5</c:v>
                </c:pt>
              </c:numCache>
            </c:numRef>
          </c:val>
          <c:smooth val="0"/>
          <c:extLst xmlns:c16r2="http://schemas.microsoft.com/office/drawing/2015/06/chart">
            <c:ext xmlns:c16="http://schemas.microsoft.com/office/drawing/2014/chart" uri="{C3380CC4-5D6E-409C-BE32-E72D297353CC}">
              <c16:uniqueId val="{00000001-56D5-4FD8-A678-513784492720}"/>
            </c:ext>
          </c:extLst>
        </c:ser>
        <c:dLbls>
          <c:showLegendKey val="0"/>
          <c:showVal val="0"/>
          <c:showCatName val="0"/>
          <c:showSerName val="0"/>
          <c:showPercent val="0"/>
          <c:showBubbleSize val="0"/>
        </c:dLbls>
        <c:marker val="1"/>
        <c:smooth val="0"/>
        <c:axId val="352175616"/>
        <c:axId val="352177152"/>
      </c:lineChart>
      <c:catAx>
        <c:axId val="352167424"/>
        <c:scaling>
          <c:orientation val="minMax"/>
        </c:scaling>
        <c:delete val="0"/>
        <c:axPos val="b"/>
        <c:title>
          <c:tx>
            <c:rich>
              <a:bodyPr/>
              <a:lstStyle/>
              <a:p>
                <a:pPr>
                  <a:defRPr/>
                </a:pPr>
                <a:r>
                  <a:rPr lang="en-US"/>
                  <a:t>staţii monitorizare</a:t>
                </a:r>
              </a:p>
            </c:rich>
          </c:tx>
          <c:layout>
            <c:manualLayout>
              <c:xMode val="edge"/>
              <c:yMode val="edge"/>
              <c:x val="0.42937864216173433"/>
              <c:y val="0.84343437940001298"/>
            </c:manualLayout>
          </c:layout>
          <c:overlay val="0"/>
          <c:spPr>
            <a:noFill/>
            <a:ln w="24422">
              <a:noFill/>
            </a:ln>
          </c:spPr>
        </c:title>
        <c:numFmt formatCode="General" sourceLinked="1"/>
        <c:majorTickMark val="cross"/>
        <c:minorTickMark val="none"/>
        <c:tickLblPos val="nextTo"/>
        <c:spPr>
          <a:ln w="3053">
            <a:solidFill>
              <a:srgbClr val="000000"/>
            </a:solidFill>
            <a:prstDash val="solid"/>
          </a:ln>
        </c:spPr>
        <c:txPr>
          <a:bodyPr rot="0" vert="horz"/>
          <a:lstStyle/>
          <a:p>
            <a:pPr>
              <a:defRPr/>
            </a:pPr>
            <a:endParaRPr lang="en-US"/>
          </a:p>
        </c:txPr>
        <c:crossAx val="352169344"/>
        <c:crosses val="autoZero"/>
        <c:auto val="0"/>
        <c:lblAlgn val="ctr"/>
        <c:lblOffset val="100"/>
        <c:tickLblSkip val="1"/>
        <c:tickMarkSkip val="1"/>
        <c:noMultiLvlLbl val="0"/>
      </c:catAx>
      <c:valAx>
        <c:axId val="352169344"/>
        <c:scaling>
          <c:orientation val="minMax"/>
        </c:scaling>
        <c:delete val="0"/>
        <c:axPos val="l"/>
        <c:title>
          <c:tx>
            <c:rich>
              <a:bodyPr/>
              <a:lstStyle/>
              <a:p>
                <a:pPr>
                  <a:defRPr/>
                </a:pPr>
                <a:r>
                  <a:rPr lang="en-US"/>
                  <a:t>concentraţie ng/m3</a:t>
                </a:r>
              </a:p>
            </c:rich>
          </c:tx>
          <c:layout>
            <c:manualLayout>
              <c:xMode val="edge"/>
              <c:yMode val="edge"/>
              <c:x val="2.0715623400450526E-2"/>
              <c:y val="0.33333323838396556"/>
            </c:manualLayout>
          </c:layout>
          <c:overlay val="0"/>
          <c:spPr>
            <a:noFill/>
            <a:ln w="24422">
              <a:noFill/>
            </a:ln>
          </c:spPr>
        </c:title>
        <c:numFmt formatCode="General" sourceLinked="1"/>
        <c:majorTickMark val="cross"/>
        <c:minorTickMark val="none"/>
        <c:tickLblPos val="nextTo"/>
        <c:spPr>
          <a:ln w="3053">
            <a:solidFill>
              <a:srgbClr val="000000"/>
            </a:solidFill>
            <a:prstDash val="solid"/>
          </a:ln>
        </c:spPr>
        <c:txPr>
          <a:bodyPr rot="0" vert="horz"/>
          <a:lstStyle/>
          <a:p>
            <a:pPr>
              <a:defRPr/>
            </a:pPr>
            <a:endParaRPr lang="en-US"/>
          </a:p>
        </c:txPr>
        <c:crossAx val="352167424"/>
        <c:crosses val="autoZero"/>
        <c:crossBetween val="between"/>
      </c:valAx>
      <c:catAx>
        <c:axId val="352175616"/>
        <c:scaling>
          <c:orientation val="minMax"/>
        </c:scaling>
        <c:delete val="1"/>
        <c:axPos val="b"/>
        <c:numFmt formatCode="General" sourceLinked="1"/>
        <c:majorTickMark val="out"/>
        <c:minorTickMark val="none"/>
        <c:tickLblPos val="nextTo"/>
        <c:crossAx val="352177152"/>
        <c:crosses val="autoZero"/>
        <c:auto val="0"/>
        <c:lblAlgn val="ctr"/>
        <c:lblOffset val="100"/>
        <c:noMultiLvlLbl val="0"/>
      </c:catAx>
      <c:valAx>
        <c:axId val="352177152"/>
        <c:scaling>
          <c:orientation val="minMax"/>
        </c:scaling>
        <c:delete val="1"/>
        <c:axPos val="l"/>
        <c:numFmt formatCode="General" sourceLinked="1"/>
        <c:majorTickMark val="out"/>
        <c:minorTickMark val="none"/>
        <c:tickLblPos val="nextTo"/>
        <c:crossAx val="352175616"/>
        <c:crosses val="autoZero"/>
        <c:crossBetween val="between"/>
      </c:valAx>
      <c:spPr>
        <a:solidFill>
          <a:srgbClr val="C0C0C0"/>
        </a:solidFill>
        <a:ln w="12211">
          <a:solidFill>
            <a:srgbClr val="808080"/>
          </a:solidFill>
          <a:prstDash val="solid"/>
        </a:ln>
      </c:spPr>
    </c:plotArea>
    <c:legend>
      <c:legendPos val="b"/>
      <c:layout>
        <c:manualLayout>
          <c:xMode val="edge"/>
          <c:yMode val="edge"/>
          <c:x val="0.25047090945715877"/>
          <c:y val="0.93181818829200236"/>
          <c:w val="0.58003766438949733"/>
          <c:h val="6.0605991551974991E-2"/>
        </c:manualLayout>
      </c:layout>
      <c:overlay val="0"/>
      <c:spPr>
        <a:solidFill>
          <a:srgbClr val="FFFFFF"/>
        </a:solidFill>
        <a:ln w="3053">
          <a:solidFill>
            <a:srgbClr val="000000"/>
          </a:solidFill>
          <a:prstDash val="solid"/>
        </a:ln>
      </c:spPr>
    </c:legend>
    <c:plotVisOnly val="1"/>
    <c:dispBlanksAs val="gap"/>
    <c:showDLblsOverMax val="0"/>
  </c:chart>
  <c:spPr>
    <a:noFill/>
    <a:ln>
      <a:noFill/>
    </a:ln>
  </c:spPr>
  <c:txPr>
    <a:bodyPr/>
    <a:lstStyle/>
    <a:p>
      <a:pPr>
        <a:defRPr sz="961"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1"/>
        <c:ser>
          <c:idx val="0"/>
          <c:order val="0"/>
          <c:tx>
            <c:strRef>
              <c:f>Sheet1!$B$1</c:f>
              <c:strCache>
                <c:ptCount val="1"/>
                <c:pt idx="0">
                  <c:v>Ha</c:v>
                </c:pt>
              </c:strCache>
            </c:strRef>
          </c:tx>
          <c:invertIfNegative val="0"/>
          <c:dPt>
            <c:idx val="0"/>
            <c:invertIfNegative val="0"/>
            <c:bubble3D val="0"/>
            <c:extLst xmlns:c16r2="http://schemas.microsoft.com/office/drawing/2015/06/chart">
              <c:ext xmlns:c16="http://schemas.microsoft.com/office/drawing/2014/chart" uri="{C3380CC4-5D6E-409C-BE32-E72D297353CC}">
                <c16:uniqueId val="{00000000-A5F9-4D4D-B194-AD9F1DA0442A}"/>
              </c:ext>
            </c:extLst>
          </c:dPt>
          <c:dPt>
            <c:idx val="1"/>
            <c:invertIfNegative val="0"/>
            <c:bubble3D val="0"/>
            <c:extLst xmlns:c16r2="http://schemas.microsoft.com/office/drawing/2015/06/chart">
              <c:ext xmlns:c16="http://schemas.microsoft.com/office/drawing/2014/chart" uri="{C3380CC4-5D6E-409C-BE32-E72D297353CC}">
                <c16:uniqueId val="{00000001-A5F9-4D4D-B194-AD9F1DA0442A}"/>
              </c:ext>
            </c:extLst>
          </c:dPt>
          <c:dPt>
            <c:idx val="2"/>
            <c:invertIfNegative val="0"/>
            <c:bubble3D val="0"/>
            <c:extLst xmlns:c16r2="http://schemas.microsoft.com/office/drawing/2015/06/chart">
              <c:ext xmlns:c16="http://schemas.microsoft.com/office/drawing/2014/chart" uri="{C3380CC4-5D6E-409C-BE32-E72D297353CC}">
                <c16:uniqueId val="{00000002-A5F9-4D4D-B194-AD9F1DA0442A}"/>
              </c:ext>
            </c:extLst>
          </c:dPt>
          <c:dPt>
            <c:idx val="3"/>
            <c:invertIfNegative val="0"/>
            <c:bubble3D val="0"/>
            <c:extLst xmlns:c16r2="http://schemas.microsoft.com/office/drawing/2015/06/chart">
              <c:ext xmlns:c16="http://schemas.microsoft.com/office/drawing/2014/chart" uri="{C3380CC4-5D6E-409C-BE32-E72D297353CC}">
                <c16:uniqueId val="{00000003-A5F9-4D4D-B194-AD9F1DA0442A}"/>
              </c:ext>
            </c:extLst>
          </c:dPt>
          <c:dPt>
            <c:idx val="4"/>
            <c:invertIfNegative val="0"/>
            <c:bubble3D val="0"/>
            <c:extLst xmlns:c16r2="http://schemas.microsoft.com/office/drawing/2015/06/chart">
              <c:ext xmlns:c16="http://schemas.microsoft.com/office/drawing/2014/chart" uri="{C3380CC4-5D6E-409C-BE32-E72D297353CC}">
                <c16:uniqueId val="{00000004-A5F9-4D4D-B194-AD9F1DA0442A}"/>
              </c:ext>
            </c:extLst>
          </c:dPt>
          <c:cat>
            <c:numLit>
              <c:formatCode>General</c:formatCode>
              <c:ptCount val="5"/>
              <c:pt idx="0">
                <c:v>2019</c:v>
              </c:pt>
              <c:pt idx="1">
                <c:v>2020</c:v>
              </c:pt>
              <c:pt idx="2">
                <c:v>2021</c:v>
              </c:pt>
              <c:pt idx="3">
                <c:v>2022</c:v>
              </c:pt>
              <c:pt idx="4">
                <c:v>2023</c:v>
              </c:pt>
            </c:numLit>
          </c:cat>
          <c:val>
            <c:numLit>
              <c:formatCode>General</c:formatCode>
              <c:ptCount val="5"/>
              <c:pt idx="0">
                <c:v>4125</c:v>
              </c:pt>
              <c:pt idx="1">
                <c:v>4198</c:v>
              </c:pt>
              <c:pt idx="2">
                <c:v>4874</c:v>
              </c:pt>
              <c:pt idx="3">
                <c:v>4935</c:v>
              </c:pt>
              <c:pt idx="4">
                <c:v>5007</c:v>
              </c:pt>
            </c:numLit>
          </c:val>
          <c:extLst xmlns:c16r2="http://schemas.microsoft.com/office/drawing/2015/06/chart">
            <c:ext xmlns:c16="http://schemas.microsoft.com/office/drawing/2014/chart" uri="{C3380CC4-5D6E-409C-BE32-E72D297353CC}">
              <c16:uniqueId val="{00000005-A5F9-4D4D-B194-AD9F1DA0442A}"/>
            </c:ext>
          </c:extLst>
        </c:ser>
        <c:dLbls>
          <c:showLegendKey val="0"/>
          <c:showVal val="0"/>
          <c:showCatName val="0"/>
          <c:showSerName val="0"/>
          <c:showPercent val="0"/>
          <c:showBubbleSize val="0"/>
        </c:dLbls>
        <c:gapWidth val="150"/>
        <c:axId val="432442368"/>
        <c:axId val="432448256"/>
      </c:barChart>
      <c:catAx>
        <c:axId val="432442368"/>
        <c:scaling>
          <c:orientation val="minMax"/>
        </c:scaling>
        <c:delete val="0"/>
        <c:axPos val="b"/>
        <c:numFmt formatCode="General" sourceLinked="1"/>
        <c:majorTickMark val="out"/>
        <c:minorTickMark val="none"/>
        <c:tickLblPos val="nextTo"/>
        <c:crossAx val="432448256"/>
        <c:crosses val="autoZero"/>
        <c:auto val="1"/>
        <c:lblAlgn val="ctr"/>
        <c:lblOffset val="100"/>
        <c:noMultiLvlLbl val="0"/>
      </c:catAx>
      <c:valAx>
        <c:axId val="432448256"/>
        <c:scaling>
          <c:orientation val="minMax"/>
        </c:scaling>
        <c:delete val="0"/>
        <c:axPos val="l"/>
        <c:majorGridlines/>
        <c:numFmt formatCode="General" sourceLinked="1"/>
        <c:majorTickMark val="out"/>
        <c:minorTickMark val="none"/>
        <c:tickLblPos val="nextTo"/>
        <c:crossAx val="432442368"/>
        <c:crosses val="autoZero"/>
        <c:crossBetween val="between"/>
      </c:valAx>
    </c:plotArea>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o-RO" sz="1100"/>
              <a:t>Recoltare masă lemnoasă în perioada 201</a:t>
            </a:r>
            <a:r>
              <a:rPr lang="en-US" sz="1100"/>
              <a:t>9-</a:t>
            </a:r>
            <a:r>
              <a:rPr lang="ro-RO" sz="1100"/>
              <a:t>20</a:t>
            </a:r>
            <a:r>
              <a:rPr lang="en-US" sz="1100"/>
              <a:t>23</a:t>
            </a:r>
            <a:endParaRPr lang="vi-VN" sz="1100"/>
          </a:p>
        </c:rich>
      </c:tx>
      <c:layout>
        <c:manualLayout>
          <c:xMode val="edge"/>
          <c:yMode val="edge"/>
          <c:x val="0.22753076869790106"/>
          <c:y val="0"/>
        </c:manualLayout>
      </c:layout>
      <c:overlay val="0"/>
    </c:title>
    <c:autoTitleDeleted val="0"/>
    <c:plotArea>
      <c:layout>
        <c:manualLayout>
          <c:layoutTarget val="inner"/>
          <c:xMode val="edge"/>
          <c:yMode val="edge"/>
          <c:x val="8.801348511787932E-2"/>
          <c:y val="7.5852977381419384E-2"/>
          <c:w val="0.80517013995158737"/>
          <c:h val="0.81865357418557971"/>
        </c:manualLayout>
      </c:layout>
      <c:barChart>
        <c:barDir val="col"/>
        <c:grouping val="clustered"/>
        <c:varyColors val="1"/>
        <c:ser>
          <c:idx val="0"/>
          <c:order val="0"/>
          <c:tx>
            <c:strRef>
              <c:f>Sheet1!$B$1</c:f>
              <c:strCache>
                <c:ptCount val="1"/>
                <c:pt idx="0">
                  <c:v>Tăieri (mc/ha/an)</c:v>
                </c:pt>
              </c:strCache>
            </c:strRef>
          </c:tx>
          <c:invertIfNegative val="0"/>
          <c:dPt>
            <c:idx val="0"/>
            <c:invertIfNegative val="0"/>
            <c:bubble3D val="0"/>
            <c:extLst xmlns:c16r2="http://schemas.microsoft.com/office/drawing/2015/06/chart">
              <c:ext xmlns:c16="http://schemas.microsoft.com/office/drawing/2014/chart" uri="{C3380CC4-5D6E-409C-BE32-E72D297353CC}">
                <c16:uniqueId val="{00000000-1221-4490-A49C-8A637F1147E6}"/>
              </c:ext>
            </c:extLst>
          </c:dPt>
          <c:dPt>
            <c:idx val="1"/>
            <c:invertIfNegative val="0"/>
            <c:bubble3D val="0"/>
            <c:extLst xmlns:c16r2="http://schemas.microsoft.com/office/drawing/2015/06/chart">
              <c:ext xmlns:c16="http://schemas.microsoft.com/office/drawing/2014/chart" uri="{C3380CC4-5D6E-409C-BE32-E72D297353CC}">
                <c16:uniqueId val="{00000001-1221-4490-A49C-8A637F1147E6}"/>
              </c:ext>
            </c:extLst>
          </c:dPt>
          <c:dPt>
            <c:idx val="2"/>
            <c:invertIfNegative val="0"/>
            <c:bubble3D val="0"/>
            <c:extLst xmlns:c16r2="http://schemas.microsoft.com/office/drawing/2015/06/chart">
              <c:ext xmlns:c16="http://schemas.microsoft.com/office/drawing/2014/chart" uri="{C3380CC4-5D6E-409C-BE32-E72D297353CC}">
                <c16:uniqueId val="{00000002-1221-4490-A49C-8A637F1147E6}"/>
              </c:ext>
            </c:extLst>
          </c:dPt>
          <c:dPt>
            <c:idx val="3"/>
            <c:invertIfNegative val="0"/>
            <c:bubble3D val="0"/>
            <c:extLst xmlns:c16r2="http://schemas.microsoft.com/office/drawing/2015/06/chart">
              <c:ext xmlns:c16="http://schemas.microsoft.com/office/drawing/2014/chart" uri="{C3380CC4-5D6E-409C-BE32-E72D297353CC}">
                <c16:uniqueId val="{00000003-1221-4490-A49C-8A637F1147E6}"/>
              </c:ext>
            </c:extLst>
          </c:dPt>
          <c:dPt>
            <c:idx val="4"/>
            <c:invertIfNegative val="0"/>
            <c:bubble3D val="0"/>
            <c:extLst xmlns:c16r2="http://schemas.microsoft.com/office/drawing/2015/06/chart">
              <c:ext xmlns:c16="http://schemas.microsoft.com/office/drawing/2014/chart" uri="{C3380CC4-5D6E-409C-BE32-E72D297353CC}">
                <c16:uniqueId val="{00000004-1221-4490-A49C-8A637F1147E6}"/>
              </c:ext>
            </c:extLst>
          </c:dPt>
          <c:cat>
            <c:numLit>
              <c:formatCode>General</c:formatCode>
              <c:ptCount val="5"/>
              <c:pt idx="0">
                <c:v>2019</c:v>
              </c:pt>
              <c:pt idx="1">
                <c:v>2020</c:v>
              </c:pt>
              <c:pt idx="2">
                <c:v>2021</c:v>
              </c:pt>
              <c:pt idx="3">
                <c:v>2022</c:v>
              </c:pt>
              <c:pt idx="4">
                <c:v>2023</c:v>
              </c:pt>
            </c:numLit>
          </c:cat>
          <c:val>
            <c:numLit>
              <c:formatCode>General</c:formatCode>
              <c:ptCount val="5"/>
              <c:pt idx="0">
                <c:v>0.2</c:v>
              </c:pt>
              <c:pt idx="1">
                <c:v>0.5</c:v>
              </c:pt>
              <c:pt idx="2">
                <c:v>0.2</c:v>
              </c:pt>
              <c:pt idx="3">
                <c:v>0.3</c:v>
              </c:pt>
              <c:pt idx="4">
                <c:v>0.6</c:v>
              </c:pt>
            </c:numLit>
          </c:val>
          <c:extLst xmlns:c16r2="http://schemas.microsoft.com/office/drawing/2015/06/chart">
            <c:ext xmlns:c16="http://schemas.microsoft.com/office/drawing/2014/chart" uri="{C3380CC4-5D6E-409C-BE32-E72D297353CC}">
              <c16:uniqueId val="{00000005-1221-4490-A49C-8A637F1147E6}"/>
            </c:ext>
          </c:extLst>
        </c:ser>
        <c:dLbls>
          <c:showLegendKey val="0"/>
          <c:showVal val="0"/>
          <c:showCatName val="0"/>
          <c:showSerName val="0"/>
          <c:showPercent val="0"/>
          <c:showBubbleSize val="0"/>
        </c:dLbls>
        <c:gapWidth val="150"/>
        <c:axId val="432646400"/>
        <c:axId val="432648192"/>
      </c:barChart>
      <c:catAx>
        <c:axId val="432646400"/>
        <c:scaling>
          <c:orientation val="minMax"/>
        </c:scaling>
        <c:delete val="0"/>
        <c:axPos val="b"/>
        <c:numFmt formatCode="General" sourceLinked="1"/>
        <c:majorTickMark val="out"/>
        <c:minorTickMark val="none"/>
        <c:tickLblPos val="nextTo"/>
        <c:crossAx val="432648192"/>
        <c:crosses val="autoZero"/>
        <c:auto val="1"/>
        <c:lblAlgn val="ctr"/>
        <c:lblOffset val="100"/>
        <c:noMultiLvlLbl val="0"/>
      </c:catAx>
      <c:valAx>
        <c:axId val="432648192"/>
        <c:scaling>
          <c:orientation val="minMax"/>
        </c:scaling>
        <c:delete val="0"/>
        <c:axPos val="l"/>
        <c:majorGridlines/>
        <c:numFmt formatCode="General" sourceLinked="1"/>
        <c:majorTickMark val="out"/>
        <c:minorTickMark val="none"/>
        <c:tickLblPos val="nextTo"/>
        <c:crossAx val="432646400"/>
        <c:crosses val="autoZero"/>
        <c:crossBetween val="between"/>
      </c:valAx>
    </c:plotArea>
    <c:legend>
      <c:legendPos val="r"/>
      <c:overlay val="0"/>
    </c:legend>
    <c:plotVisOnly val="1"/>
    <c:dispBlanksAs val="gap"/>
    <c:showDLblsOverMax val="0"/>
  </c:chart>
  <c:txPr>
    <a:bodyPr/>
    <a:lstStyle/>
    <a:p>
      <a:pPr>
        <a:defRPr baseline="0">
          <a:latin typeface="Trebuchet MS" pitchFamily="34" charset="0"/>
        </a:defRPr>
      </a:pPr>
      <a:endParaRPr lang="en-US"/>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985" b="0">
                <a:latin typeface="Arial" pitchFamily="34" charset="0"/>
                <a:cs typeface="Arial" pitchFamily="34" charset="0"/>
              </a:rPr>
              <a:t>Suprafa</a:t>
            </a:r>
            <a:r>
              <a:rPr lang="ro-RO" sz="985" b="0">
                <a:latin typeface="Arial" pitchFamily="34" charset="0"/>
                <a:cs typeface="Arial" pitchFamily="34" charset="0"/>
              </a:rPr>
              <a:t>ţ</a:t>
            </a:r>
            <a:r>
              <a:rPr lang="en-US" sz="985" b="0">
                <a:latin typeface="Arial" pitchFamily="34" charset="0"/>
                <a:cs typeface="Arial" pitchFamily="34" charset="0"/>
              </a:rPr>
              <a:t>a</a:t>
            </a:r>
            <a:r>
              <a:rPr lang="en-US" sz="985" b="0" baseline="0">
                <a:latin typeface="Arial" pitchFamily="34" charset="0"/>
                <a:cs typeface="Arial" pitchFamily="34" charset="0"/>
              </a:rPr>
              <a:t> fondului Forestier </a:t>
            </a:r>
            <a:r>
              <a:rPr lang="ro-RO" sz="985" b="0" baseline="0">
                <a:latin typeface="Arial" pitchFamily="34" charset="0"/>
                <a:cs typeface="Arial" pitchFamily="34" charset="0"/>
              </a:rPr>
              <a:t>î</a:t>
            </a:r>
            <a:r>
              <a:rPr lang="en-US" sz="985" b="0" baseline="0">
                <a:latin typeface="Arial" pitchFamily="34" charset="0"/>
                <a:cs typeface="Arial" pitchFamily="34" charset="0"/>
              </a:rPr>
              <a:t>n Municipiul Bucure</a:t>
            </a:r>
            <a:r>
              <a:rPr lang="ro-RO" sz="985" b="0" baseline="0">
                <a:latin typeface="Arial" pitchFamily="34" charset="0"/>
                <a:cs typeface="Arial" pitchFamily="34" charset="0"/>
              </a:rPr>
              <a:t>ş</a:t>
            </a:r>
            <a:r>
              <a:rPr lang="en-US" sz="985" b="0" baseline="0">
                <a:latin typeface="Arial" pitchFamily="34" charset="0"/>
                <a:cs typeface="Arial" pitchFamily="34" charset="0"/>
              </a:rPr>
              <a:t>ti</a:t>
            </a:r>
            <a:endParaRPr lang="en-US" sz="1000" b="0">
              <a:latin typeface="Arial" pitchFamily="34" charset="0"/>
              <a:cs typeface="Arial" pitchFamily="34" charset="0"/>
            </a:endParaRPr>
          </a:p>
        </c:rich>
      </c:tx>
      <c:layout>
        <c:manualLayout>
          <c:xMode val="edge"/>
          <c:yMode val="edge"/>
          <c:x val="0.2395557425284468"/>
          <c:y val="3.0283309384615577E-2"/>
        </c:manualLayout>
      </c:layout>
      <c:overlay val="1"/>
    </c:title>
    <c:autoTitleDeleted val="0"/>
    <c:plotArea>
      <c:layout>
        <c:manualLayout>
          <c:layoutTarget val="inner"/>
          <c:xMode val="edge"/>
          <c:yMode val="edge"/>
          <c:x val="0.10032165019852278"/>
          <c:y val="0.12740359835972884"/>
          <c:w val="0.76815480612093334"/>
          <c:h val="0.80215092161098911"/>
        </c:manualLayout>
      </c:layout>
      <c:barChart>
        <c:barDir val="col"/>
        <c:grouping val="clustered"/>
        <c:varyColors val="0"/>
        <c:ser>
          <c:idx val="2"/>
          <c:order val="0"/>
          <c:tx>
            <c:strRef>
              <c:f>Sheet1!$D$1</c:f>
              <c:strCache>
                <c:ptCount val="1"/>
                <c:pt idx="0">
                  <c:v>Prop privata</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259</c:v>
              </c:pt>
              <c:pt idx="1">
                <c:v>280</c:v>
              </c:pt>
              <c:pt idx="2">
                <c:v>280</c:v>
              </c:pt>
              <c:pt idx="3">
                <c:v>280</c:v>
              </c:pt>
              <c:pt idx="4">
                <c:v>167</c:v>
              </c:pt>
            </c:numLit>
          </c:val>
          <c:extLst xmlns:c16r2="http://schemas.microsoft.com/office/drawing/2015/06/chart">
            <c:ext xmlns:c16="http://schemas.microsoft.com/office/drawing/2014/chart" uri="{C3380CC4-5D6E-409C-BE32-E72D297353CC}">
              <c16:uniqueId val="{00000001-4BF8-47D3-BAB0-8A04CBB2E245}"/>
            </c:ext>
          </c:extLst>
        </c:ser>
        <c:ser>
          <c:idx val="0"/>
          <c:order val="1"/>
          <c:tx>
            <c:strRef>
              <c:f>Sheet1!$B$1</c:f>
              <c:strCache>
                <c:ptCount val="1"/>
                <c:pt idx="0">
                  <c:v>Ha</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633</c:v>
              </c:pt>
              <c:pt idx="1">
                <c:v>633</c:v>
              </c:pt>
              <c:pt idx="2">
                <c:v>633</c:v>
              </c:pt>
              <c:pt idx="3">
                <c:v>633</c:v>
              </c:pt>
              <c:pt idx="4">
                <c:v>519</c:v>
              </c:pt>
            </c:numLit>
          </c:val>
          <c:extLst xmlns:c16r2="http://schemas.microsoft.com/office/drawing/2015/06/chart">
            <c:ext xmlns:c16="http://schemas.microsoft.com/office/drawing/2014/chart" uri="{C3380CC4-5D6E-409C-BE32-E72D297353CC}">
              <c16:uniqueId val="{00000002-4BF8-47D3-BAB0-8A04CBB2E245}"/>
            </c:ext>
          </c:extLst>
        </c:ser>
        <c:ser>
          <c:idx val="1"/>
          <c:order val="2"/>
          <c:tx>
            <c:strRef>
              <c:f>Sheet1!$C$1</c:f>
              <c:strCache>
                <c:ptCount val="1"/>
                <c:pt idx="0">
                  <c:v>Prop stat</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374</c:v>
              </c:pt>
              <c:pt idx="1">
                <c:v>353</c:v>
              </c:pt>
              <c:pt idx="2">
                <c:v>353</c:v>
              </c:pt>
              <c:pt idx="3">
                <c:v>353</c:v>
              </c:pt>
              <c:pt idx="4">
                <c:v>352</c:v>
              </c:pt>
            </c:numLit>
          </c:val>
          <c:extLst xmlns:c16r2="http://schemas.microsoft.com/office/drawing/2015/06/chart">
            <c:ext xmlns:c16="http://schemas.microsoft.com/office/drawing/2014/chart" uri="{C3380CC4-5D6E-409C-BE32-E72D297353CC}">
              <c16:uniqueId val="{00000000-4BF8-47D3-BAB0-8A04CBB2E245}"/>
            </c:ext>
          </c:extLst>
        </c:ser>
        <c:dLbls>
          <c:showLegendKey val="0"/>
          <c:showVal val="0"/>
          <c:showCatName val="0"/>
          <c:showSerName val="0"/>
          <c:showPercent val="0"/>
          <c:showBubbleSize val="0"/>
        </c:dLbls>
        <c:gapWidth val="150"/>
        <c:axId val="432736896"/>
        <c:axId val="432738688"/>
      </c:barChart>
      <c:catAx>
        <c:axId val="432736896"/>
        <c:scaling>
          <c:orientation val="minMax"/>
        </c:scaling>
        <c:delete val="0"/>
        <c:axPos val="b"/>
        <c:numFmt formatCode="General" sourceLinked="1"/>
        <c:majorTickMark val="out"/>
        <c:minorTickMark val="none"/>
        <c:tickLblPos val="nextTo"/>
        <c:crossAx val="432738688"/>
        <c:crosses val="autoZero"/>
        <c:auto val="1"/>
        <c:lblAlgn val="ctr"/>
        <c:lblOffset val="100"/>
        <c:noMultiLvlLbl val="0"/>
      </c:catAx>
      <c:valAx>
        <c:axId val="432738688"/>
        <c:scaling>
          <c:orientation val="minMax"/>
        </c:scaling>
        <c:delete val="0"/>
        <c:axPos val="l"/>
        <c:majorGridlines/>
        <c:numFmt formatCode="General" sourceLinked="1"/>
        <c:majorTickMark val="out"/>
        <c:minorTickMark val="none"/>
        <c:tickLblPos val="nextTo"/>
        <c:crossAx val="432736896"/>
        <c:crosses val="autoZero"/>
        <c:crossBetween val="between"/>
      </c:valAx>
    </c:plotArea>
    <c:legend>
      <c:legendPos val="r"/>
      <c:layout>
        <c:manualLayout>
          <c:xMode val="edge"/>
          <c:yMode val="edge"/>
          <c:x val="0.89108813399368347"/>
          <c:y val="0.46119896461779469"/>
          <c:w val="0.1069132403041243"/>
          <c:h val="0.27652157440906072"/>
        </c:manualLayout>
      </c:layout>
      <c:overlay val="0"/>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865" b="0">
                <a:latin typeface="Arial" pitchFamily="34" charset="0"/>
                <a:cs typeface="Arial" pitchFamily="34" charset="0"/>
              </a:rPr>
              <a:t>Ponderea  compo</a:t>
            </a:r>
            <a:r>
              <a:rPr lang="ro-RO" sz="865" b="0">
                <a:latin typeface="Arial" pitchFamily="34" charset="0"/>
                <a:cs typeface="Arial" pitchFamily="34" charset="0"/>
              </a:rPr>
              <a:t>ziţiei f</a:t>
            </a:r>
            <a:r>
              <a:rPr lang="en-US" sz="865" b="0">
                <a:latin typeface="Arial" pitchFamily="34" charset="0"/>
                <a:cs typeface="Arial" pitchFamily="34" charset="0"/>
              </a:rPr>
              <a:t>ondului forestier</a:t>
            </a:r>
            <a:r>
              <a:rPr lang="ro-RO" sz="865" b="0">
                <a:latin typeface="Arial" pitchFamily="34" charset="0"/>
                <a:cs typeface="Arial" pitchFamily="34" charset="0"/>
              </a:rPr>
              <a:t> în raza Mun. Bucureşti </a:t>
            </a:r>
            <a:endParaRPr lang="en-US" sz="1000" b="0">
              <a:latin typeface="Arial" pitchFamily="34" charset="0"/>
              <a:cs typeface="Arial" pitchFamily="34" charset="0"/>
            </a:endParaRPr>
          </a:p>
        </c:rich>
      </c:tx>
      <c:overlay val="0"/>
    </c:title>
    <c:autoTitleDeleted val="0"/>
    <c:view3D>
      <c:rotX val="15"/>
      <c:rotY val="0"/>
      <c:rAngAx val="0"/>
      <c:perspective val="30"/>
    </c:view3D>
    <c:floor>
      <c:thickness val="0"/>
    </c:floor>
    <c:sideWall>
      <c:thickness val="0"/>
    </c:sideWall>
    <c:backWall>
      <c:thickness val="0"/>
    </c:backWall>
    <c:plotArea>
      <c:layout>
        <c:manualLayout>
          <c:layoutTarget val="inner"/>
          <c:xMode val="edge"/>
          <c:yMode val="edge"/>
          <c:x val="9.0112838459295158E-2"/>
          <c:y val="0.14642530508428725"/>
          <c:w val="0.72983538596137021"/>
          <c:h val="0.76511567497361832"/>
        </c:manualLayout>
      </c:layout>
      <c:pie3DChart>
        <c:varyColors val="1"/>
        <c:ser>
          <c:idx val="0"/>
          <c:order val="0"/>
          <c:tx>
            <c:strRef>
              <c:f>Sheet1!$B$1</c:f>
              <c:strCache>
                <c:ptCount val="1"/>
                <c:pt idx="0">
                  <c:v>Ha</c:v>
                </c:pt>
              </c:strCache>
            </c:strRef>
          </c:tx>
          <c:explosion val="25"/>
          <c:dPt>
            <c:idx val="0"/>
            <c:bubble3D val="0"/>
            <c:extLst xmlns:c16r2="http://schemas.microsoft.com/office/drawing/2015/06/chart">
              <c:ext xmlns:c16="http://schemas.microsoft.com/office/drawing/2014/chart" uri="{C3380CC4-5D6E-409C-BE32-E72D297353CC}">
                <c16:uniqueId val="{00000000-E747-411C-B483-A941E77D21BE}"/>
              </c:ext>
            </c:extLst>
          </c:dPt>
          <c:dPt>
            <c:idx val="1"/>
            <c:bubble3D val="0"/>
            <c:extLst xmlns:c16r2="http://schemas.microsoft.com/office/drawing/2015/06/chart">
              <c:ext xmlns:c16="http://schemas.microsoft.com/office/drawing/2014/chart" uri="{C3380CC4-5D6E-409C-BE32-E72D297353CC}">
                <c16:uniqueId val="{00000001-E747-411C-B483-A941E77D21BE}"/>
              </c:ext>
            </c:extLst>
          </c:dPt>
          <c:dPt>
            <c:idx val="2"/>
            <c:bubble3D val="0"/>
            <c:extLst xmlns:c16r2="http://schemas.microsoft.com/office/drawing/2015/06/chart">
              <c:ext xmlns:c16="http://schemas.microsoft.com/office/drawing/2014/chart" uri="{C3380CC4-5D6E-409C-BE32-E72D297353CC}">
                <c16:uniqueId val="{00000002-E747-411C-B483-A941E77D21BE}"/>
              </c:ext>
            </c:extLst>
          </c:dPt>
          <c:cat>
            <c:strRef>
              <c:f>Sheet1!$A$2:$A$4</c:f>
              <c:strCache>
                <c:ptCount val="3"/>
                <c:pt idx="0">
                  <c:v>Rasini</c:v>
                </c:pt>
                <c:pt idx="1">
                  <c:v>Foioase</c:v>
                </c:pt>
                <c:pt idx="2">
                  <c:v>Alte terenuri</c:v>
                </c:pt>
              </c:strCache>
            </c:strRef>
          </c:cat>
          <c:val>
            <c:numRef>
              <c:f>Sheet1!$B$2:$B$4</c:f>
              <c:numCache>
                <c:formatCode>General</c:formatCode>
                <c:ptCount val="3"/>
                <c:pt idx="0">
                  <c:v>2</c:v>
                </c:pt>
                <c:pt idx="1">
                  <c:v>507</c:v>
                </c:pt>
                <c:pt idx="2">
                  <c:v>10</c:v>
                </c:pt>
              </c:numCache>
            </c:numRef>
          </c:val>
          <c:extLst xmlns:c16r2="http://schemas.microsoft.com/office/drawing/2015/06/chart">
            <c:ext xmlns:c16="http://schemas.microsoft.com/office/drawing/2014/chart" uri="{C3380CC4-5D6E-409C-BE32-E72D297353CC}">
              <c16:uniqueId val="{00000003-E747-411C-B483-A941E77D21BE}"/>
            </c:ext>
          </c:extLst>
        </c:ser>
        <c:dLbls>
          <c:showLegendKey val="0"/>
          <c:showVal val="0"/>
          <c:showCatName val="0"/>
          <c:showSerName val="0"/>
          <c:showPercent val="0"/>
          <c:showBubbleSize val="0"/>
          <c:showLeaderLines val="1"/>
        </c:dLbls>
      </c:pie3DChart>
      <c:spPr>
        <a:noFill/>
        <a:ln w="21963">
          <a:noFill/>
        </a:ln>
      </c:spPr>
    </c:plotArea>
    <c:legend>
      <c:legendPos val="r"/>
      <c:layout>
        <c:manualLayout>
          <c:xMode val="edge"/>
          <c:yMode val="edge"/>
          <c:x val="0.84595990987852188"/>
          <c:y val="0.37522629615896347"/>
          <c:w val="0.14184507467540008"/>
          <c:h val="0.31078587475734504"/>
        </c:manualLayout>
      </c:layout>
      <c:overlay val="0"/>
    </c:legend>
    <c:plotVisOnly val="1"/>
    <c:dispBlanksAs val="zero"/>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2313137706661302"/>
          <c:y val="0.14455914359019792"/>
          <c:w val="0.76624806947363211"/>
          <c:h val="0.79436170974905906"/>
        </c:manualLayout>
      </c:layout>
      <c:bar3DChart>
        <c:barDir val="col"/>
        <c:grouping val="clustered"/>
        <c:varyColors val="0"/>
        <c:ser>
          <c:idx val="0"/>
          <c:order val="0"/>
          <c:tx>
            <c:strRef>
              <c:f>Sheet1!$B$1</c:f>
              <c:strCache>
                <c:ptCount val="1"/>
                <c:pt idx="0">
                  <c:v>Mii mc/an</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0.2</c:v>
              </c:pt>
              <c:pt idx="1">
                <c:v>0.5</c:v>
              </c:pt>
              <c:pt idx="2">
                <c:v>0.2</c:v>
              </c:pt>
              <c:pt idx="3">
                <c:v>0.3</c:v>
              </c:pt>
              <c:pt idx="4">
                <c:v>0.6</c:v>
              </c:pt>
            </c:numLit>
          </c:val>
          <c:extLst xmlns:c16r2="http://schemas.microsoft.com/office/drawing/2015/06/chart">
            <c:ext xmlns:c16="http://schemas.microsoft.com/office/drawing/2014/chart" uri="{C3380CC4-5D6E-409C-BE32-E72D297353CC}">
              <c16:uniqueId val="{00000000-F993-475E-A3BC-6576980BFF6A}"/>
            </c:ext>
          </c:extLst>
        </c:ser>
        <c:ser>
          <c:idx val="1"/>
          <c:order val="1"/>
          <c:tx>
            <c:strRef>
              <c:f>Sheet1!$C$1</c:f>
              <c:strCache>
                <c:ptCount val="1"/>
                <c:pt idx="0">
                  <c:v>mc/ha/an</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0.3</c:v>
              </c:pt>
              <c:pt idx="1">
                <c:v>0.8</c:v>
              </c:pt>
              <c:pt idx="2">
                <c:v>0.3</c:v>
              </c:pt>
              <c:pt idx="3">
                <c:v>0.8</c:v>
              </c:pt>
              <c:pt idx="4">
                <c:v>1.2</c:v>
              </c:pt>
            </c:numLit>
          </c:val>
          <c:extLst xmlns:c16r2="http://schemas.microsoft.com/office/drawing/2015/06/chart">
            <c:ext xmlns:c16="http://schemas.microsoft.com/office/drawing/2014/chart" uri="{C3380CC4-5D6E-409C-BE32-E72D297353CC}">
              <c16:uniqueId val="{00000001-F993-475E-A3BC-6576980BFF6A}"/>
            </c:ext>
          </c:extLst>
        </c:ser>
        <c:dLbls>
          <c:showLegendKey val="0"/>
          <c:showVal val="0"/>
          <c:showCatName val="0"/>
          <c:showSerName val="0"/>
          <c:showPercent val="0"/>
          <c:showBubbleSize val="0"/>
        </c:dLbls>
        <c:gapWidth val="150"/>
        <c:shape val="cylinder"/>
        <c:axId val="432822528"/>
        <c:axId val="432824320"/>
        <c:axId val="0"/>
      </c:bar3DChart>
      <c:catAx>
        <c:axId val="432822528"/>
        <c:scaling>
          <c:orientation val="minMax"/>
        </c:scaling>
        <c:delete val="0"/>
        <c:axPos val="b"/>
        <c:numFmt formatCode="General" sourceLinked="1"/>
        <c:majorTickMark val="out"/>
        <c:minorTickMark val="none"/>
        <c:tickLblPos val="nextTo"/>
        <c:crossAx val="432824320"/>
        <c:crosses val="autoZero"/>
        <c:auto val="1"/>
        <c:lblAlgn val="ctr"/>
        <c:lblOffset val="100"/>
        <c:noMultiLvlLbl val="0"/>
      </c:catAx>
      <c:valAx>
        <c:axId val="432824320"/>
        <c:scaling>
          <c:orientation val="minMax"/>
        </c:scaling>
        <c:delete val="0"/>
        <c:axPos val="l"/>
        <c:majorGridlines/>
        <c:numFmt formatCode="General" sourceLinked="1"/>
        <c:majorTickMark val="out"/>
        <c:minorTickMark val="none"/>
        <c:tickLblPos val="nextTo"/>
        <c:crossAx val="432822528"/>
        <c:crosses val="autoZero"/>
        <c:crossBetween val="between"/>
      </c:valAx>
      <c:spPr>
        <a:noFill/>
        <a:ln w="25075">
          <a:noFill/>
        </a:ln>
      </c:spPr>
    </c:plotArea>
    <c:legend>
      <c:legendPos val="r"/>
      <c:overlay val="0"/>
    </c:legend>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985" b="0">
                <a:latin typeface="Arial" pitchFamily="34" charset="0"/>
                <a:cs typeface="Arial" pitchFamily="34" charset="0"/>
              </a:rPr>
              <a:t>Suprafa</a:t>
            </a:r>
            <a:r>
              <a:rPr lang="ro-RO" sz="985" b="0">
                <a:latin typeface="Arial" pitchFamily="34" charset="0"/>
                <a:cs typeface="Arial" pitchFamily="34" charset="0"/>
              </a:rPr>
              <a:t>ţ</a:t>
            </a:r>
            <a:r>
              <a:rPr lang="en-US" sz="985" b="0">
                <a:latin typeface="Arial" pitchFamily="34" charset="0"/>
                <a:cs typeface="Arial" pitchFamily="34" charset="0"/>
              </a:rPr>
              <a:t>a</a:t>
            </a:r>
            <a:r>
              <a:rPr lang="en-US" sz="985" b="0" baseline="0">
                <a:latin typeface="Arial" pitchFamily="34" charset="0"/>
                <a:cs typeface="Arial" pitchFamily="34" charset="0"/>
              </a:rPr>
              <a:t> fondului Forestier </a:t>
            </a:r>
            <a:r>
              <a:rPr lang="ro-RO" sz="985" b="0" baseline="0">
                <a:latin typeface="Arial" pitchFamily="34" charset="0"/>
                <a:cs typeface="Arial" pitchFamily="34" charset="0"/>
              </a:rPr>
              <a:t>î</a:t>
            </a:r>
            <a:r>
              <a:rPr lang="en-US" sz="985" b="0" baseline="0">
                <a:latin typeface="Arial" pitchFamily="34" charset="0"/>
                <a:cs typeface="Arial" pitchFamily="34" charset="0"/>
              </a:rPr>
              <a:t>n Municipiul Bucure</a:t>
            </a:r>
            <a:r>
              <a:rPr lang="ro-RO" sz="985" b="0" baseline="0">
                <a:latin typeface="Arial" pitchFamily="34" charset="0"/>
                <a:cs typeface="Arial" pitchFamily="34" charset="0"/>
              </a:rPr>
              <a:t>ş</a:t>
            </a:r>
            <a:r>
              <a:rPr lang="en-US" sz="985" b="0" baseline="0">
                <a:latin typeface="Arial" pitchFamily="34" charset="0"/>
                <a:cs typeface="Arial" pitchFamily="34" charset="0"/>
              </a:rPr>
              <a:t>ti</a:t>
            </a:r>
            <a:endParaRPr lang="en-US" sz="1000" b="0">
              <a:latin typeface="Arial" pitchFamily="34" charset="0"/>
              <a:cs typeface="Arial" pitchFamily="34" charset="0"/>
            </a:endParaRPr>
          </a:p>
        </c:rich>
      </c:tx>
      <c:layout>
        <c:manualLayout>
          <c:xMode val="edge"/>
          <c:yMode val="edge"/>
          <c:x val="0.2395557425284468"/>
          <c:y val="3.0283309384615577E-2"/>
        </c:manualLayout>
      </c:layout>
      <c:overlay val="1"/>
    </c:title>
    <c:autoTitleDeleted val="0"/>
    <c:plotArea>
      <c:layout>
        <c:manualLayout>
          <c:layoutTarget val="inner"/>
          <c:xMode val="edge"/>
          <c:yMode val="edge"/>
          <c:x val="0.10032165019852278"/>
          <c:y val="0.12740359835972884"/>
          <c:w val="0.76815480612093334"/>
          <c:h val="0.80215092161098911"/>
        </c:manualLayout>
      </c:layout>
      <c:barChart>
        <c:barDir val="col"/>
        <c:grouping val="clustered"/>
        <c:varyColors val="0"/>
        <c:ser>
          <c:idx val="2"/>
          <c:order val="0"/>
          <c:tx>
            <c:strRef>
              <c:f>Sheet1!$D$1</c:f>
              <c:strCache>
                <c:ptCount val="1"/>
                <c:pt idx="0">
                  <c:v>Prop privata</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259</c:v>
              </c:pt>
              <c:pt idx="1">
                <c:v>280</c:v>
              </c:pt>
              <c:pt idx="2">
                <c:v>280</c:v>
              </c:pt>
              <c:pt idx="3">
                <c:v>280</c:v>
              </c:pt>
              <c:pt idx="4">
                <c:v>167</c:v>
              </c:pt>
            </c:numLit>
          </c:val>
          <c:extLst xmlns:c16r2="http://schemas.microsoft.com/office/drawing/2015/06/chart">
            <c:ext xmlns:c16="http://schemas.microsoft.com/office/drawing/2014/chart" uri="{C3380CC4-5D6E-409C-BE32-E72D297353CC}">
              <c16:uniqueId val="{00000000-DC36-4898-B279-DECE26F1FB47}"/>
            </c:ext>
          </c:extLst>
        </c:ser>
        <c:ser>
          <c:idx val="0"/>
          <c:order val="1"/>
          <c:tx>
            <c:strRef>
              <c:f>Sheet1!$B$1</c:f>
              <c:strCache>
                <c:ptCount val="1"/>
                <c:pt idx="0">
                  <c:v>Ha</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633</c:v>
              </c:pt>
              <c:pt idx="1">
                <c:v>633</c:v>
              </c:pt>
              <c:pt idx="2">
                <c:v>633</c:v>
              </c:pt>
              <c:pt idx="3">
                <c:v>633</c:v>
              </c:pt>
              <c:pt idx="4">
                <c:v>519</c:v>
              </c:pt>
            </c:numLit>
          </c:val>
          <c:extLst xmlns:c16r2="http://schemas.microsoft.com/office/drawing/2015/06/chart">
            <c:ext xmlns:c16="http://schemas.microsoft.com/office/drawing/2014/chart" uri="{C3380CC4-5D6E-409C-BE32-E72D297353CC}">
              <c16:uniqueId val="{00000001-DC36-4898-B279-DECE26F1FB47}"/>
            </c:ext>
          </c:extLst>
        </c:ser>
        <c:ser>
          <c:idx val="1"/>
          <c:order val="2"/>
          <c:tx>
            <c:strRef>
              <c:f>Sheet1!$C$1</c:f>
              <c:strCache>
                <c:ptCount val="1"/>
                <c:pt idx="0">
                  <c:v>Prop stat</c:v>
                </c:pt>
              </c:strCache>
            </c:strRef>
          </c:tx>
          <c:invertIfNegative val="0"/>
          <c:cat>
            <c:numLit>
              <c:formatCode>General</c:formatCode>
              <c:ptCount val="5"/>
              <c:pt idx="0">
                <c:v>2019</c:v>
              </c:pt>
              <c:pt idx="1">
                <c:v>2020</c:v>
              </c:pt>
              <c:pt idx="2">
                <c:v>2021</c:v>
              </c:pt>
              <c:pt idx="3">
                <c:v>2022</c:v>
              </c:pt>
              <c:pt idx="4">
                <c:v>2023</c:v>
              </c:pt>
            </c:numLit>
          </c:cat>
          <c:val>
            <c:numLit>
              <c:formatCode>General</c:formatCode>
              <c:ptCount val="5"/>
              <c:pt idx="0">
                <c:v>374</c:v>
              </c:pt>
              <c:pt idx="1">
                <c:v>374</c:v>
              </c:pt>
              <c:pt idx="2">
                <c:v>353</c:v>
              </c:pt>
              <c:pt idx="3">
                <c:v>353</c:v>
              </c:pt>
              <c:pt idx="4">
                <c:v>352</c:v>
              </c:pt>
            </c:numLit>
          </c:val>
          <c:extLst xmlns:c16r2="http://schemas.microsoft.com/office/drawing/2015/06/chart">
            <c:ext xmlns:c16="http://schemas.microsoft.com/office/drawing/2014/chart" uri="{C3380CC4-5D6E-409C-BE32-E72D297353CC}">
              <c16:uniqueId val="{00000002-DC36-4898-B279-DECE26F1FB47}"/>
            </c:ext>
          </c:extLst>
        </c:ser>
        <c:dLbls>
          <c:showLegendKey val="0"/>
          <c:showVal val="0"/>
          <c:showCatName val="0"/>
          <c:showSerName val="0"/>
          <c:showPercent val="0"/>
          <c:showBubbleSize val="0"/>
        </c:dLbls>
        <c:gapWidth val="150"/>
        <c:axId val="433244800"/>
        <c:axId val="433246592"/>
      </c:barChart>
      <c:catAx>
        <c:axId val="433244800"/>
        <c:scaling>
          <c:orientation val="minMax"/>
        </c:scaling>
        <c:delete val="0"/>
        <c:axPos val="b"/>
        <c:numFmt formatCode="General" sourceLinked="1"/>
        <c:majorTickMark val="out"/>
        <c:minorTickMark val="none"/>
        <c:tickLblPos val="nextTo"/>
        <c:crossAx val="433246592"/>
        <c:crosses val="autoZero"/>
        <c:auto val="1"/>
        <c:lblAlgn val="ctr"/>
        <c:lblOffset val="100"/>
        <c:noMultiLvlLbl val="0"/>
      </c:catAx>
      <c:valAx>
        <c:axId val="433246592"/>
        <c:scaling>
          <c:orientation val="minMax"/>
        </c:scaling>
        <c:delete val="0"/>
        <c:axPos val="l"/>
        <c:majorGridlines/>
        <c:numFmt formatCode="General" sourceLinked="1"/>
        <c:majorTickMark val="out"/>
        <c:minorTickMark val="none"/>
        <c:tickLblPos val="nextTo"/>
        <c:crossAx val="433244800"/>
        <c:crosses val="autoZero"/>
        <c:crossBetween val="between"/>
      </c:valAx>
    </c:plotArea>
    <c:legend>
      <c:legendPos val="r"/>
      <c:layout>
        <c:manualLayout>
          <c:xMode val="edge"/>
          <c:yMode val="edge"/>
          <c:x val="0.89108813399368347"/>
          <c:y val="0.46119896461779469"/>
          <c:w val="0.1069132403041243"/>
          <c:h val="0.27652157440906072"/>
        </c:manualLayout>
      </c:layout>
      <c:overlay val="0"/>
    </c:legend>
    <c:plotVisOnly val="1"/>
    <c:dispBlanksAs val="gap"/>
    <c:showDLblsOverMax val="0"/>
  </c:chart>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0189382009067049"/>
          <c:y val="0.13071696270524324"/>
          <c:w val="0.80227296587926389"/>
          <c:h val="0.73236452420191656"/>
        </c:manualLayout>
      </c:layout>
      <c:pie3DChart>
        <c:varyColors val="1"/>
        <c:ser>
          <c:idx val="0"/>
          <c:order val="0"/>
          <c:tx>
            <c:strRef>
              <c:f>Sheet1!$B$1</c:f>
              <c:strCache>
                <c:ptCount val="1"/>
                <c:pt idx="0">
                  <c:v>PROCENT</c:v>
                </c:pt>
              </c:strCache>
            </c:strRef>
          </c:tx>
          <c:explosion val="25"/>
          <c:dPt>
            <c:idx val="0"/>
            <c:bubble3D val="0"/>
            <c:extLst xmlns:c16r2="http://schemas.microsoft.com/office/drawing/2015/06/chart">
              <c:ext xmlns:c16="http://schemas.microsoft.com/office/drawing/2014/chart" uri="{C3380CC4-5D6E-409C-BE32-E72D297353CC}">
                <c16:uniqueId val="{00000000-B789-4A8D-9F61-6569360A7684}"/>
              </c:ext>
            </c:extLst>
          </c:dPt>
          <c:dPt>
            <c:idx val="1"/>
            <c:bubble3D val="0"/>
            <c:extLst xmlns:c16r2="http://schemas.microsoft.com/office/drawing/2015/06/chart">
              <c:ext xmlns:c16="http://schemas.microsoft.com/office/drawing/2014/chart" uri="{C3380CC4-5D6E-409C-BE32-E72D297353CC}">
                <c16:uniqueId val="{00000001-B789-4A8D-9F61-6569360A7684}"/>
              </c:ext>
            </c:extLst>
          </c:dPt>
          <c:dPt>
            <c:idx val="2"/>
            <c:bubble3D val="0"/>
            <c:extLst xmlns:c16r2="http://schemas.microsoft.com/office/drawing/2015/06/chart">
              <c:ext xmlns:c16="http://schemas.microsoft.com/office/drawing/2014/chart" uri="{C3380CC4-5D6E-409C-BE32-E72D297353CC}">
                <c16:uniqueId val="{00000002-B789-4A8D-9F61-6569360A7684}"/>
              </c:ext>
            </c:extLst>
          </c:dPt>
          <c:dPt>
            <c:idx val="3"/>
            <c:bubble3D val="0"/>
            <c:extLst xmlns:c16r2="http://schemas.microsoft.com/office/drawing/2015/06/chart">
              <c:ext xmlns:c16="http://schemas.microsoft.com/office/drawing/2014/chart" uri="{C3380CC4-5D6E-409C-BE32-E72D297353CC}">
                <c16:uniqueId val="{00000003-B789-4A8D-9F61-6569360A7684}"/>
              </c:ext>
            </c:extLst>
          </c:dPt>
          <c:dPt>
            <c:idx val="4"/>
            <c:bubble3D val="0"/>
            <c:extLst xmlns:c16r2="http://schemas.microsoft.com/office/drawing/2015/06/chart">
              <c:ext xmlns:c16="http://schemas.microsoft.com/office/drawing/2014/chart" uri="{C3380CC4-5D6E-409C-BE32-E72D297353CC}">
                <c16:uniqueId val="{00000004-B789-4A8D-9F61-6569360A7684}"/>
              </c:ext>
            </c:extLst>
          </c:dPt>
          <c:dPt>
            <c:idx val="5"/>
            <c:bubble3D val="0"/>
            <c:extLst xmlns:c16r2="http://schemas.microsoft.com/office/drawing/2015/06/chart">
              <c:ext xmlns:c16="http://schemas.microsoft.com/office/drawing/2014/chart" uri="{C3380CC4-5D6E-409C-BE32-E72D297353CC}">
                <c16:uniqueId val="{00000005-B789-4A8D-9F61-6569360A7684}"/>
              </c:ext>
            </c:extLst>
          </c:dPt>
          <c:dPt>
            <c:idx val="6"/>
            <c:bubble3D val="0"/>
            <c:extLst xmlns:c16r2="http://schemas.microsoft.com/office/drawing/2015/06/chart">
              <c:ext xmlns:c16="http://schemas.microsoft.com/office/drawing/2014/chart" uri="{C3380CC4-5D6E-409C-BE32-E72D297353CC}">
                <c16:uniqueId val="{00000006-B789-4A8D-9F61-6569360A7684}"/>
              </c:ext>
            </c:extLst>
          </c:dPt>
          <c:dLbls>
            <c:spPr>
              <a:noFill/>
              <a:ln w="17014">
                <a:noFill/>
              </a:ln>
            </c:sp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Sheet1!$A$2:$A$8</c:f>
              <c:strCache>
                <c:ptCount val="7"/>
                <c:pt idx="0">
                  <c:v>Hartie/carton</c:v>
                </c:pt>
                <c:pt idx="1">
                  <c:v>Sticla</c:v>
                </c:pt>
                <c:pt idx="2">
                  <c:v>Metale</c:v>
                </c:pt>
                <c:pt idx="3">
                  <c:v>Materiale Plastice</c:v>
                </c:pt>
                <c:pt idx="4">
                  <c:v>Biodegradabile</c:v>
                </c:pt>
                <c:pt idx="5">
                  <c:v>Lemn</c:v>
                </c:pt>
                <c:pt idx="6">
                  <c:v>Altele</c:v>
                </c:pt>
              </c:strCache>
            </c:strRef>
          </c:cat>
          <c:val>
            <c:numRef>
              <c:f>Sheet1!$B$2:$B$8</c:f>
              <c:numCache>
                <c:formatCode>General</c:formatCode>
                <c:ptCount val="7"/>
                <c:pt idx="0">
                  <c:v>14.17</c:v>
                </c:pt>
                <c:pt idx="1">
                  <c:v>6.45</c:v>
                </c:pt>
                <c:pt idx="2">
                  <c:v>3.68</c:v>
                </c:pt>
                <c:pt idx="3">
                  <c:v>11.75</c:v>
                </c:pt>
                <c:pt idx="4">
                  <c:v>50.9</c:v>
                </c:pt>
                <c:pt idx="5">
                  <c:v>1.43</c:v>
                </c:pt>
                <c:pt idx="6">
                  <c:v>11.62</c:v>
                </c:pt>
              </c:numCache>
            </c:numRef>
          </c:val>
          <c:extLst xmlns:c16r2="http://schemas.microsoft.com/office/drawing/2015/06/chart">
            <c:ext xmlns:c16="http://schemas.microsoft.com/office/drawing/2014/chart" uri="{C3380CC4-5D6E-409C-BE32-E72D297353CC}">
              <c16:uniqueId val="{00000007-B789-4A8D-9F61-6569360A7684}"/>
            </c:ext>
          </c:extLst>
        </c:ser>
        <c:dLbls>
          <c:showLegendKey val="0"/>
          <c:showVal val="0"/>
          <c:showCatName val="0"/>
          <c:showSerName val="0"/>
          <c:showPercent val="0"/>
          <c:showBubbleSize val="0"/>
          <c:showLeaderLines val="0"/>
        </c:dLbls>
      </c:pie3DChart>
      <c:spPr>
        <a:noFill/>
        <a:ln w="22863">
          <a:noFill/>
        </a:ln>
      </c:spPr>
    </c:plotArea>
    <c:plotVisOnly val="1"/>
    <c:dispBlanksAs val="zero"/>
    <c:showDLblsOverMax val="0"/>
  </c:chart>
  <c:spPr>
    <a:ln>
      <a:noFill/>
    </a:ln>
  </c:sp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Sheet1!$B$1</c:f>
              <c:strCache>
                <c:ptCount val="1"/>
                <c:pt idx="0">
                  <c:v>Gradul de conectare la serviciul de salubritate</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Sheet1!$A$2:$A$6</c:f>
              <c:numCache>
                <c:formatCode>General</c:formatCode>
                <c:ptCount val="5"/>
                <c:pt idx="0">
                  <c:v>2018</c:v>
                </c:pt>
                <c:pt idx="1">
                  <c:v>2019</c:v>
                </c:pt>
                <c:pt idx="2">
                  <c:v>2020</c:v>
                </c:pt>
                <c:pt idx="3">
                  <c:v>2021</c:v>
                </c:pt>
                <c:pt idx="4">
                  <c:v>2022</c:v>
                </c:pt>
              </c:numCache>
            </c:numRef>
          </c:cat>
          <c:val>
            <c:numRef>
              <c:f>Sheet1!$B$2:$B$6</c:f>
              <c:numCache>
                <c:formatCode>General</c:formatCode>
                <c:ptCount val="5"/>
                <c:pt idx="0">
                  <c:v>100</c:v>
                </c:pt>
                <c:pt idx="1">
                  <c:v>100</c:v>
                </c:pt>
                <c:pt idx="2">
                  <c:v>100</c:v>
                </c:pt>
                <c:pt idx="3">
                  <c:v>100</c:v>
                </c:pt>
                <c:pt idx="4">
                  <c:v>100</c:v>
                </c:pt>
              </c:numCache>
            </c:numRef>
          </c:val>
          <c:smooth val="0"/>
          <c:extLst xmlns:c16r2="http://schemas.microsoft.com/office/drawing/2015/06/chart">
            <c:ext xmlns:c16="http://schemas.microsoft.com/office/drawing/2014/chart" uri="{C3380CC4-5D6E-409C-BE32-E72D297353CC}">
              <c16:uniqueId val="{00000000-567A-4F45-BF25-179ABDCBA46A}"/>
            </c:ext>
          </c:extLst>
        </c:ser>
        <c:ser>
          <c:idx val="1"/>
          <c:order val="1"/>
          <c:tx>
            <c:strRef>
              <c:f>Sheet1!$C$1</c:f>
              <c:strCache>
                <c:ptCount val="1"/>
                <c:pt idx="0">
                  <c:v>Mediul urban</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Sheet1!$A$2:$A$6</c:f>
              <c:numCache>
                <c:formatCode>General</c:formatCode>
                <c:ptCount val="5"/>
                <c:pt idx="0">
                  <c:v>2018</c:v>
                </c:pt>
                <c:pt idx="1">
                  <c:v>2019</c:v>
                </c:pt>
                <c:pt idx="2">
                  <c:v>2020</c:v>
                </c:pt>
                <c:pt idx="3">
                  <c:v>2021</c:v>
                </c:pt>
                <c:pt idx="4">
                  <c:v>2022</c:v>
                </c:pt>
              </c:numCache>
            </c:numRef>
          </c:cat>
          <c:val>
            <c:numRef>
              <c:f>Sheet1!$C$2:$C$6</c:f>
              <c:numCache>
                <c:formatCode>General</c:formatCode>
                <c:ptCount val="5"/>
                <c:pt idx="0">
                  <c:v>100</c:v>
                </c:pt>
                <c:pt idx="1">
                  <c:v>100</c:v>
                </c:pt>
                <c:pt idx="2">
                  <c:v>100</c:v>
                </c:pt>
                <c:pt idx="3">
                  <c:v>100</c:v>
                </c:pt>
                <c:pt idx="4">
                  <c:v>100</c:v>
                </c:pt>
              </c:numCache>
            </c:numRef>
          </c:val>
          <c:smooth val="0"/>
          <c:extLst xmlns:c16r2="http://schemas.microsoft.com/office/drawing/2015/06/chart">
            <c:ext xmlns:c16="http://schemas.microsoft.com/office/drawing/2014/chart" uri="{C3380CC4-5D6E-409C-BE32-E72D297353CC}">
              <c16:uniqueId val="{00000001-567A-4F45-BF25-179ABDCBA46A}"/>
            </c:ext>
          </c:extLst>
        </c:ser>
        <c:dLbls>
          <c:dLblPos val="t"/>
          <c:showLegendKey val="0"/>
          <c:showVal val="1"/>
          <c:showCatName val="0"/>
          <c:showSerName val="0"/>
          <c:showPercent val="0"/>
          <c:showBubbleSize val="0"/>
        </c:dLbls>
        <c:upDownBars>
          <c:gapWidth val="150"/>
          <c:upBars/>
          <c:downBars/>
        </c:upDownBars>
        <c:marker val="1"/>
        <c:smooth val="0"/>
        <c:axId val="436437376"/>
        <c:axId val="436438912"/>
      </c:lineChart>
      <c:catAx>
        <c:axId val="436437376"/>
        <c:scaling>
          <c:orientation val="minMax"/>
        </c:scaling>
        <c:delete val="0"/>
        <c:axPos val="b"/>
        <c:numFmt formatCode="General" sourceLinked="1"/>
        <c:majorTickMark val="none"/>
        <c:minorTickMark val="none"/>
        <c:tickLblPos val="nextTo"/>
        <c:crossAx val="436438912"/>
        <c:crosses val="autoZero"/>
        <c:auto val="1"/>
        <c:lblAlgn val="ctr"/>
        <c:lblOffset val="100"/>
        <c:noMultiLvlLbl val="0"/>
      </c:catAx>
      <c:valAx>
        <c:axId val="436438912"/>
        <c:scaling>
          <c:orientation val="minMax"/>
        </c:scaling>
        <c:delete val="0"/>
        <c:axPos val="l"/>
        <c:majorGridlines/>
        <c:numFmt formatCode="General" sourceLinked="1"/>
        <c:majorTickMark val="none"/>
        <c:minorTickMark val="none"/>
        <c:tickLblPos val="nextTo"/>
        <c:crossAx val="43643737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99" b="1" i="0" u="none" strike="noStrike" baseline="0">
                <a:solidFill>
                  <a:srgbClr val="000000"/>
                </a:solidFill>
                <a:latin typeface="Arial"/>
                <a:ea typeface="Arial"/>
                <a:cs typeface="Arial"/>
              </a:defRPr>
            </a:pPr>
            <a:r>
              <a:rPr lang="en-US"/>
              <a:t>Gestionarea deseurilor de echipamente electrice</a:t>
            </a:r>
          </a:p>
        </c:rich>
      </c:tx>
      <c:layout>
        <c:manualLayout>
          <c:xMode val="edge"/>
          <c:yMode val="edge"/>
          <c:x val="0.16425992779783449"/>
          <c:y val="1.91256830601093E-2"/>
        </c:manualLayout>
      </c:layout>
      <c:overlay val="0"/>
      <c:spPr>
        <a:noFill/>
        <a:ln w="19029">
          <a:noFill/>
        </a:ln>
      </c:spPr>
    </c:title>
    <c:autoTitleDeleted val="0"/>
    <c:plotArea>
      <c:layout>
        <c:manualLayout>
          <c:layoutTarget val="inner"/>
          <c:xMode val="edge"/>
          <c:yMode val="edge"/>
          <c:x val="0.11260047281323877"/>
          <c:y val="0.18032780476908472"/>
          <c:w val="0.85193853427895982"/>
          <c:h val="0.60905707265315245"/>
        </c:manualLayout>
      </c:layout>
      <c:barChart>
        <c:barDir val="col"/>
        <c:grouping val="clustered"/>
        <c:varyColors val="0"/>
        <c:ser>
          <c:idx val="1"/>
          <c:order val="0"/>
          <c:tx>
            <c:strRef>
              <c:f>Sheet1!$A$2</c:f>
              <c:strCache>
                <c:ptCount val="1"/>
                <c:pt idx="0">
                  <c:v>DEEE colectat</c:v>
                </c:pt>
              </c:strCache>
            </c:strRef>
          </c:tx>
          <c:spPr>
            <a:solidFill>
              <a:srgbClr val="993366"/>
            </a:solidFill>
            <a:ln w="9514">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Sheet1!$C$2:$M$2</c:f>
              <c:numCache>
                <c:formatCode>General</c:formatCode>
                <c:ptCount val="11"/>
                <c:pt idx="0">
                  <c:v>2.29</c:v>
                </c:pt>
                <c:pt idx="1">
                  <c:v>2.57</c:v>
                </c:pt>
                <c:pt idx="2">
                  <c:v>4.0199999999999996</c:v>
                </c:pt>
                <c:pt idx="3">
                  <c:v>1.81</c:v>
                </c:pt>
                <c:pt idx="4">
                  <c:v>1.2</c:v>
                </c:pt>
                <c:pt idx="5">
                  <c:v>1.71</c:v>
                </c:pt>
                <c:pt idx="6">
                  <c:v>1.64</c:v>
                </c:pt>
                <c:pt idx="7">
                  <c:v>2.1</c:v>
                </c:pt>
                <c:pt idx="8">
                  <c:v>1.78</c:v>
                </c:pt>
                <c:pt idx="9">
                  <c:v>1.89</c:v>
                </c:pt>
                <c:pt idx="10">
                  <c:v>1.41</c:v>
                </c:pt>
              </c:numCache>
            </c:numRef>
          </c:val>
          <c:extLst xmlns:c16r2="http://schemas.microsoft.com/office/drawing/2015/06/chart">
            <c:ext xmlns:c16="http://schemas.microsoft.com/office/drawing/2014/chart" uri="{C3380CC4-5D6E-409C-BE32-E72D297353CC}">
              <c16:uniqueId val="{00000000-9644-4CDE-815F-FF6BE12CBE8C}"/>
            </c:ext>
          </c:extLst>
        </c:ser>
        <c:dLbls>
          <c:showLegendKey val="0"/>
          <c:showVal val="0"/>
          <c:showCatName val="0"/>
          <c:showSerName val="0"/>
          <c:showPercent val="0"/>
          <c:showBubbleSize val="0"/>
        </c:dLbls>
        <c:gapWidth val="150"/>
        <c:axId val="432494848"/>
        <c:axId val="432504832"/>
      </c:barChart>
      <c:barChart>
        <c:barDir val="col"/>
        <c:grouping val="clustered"/>
        <c:varyColors val="0"/>
        <c:ser>
          <c:idx val="2"/>
          <c:order val="1"/>
          <c:tx>
            <c:strRef>
              <c:f>Sheet1!$A$3</c:f>
              <c:strCache>
                <c:ptCount val="1"/>
                <c:pt idx="0">
                  <c:v>DEEE tratat</c:v>
                </c:pt>
              </c:strCache>
            </c:strRef>
          </c:tx>
          <c:spPr>
            <a:solidFill>
              <a:srgbClr val="FFFFCC"/>
            </a:solidFill>
            <a:ln w="9514">
              <a:solidFill>
                <a:srgbClr val="000000"/>
              </a:solidFill>
              <a:prstDash val="solid"/>
            </a:ln>
          </c:spPr>
          <c:invertIfNegative val="0"/>
          <c:cat>
            <c:numRef>
              <c:f>Sheet1!$C$1:$M$1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Sheet1!$C$3:$M$3</c:f>
              <c:numCache>
                <c:formatCode>General</c:formatCode>
                <c:ptCount val="11"/>
                <c:pt idx="0">
                  <c:v>2.29</c:v>
                </c:pt>
                <c:pt idx="1">
                  <c:v>2.57</c:v>
                </c:pt>
                <c:pt idx="2">
                  <c:v>4.0199999999999996</c:v>
                </c:pt>
                <c:pt idx="3">
                  <c:v>1.81</c:v>
                </c:pt>
                <c:pt idx="4">
                  <c:v>1.2</c:v>
                </c:pt>
                <c:pt idx="5">
                  <c:v>1.71</c:v>
                </c:pt>
                <c:pt idx="6">
                  <c:v>1.64</c:v>
                </c:pt>
                <c:pt idx="7">
                  <c:v>2.1</c:v>
                </c:pt>
                <c:pt idx="8">
                  <c:v>1.78</c:v>
                </c:pt>
                <c:pt idx="9">
                  <c:v>1.89</c:v>
                </c:pt>
                <c:pt idx="10">
                  <c:v>1.41</c:v>
                </c:pt>
              </c:numCache>
            </c:numRef>
          </c:val>
          <c:extLst xmlns:c16r2="http://schemas.microsoft.com/office/drawing/2015/06/chart">
            <c:ext xmlns:c16="http://schemas.microsoft.com/office/drawing/2014/chart" uri="{C3380CC4-5D6E-409C-BE32-E72D297353CC}">
              <c16:uniqueId val="{00000001-9644-4CDE-815F-FF6BE12CBE8C}"/>
            </c:ext>
          </c:extLst>
        </c:ser>
        <c:dLbls>
          <c:showLegendKey val="0"/>
          <c:showVal val="0"/>
          <c:showCatName val="0"/>
          <c:showSerName val="0"/>
          <c:showPercent val="0"/>
          <c:showBubbleSize val="0"/>
        </c:dLbls>
        <c:gapWidth val="150"/>
        <c:axId val="432506752"/>
        <c:axId val="432508288"/>
      </c:barChart>
      <c:lineChart>
        <c:grouping val="standard"/>
        <c:varyColors val="0"/>
        <c:ser>
          <c:idx val="3"/>
          <c:order val="2"/>
          <c:tx>
            <c:strRef>
              <c:f>Sheet1!$A$4</c:f>
              <c:strCache>
                <c:ptCount val="1"/>
                <c:pt idx="0">
                  <c:v>tinta colectare</c:v>
                </c:pt>
              </c:strCache>
            </c:strRef>
          </c:tx>
          <c:spPr>
            <a:ln w="28542">
              <a:solidFill>
                <a:srgbClr val="FF0000"/>
              </a:solidFill>
              <a:prstDash val="solid"/>
            </a:ln>
          </c:spPr>
          <c:marker>
            <c:symbol val="none"/>
          </c:marker>
          <c:cat>
            <c:numRef>
              <c:f>Sheet1!$C$1:$M$1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Sheet1!$C$4:$M$4</c:f>
              <c:numCache>
                <c:formatCode>General</c:formatCode>
                <c:ptCount val="11"/>
                <c:pt idx="0">
                  <c:v>4</c:v>
                </c:pt>
                <c:pt idx="1">
                  <c:v>4</c:v>
                </c:pt>
                <c:pt idx="2">
                  <c:v>4</c:v>
                </c:pt>
                <c:pt idx="3">
                  <c:v>4</c:v>
                </c:pt>
                <c:pt idx="4">
                  <c:v>4</c:v>
                </c:pt>
                <c:pt idx="5">
                  <c:v>4</c:v>
                </c:pt>
                <c:pt idx="6">
                  <c:v>4</c:v>
                </c:pt>
                <c:pt idx="7">
                  <c:v>4</c:v>
                </c:pt>
                <c:pt idx="8">
                  <c:v>4</c:v>
                </c:pt>
                <c:pt idx="9">
                  <c:v>4</c:v>
                </c:pt>
                <c:pt idx="10">
                  <c:v>4</c:v>
                </c:pt>
              </c:numCache>
            </c:numRef>
          </c:val>
          <c:smooth val="0"/>
          <c:extLst xmlns:c16r2="http://schemas.microsoft.com/office/drawing/2015/06/chart">
            <c:ext xmlns:c16="http://schemas.microsoft.com/office/drawing/2014/chart" uri="{C3380CC4-5D6E-409C-BE32-E72D297353CC}">
              <c16:uniqueId val="{00000002-9644-4CDE-815F-FF6BE12CBE8C}"/>
            </c:ext>
          </c:extLst>
        </c:ser>
        <c:dLbls>
          <c:showLegendKey val="0"/>
          <c:showVal val="0"/>
          <c:showCatName val="0"/>
          <c:showSerName val="0"/>
          <c:showPercent val="0"/>
          <c:showBubbleSize val="0"/>
        </c:dLbls>
        <c:marker val="1"/>
        <c:smooth val="0"/>
        <c:axId val="432506752"/>
        <c:axId val="432508288"/>
      </c:lineChart>
      <c:catAx>
        <c:axId val="432494848"/>
        <c:scaling>
          <c:orientation val="minMax"/>
        </c:scaling>
        <c:delete val="0"/>
        <c:axPos val="b"/>
        <c:numFmt formatCode="General" sourceLinked="1"/>
        <c:majorTickMark val="cross"/>
        <c:minorTickMark val="none"/>
        <c:tickLblPos val="nextTo"/>
        <c:spPr>
          <a:ln w="2379">
            <a:solidFill>
              <a:srgbClr val="000000"/>
            </a:solidFill>
            <a:prstDash val="solid"/>
          </a:ln>
        </c:spPr>
        <c:txPr>
          <a:bodyPr rot="0" vert="horz"/>
          <a:lstStyle/>
          <a:p>
            <a:pPr>
              <a:defRPr sz="750" b="0" i="0" u="none" strike="noStrike" baseline="0">
                <a:solidFill>
                  <a:srgbClr val="000000"/>
                </a:solidFill>
                <a:latin typeface="Arial"/>
                <a:ea typeface="Arial"/>
                <a:cs typeface="Arial"/>
              </a:defRPr>
            </a:pPr>
            <a:endParaRPr lang="en-US"/>
          </a:p>
        </c:txPr>
        <c:crossAx val="432504832"/>
        <c:crosses val="autoZero"/>
        <c:auto val="0"/>
        <c:lblAlgn val="ctr"/>
        <c:lblOffset val="100"/>
        <c:tickLblSkip val="1"/>
        <c:tickMarkSkip val="1"/>
        <c:noMultiLvlLbl val="0"/>
      </c:catAx>
      <c:valAx>
        <c:axId val="432504832"/>
        <c:scaling>
          <c:orientation val="minMax"/>
        </c:scaling>
        <c:delete val="0"/>
        <c:axPos val="l"/>
        <c:title>
          <c:tx>
            <c:rich>
              <a:bodyPr/>
              <a:lstStyle/>
              <a:p>
                <a:pPr>
                  <a:defRPr sz="745" b="1" i="0" u="none" strike="noStrike" baseline="0">
                    <a:solidFill>
                      <a:srgbClr val="000000"/>
                    </a:solidFill>
                    <a:latin typeface="Arial"/>
                    <a:ea typeface="Arial"/>
                    <a:cs typeface="Arial"/>
                  </a:defRPr>
                </a:pPr>
                <a:r>
                  <a:rPr lang="en-US"/>
                  <a:t>kg/loc/an</a:t>
                </a:r>
              </a:p>
            </c:rich>
          </c:tx>
          <c:layout>
            <c:manualLayout>
              <c:xMode val="edge"/>
              <c:yMode val="edge"/>
              <c:x val="1.9855595667870124E-2"/>
              <c:y val="0.41256830601092898"/>
            </c:manualLayout>
          </c:layout>
          <c:overlay val="0"/>
          <c:spPr>
            <a:noFill/>
            <a:ln w="19029">
              <a:noFill/>
            </a:ln>
          </c:spPr>
        </c:title>
        <c:numFmt formatCode="General" sourceLinked="1"/>
        <c:majorTickMark val="cross"/>
        <c:minorTickMark val="none"/>
        <c:tickLblPos val="nextTo"/>
        <c:spPr>
          <a:ln w="2379">
            <a:solidFill>
              <a:srgbClr val="000000"/>
            </a:solidFill>
            <a:prstDash val="solid"/>
          </a:ln>
        </c:spPr>
        <c:txPr>
          <a:bodyPr rot="0" vert="horz"/>
          <a:lstStyle/>
          <a:p>
            <a:pPr>
              <a:defRPr sz="750" b="0" i="0" u="none" strike="noStrike" baseline="0">
                <a:solidFill>
                  <a:srgbClr val="000000"/>
                </a:solidFill>
                <a:latin typeface="Arial"/>
                <a:ea typeface="Arial"/>
                <a:cs typeface="Arial"/>
              </a:defRPr>
            </a:pPr>
            <a:endParaRPr lang="en-US"/>
          </a:p>
        </c:txPr>
        <c:crossAx val="432494848"/>
        <c:crosses val="autoZero"/>
        <c:crossBetween val="between"/>
      </c:valAx>
      <c:catAx>
        <c:axId val="432506752"/>
        <c:scaling>
          <c:orientation val="minMax"/>
        </c:scaling>
        <c:delete val="1"/>
        <c:axPos val="b"/>
        <c:numFmt formatCode="General" sourceLinked="1"/>
        <c:majorTickMark val="out"/>
        <c:minorTickMark val="none"/>
        <c:tickLblPos val="none"/>
        <c:crossAx val="432508288"/>
        <c:crosses val="autoZero"/>
        <c:auto val="0"/>
        <c:lblAlgn val="ctr"/>
        <c:lblOffset val="100"/>
        <c:noMultiLvlLbl val="0"/>
      </c:catAx>
      <c:valAx>
        <c:axId val="432508288"/>
        <c:scaling>
          <c:orientation val="minMax"/>
        </c:scaling>
        <c:delete val="1"/>
        <c:axPos val="l"/>
        <c:numFmt formatCode="General" sourceLinked="1"/>
        <c:majorTickMark val="out"/>
        <c:minorTickMark val="none"/>
        <c:tickLblPos val="none"/>
        <c:crossAx val="432506752"/>
        <c:crosses val="autoZero"/>
        <c:crossBetween val="between"/>
      </c:valAx>
      <c:spPr>
        <a:solidFill>
          <a:srgbClr val="C0C0C0"/>
        </a:solidFill>
        <a:ln w="9514">
          <a:solidFill>
            <a:srgbClr val="808080"/>
          </a:solidFill>
          <a:prstDash val="solid"/>
        </a:ln>
      </c:spPr>
    </c:plotArea>
    <c:legend>
      <c:legendPos val="b"/>
      <c:layout>
        <c:manualLayout>
          <c:xMode val="edge"/>
          <c:yMode val="edge"/>
          <c:x val="0.22924187725631795"/>
          <c:y val="0.92622950819672134"/>
          <c:w val="0.55510656912566758"/>
          <c:h val="4.8290891830010625E-2"/>
        </c:manualLayout>
      </c:layout>
      <c:overlay val="0"/>
      <c:spPr>
        <a:solidFill>
          <a:srgbClr val="FFFFFF"/>
        </a:solidFill>
        <a:ln w="2379">
          <a:solidFill>
            <a:srgbClr val="000000"/>
          </a:solidFill>
          <a:prstDash val="solid"/>
        </a:ln>
      </c:spPr>
      <c:txPr>
        <a:bodyPr/>
        <a:lstStyle/>
        <a:p>
          <a:pPr>
            <a:defRPr sz="689" b="0"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750" b="0" i="0" u="none" strike="noStrike" baseline="0">
          <a:solidFill>
            <a:srgbClr val="000000"/>
          </a:solidFill>
          <a:latin typeface="Arial"/>
          <a:ea typeface="Arial"/>
          <a:cs typeface="Arial"/>
        </a:defRPr>
      </a:pPr>
      <a:endParaRPr lang="en-US"/>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1" i="0" u="none" strike="noStrike" kern="1200" spc="0" baseline="0">
                <a:solidFill>
                  <a:schemeClr val="tx1">
                    <a:lumMod val="65000"/>
                    <a:lumOff val="35000"/>
                  </a:schemeClr>
                </a:solidFill>
                <a:latin typeface="+mn-lt"/>
                <a:ea typeface="+mn-ea"/>
                <a:cs typeface="+mn-cs"/>
              </a:defRPr>
            </a:pPr>
            <a:r>
              <a:rPr lang="en-US" sz="1099" b="1">
                <a:solidFill>
                  <a:sysClr val="windowText" lastClr="000000"/>
                </a:solidFill>
                <a:latin typeface="Arial" panose="020B0604020202020204" pitchFamily="34" charset="0"/>
                <a:cs typeface="Arial" panose="020B0604020202020204" pitchFamily="34" charset="0"/>
              </a:rPr>
              <a:t>AMBALAJE INTRODUSE PE PIATA NATIONALA</a:t>
            </a:r>
          </a:p>
          <a:p>
            <a:pPr>
              <a:defRPr sz="1398" b="1" i="0" u="none" strike="noStrike" kern="1200" spc="0" baseline="0">
                <a:solidFill>
                  <a:schemeClr val="tx1">
                    <a:lumMod val="65000"/>
                    <a:lumOff val="35000"/>
                  </a:schemeClr>
                </a:solidFill>
                <a:latin typeface="+mn-lt"/>
                <a:ea typeface="+mn-ea"/>
                <a:cs typeface="+mn-cs"/>
              </a:defRPr>
            </a:pPr>
            <a:r>
              <a:rPr lang="en-US" sz="1099" b="1">
                <a:solidFill>
                  <a:sysClr val="windowText" lastClr="000000"/>
                </a:solidFill>
                <a:latin typeface="Arial" panose="020B0604020202020204" pitchFamily="34" charset="0"/>
                <a:cs typeface="Arial" panose="020B0604020202020204" pitchFamily="34" charset="0"/>
              </a:rPr>
              <a:t>2016 - 2020</a:t>
            </a:r>
          </a:p>
        </c:rich>
      </c:tx>
      <c:overlay val="0"/>
      <c:spPr>
        <a:solidFill>
          <a:schemeClr val="bg1"/>
        </a:solidFill>
        <a:ln>
          <a:noFill/>
        </a:ln>
        <a:effectLst/>
      </c:spPr>
    </c:title>
    <c:autoTitleDeleted val="0"/>
    <c:plotArea>
      <c:layout/>
      <c:barChart>
        <c:barDir val="col"/>
        <c:grouping val="clustered"/>
        <c:varyColors val="0"/>
        <c:ser>
          <c:idx val="0"/>
          <c:order val="0"/>
          <c:tx>
            <c:strRef>
              <c:f>Sheet1!$B$1:$B$2</c:f>
              <c:strCache>
                <c:ptCount val="2"/>
                <c:pt idx="0">
                  <c:v>Cantitati de ambalaje introduse pe piata nationala</c:v>
                </c:pt>
                <c:pt idx="1">
                  <c:v>mii tone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Sheet1!$A$3:$A$7</c:f>
              <c:numCache>
                <c:formatCode>General</c:formatCode>
                <c:ptCount val="5"/>
                <c:pt idx="0">
                  <c:v>2016</c:v>
                </c:pt>
                <c:pt idx="1">
                  <c:v>2017</c:v>
                </c:pt>
                <c:pt idx="2">
                  <c:v>2018</c:v>
                </c:pt>
                <c:pt idx="3">
                  <c:v>2019</c:v>
                </c:pt>
                <c:pt idx="4">
                  <c:v>2020</c:v>
                </c:pt>
              </c:numCache>
            </c:numRef>
          </c:cat>
          <c:val>
            <c:numRef>
              <c:f>Sheet1!$B$3:$B$7</c:f>
              <c:numCache>
                <c:formatCode>0.000</c:formatCode>
                <c:ptCount val="5"/>
                <c:pt idx="0" formatCode="General">
                  <c:v>1350.1679999999999</c:v>
                </c:pt>
                <c:pt idx="1">
                  <c:v>1408.81</c:v>
                </c:pt>
                <c:pt idx="2" formatCode="General">
                  <c:v>1567.1079999999999</c:v>
                </c:pt>
                <c:pt idx="3" formatCode="General">
                  <c:v>2010.9960000000001</c:v>
                </c:pt>
                <c:pt idx="4" formatCode="General">
                  <c:v>2242.1729999999998</c:v>
                </c:pt>
              </c:numCache>
            </c:numRef>
          </c:val>
          <c:extLst xmlns:c16r2="http://schemas.microsoft.com/office/drawing/2015/06/chart">
            <c:ext xmlns:c16="http://schemas.microsoft.com/office/drawing/2014/chart" uri="{C3380CC4-5D6E-409C-BE32-E72D297353CC}">
              <c16:uniqueId val="{00000000-6EC1-4DF3-9641-6CBA3322F578}"/>
            </c:ext>
          </c:extLst>
        </c:ser>
        <c:ser>
          <c:idx val="1"/>
          <c:order val="1"/>
          <c:tx>
            <c:strRef>
              <c:f>Sheet1!$C$1:$C$2</c:f>
              <c:strCache>
                <c:ptCount val="2"/>
                <c:pt idx="0">
                  <c:v>Cantitati de ambalaje introduse pe piata nationala</c:v>
                </c:pt>
                <c:pt idx="1">
                  <c:v>kg./loc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Sheet1!$A$3:$A$7</c:f>
              <c:numCache>
                <c:formatCode>General</c:formatCode>
                <c:ptCount val="5"/>
                <c:pt idx="0">
                  <c:v>2016</c:v>
                </c:pt>
                <c:pt idx="1">
                  <c:v>2017</c:v>
                </c:pt>
                <c:pt idx="2">
                  <c:v>2018</c:v>
                </c:pt>
                <c:pt idx="3">
                  <c:v>2019</c:v>
                </c:pt>
                <c:pt idx="4">
                  <c:v>2020</c:v>
                </c:pt>
              </c:numCache>
            </c:numRef>
          </c:cat>
          <c:val>
            <c:numRef>
              <c:f>Sheet1!$C$3:$C$7</c:f>
              <c:numCache>
                <c:formatCode>0.00</c:formatCode>
                <c:ptCount val="5"/>
                <c:pt idx="0">
                  <c:v>68.33</c:v>
                </c:pt>
                <c:pt idx="1">
                  <c:v>71.72</c:v>
                </c:pt>
                <c:pt idx="2">
                  <c:v>80.239999999999995</c:v>
                </c:pt>
                <c:pt idx="3">
                  <c:v>103.79</c:v>
                </c:pt>
                <c:pt idx="4">
                  <c:v>115.33</c:v>
                </c:pt>
              </c:numCache>
            </c:numRef>
          </c:val>
          <c:extLst xmlns:c16r2="http://schemas.microsoft.com/office/drawing/2015/06/chart">
            <c:ext xmlns:c16="http://schemas.microsoft.com/office/drawing/2014/chart" uri="{C3380CC4-5D6E-409C-BE32-E72D297353CC}">
              <c16:uniqueId val="{00000001-6EC1-4DF3-9641-6CBA3322F578}"/>
            </c:ext>
          </c:extLst>
        </c:ser>
        <c:dLbls>
          <c:showLegendKey val="0"/>
          <c:showVal val="0"/>
          <c:showCatName val="0"/>
          <c:showSerName val="0"/>
          <c:showPercent val="0"/>
          <c:showBubbleSize val="0"/>
        </c:dLbls>
        <c:gapWidth val="219"/>
        <c:overlap val="-27"/>
        <c:axId val="433112960"/>
        <c:axId val="433114496"/>
      </c:barChart>
      <c:catAx>
        <c:axId val="433112960"/>
        <c:scaling>
          <c:orientation val="minMax"/>
        </c:scaling>
        <c:delete val="0"/>
        <c:axPos val="b"/>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433114496"/>
        <c:crosses val="autoZero"/>
        <c:auto val="1"/>
        <c:lblAlgn val="ctr"/>
        <c:lblOffset val="100"/>
        <c:noMultiLvlLbl val="0"/>
      </c:catAx>
      <c:valAx>
        <c:axId val="433114496"/>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433112960"/>
        <c:crosses val="autoZero"/>
        <c:crossBetween val="between"/>
      </c:valAx>
      <c:spPr>
        <a:noFill/>
        <a:ln w="25375">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a:solidFill>
        <a:sysClr val="windowText" lastClr="000000"/>
      </a:solidFill>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Ni - Concentraţii medii anuale 202</a:t>
            </a:r>
            <a:r>
              <a:rPr lang="ro-RO"/>
              <a:t>3 </a:t>
            </a:r>
            <a:r>
              <a:rPr lang="en-US"/>
              <a:t> înregistrate la staţiile de monitorizare</a:t>
            </a:r>
          </a:p>
        </c:rich>
      </c:tx>
      <c:layout>
        <c:manualLayout>
          <c:xMode val="edge"/>
          <c:yMode val="edge"/>
          <c:x val="0.10516604418065879"/>
          <c:y val="1.955294968233829E-2"/>
        </c:manualLayout>
      </c:layout>
      <c:overlay val="0"/>
      <c:spPr>
        <a:noFill/>
        <a:ln w="24689">
          <a:noFill/>
        </a:ln>
      </c:spPr>
    </c:title>
    <c:autoTitleDeleted val="0"/>
    <c:plotArea>
      <c:layout>
        <c:manualLayout>
          <c:layoutTarget val="inner"/>
          <c:xMode val="edge"/>
          <c:yMode val="edge"/>
          <c:x val="0.11254612546125585"/>
          <c:y val="0.24022346368715194"/>
          <c:w val="0.87084870848709184"/>
          <c:h val="0.50279329608939161"/>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12344">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1.44</c:v>
                </c:pt>
                <c:pt idx="6">
                  <c:v>1.35</c:v>
                </c:pt>
              </c:numCache>
            </c:numRef>
          </c:val>
          <c:extLst xmlns:c16r2="http://schemas.microsoft.com/office/drawing/2015/06/chart">
            <c:ext xmlns:c16="http://schemas.microsoft.com/office/drawing/2014/chart" uri="{C3380CC4-5D6E-409C-BE32-E72D297353CC}">
              <c16:uniqueId val="{00000000-5E7E-4F14-B60B-0444748475D8}"/>
            </c:ext>
          </c:extLst>
        </c:ser>
        <c:ser>
          <c:idx val="2"/>
          <c:order val="2"/>
          <c:tx>
            <c:strRef>
              <c:f>Sheet1!$A$4</c:f>
              <c:strCache>
                <c:ptCount val="1"/>
              </c:strCache>
            </c:strRef>
          </c:tx>
          <c:spPr>
            <a:solidFill>
              <a:srgbClr val="FFFFCC"/>
            </a:solidFill>
            <a:ln w="12344">
              <a:solidFill>
                <a:srgbClr val="000000"/>
              </a:solidFill>
              <a:prstDash val="solid"/>
            </a:ln>
          </c:spPr>
          <c:invertIfNegative val="0"/>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Sheet1!$B$4:$L$4</c:f>
              <c:numCache>
                <c:formatCode>General</c:formatCode>
                <c:ptCount val="11"/>
              </c:numCache>
            </c:numRef>
          </c:val>
          <c:extLst xmlns:c16r2="http://schemas.microsoft.com/office/drawing/2015/06/chart">
            <c:ext xmlns:c16="http://schemas.microsoft.com/office/drawing/2014/chart" uri="{C3380CC4-5D6E-409C-BE32-E72D297353CC}">
              <c16:uniqueId val="{00000001-5E7E-4F14-B60B-0444748475D8}"/>
            </c:ext>
          </c:extLst>
        </c:ser>
        <c:dLbls>
          <c:showLegendKey val="0"/>
          <c:showVal val="0"/>
          <c:showCatName val="0"/>
          <c:showSerName val="0"/>
          <c:showPercent val="0"/>
          <c:showBubbleSize val="0"/>
        </c:dLbls>
        <c:gapWidth val="150"/>
        <c:axId val="352284032"/>
        <c:axId val="431375872"/>
      </c:barChart>
      <c:lineChart>
        <c:grouping val="standard"/>
        <c:varyColors val="0"/>
        <c:ser>
          <c:idx val="0"/>
          <c:order val="1"/>
          <c:tx>
            <c:strRef>
              <c:f>Sheet1!$A$3</c:f>
              <c:strCache>
                <c:ptCount val="1"/>
                <c:pt idx="0">
                  <c:v>Valaorea limită</c:v>
                </c:pt>
              </c:strCache>
            </c:strRef>
          </c:tx>
          <c:spPr>
            <a:ln w="27775">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20</c:v>
                </c:pt>
                <c:pt idx="1">
                  <c:v>20</c:v>
                </c:pt>
                <c:pt idx="2">
                  <c:v>20</c:v>
                </c:pt>
                <c:pt idx="3">
                  <c:v>20</c:v>
                </c:pt>
                <c:pt idx="4">
                  <c:v>20</c:v>
                </c:pt>
                <c:pt idx="5">
                  <c:v>20</c:v>
                </c:pt>
                <c:pt idx="6">
                  <c:v>20</c:v>
                </c:pt>
                <c:pt idx="7">
                  <c:v>20</c:v>
                </c:pt>
                <c:pt idx="8">
                  <c:v>20</c:v>
                </c:pt>
                <c:pt idx="9">
                  <c:v>20</c:v>
                </c:pt>
                <c:pt idx="10">
                  <c:v>20</c:v>
                </c:pt>
              </c:numCache>
            </c:numRef>
          </c:val>
          <c:smooth val="0"/>
          <c:extLst xmlns:c16r2="http://schemas.microsoft.com/office/drawing/2015/06/chart">
            <c:ext xmlns:c16="http://schemas.microsoft.com/office/drawing/2014/chart" uri="{C3380CC4-5D6E-409C-BE32-E72D297353CC}">
              <c16:uniqueId val="{00000002-5E7E-4F14-B60B-0444748475D8}"/>
            </c:ext>
          </c:extLst>
        </c:ser>
        <c:dLbls>
          <c:showLegendKey val="0"/>
          <c:showVal val="0"/>
          <c:showCatName val="0"/>
          <c:showSerName val="0"/>
          <c:showPercent val="0"/>
          <c:showBubbleSize val="0"/>
        </c:dLbls>
        <c:marker val="1"/>
        <c:smooth val="0"/>
        <c:axId val="431377792"/>
        <c:axId val="351868032"/>
      </c:lineChart>
      <c:catAx>
        <c:axId val="352284032"/>
        <c:scaling>
          <c:orientation val="minMax"/>
        </c:scaling>
        <c:delete val="0"/>
        <c:axPos val="b"/>
        <c:title>
          <c:tx>
            <c:rich>
              <a:bodyPr/>
              <a:lstStyle/>
              <a:p>
                <a:pPr>
                  <a:defRPr/>
                </a:pPr>
                <a:r>
                  <a:rPr lang="en-US"/>
                  <a:t>staţii monitorizare</a:t>
                </a:r>
              </a:p>
            </c:rich>
          </c:tx>
          <c:layout>
            <c:manualLayout>
              <c:xMode val="edge"/>
              <c:yMode val="edge"/>
              <c:x val="0.4372693318945024"/>
              <c:y val="0.82681568343922052"/>
            </c:manualLayout>
          </c:layout>
          <c:overlay val="0"/>
          <c:spPr>
            <a:noFill/>
            <a:ln w="24689">
              <a:noFill/>
            </a:ln>
          </c:spPr>
        </c:title>
        <c:numFmt formatCode="General" sourceLinked="1"/>
        <c:majorTickMark val="cross"/>
        <c:minorTickMark val="none"/>
        <c:tickLblPos val="nextTo"/>
        <c:spPr>
          <a:ln w="3086">
            <a:solidFill>
              <a:srgbClr val="000000"/>
            </a:solidFill>
            <a:prstDash val="solid"/>
          </a:ln>
        </c:spPr>
        <c:txPr>
          <a:bodyPr rot="0" vert="horz"/>
          <a:lstStyle/>
          <a:p>
            <a:pPr>
              <a:defRPr/>
            </a:pPr>
            <a:endParaRPr lang="en-US"/>
          </a:p>
        </c:txPr>
        <c:crossAx val="431375872"/>
        <c:crosses val="autoZero"/>
        <c:auto val="0"/>
        <c:lblAlgn val="ctr"/>
        <c:lblOffset val="100"/>
        <c:tickLblSkip val="1"/>
        <c:tickMarkSkip val="1"/>
        <c:noMultiLvlLbl val="0"/>
      </c:catAx>
      <c:valAx>
        <c:axId val="431375872"/>
        <c:scaling>
          <c:orientation val="minMax"/>
        </c:scaling>
        <c:delete val="0"/>
        <c:axPos val="l"/>
        <c:title>
          <c:tx>
            <c:rich>
              <a:bodyPr/>
              <a:lstStyle/>
              <a:p>
                <a:pPr>
                  <a:defRPr/>
                </a:pPr>
                <a:r>
                  <a:rPr lang="en-US"/>
                  <a:t>concentraţie ng/m3</a:t>
                </a:r>
              </a:p>
            </c:rich>
          </c:tx>
          <c:layout>
            <c:manualLayout>
              <c:xMode val="edge"/>
              <c:yMode val="edge"/>
              <c:x val="2.0295107753839029E-2"/>
              <c:y val="0.31284924889114762"/>
            </c:manualLayout>
          </c:layout>
          <c:overlay val="0"/>
          <c:spPr>
            <a:noFill/>
            <a:ln w="24689">
              <a:noFill/>
            </a:ln>
          </c:spPr>
        </c:title>
        <c:numFmt formatCode="General" sourceLinked="1"/>
        <c:majorTickMark val="cross"/>
        <c:minorTickMark val="none"/>
        <c:tickLblPos val="nextTo"/>
        <c:spPr>
          <a:ln w="3086">
            <a:solidFill>
              <a:srgbClr val="000000"/>
            </a:solidFill>
            <a:prstDash val="solid"/>
          </a:ln>
        </c:spPr>
        <c:txPr>
          <a:bodyPr rot="0" vert="horz"/>
          <a:lstStyle/>
          <a:p>
            <a:pPr>
              <a:defRPr/>
            </a:pPr>
            <a:endParaRPr lang="en-US"/>
          </a:p>
        </c:txPr>
        <c:crossAx val="352284032"/>
        <c:crosses val="autoZero"/>
        <c:crossBetween val="between"/>
      </c:valAx>
      <c:catAx>
        <c:axId val="431377792"/>
        <c:scaling>
          <c:orientation val="minMax"/>
        </c:scaling>
        <c:delete val="1"/>
        <c:axPos val="b"/>
        <c:numFmt formatCode="General" sourceLinked="1"/>
        <c:majorTickMark val="out"/>
        <c:minorTickMark val="none"/>
        <c:tickLblPos val="nextTo"/>
        <c:crossAx val="351868032"/>
        <c:crosses val="autoZero"/>
        <c:auto val="0"/>
        <c:lblAlgn val="ctr"/>
        <c:lblOffset val="100"/>
        <c:noMultiLvlLbl val="0"/>
      </c:catAx>
      <c:valAx>
        <c:axId val="351868032"/>
        <c:scaling>
          <c:orientation val="minMax"/>
        </c:scaling>
        <c:delete val="1"/>
        <c:axPos val="l"/>
        <c:numFmt formatCode="General" sourceLinked="1"/>
        <c:majorTickMark val="out"/>
        <c:minorTickMark val="none"/>
        <c:tickLblPos val="nextTo"/>
        <c:crossAx val="431377792"/>
        <c:crosses val="autoZero"/>
        <c:crossBetween val="between"/>
      </c:valAx>
      <c:spPr>
        <a:solidFill>
          <a:srgbClr val="C0C0C0"/>
        </a:solidFill>
        <a:ln w="12344">
          <a:solidFill>
            <a:srgbClr val="808080"/>
          </a:solidFill>
          <a:prstDash val="solid"/>
        </a:ln>
      </c:spPr>
    </c:plotArea>
    <c:legend>
      <c:legendPos val="b"/>
      <c:layout>
        <c:manualLayout>
          <c:xMode val="edge"/>
          <c:yMode val="edge"/>
          <c:x val="0.22878221982417074"/>
          <c:y val="0.92458101870055065"/>
          <c:w val="0.63468621766592448"/>
          <c:h val="6.7039061885641793E-2"/>
        </c:manualLayout>
      </c:layout>
      <c:overlay val="0"/>
      <c:spPr>
        <a:solidFill>
          <a:srgbClr val="FFFFFF"/>
        </a:solidFill>
        <a:ln w="3086">
          <a:solidFill>
            <a:srgbClr val="000000"/>
          </a:solidFill>
          <a:prstDash val="solid"/>
        </a:ln>
      </c:spPr>
    </c:legend>
    <c:plotVisOnly val="1"/>
    <c:dispBlanksAs val="gap"/>
    <c:showDLblsOverMax val="0"/>
  </c:chart>
  <c:spPr>
    <a:noFill/>
    <a:ln>
      <a:noFill/>
    </a:ln>
  </c:spPr>
  <c:txPr>
    <a:bodyPr/>
    <a:lstStyle/>
    <a:p>
      <a:pPr>
        <a:defRPr sz="972"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US" sz="1100">
                <a:solidFill>
                  <a:sysClr val="windowText" lastClr="000000"/>
                </a:solidFill>
                <a:latin typeface="Arial" panose="020B0604020202020204" pitchFamily="34" charset="0"/>
                <a:cs typeface="Arial" panose="020B0604020202020204" pitchFamily="34" charset="0"/>
              </a:rPr>
              <a:t>EVOLUTIA</a:t>
            </a:r>
            <a:r>
              <a:rPr lang="en-US" sz="1100" baseline="0">
                <a:solidFill>
                  <a:sysClr val="windowText" lastClr="000000"/>
                </a:solidFill>
                <a:latin typeface="Arial" panose="020B0604020202020204" pitchFamily="34" charset="0"/>
                <a:cs typeface="Arial" panose="020B0604020202020204" pitchFamily="34" charset="0"/>
              </a:rPr>
              <a:t> COLECTARII DESEURILOR DE AMBALAJE</a:t>
            </a:r>
          </a:p>
          <a:p>
            <a:pPr>
              <a:defRPr sz="1100"/>
            </a:pPr>
            <a:r>
              <a:rPr lang="en-US" sz="1100" baseline="0">
                <a:solidFill>
                  <a:sysClr val="windowText" lastClr="000000"/>
                </a:solidFill>
                <a:latin typeface="Arial" panose="020B0604020202020204" pitchFamily="34" charset="0"/>
                <a:cs typeface="Arial" panose="020B0604020202020204" pitchFamily="34" charset="0"/>
              </a:rPr>
              <a:t>IN MUNICIPIUL BUCURESTI</a:t>
            </a:r>
          </a:p>
          <a:p>
            <a:pPr>
              <a:defRPr sz="1100"/>
            </a:pPr>
            <a:r>
              <a:rPr lang="en-US" sz="1100" baseline="0">
                <a:solidFill>
                  <a:sysClr val="windowText" lastClr="000000"/>
                </a:solidFill>
                <a:latin typeface="Arial" panose="020B0604020202020204" pitchFamily="34" charset="0"/>
                <a:cs typeface="Arial" panose="020B0604020202020204" pitchFamily="34" charset="0"/>
              </a:rPr>
              <a:t>PENTRU PERIOADA 2018 - 2022</a:t>
            </a:r>
            <a:endParaRPr lang="en-US" sz="11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9048291459592989"/>
          <c:y val="2.8673720472440947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2.8762198253723687E-2"/>
          <c:y val="0.37706239162264343"/>
          <c:w val="0.95480225988700551"/>
          <c:h val="0.53707075818607564"/>
        </c:manualLayout>
      </c:layout>
      <c:bar3DChart>
        <c:barDir val="col"/>
        <c:grouping val="clustered"/>
        <c:varyColors val="0"/>
        <c:ser>
          <c:idx val="0"/>
          <c:order val="0"/>
          <c:tx>
            <c:strRef>
              <c:f>Sheet1!$B$1</c:f>
              <c:strCache>
                <c:ptCount val="1"/>
                <c:pt idx="0">
                  <c:v>Cantitatea totala de deseuri de ambalaje colectate (tone)</c:v>
                </c:pt>
              </c:strCache>
            </c:strRef>
          </c:tx>
          <c:invertIfNegative val="0"/>
          <c:dLbls>
            <c:spPr>
              <a:noFill/>
              <a:ln w="25398">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Sheet1!$A$2:$A$6</c:f>
              <c:numCache>
                <c:formatCode>General</c:formatCode>
                <c:ptCount val="5"/>
                <c:pt idx="0">
                  <c:v>2018</c:v>
                </c:pt>
                <c:pt idx="1">
                  <c:v>2019</c:v>
                </c:pt>
                <c:pt idx="2">
                  <c:v>2020</c:v>
                </c:pt>
                <c:pt idx="3">
                  <c:v>2021</c:v>
                </c:pt>
                <c:pt idx="4">
                  <c:v>2022</c:v>
                </c:pt>
              </c:numCache>
            </c:numRef>
          </c:cat>
          <c:val>
            <c:numRef>
              <c:f>Sheet1!$B$2:$B$6</c:f>
              <c:numCache>
                <c:formatCode>0.00</c:formatCode>
                <c:ptCount val="5"/>
                <c:pt idx="0">
                  <c:v>65310.78</c:v>
                </c:pt>
                <c:pt idx="1">
                  <c:v>63777.78</c:v>
                </c:pt>
                <c:pt idx="2">
                  <c:v>60281.19</c:v>
                </c:pt>
                <c:pt idx="3">
                  <c:v>48563.57</c:v>
                </c:pt>
                <c:pt idx="4" formatCode="General">
                  <c:v>50420.45</c:v>
                </c:pt>
              </c:numCache>
            </c:numRef>
          </c:val>
          <c:extLst xmlns:c16r2="http://schemas.microsoft.com/office/drawing/2015/06/chart">
            <c:ext xmlns:c16="http://schemas.microsoft.com/office/drawing/2014/chart" uri="{C3380CC4-5D6E-409C-BE32-E72D297353CC}">
              <c16:uniqueId val="{00000000-0D45-4A9C-AAB0-122B291FEB9E}"/>
            </c:ext>
          </c:extLst>
        </c:ser>
        <c:dLbls>
          <c:showLegendKey val="0"/>
          <c:showVal val="0"/>
          <c:showCatName val="0"/>
          <c:showSerName val="0"/>
          <c:showPercent val="0"/>
          <c:showBubbleSize val="0"/>
        </c:dLbls>
        <c:gapWidth val="150"/>
        <c:shape val="box"/>
        <c:axId val="433038080"/>
        <c:axId val="433039616"/>
        <c:axId val="0"/>
      </c:bar3DChart>
      <c:catAx>
        <c:axId val="433038080"/>
        <c:scaling>
          <c:orientation val="minMax"/>
        </c:scaling>
        <c:delete val="0"/>
        <c:axPos val="b"/>
        <c:numFmt formatCode="General" sourceLinked="1"/>
        <c:majorTickMark val="none"/>
        <c:minorTickMark val="none"/>
        <c:tickLblPos val="nextTo"/>
        <c:crossAx val="433039616"/>
        <c:crosses val="autoZero"/>
        <c:auto val="1"/>
        <c:lblAlgn val="ctr"/>
        <c:lblOffset val="100"/>
        <c:noMultiLvlLbl val="0"/>
      </c:catAx>
      <c:valAx>
        <c:axId val="433039616"/>
        <c:scaling>
          <c:orientation val="minMax"/>
        </c:scaling>
        <c:delete val="1"/>
        <c:axPos val="l"/>
        <c:numFmt formatCode="0.00" sourceLinked="1"/>
        <c:majorTickMark val="out"/>
        <c:minorTickMark val="none"/>
        <c:tickLblPos val="nextTo"/>
        <c:crossAx val="433038080"/>
        <c:crosses val="autoZero"/>
        <c:crossBetween val="between"/>
      </c:valAx>
      <c:spPr>
        <a:noFill/>
        <a:ln w="25398">
          <a:noFill/>
        </a:ln>
      </c:spPr>
    </c:plotArea>
    <c:legend>
      <c:legendPos val="t"/>
      <c:overlay val="0"/>
    </c:legend>
    <c:plotVisOnly val="1"/>
    <c:dispBlanksAs val="zero"/>
    <c:showDLblsOverMax val="0"/>
  </c:chart>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1" i="0" u="none" strike="noStrike" kern="1200" spc="0" baseline="0">
                <a:solidFill>
                  <a:schemeClr val="tx1">
                    <a:lumMod val="65000"/>
                    <a:lumOff val="35000"/>
                  </a:schemeClr>
                </a:solidFill>
                <a:latin typeface="+mn-lt"/>
                <a:ea typeface="+mn-ea"/>
                <a:cs typeface="+mn-cs"/>
              </a:defRPr>
            </a:pPr>
            <a:r>
              <a:rPr lang="en-US" sz="1099" b="1">
                <a:solidFill>
                  <a:sysClr val="windowText" lastClr="000000"/>
                </a:solidFill>
                <a:latin typeface="Arial" panose="020B0604020202020204" pitchFamily="34" charset="0"/>
                <a:cs typeface="Arial" panose="020B0604020202020204" pitchFamily="34" charset="0"/>
              </a:rPr>
              <a:t>CANTITATI DE DESEURI DE AMBALAJE RECICLATE/VALORIFICATE, LA NIVEL NATIONAL, LA</a:t>
            </a:r>
            <a:r>
              <a:rPr lang="en-US" sz="1099" b="1" baseline="0">
                <a:solidFill>
                  <a:sysClr val="windowText" lastClr="000000"/>
                </a:solidFill>
                <a:latin typeface="Arial" panose="020B0604020202020204" pitchFamily="34" charset="0"/>
                <a:cs typeface="Arial" panose="020B0604020202020204" pitchFamily="34" charset="0"/>
              </a:rPr>
              <a:t> NIVELUL ANULUI </a:t>
            </a:r>
            <a:r>
              <a:rPr lang="en-US" sz="1099" b="1">
                <a:solidFill>
                  <a:sysClr val="windowText" lastClr="000000"/>
                </a:solidFill>
                <a:latin typeface="Arial" panose="020B0604020202020204" pitchFamily="34" charset="0"/>
                <a:cs typeface="Arial" panose="020B0604020202020204" pitchFamily="34" charset="0"/>
              </a:rPr>
              <a:t>2020</a:t>
            </a:r>
          </a:p>
        </c:rich>
      </c:tx>
      <c:overlay val="0"/>
      <c:spPr>
        <a:solidFill>
          <a:schemeClr val="bg1"/>
        </a:solidFill>
        <a:ln>
          <a:noFill/>
        </a:ln>
        <a:effectLst/>
      </c:spPr>
    </c:title>
    <c:autoTitleDeleted val="0"/>
    <c:plotArea>
      <c:layout/>
      <c:barChart>
        <c:barDir val="col"/>
        <c:grouping val="clustered"/>
        <c:varyColors val="0"/>
        <c:ser>
          <c:idx val="0"/>
          <c:order val="0"/>
          <c:tx>
            <c:strRef>
              <c:f>Sheet1!$B$1:$B$2</c:f>
              <c:strCache>
                <c:ptCount val="2"/>
                <c:pt idx="0">
                  <c:v>Cantitati de deseuri de ambalaje 2020, tone</c:v>
                </c:pt>
                <c:pt idx="1">
                  <c:v>Valorificare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Sheet1!$A$3:$A$8</c:f>
              <c:strCache>
                <c:ptCount val="6"/>
                <c:pt idx="0">
                  <c:v>Sticla</c:v>
                </c:pt>
                <c:pt idx="1">
                  <c:v>Plastic</c:v>
                </c:pt>
                <c:pt idx="2">
                  <c:v>Hartie/Carton</c:v>
                </c:pt>
                <c:pt idx="3">
                  <c:v>Metal</c:v>
                </c:pt>
                <c:pt idx="4">
                  <c:v>Lemn</c:v>
                </c:pt>
                <c:pt idx="5">
                  <c:v>Altele</c:v>
                </c:pt>
              </c:strCache>
            </c:strRef>
          </c:cat>
          <c:val>
            <c:numRef>
              <c:f>Sheet1!$B$3:$B$8</c:f>
              <c:numCache>
                <c:formatCode>General</c:formatCode>
                <c:ptCount val="6"/>
                <c:pt idx="0">
                  <c:v>174226</c:v>
                </c:pt>
                <c:pt idx="1">
                  <c:v>177635</c:v>
                </c:pt>
                <c:pt idx="2">
                  <c:v>441789</c:v>
                </c:pt>
                <c:pt idx="3">
                  <c:v>48849</c:v>
                </c:pt>
                <c:pt idx="4">
                  <c:v>110011</c:v>
                </c:pt>
                <c:pt idx="5">
                  <c:v>202</c:v>
                </c:pt>
              </c:numCache>
            </c:numRef>
          </c:val>
          <c:extLst xmlns:c16r2="http://schemas.microsoft.com/office/drawing/2015/06/chart">
            <c:ext xmlns:c16="http://schemas.microsoft.com/office/drawing/2014/chart" uri="{C3380CC4-5D6E-409C-BE32-E72D297353CC}">
              <c16:uniqueId val="{00000000-3C0F-4D3D-9221-CF12F6490E19}"/>
            </c:ext>
          </c:extLst>
        </c:ser>
        <c:ser>
          <c:idx val="1"/>
          <c:order val="1"/>
          <c:tx>
            <c:strRef>
              <c:f>Sheet1!$C$1:$C$2</c:f>
              <c:strCache>
                <c:ptCount val="2"/>
                <c:pt idx="0">
                  <c:v>Cantitati de deseuri de ambalaje 2020, tone</c:v>
                </c:pt>
                <c:pt idx="1">
                  <c:v>Reciclare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Sheet1!$A$3:$A$8</c:f>
              <c:strCache>
                <c:ptCount val="6"/>
                <c:pt idx="0">
                  <c:v>Sticla</c:v>
                </c:pt>
                <c:pt idx="1">
                  <c:v>Plastic</c:v>
                </c:pt>
                <c:pt idx="2">
                  <c:v>Hartie/Carton</c:v>
                </c:pt>
                <c:pt idx="3">
                  <c:v>Metal</c:v>
                </c:pt>
                <c:pt idx="4">
                  <c:v>Lemn</c:v>
                </c:pt>
                <c:pt idx="5">
                  <c:v>Altele</c:v>
                </c:pt>
              </c:strCache>
            </c:strRef>
          </c:cat>
          <c:val>
            <c:numRef>
              <c:f>Sheet1!$C$3:$C$8</c:f>
              <c:numCache>
                <c:formatCode>General</c:formatCode>
                <c:ptCount val="6"/>
                <c:pt idx="0">
                  <c:v>174226</c:v>
                </c:pt>
                <c:pt idx="1">
                  <c:v>144437</c:v>
                </c:pt>
                <c:pt idx="2">
                  <c:v>431324</c:v>
                </c:pt>
                <c:pt idx="3">
                  <c:v>48849</c:v>
                </c:pt>
                <c:pt idx="4">
                  <c:v>95119</c:v>
                </c:pt>
                <c:pt idx="5">
                  <c:v>0</c:v>
                </c:pt>
              </c:numCache>
            </c:numRef>
          </c:val>
          <c:extLst xmlns:c16r2="http://schemas.microsoft.com/office/drawing/2015/06/chart">
            <c:ext xmlns:c16="http://schemas.microsoft.com/office/drawing/2014/chart" uri="{C3380CC4-5D6E-409C-BE32-E72D297353CC}">
              <c16:uniqueId val="{00000001-3C0F-4D3D-9221-CF12F6490E19}"/>
            </c:ext>
          </c:extLst>
        </c:ser>
        <c:dLbls>
          <c:showLegendKey val="0"/>
          <c:showVal val="0"/>
          <c:showCatName val="0"/>
          <c:showSerName val="0"/>
          <c:showPercent val="0"/>
          <c:showBubbleSize val="0"/>
        </c:dLbls>
        <c:gapWidth val="219"/>
        <c:overlap val="-27"/>
        <c:axId val="436581120"/>
        <c:axId val="436582656"/>
      </c:barChart>
      <c:catAx>
        <c:axId val="436581120"/>
        <c:scaling>
          <c:orientation val="minMax"/>
        </c:scaling>
        <c:delete val="0"/>
        <c:axPos val="b"/>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436582656"/>
        <c:crosses val="autoZero"/>
        <c:auto val="1"/>
        <c:lblAlgn val="ctr"/>
        <c:lblOffset val="100"/>
        <c:noMultiLvlLbl val="0"/>
      </c:catAx>
      <c:valAx>
        <c:axId val="436582656"/>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436581120"/>
        <c:crosses val="autoZero"/>
        <c:crossBetween val="between"/>
      </c:valAx>
      <c:spPr>
        <a:noFill/>
        <a:ln w="25375">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16" cap="flat" cmpd="sng" algn="ctr">
      <a:solidFill>
        <a:schemeClr val="tx1"/>
      </a:solidFill>
      <a:round/>
    </a:ln>
    <a:effectLst/>
  </c:spPr>
  <c:txPr>
    <a:bodyPr/>
    <a:lstStyle/>
    <a:p>
      <a:pPr>
        <a:defRPr/>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51850136380012"/>
          <c:y val="5.4224760366492653E-2"/>
          <c:w val="0.67791961298955272"/>
          <c:h val="0.83807485602761189"/>
        </c:manualLayout>
      </c:layout>
      <c:barChart>
        <c:barDir val="col"/>
        <c:grouping val="clustered"/>
        <c:varyColors val="0"/>
        <c:ser>
          <c:idx val="0"/>
          <c:order val="0"/>
          <c:tx>
            <c:strRef>
              <c:f>'VSU Diana'!$A$2</c:f>
              <c:strCache>
                <c:ptCount val="1"/>
                <c:pt idx="0">
                  <c:v>Numar VSU COLECTAT</c:v>
                </c:pt>
              </c:strCache>
            </c:strRef>
          </c:tx>
          <c:invertIfNegative val="0"/>
          <c:cat>
            <c:numRef>
              <c:f>'VSU Diana'!$C$1:$H$1</c:f>
              <c:numCache>
                <c:formatCode>General</c:formatCode>
                <c:ptCount val="6"/>
                <c:pt idx="0">
                  <c:v>2018</c:v>
                </c:pt>
                <c:pt idx="1">
                  <c:v>2019</c:v>
                </c:pt>
                <c:pt idx="2">
                  <c:v>2020</c:v>
                </c:pt>
                <c:pt idx="3">
                  <c:v>2021</c:v>
                </c:pt>
                <c:pt idx="4">
                  <c:v>2022</c:v>
                </c:pt>
                <c:pt idx="5">
                  <c:v>2023</c:v>
                </c:pt>
              </c:numCache>
            </c:numRef>
          </c:cat>
          <c:val>
            <c:numRef>
              <c:f>'VSU Diana'!$C$2:$H$2</c:f>
              <c:numCache>
                <c:formatCode>General</c:formatCode>
                <c:ptCount val="6"/>
                <c:pt idx="0">
                  <c:v>7917</c:v>
                </c:pt>
                <c:pt idx="1">
                  <c:v>9209</c:v>
                </c:pt>
                <c:pt idx="2">
                  <c:v>6249</c:v>
                </c:pt>
                <c:pt idx="3">
                  <c:v>6020</c:v>
                </c:pt>
                <c:pt idx="4">
                  <c:v>6371</c:v>
                </c:pt>
                <c:pt idx="5">
                  <c:v>7577</c:v>
                </c:pt>
              </c:numCache>
            </c:numRef>
          </c:val>
          <c:extLst xmlns:c16r2="http://schemas.microsoft.com/office/drawing/2015/06/chart">
            <c:ext xmlns:c16="http://schemas.microsoft.com/office/drawing/2014/chart" uri="{C3380CC4-5D6E-409C-BE32-E72D297353CC}">
              <c16:uniqueId val="{00000000-8089-40A5-A1FD-CC9683749BE7}"/>
            </c:ext>
          </c:extLst>
        </c:ser>
        <c:ser>
          <c:idx val="1"/>
          <c:order val="1"/>
          <c:tx>
            <c:strRef>
              <c:f>'VSU Diana'!$A$3</c:f>
              <c:strCache>
                <c:ptCount val="1"/>
                <c:pt idx="0">
                  <c:v>Numar VSU TRATAT</c:v>
                </c:pt>
              </c:strCache>
            </c:strRef>
          </c:tx>
          <c:invertIfNegative val="0"/>
          <c:cat>
            <c:numRef>
              <c:f>'VSU Diana'!$C$1:$H$1</c:f>
              <c:numCache>
                <c:formatCode>General</c:formatCode>
                <c:ptCount val="6"/>
                <c:pt idx="0">
                  <c:v>2018</c:v>
                </c:pt>
                <c:pt idx="1">
                  <c:v>2019</c:v>
                </c:pt>
                <c:pt idx="2">
                  <c:v>2020</c:v>
                </c:pt>
                <c:pt idx="3">
                  <c:v>2021</c:v>
                </c:pt>
                <c:pt idx="4">
                  <c:v>2022</c:v>
                </c:pt>
                <c:pt idx="5">
                  <c:v>2023</c:v>
                </c:pt>
              </c:numCache>
            </c:numRef>
          </c:cat>
          <c:val>
            <c:numRef>
              <c:f>'VSU Diana'!$C$3:$H$3</c:f>
              <c:numCache>
                <c:formatCode>General</c:formatCode>
                <c:ptCount val="6"/>
                <c:pt idx="0">
                  <c:v>6595</c:v>
                </c:pt>
                <c:pt idx="1">
                  <c:v>8767</c:v>
                </c:pt>
                <c:pt idx="2">
                  <c:v>6237</c:v>
                </c:pt>
                <c:pt idx="3">
                  <c:v>6101</c:v>
                </c:pt>
                <c:pt idx="4">
                  <c:v>6174</c:v>
                </c:pt>
                <c:pt idx="5">
                  <c:v>7275</c:v>
                </c:pt>
              </c:numCache>
            </c:numRef>
          </c:val>
          <c:extLst xmlns:c16r2="http://schemas.microsoft.com/office/drawing/2015/06/chart">
            <c:ext xmlns:c16="http://schemas.microsoft.com/office/drawing/2014/chart" uri="{C3380CC4-5D6E-409C-BE32-E72D297353CC}">
              <c16:uniqueId val="{00000001-8089-40A5-A1FD-CC9683749BE7}"/>
            </c:ext>
          </c:extLst>
        </c:ser>
        <c:dLbls>
          <c:showLegendKey val="0"/>
          <c:showVal val="0"/>
          <c:showCatName val="0"/>
          <c:showSerName val="0"/>
          <c:showPercent val="0"/>
          <c:showBubbleSize val="0"/>
        </c:dLbls>
        <c:gapWidth val="150"/>
        <c:axId val="433135616"/>
        <c:axId val="433137152"/>
      </c:barChart>
      <c:catAx>
        <c:axId val="433135616"/>
        <c:scaling>
          <c:orientation val="minMax"/>
        </c:scaling>
        <c:delete val="0"/>
        <c:axPos val="b"/>
        <c:numFmt formatCode="General" sourceLinked="1"/>
        <c:majorTickMark val="out"/>
        <c:minorTickMark val="none"/>
        <c:tickLblPos val="nextTo"/>
        <c:crossAx val="433137152"/>
        <c:crosses val="autoZero"/>
        <c:auto val="1"/>
        <c:lblAlgn val="ctr"/>
        <c:lblOffset val="100"/>
        <c:noMultiLvlLbl val="0"/>
      </c:catAx>
      <c:valAx>
        <c:axId val="433137152"/>
        <c:scaling>
          <c:orientation val="minMax"/>
        </c:scaling>
        <c:delete val="0"/>
        <c:axPos val="l"/>
        <c:majorGridlines/>
        <c:numFmt formatCode="General" sourceLinked="1"/>
        <c:majorTickMark val="out"/>
        <c:minorTickMark val="none"/>
        <c:tickLblPos val="nextTo"/>
        <c:crossAx val="43313561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vi-VN"/>
              <a:t>PM10- Număr de depăşiri in anul 20</a:t>
            </a:r>
            <a:r>
              <a:rPr lang="en-US"/>
              <a:t>2</a:t>
            </a:r>
            <a:r>
              <a:rPr lang="ro-RO"/>
              <a:t>3</a:t>
            </a:r>
            <a:endParaRPr lang="vi-VN"/>
          </a:p>
        </c:rich>
      </c:tx>
      <c:layout>
        <c:manualLayout>
          <c:xMode val="edge"/>
          <c:yMode val="edge"/>
          <c:x val="0.2701420534716853"/>
          <c:y val="2.0881651794108776E-2"/>
        </c:manualLayout>
      </c:layout>
      <c:overlay val="0"/>
      <c:spPr>
        <a:noFill/>
        <a:ln w="22029">
          <a:noFill/>
        </a:ln>
      </c:spPr>
    </c:title>
    <c:autoTitleDeleted val="0"/>
    <c:plotArea>
      <c:layout>
        <c:manualLayout>
          <c:layoutTarget val="inner"/>
          <c:xMode val="edge"/>
          <c:yMode val="edge"/>
          <c:x val="5.8451816745655555E-2"/>
          <c:y val="0.15777262180974477"/>
          <c:w val="0.9273301737756714"/>
          <c:h val="0.62877030162413639"/>
        </c:manualLayout>
      </c:layout>
      <c:barChart>
        <c:barDir val="col"/>
        <c:grouping val="clustered"/>
        <c:varyColors val="0"/>
        <c:ser>
          <c:idx val="1"/>
          <c:order val="0"/>
          <c:tx>
            <c:strRef>
              <c:f>Sheet1!$A$2</c:f>
              <c:strCache>
                <c:ptCount val="1"/>
                <c:pt idx="0">
                  <c:v>Numar depasiri</c:v>
                </c:pt>
              </c:strCache>
            </c:strRef>
          </c:tx>
          <c:spPr>
            <a:solidFill>
              <a:srgbClr val="993366"/>
            </a:solidFill>
            <a:ln w="11032">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7</c:v>
                </c:pt>
                <c:pt idx="2">
                  <c:v>20</c:v>
                </c:pt>
                <c:pt idx="4">
                  <c:v>10</c:v>
                </c:pt>
                <c:pt idx="6">
                  <c:v>4</c:v>
                </c:pt>
                <c:pt idx="8">
                  <c:v>15</c:v>
                </c:pt>
              </c:numCache>
            </c:numRef>
          </c:val>
          <c:extLst xmlns:c16r2="http://schemas.microsoft.com/office/drawing/2015/06/chart">
            <c:ext xmlns:c16="http://schemas.microsoft.com/office/drawing/2014/chart" uri="{C3380CC4-5D6E-409C-BE32-E72D297353CC}">
              <c16:uniqueId val="{00000000-9B38-4345-90F1-6A417F2116CC}"/>
            </c:ext>
          </c:extLst>
        </c:ser>
        <c:dLbls>
          <c:showLegendKey val="0"/>
          <c:showVal val="0"/>
          <c:showCatName val="0"/>
          <c:showSerName val="0"/>
          <c:showPercent val="0"/>
          <c:showBubbleSize val="0"/>
        </c:dLbls>
        <c:gapWidth val="150"/>
        <c:axId val="436470528"/>
        <c:axId val="436472448"/>
      </c:barChart>
      <c:lineChart>
        <c:grouping val="standard"/>
        <c:varyColors val="0"/>
        <c:ser>
          <c:idx val="0"/>
          <c:order val="1"/>
          <c:tx>
            <c:strRef>
              <c:f>Sheet1!$A$3</c:f>
              <c:strCache>
                <c:ptCount val="1"/>
                <c:pt idx="0">
                  <c:v>Numar maxim depasiri</c:v>
                </c:pt>
              </c:strCache>
            </c:strRef>
          </c:tx>
          <c:spPr>
            <a:ln w="33094">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35</c:v>
                </c:pt>
                <c:pt idx="1">
                  <c:v>35</c:v>
                </c:pt>
                <c:pt idx="2">
                  <c:v>35</c:v>
                </c:pt>
                <c:pt idx="3">
                  <c:v>35</c:v>
                </c:pt>
                <c:pt idx="4">
                  <c:v>35</c:v>
                </c:pt>
                <c:pt idx="5">
                  <c:v>35</c:v>
                </c:pt>
                <c:pt idx="6">
                  <c:v>35</c:v>
                </c:pt>
                <c:pt idx="7">
                  <c:v>35</c:v>
                </c:pt>
                <c:pt idx="8">
                  <c:v>35</c:v>
                </c:pt>
                <c:pt idx="9">
                  <c:v>35</c:v>
                </c:pt>
                <c:pt idx="10">
                  <c:v>35</c:v>
                </c:pt>
              </c:numCache>
            </c:numRef>
          </c:val>
          <c:smooth val="0"/>
          <c:extLst xmlns:c16r2="http://schemas.microsoft.com/office/drawing/2015/06/chart">
            <c:ext xmlns:c16="http://schemas.microsoft.com/office/drawing/2014/chart" uri="{C3380CC4-5D6E-409C-BE32-E72D297353CC}">
              <c16:uniqueId val="{00000001-9B38-4345-90F1-6A417F2116CC}"/>
            </c:ext>
          </c:extLst>
        </c:ser>
        <c:dLbls>
          <c:showLegendKey val="0"/>
          <c:showVal val="0"/>
          <c:showCatName val="0"/>
          <c:showSerName val="0"/>
          <c:showPercent val="0"/>
          <c:showBubbleSize val="0"/>
        </c:dLbls>
        <c:marker val="1"/>
        <c:smooth val="0"/>
        <c:axId val="436486528"/>
        <c:axId val="436488064"/>
      </c:lineChart>
      <c:catAx>
        <c:axId val="436470528"/>
        <c:scaling>
          <c:orientation val="minMax"/>
        </c:scaling>
        <c:delete val="0"/>
        <c:axPos val="b"/>
        <c:title>
          <c:tx>
            <c:rich>
              <a:bodyPr/>
              <a:lstStyle/>
              <a:p>
                <a:pPr>
                  <a:defRPr/>
                </a:pPr>
                <a:r>
                  <a:rPr lang="en-US"/>
                  <a:t>Statii</a:t>
                </a:r>
              </a:p>
            </c:rich>
          </c:tx>
          <c:layout>
            <c:manualLayout>
              <c:xMode val="edge"/>
              <c:yMode val="edge"/>
              <c:x val="0.49131097637340343"/>
              <c:y val="0.85614873315084949"/>
            </c:manualLayout>
          </c:layout>
          <c:overlay val="0"/>
          <c:spPr>
            <a:noFill/>
            <a:ln w="22029">
              <a:noFill/>
            </a:ln>
          </c:spPr>
        </c:title>
        <c:numFmt formatCode="General" sourceLinked="1"/>
        <c:majorTickMark val="cross"/>
        <c:minorTickMark val="none"/>
        <c:tickLblPos val="nextTo"/>
        <c:spPr>
          <a:ln w="2758">
            <a:solidFill>
              <a:srgbClr val="000000"/>
            </a:solidFill>
            <a:prstDash val="solid"/>
          </a:ln>
        </c:spPr>
        <c:txPr>
          <a:bodyPr rot="0" vert="horz"/>
          <a:lstStyle/>
          <a:p>
            <a:pPr>
              <a:defRPr/>
            </a:pPr>
            <a:endParaRPr lang="en-US"/>
          </a:p>
        </c:txPr>
        <c:crossAx val="436472448"/>
        <c:crosses val="autoZero"/>
        <c:auto val="0"/>
        <c:lblAlgn val="ctr"/>
        <c:lblOffset val="100"/>
        <c:tickLblSkip val="1"/>
        <c:tickMarkSkip val="1"/>
        <c:noMultiLvlLbl val="0"/>
      </c:catAx>
      <c:valAx>
        <c:axId val="436472448"/>
        <c:scaling>
          <c:orientation val="minMax"/>
        </c:scaling>
        <c:delete val="0"/>
        <c:axPos val="l"/>
        <c:numFmt formatCode="General" sourceLinked="1"/>
        <c:majorTickMark val="cross"/>
        <c:minorTickMark val="none"/>
        <c:tickLblPos val="nextTo"/>
        <c:spPr>
          <a:ln w="2758">
            <a:solidFill>
              <a:srgbClr val="000000"/>
            </a:solidFill>
            <a:prstDash val="solid"/>
          </a:ln>
        </c:spPr>
        <c:txPr>
          <a:bodyPr rot="0" vert="horz"/>
          <a:lstStyle/>
          <a:p>
            <a:pPr>
              <a:defRPr/>
            </a:pPr>
            <a:endParaRPr lang="en-US"/>
          </a:p>
        </c:txPr>
        <c:crossAx val="436470528"/>
        <c:crosses val="autoZero"/>
        <c:crossBetween val="between"/>
      </c:valAx>
      <c:catAx>
        <c:axId val="436486528"/>
        <c:scaling>
          <c:orientation val="minMax"/>
        </c:scaling>
        <c:delete val="1"/>
        <c:axPos val="b"/>
        <c:numFmt formatCode="General" sourceLinked="1"/>
        <c:majorTickMark val="out"/>
        <c:minorTickMark val="none"/>
        <c:tickLblPos val="nextTo"/>
        <c:crossAx val="436488064"/>
        <c:crosses val="autoZero"/>
        <c:auto val="0"/>
        <c:lblAlgn val="ctr"/>
        <c:lblOffset val="100"/>
        <c:noMultiLvlLbl val="0"/>
      </c:catAx>
      <c:valAx>
        <c:axId val="436488064"/>
        <c:scaling>
          <c:orientation val="minMax"/>
        </c:scaling>
        <c:delete val="1"/>
        <c:axPos val="l"/>
        <c:numFmt formatCode="General" sourceLinked="1"/>
        <c:majorTickMark val="out"/>
        <c:minorTickMark val="none"/>
        <c:tickLblPos val="nextTo"/>
        <c:crossAx val="436486528"/>
        <c:crosses val="autoZero"/>
        <c:crossBetween val="between"/>
      </c:valAx>
      <c:spPr>
        <a:solidFill>
          <a:srgbClr val="C0C0C0"/>
        </a:solidFill>
        <a:ln w="11032">
          <a:solidFill>
            <a:srgbClr val="808080"/>
          </a:solidFill>
          <a:prstDash val="solid"/>
        </a:ln>
      </c:spPr>
    </c:plotArea>
    <c:legend>
      <c:legendPos val="b"/>
      <c:layout>
        <c:manualLayout>
          <c:xMode val="edge"/>
          <c:yMode val="edge"/>
          <c:x val="0.28751976675644847"/>
          <c:y val="0.93735504461767361"/>
          <c:w val="0.46445507206203801"/>
          <c:h val="5.5684068253493479E-2"/>
        </c:manualLayout>
      </c:layout>
      <c:overlay val="0"/>
      <c:spPr>
        <a:solidFill>
          <a:srgbClr val="FFFFFF"/>
        </a:solidFill>
        <a:ln w="2758">
          <a:solidFill>
            <a:srgbClr val="000000"/>
          </a:solidFill>
          <a:prstDash val="solid"/>
        </a:ln>
      </c:spPr>
    </c:legend>
    <c:plotVisOnly val="1"/>
    <c:dispBlanksAs val="gap"/>
    <c:showDLblsOverMax val="0"/>
  </c:chart>
  <c:spPr>
    <a:noFill/>
    <a:ln>
      <a:noFill/>
    </a:ln>
  </c:spPr>
  <c:txPr>
    <a:bodyPr/>
    <a:lstStyle/>
    <a:p>
      <a:pPr>
        <a:defRPr sz="867"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Ponderea populatiei expusa la concentratii de PM10</a:t>
            </a:r>
          </a:p>
        </c:rich>
      </c:tx>
      <c:layout>
        <c:manualLayout>
          <c:xMode val="edge"/>
          <c:yMode val="edge"/>
          <c:x val="0.18483414486780175"/>
          <c:y val="2.0881791081887757E-2"/>
        </c:manualLayout>
      </c:layout>
      <c:overlay val="0"/>
      <c:spPr>
        <a:noFill/>
        <a:ln w="17065">
          <a:noFill/>
        </a:ln>
      </c:spPr>
    </c:title>
    <c:autoTitleDeleted val="0"/>
    <c:plotArea>
      <c:layout>
        <c:manualLayout>
          <c:layoutTarget val="inner"/>
          <c:xMode val="edge"/>
          <c:yMode val="edge"/>
          <c:x val="0.1074249605055301"/>
          <c:y val="0.15777262180974477"/>
          <c:w val="0.87835703001580301"/>
          <c:h val="0.58004640371229221"/>
        </c:manualLayout>
      </c:layout>
      <c:barChart>
        <c:barDir val="col"/>
        <c:grouping val="clustered"/>
        <c:varyColors val="0"/>
        <c:ser>
          <c:idx val="1"/>
          <c:order val="0"/>
          <c:tx>
            <c:strRef>
              <c:f>Sheet1!$A$2</c:f>
              <c:strCache>
                <c:ptCount val="1"/>
                <c:pt idx="0">
                  <c:v>ponderea populatiei expusa la PM 10 peste VL anuala </c:v>
                </c:pt>
              </c:strCache>
            </c:strRef>
          </c:tx>
          <c:spPr>
            <a:solidFill>
              <a:srgbClr val="993366"/>
            </a:solidFill>
            <a:ln w="8546">
              <a:solidFill>
                <a:srgbClr val="000000"/>
              </a:solidFill>
              <a:prstDash val="solid"/>
            </a:ln>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4EA4-4EE6-B483-8E5019706CAE}"/>
            </c:ext>
          </c:extLst>
        </c:ser>
        <c:ser>
          <c:idx val="3"/>
          <c:order val="1"/>
          <c:tx>
            <c:strRef>
              <c:f>Sheet1!$A$3</c:f>
              <c:strCache>
                <c:ptCount val="1"/>
                <c:pt idx="0">
                  <c:v>ponderea populatiei expusa la PM 10 peste VL zilnica </c:v>
                </c:pt>
              </c:strCache>
            </c:strRef>
          </c:tx>
          <c:spPr>
            <a:solidFill>
              <a:srgbClr val="CCFFFF"/>
            </a:solidFill>
            <a:ln w="8546">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8</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4EA4-4EE6-B483-8E5019706CAE}"/>
            </c:ext>
          </c:extLst>
        </c:ser>
        <c:dLbls>
          <c:showLegendKey val="0"/>
          <c:showVal val="0"/>
          <c:showCatName val="0"/>
          <c:showSerName val="0"/>
          <c:showPercent val="0"/>
          <c:showBubbleSize val="0"/>
        </c:dLbls>
        <c:gapWidth val="150"/>
        <c:axId val="436686848"/>
        <c:axId val="436688768"/>
      </c:barChart>
      <c:catAx>
        <c:axId val="436686848"/>
        <c:scaling>
          <c:orientation val="minMax"/>
        </c:scaling>
        <c:delete val="0"/>
        <c:axPos val="b"/>
        <c:title>
          <c:tx>
            <c:rich>
              <a:bodyPr/>
              <a:lstStyle/>
              <a:p>
                <a:pPr>
                  <a:defRPr/>
                </a:pPr>
                <a:r>
                  <a:rPr lang="en-US"/>
                  <a:t>Statii</a:t>
                </a:r>
              </a:p>
            </c:rich>
          </c:tx>
          <c:layout>
            <c:manualLayout>
              <c:xMode val="edge"/>
              <c:yMode val="edge"/>
              <c:x val="0.51658766244625753"/>
              <c:y val="0.80742446157971248"/>
            </c:manualLayout>
          </c:layout>
          <c:overlay val="0"/>
          <c:spPr>
            <a:noFill/>
            <a:ln w="17065">
              <a:noFill/>
            </a:ln>
          </c:spPr>
        </c:title>
        <c:numFmt formatCode="General" sourceLinked="1"/>
        <c:majorTickMark val="out"/>
        <c:minorTickMark val="none"/>
        <c:tickLblPos val="nextTo"/>
        <c:spPr>
          <a:ln w="2136">
            <a:solidFill>
              <a:srgbClr val="000000"/>
            </a:solidFill>
            <a:prstDash val="solid"/>
          </a:ln>
        </c:spPr>
        <c:txPr>
          <a:bodyPr rot="0" vert="horz"/>
          <a:lstStyle/>
          <a:p>
            <a:pPr>
              <a:defRPr/>
            </a:pPr>
            <a:endParaRPr lang="en-US"/>
          </a:p>
        </c:txPr>
        <c:crossAx val="436688768"/>
        <c:crosses val="autoZero"/>
        <c:auto val="0"/>
        <c:lblAlgn val="ctr"/>
        <c:lblOffset val="100"/>
        <c:tickLblSkip val="1"/>
        <c:tickMarkSkip val="1"/>
        <c:noMultiLvlLbl val="0"/>
      </c:catAx>
      <c:valAx>
        <c:axId val="436688768"/>
        <c:scaling>
          <c:orientation val="minMax"/>
          <c:max val="100"/>
        </c:scaling>
        <c:delete val="0"/>
        <c:axPos val="l"/>
        <c:title>
          <c:tx>
            <c:rich>
              <a:bodyPr/>
              <a:lstStyle/>
              <a:p>
                <a:pPr>
                  <a:defRPr/>
                </a:pPr>
                <a:r>
                  <a:rPr lang="en-US"/>
                  <a:t>procent%</a:t>
                </a:r>
              </a:p>
            </c:rich>
          </c:tx>
          <c:layout>
            <c:manualLayout>
              <c:xMode val="edge"/>
              <c:yMode val="edge"/>
              <c:x val="1.7377570323696336E-2"/>
              <c:y val="0.37354997870719753"/>
            </c:manualLayout>
          </c:layout>
          <c:overlay val="0"/>
          <c:spPr>
            <a:noFill/>
            <a:ln w="17065">
              <a:noFill/>
            </a:ln>
          </c:spPr>
        </c:title>
        <c:numFmt formatCode="General" sourceLinked="1"/>
        <c:majorTickMark val="out"/>
        <c:minorTickMark val="none"/>
        <c:tickLblPos val="nextTo"/>
        <c:spPr>
          <a:ln w="2136">
            <a:solidFill>
              <a:srgbClr val="000000"/>
            </a:solidFill>
            <a:prstDash val="solid"/>
          </a:ln>
        </c:spPr>
        <c:txPr>
          <a:bodyPr rot="0" vert="horz"/>
          <a:lstStyle/>
          <a:p>
            <a:pPr>
              <a:defRPr/>
            </a:pPr>
            <a:endParaRPr lang="en-US"/>
          </a:p>
        </c:txPr>
        <c:crossAx val="436686848"/>
        <c:crosses val="autoZero"/>
        <c:crossBetween val="between"/>
      </c:valAx>
      <c:spPr>
        <a:solidFill>
          <a:srgbClr val="C0C0C0"/>
        </a:solidFill>
        <a:ln w="8546">
          <a:solidFill>
            <a:srgbClr val="808080"/>
          </a:solidFill>
          <a:prstDash val="solid"/>
        </a:ln>
      </c:spPr>
    </c:plotArea>
    <c:legend>
      <c:legendPos val="b"/>
      <c:layout>
        <c:manualLayout>
          <c:xMode val="edge"/>
          <c:yMode val="edge"/>
          <c:x val="0.27962080660736682"/>
          <c:y val="0.88863075682691783"/>
          <c:w val="0.52922591983197353"/>
          <c:h val="0.10440825956622057"/>
        </c:manualLayout>
      </c:layout>
      <c:overlay val="0"/>
      <c:spPr>
        <a:solidFill>
          <a:srgbClr val="FFFFFF"/>
        </a:solidFill>
        <a:ln w="2136">
          <a:solidFill>
            <a:srgbClr val="000000"/>
          </a:solidFill>
          <a:prstDash val="solid"/>
        </a:ln>
      </c:spPr>
    </c:legend>
    <c:plotVisOnly val="1"/>
    <c:dispBlanksAs val="gap"/>
    <c:showDLblsOverMax val="0"/>
  </c:chart>
  <c:spPr>
    <a:noFill/>
    <a:ln>
      <a:noFill/>
    </a:ln>
  </c:spPr>
  <c:txPr>
    <a:bodyPr/>
    <a:lstStyle/>
    <a:p>
      <a:pPr>
        <a:defRPr sz="860"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a:t>O3</a:t>
            </a:r>
            <a:r>
              <a:rPr lang="vi-VN"/>
              <a:t>- Număr </a:t>
            </a:r>
            <a:r>
              <a:rPr lang="ro-RO"/>
              <a:t>zile cu</a:t>
            </a:r>
            <a:r>
              <a:rPr lang="vi-VN"/>
              <a:t> depăşiri</a:t>
            </a:r>
            <a:r>
              <a:rPr lang="ro-RO"/>
              <a:t> ale valorii tinta </a:t>
            </a:r>
            <a:r>
              <a:rPr lang="vi-VN"/>
              <a:t> in anul 20</a:t>
            </a:r>
            <a:r>
              <a:rPr lang="en-US"/>
              <a:t>2</a:t>
            </a:r>
            <a:r>
              <a:rPr lang="ro-RO"/>
              <a:t>3</a:t>
            </a:r>
            <a:endParaRPr lang="vi-VN"/>
          </a:p>
        </c:rich>
      </c:tx>
      <c:layout>
        <c:manualLayout>
          <c:xMode val="edge"/>
          <c:yMode val="edge"/>
          <c:x val="0.27014222958972239"/>
          <c:y val="2.0881751642400283E-2"/>
        </c:manualLayout>
      </c:layout>
      <c:overlay val="0"/>
      <c:spPr>
        <a:noFill/>
        <a:ln w="18693">
          <a:noFill/>
        </a:ln>
      </c:spPr>
    </c:title>
    <c:autoTitleDeleted val="0"/>
    <c:plotArea>
      <c:layout>
        <c:manualLayout>
          <c:layoutTarget val="inner"/>
          <c:xMode val="edge"/>
          <c:yMode val="edge"/>
          <c:x val="5.8451816745655555E-2"/>
          <c:y val="0.15777262180974477"/>
          <c:w val="0.9273301737756714"/>
          <c:h val="0.62877030162413639"/>
        </c:manualLayout>
      </c:layout>
      <c:barChart>
        <c:barDir val="col"/>
        <c:grouping val="clustered"/>
        <c:varyColors val="0"/>
        <c:ser>
          <c:idx val="1"/>
          <c:order val="0"/>
          <c:tx>
            <c:strRef>
              <c:f>Sheet1!$A$2</c:f>
              <c:strCache>
                <c:ptCount val="1"/>
                <c:pt idx="0">
                  <c:v>Numar depasiri</c:v>
                </c:pt>
              </c:strCache>
            </c:strRef>
          </c:tx>
          <c:spPr>
            <a:solidFill>
              <a:srgbClr val="993366"/>
            </a:solidFill>
            <a:ln w="9361">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11</c:v>
                </c:pt>
                <c:pt idx="4">
                  <c:v>15</c:v>
                </c:pt>
                <c:pt idx="6">
                  <c:v>5</c:v>
                </c:pt>
                <c:pt idx="7">
                  <c:v>18</c:v>
                </c:pt>
                <c:pt idx="8">
                  <c:v>17</c:v>
                </c:pt>
              </c:numCache>
            </c:numRef>
          </c:val>
          <c:extLst xmlns:c16r2="http://schemas.microsoft.com/office/drawing/2015/06/chart">
            <c:ext xmlns:c16="http://schemas.microsoft.com/office/drawing/2014/chart" uri="{C3380CC4-5D6E-409C-BE32-E72D297353CC}">
              <c16:uniqueId val="{00000000-20DD-4E0B-BC7A-B8736B247140}"/>
            </c:ext>
          </c:extLst>
        </c:ser>
        <c:dLbls>
          <c:showLegendKey val="0"/>
          <c:showVal val="0"/>
          <c:showCatName val="0"/>
          <c:showSerName val="0"/>
          <c:showPercent val="0"/>
          <c:showBubbleSize val="0"/>
        </c:dLbls>
        <c:gapWidth val="150"/>
        <c:axId val="436730112"/>
        <c:axId val="436605312"/>
      </c:barChart>
      <c:lineChart>
        <c:grouping val="standard"/>
        <c:varyColors val="0"/>
        <c:ser>
          <c:idx val="0"/>
          <c:order val="1"/>
          <c:tx>
            <c:strRef>
              <c:f>Sheet1!$A$3</c:f>
              <c:strCache>
                <c:ptCount val="1"/>
                <c:pt idx="0">
                  <c:v>Numar maxim depasiri</c:v>
                </c:pt>
              </c:strCache>
            </c:strRef>
          </c:tx>
          <c:spPr>
            <a:ln w="28083">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25</c:v>
                </c:pt>
                <c:pt idx="1">
                  <c:v>25</c:v>
                </c:pt>
                <c:pt idx="2">
                  <c:v>25</c:v>
                </c:pt>
                <c:pt idx="3">
                  <c:v>25</c:v>
                </c:pt>
                <c:pt idx="4">
                  <c:v>25</c:v>
                </c:pt>
                <c:pt idx="5">
                  <c:v>25</c:v>
                </c:pt>
                <c:pt idx="6">
                  <c:v>25</c:v>
                </c:pt>
                <c:pt idx="7">
                  <c:v>25</c:v>
                </c:pt>
                <c:pt idx="8">
                  <c:v>25</c:v>
                </c:pt>
                <c:pt idx="9">
                  <c:v>25</c:v>
                </c:pt>
                <c:pt idx="10">
                  <c:v>25</c:v>
                </c:pt>
              </c:numCache>
            </c:numRef>
          </c:val>
          <c:smooth val="0"/>
          <c:extLst xmlns:c16r2="http://schemas.microsoft.com/office/drawing/2015/06/chart">
            <c:ext xmlns:c16="http://schemas.microsoft.com/office/drawing/2014/chart" uri="{C3380CC4-5D6E-409C-BE32-E72D297353CC}">
              <c16:uniqueId val="{00000001-20DD-4E0B-BC7A-B8736B247140}"/>
            </c:ext>
          </c:extLst>
        </c:ser>
        <c:dLbls>
          <c:showLegendKey val="0"/>
          <c:showVal val="0"/>
          <c:showCatName val="0"/>
          <c:showSerName val="0"/>
          <c:showPercent val="0"/>
          <c:showBubbleSize val="0"/>
        </c:dLbls>
        <c:marker val="1"/>
        <c:smooth val="0"/>
        <c:axId val="436606848"/>
        <c:axId val="436608384"/>
      </c:lineChart>
      <c:catAx>
        <c:axId val="436730112"/>
        <c:scaling>
          <c:orientation val="minMax"/>
        </c:scaling>
        <c:delete val="0"/>
        <c:axPos val="b"/>
        <c:title>
          <c:tx>
            <c:rich>
              <a:bodyPr/>
              <a:lstStyle/>
              <a:p>
                <a:pPr>
                  <a:defRPr/>
                </a:pPr>
                <a:r>
                  <a:rPr lang="en-US"/>
                  <a:t>Statii</a:t>
                </a:r>
              </a:p>
            </c:rich>
          </c:tx>
          <c:layout>
            <c:manualLayout>
              <c:xMode val="edge"/>
              <c:yMode val="edge"/>
              <c:x val="0.49131106506423539"/>
              <c:y val="0.85614859427196621"/>
            </c:manualLayout>
          </c:layout>
          <c:overlay val="0"/>
          <c:spPr>
            <a:noFill/>
            <a:ln w="18693">
              <a:noFill/>
            </a:ln>
          </c:spPr>
        </c:title>
        <c:numFmt formatCode="General" sourceLinked="1"/>
        <c:majorTickMark val="cross"/>
        <c:minorTickMark val="none"/>
        <c:tickLblPos val="nextTo"/>
        <c:spPr>
          <a:ln w="2340">
            <a:solidFill>
              <a:srgbClr val="000000"/>
            </a:solidFill>
            <a:prstDash val="solid"/>
          </a:ln>
        </c:spPr>
        <c:txPr>
          <a:bodyPr rot="0" vert="horz"/>
          <a:lstStyle/>
          <a:p>
            <a:pPr>
              <a:defRPr/>
            </a:pPr>
            <a:endParaRPr lang="en-US"/>
          </a:p>
        </c:txPr>
        <c:crossAx val="436605312"/>
        <c:crosses val="autoZero"/>
        <c:auto val="0"/>
        <c:lblAlgn val="ctr"/>
        <c:lblOffset val="100"/>
        <c:tickLblSkip val="1"/>
        <c:tickMarkSkip val="1"/>
        <c:noMultiLvlLbl val="0"/>
      </c:catAx>
      <c:valAx>
        <c:axId val="436605312"/>
        <c:scaling>
          <c:orientation val="minMax"/>
        </c:scaling>
        <c:delete val="0"/>
        <c:axPos val="l"/>
        <c:numFmt formatCode="General" sourceLinked="1"/>
        <c:majorTickMark val="cross"/>
        <c:minorTickMark val="none"/>
        <c:tickLblPos val="nextTo"/>
        <c:spPr>
          <a:ln w="2340">
            <a:solidFill>
              <a:srgbClr val="000000"/>
            </a:solidFill>
            <a:prstDash val="solid"/>
          </a:ln>
        </c:spPr>
        <c:txPr>
          <a:bodyPr rot="0" vert="horz"/>
          <a:lstStyle/>
          <a:p>
            <a:pPr>
              <a:defRPr/>
            </a:pPr>
            <a:endParaRPr lang="en-US"/>
          </a:p>
        </c:txPr>
        <c:crossAx val="436730112"/>
        <c:crosses val="autoZero"/>
        <c:crossBetween val="between"/>
      </c:valAx>
      <c:catAx>
        <c:axId val="436606848"/>
        <c:scaling>
          <c:orientation val="minMax"/>
        </c:scaling>
        <c:delete val="1"/>
        <c:axPos val="b"/>
        <c:numFmt formatCode="General" sourceLinked="1"/>
        <c:majorTickMark val="out"/>
        <c:minorTickMark val="none"/>
        <c:tickLblPos val="nextTo"/>
        <c:crossAx val="436608384"/>
        <c:crosses val="autoZero"/>
        <c:auto val="0"/>
        <c:lblAlgn val="ctr"/>
        <c:lblOffset val="100"/>
        <c:noMultiLvlLbl val="0"/>
      </c:catAx>
      <c:valAx>
        <c:axId val="436608384"/>
        <c:scaling>
          <c:orientation val="minMax"/>
        </c:scaling>
        <c:delete val="1"/>
        <c:axPos val="l"/>
        <c:numFmt formatCode="General" sourceLinked="1"/>
        <c:majorTickMark val="out"/>
        <c:minorTickMark val="none"/>
        <c:tickLblPos val="nextTo"/>
        <c:crossAx val="436606848"/>
        <c:crosses val="autoZero"/>
        <c:crossBetween val="between"/>
      </c:valAx>
      <c:spPr>
        <a:solidFill>
          <a:srgbClr val="C0C0C0"/>
        </a:solidFill>
        <a:ln w="9361">
          <a:solidFill>
            <a:srgbClr val="808080"/>
          </a:solidFill>
          <a:prstDash val="solid"/>
        </a:ln>
      </c:spPr>
    </c:plotArea>
    <c:legend>
      <c:legendPos val="b"/>
      <c:layout>
        <c:manualLayout>
          <c:xMode val="edge"/>
          <c:yMode val="edge"/>
          <c:x val="0.28751976792374634"/>
          <c:y val="0.93735474507279903"/>
          <c:w val="0.46445486945710734"/>
          <c:h val="5.5684423118212645E-2"/>
        </c:manualLayout>
      </c:layout>
      <c:overlay val="0"/>
      <c:spPr>
        <a:solidFill>
          <a:srgbClr val="FFFFFF"/>
        </a:solidFill>
        <a:ln w="2340">
          <a:solidFill>
            <a:srgbClr val="000000"/>
          </a:solidFill>
          <a:prstDash val="solid"/>
        </a:ln>
      </c:spPr>
    </c:legend>
    <c:plotVisOnly val="1"/>
    <c:dispBlanksAs val="gap"/>
    <c:showDLblsOverMax val="0"/>
  </c:chart>
  <c:spPr>
    <a:noFill/>
    <a:ln>
      <a:noFill/>
    </a:ln>
  </c:spPr>
  <c:txPr>
    <a:bodyPr/>
    <a:lstStyle/>
    <a:p>
      <a:pPr>
        <a:defRPr sz="736"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NO2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75E8-4BEA-8B7B-BEC0DA0EFC8D}"/>
            </c:ext>
          </c:extLst>
        </c:ser>
        <c:ser>
          <c:idx val="1"/>
          <c:order val="1"/>
          <c:tx>
            <c:strRef>
              <c:f>Sheet1!$C$1</c:f>
              <c:strCache>
                <c:ptCount val="1"/>
                <c:pt idx="0">
                  <c:v>PM10</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75E8-4BEA-8B7B-BEC0DA0EFC8D}"/>
            </c:ext>
          </c:extLst>
        </c:ser>
        <c:ser>
          <c:idx val="2"/>
          <c:order val="2"/>
          <c:tx>
            <c:strRef>
              <c:f>Sheet1!$D$1</c:f>
              <c:strCache>
                <c:ptCount val="1"/>
                <c:pt idx="0">
                  <c:v>O3</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2-75E8-4BEA-8B7B-BEC0DA0EFC8D}"/>
            </c:ext>
          </c:extLst>
        </c:ser>
        <c:dLbls>
          <c:showLegendKey val="0"/>
          <c:showVal val="0"/>
          <c:showCatName val="0"/>
          <c:showSerName val="0"/>
          <c:showPercent val="0"/>
          <c:showBubbleSize val="0"/>
        </c:dLbls>
        <c:gapWidth val="150"/>
        <c:axId val="436750592"/>
        <c:axId val="436752384"/>
      </c:barChart>
      <c:catAx>
        <c:axId val="436750592"/>
        <c:scaling>
          <c:orientation val="minMax"/>
        </c:scaling>
        <c:delete val="0"/>
        <c:axPos val="b"/>
        <c:numFmt formatCode="General" sourceLinked="1"/>
        <c:majorTickMark val="out"/>
        <c:minorTickMark val="none"/>
        <c:tickLblPos val="nextTo"/>
        <c:crossAx val="436752384"/>
        <c:crosses val="autoZero"/>
        <c:auto val="1"/>
        <c:lblAlgn val="ctr"/>
        <c:lblOffset val="100"/>
        <c:noMultiLvlLbl val="0"/>
      </c:catAx>
      <c:valAx>
        <c:axId val="436752384"/>
        <c:scaling>
          <c:orientation val="minMax"/>
        </c:scaling>
        <c:delete val="0"/>
        <c:axPos val="l"/>
        <c:majorGridlines/>
        <c:numFmt formatCode="General" sourceLinked="1"/>
        <c:majorTickMark val="out"/>
        <c:minorTickMark val="none"/>
        <c:tickLblPos val="nextTo"/>
        <c:crossAx val="436750592"/>
        <c:crosses val="autoZero"/>
        <c:crossBetween val="between"/>
      </c:valAx>
    </c:plotArea>
    <c:legend>
      <c:legendPos val="r"/>
      <c:overlay val="0"/>
    </c:legend>
    <c:plotVisOnly val="1"/>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o-RO" sz="1100"/>
              <a:t>Evoluţia numărului de cazuri de îmbolnavire a aparatului respirator inregistrat de medicii de familie</a:t>
            </a:r>
            <a:endParaRPr lang="en-US" sz="1100"/>
          </a:p>
        </c:rich>
      </c:tx>
      <c:layout>
        <c:manualLayout>
          <c:xMode val="edge"/>
          <c:yMode val="edge"/>
          <c:x val="0.13894678895475143"/>
          <c:y val="2.7777751346036429E-2"/>
        </c:manualLayout>
      </c:layout>
      <c:overlay val="0"/>
      <c:spPr>
        <a:noFill/>
        <a:ln w="25399">
          <a:noFill/>
        </a:ln>
      </c:spPr>
    </c:title>
    <c:autoTitleDeleted val="0"/>
    <c:plotArea>
      <c:layout/>
      <c:barChart>
        <c:barDir val="col"/>
        <c:grouping val="clustered"/>
        <c:varyColors val="0"/>
        <c:ser>
          <c:idx val="0"/>
          <c:order val="0"/>
          <c:tx>
            <c:strRef>
              <c:f>Sheet1!$B$1</c:f>
              <c:strCache>
                <c:ptCount val="1"/>
                <c:pt idx="0">
                  <c:v>2018</c:v>
                </c:pt>
              </c:strCache>
            </c:strRef>
          </c:tx>
          <c:invertIfNegative val="0"/>
          <c:cat>
            <c:strRef>
              <c:f>Sheet1!$A$2</c:f>
              <c:strCache>
                <c:ptCount val="1"/>
                <c:pt idx="0">
                  <c:v>Numar imbolnaviri</c:v>
                </c:pt>
              </c:strCache>
            </c:strRef>
          </c:cat>
          <c:val>
            <c:numRef>
              <c:f>Sheet1!$B$2</c:f>
              <c:numCache>
                <c:formatCode>General</c:formatCode>
                <c:ptCount val="1"/>
                <c:pt idx="0">
                  <c:v>175332</c:v>
                </c:pt>
              </c:numCache>
            </c:numRef>
          </c:val>
          <c:extLst xmlns:c16r2="http://schemas.microsoft.com/office/drawing/2015/06/chart">
            <c:ext xmlns:c16="http://schemas.microsoft.com/office/drawing/2014/chart" uri="{C3380CC4-5D6E-409C-BE32-E72D297353CC}">
              <c16:uniqueId val="{00000000-AC15-46AD-B8D5-EA0F0099DAF3}"/>
            </c:ext>
          </c:extLst>
        </c:ser>
        <c:ser>
          <c:idx val="1"/>
          <c:order val="1"/>
          <c:tx>
            <c:strRef>
              <c:f>Sheet1!$C$1</c:f>
              <c:strCache>
                <c:ptCount val="1"/>
                <c:pt idx="0">
                  <c:v>2019</c:v>
                </c:pt>
              </c:strCache>
            </c:strRef>
          </c:tx>
          <c:invertIfNegative val="0"/>
          <c:cat>
            <c:strRef>
              <c:f>Sheet1!$A$2</c:f>
              <c:strCache>
                <c:ptCount val="1"/>
                <c:pt idx="0">
                  <c:v>Numar imbolnaviri</c:v>
                </c:pt>
              </c:strCache>
            </c:strRef>
          </c:cat>
          <c:val>
            <c:numRef>
              <c:f>Sheet1!$C$2</c:f>
              <c:numCache>
                <c:formatCode>General</c:formatCode>
                <c:ptCount val="1"/>
                <c:pt idx="0">
                  <c:v>162324</c:v>
                </c:pt>
              </c:numCache>
            </c:numRef>
          </c:val>
          <c:extLst xmlns:c16r2="http://schemas.microsoft.com/office/drawing/2015/06/chart">
            <c:ext xmlns:c16="http://schemas.microsoft.com/office/drawing/2014/chart" uri="{C3380CC4-5D6E-409C-BE32-E72D297353CC}">
              <c16:uniqueId val="{00000001-AC15-46AD-B8D5-EA0F0099DAF3}"/>
            </c:ext>
          </c:extLst>
        </c:ser>
        <c:ser>
          <c:idx val="2"/>
          <c:order val="2"/>
          <c:tx>
            <c:strRef>
              <c:f>Sheet1!$D$1</c:f>
              <c:strCache>
                <c:ptCount val="1"/>
                <c:pt idx="0">
                  <c:v>2020</c:v>
                </c:pt>
              </c:strCache>
            </c:strRef>
          </c:tx>
          <c:invertIfNegative val="0"/>
          <c:cat>
            <c:strRef>
              <c:f>Sheet1!$A$2</c:f>
              <c:strCache>
                <c:ptCount val="1"/>
                <c:pt idx="0">
                  <c:v>Numar imbolnaviri</c:v>
                </c:pt>
              </c:strCache>
            </c:strRef>
          </c:cat>
          <c:val>
            <c:numRef>
              <c:f>Sheet1!$D$2</c:f>
              <c:numCache>
                <c:formatCode>General</c:formatCode>
                <c:ptCount val="1"/>
                <c:pt idx="0">
                  <c:v>108343</c:v>
                </c:pt>
              </c:numCache>
            </c:numRef>
          </c:val>
          <c:extLst xmlns:c16r2="http://schemas.microsoft.com/office/drawing/2015/06/chart">
            <c:ext xmlns:c16="http://schemas.microsoft.com/office/drawing/2014/chart" uri="{C3380CC4-5D6E-409C-BE32-E72D297353CC}">
              <c16:uniqueId val="{00000002-AC15-46AD-B8D5-EA0F0099DAF3}"/>
            </c:ext>
          </c:extLst>
        </c:ser>
        <c:ser>
          <c:idx val="3"/>
          <c:order val="3"/>
          <c:tx>
            <c:strRef>
              <c:f>Sheet1!$E$1</c:f>
              <c:strCache>
                <c:ptCount val="1"/>
                <c:pt idx="0">
                  <c:v>2021</c:v>
                </c:pt>
              </c:strCache>
            </c:strRef>
          </c:tx>
          <c:invertIfNegative val="0"/>
          <c:cat>
            <c:strRef>
              <c:f>Sheet1!$A$2</c:f>
              <c:strCache>
                <c:ptCount val="1"/>
                <c:pt idx="0">
                  <c:v>Numar imbolnaviri</c:v>
                </c:pt>
              </c:strCache>
            </c:strRef>
          </c:cat>
          <c:val>
            <c:numRef>
              <c:f>Sheet1!$E$2</c:f>
              <c:numCache>
                <c:formatCode>General</c:formatCode>
                <c:ptCount val="1"/>
                <c:pt idx="0">
                  <c:v>107621</c:v>
                </c:pt>
              </c:numCache>
            </c:numRef>
          </c:val>
          <c:extLst xmlns:c16r2="http://schemas.microsoft.com/office/drawing/2015/06/chart">
            <c:ext xmlns:c16="http://schemas.microsoft.com/office/drawing/2014/chart" uri="{C3380CC4-5D6E-409C-BE32-E72D297353CC}">
              <c16:uniqueId val="{00000003-AC15-46AD-B8D5-EA0F0099DAF3}"/>
            </c:ext>
          </c:extLst>
        </c:ser>
        <c:ser>
          <c:idx val="4"/>
          <c:order val="4"/>
          <c:tx>
            <c:strRef>
              <c:f>Sheet1!$F$1</c:f>
              <c:strCache>
                <c:ptCount val="1"/>
                <c:pt idx="0">
                  <c:v>2022</c:v>
                </c:pt>
              </c:strCache>
            </c:strRef>
          </c:tx>
          <c:invertIfNegative val="0"/>
          <c:cat>
            <c:strRef>
              <c:f>Sheet1!$A$2</c:f>
              <c:strCache>
                <c:ptCount val="1"/>
                <c:pt idx="0">
                  <c:v>Numar imbolnaviri</c:v>
                </c:pt>
              </c:strCache>
            </c:strRef>
          </c:cat>
          <c:val>
            <c:numRef>
              <c:f>Sheet1!$F$2</c:f>
              <c:numCache>
                <c:formatCode>General</c:formatCode>
                <c:ptCount val="1"/>
                <c:pt idx="0">
                  <c:v>178419</c:v>
                </c:pt>
              </c:numCache>
            </c:numRef>
          </c:val>
          <c:extLst xmlns:c16r2="http://schemas.microsoft.com/office/drawing/2015/06/chart">
            <c:ext xmlns:c16="http://schemas.microsoft.com/office/drawing/2014/chart" uri="{C3380CC4-5D6E-409C-BE32-E72D297353CC}">
              <c16:uniqueId val="{00000004-AC15-46AD-B8D5-EA0F0099DAF3}"/>
            </c:ext>
          </c:extLst>
        </c:ser>
        <c:ser>
          <c:idx val="5"/>
          <c:order val="5"/>
          <c:tx>
            <c:strRef>
              <c:f>Sheet1!$G$1</c:f>
              <c:strCache>
                <c:ptCount val="1"/>
                <c:pt idx="0">
                  <c:v>2023</c:v>
                </c:pt>
              </c:strCache>
            </c:strRef>
          </c:tx>
          <c:invertIfNegative val="0"/>
          <c:cat>
            <c:strRef>
              <c:f>Sheet1!$A$2</c:f>
              <c:strCache>
                <c:ptCount val="1"/>
                <c:pt idx="0">
                  <c:v>Numar imbolnaviri</c:v>
                </c:pt>
              </c:strCache>
            </c:strRef>
          </c:cat>
          <c:val>
            <c:numRef>
              <c:f>Sheet1!$G$2</c:f>
              <c:numCache>
                <c:formatCode>General</c:formatCode>
                <c:ptCount val="1"/>
                <c:pt idx="0">
                  <c:v>200275</c:v>
                </c:pt>
              </c:numCache>
            </c:numRef>
          </c:val>
          <c:extLst xmlns:c16r2="http://schemas.microsoft.com/office/drawing/2015/06/chart">
            <c:ext xmlns:c16="http://schemas.microsoft.com/office/drawing/2014/chart" uri="{C3380CC4-5D6E-409C-BE32-E72D297353CC}">
              <c16:uniqueId val="{00000005-AC15-46AD-B8D5-EA0F0099DAF3}"/>
            </c:ext>
          </c:extLst>
        </c:ser>
        <c:dLbls>
          <c:showLegendKey val="0"/>
          <c:showVal val="0"/>
          <c:showCatName val="0"/>
          <c:showSerName val="0"/>
          <c:showPercent val="0"/>
          <c:showBubbleSize val="0"/>
        </c:dLbls>
        <c:gapWidth val="150"/>
        <c:axId val="436791168"/>
        <c:axId val="436792704"/>
      </c:barChart>
      <c:catAx>
        <c:axId val="436791168"/>
        <c:scaling>
          <c:orientation val="minMax"/>
        </c:scaling>
        <c:delete val="0"/>
        <c:axPos val="b"/>
        <c:numFmt formatCode="General" sourceLinked="1"/>
        <c:majorTickMark val="out"/>
        <c:minorTickMark val="none"/>
        <c:tickLblPos val="nextTo"/>
        <c:crossAx val="436792704"/>
        <c:crosses val="autoZero"/>
        <c:auto val="1"/>
        <c:lblAlgn val="ctr"/>
        <c:lblOffset val="100"/>
        <c:noMultiLvlLbl val="0"/>
      </c:catAx>
      <c:valAx>
        <c:axId val="436792704"/>
        <c:scaling>
          <c:orientation val="minMax"/>
        </c:scaling>
        <c:delete val="0"/>
        <c:axPos val="l"/>
        <c:majorGridlines/>
        <c:numFmt formatCode="General" sourceLinked="1"/>
        <c:majorTickMark val="out"/>
        <c:minorTickMark val="none"/>
        <c:tickLblPos val="nextTo"/>
        <c:crossAx val="436791168"/>
        <c:crosses val="autoZero"/>
        <c:crossBetween val="between"/>
      </c:valAx>
    </c:plotArea>
    <c:legend>
      <c:legendPos val="r"/>
      <c:overlay val="0"/>
    </c:legend>
    <c:plotVisOnly val="1"/>
    <c:dispBlanksAs val="gap"/>
    <c:showDLblsOverMax val="0"/>
  </c:chart>
  <c:txPr>
    <a:bodyPr/>
    <a:lstStyle/>
    <a:p>
      <a:pPr>
        <a:defRPr baseline="0">
          <a:latin typeface="Trebuchet MS" pitchFamily="34" charset="0"/>
        </a:defRPr>
      </a:pPr>
      <a:endParaRPr lang="en-US"/>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o-RO" sz="1100"/>
              <a:t>Evoluţia numărului de cazuri de îmbolnavire a aparatului circulator inregistrat de medicii de familie</a:t>
            </a:r>
            <a:endParaRPr lang="en-US" sz="1100"/>
          </a:p>
        </c:rich>
      </c:tx>
      <c:layout>
        <c:manualLayout>
          <c:xMode val="edge"/>
          <c:yMode val="edge"/>
          <c:x val="0.13894681113578752"/>
          <c:y val="2.7777751346036429E-2"/>
        </c:manualLayout>
      </c:layout>
      <c:overlay val="0"/>
      <c:spPr>
        <a:noFill/>
        <a:ln w="25399">
          <a:noFill/>
        </a:ln>
      </c:spPr>
    </c:title>
    <c:autoTitleDeleted val="0"/>
    <c:plotArea>
      <c:layout/>
      <c:barChart>
        <c:barDir val="col"/>
        <c:grouping val="clustered"/>
        <c:varyColors val="0"/>
        <c:ser>
          <c:idx val="0"/>
          <c:order val="0"/>
          <c:tx>
            <c:strRef>
              <c:f>Sheet1!$B$1</c:f>
              <c:strCache>
                <c:ptCount val="1"/>
                <c:pt idx="0">
                  <c:v>2018</c:v>
                </c:pt>
              </c:strCache>
            </c:strRef>
          </c:tx>
          <c:invertIfNegative val="0"/>
          <c:cat>
            <c:strRef>
              <c:f>Sheet1!$A$2</c:f>
              <c:strCache>
                <c:ptCount val="1"/>
                <c:pt idx="0">
                  <c:v>Numar imbolnaviri</c:v>
                </c:pt>
              </c:strCache>
            </c:strRef>
          </c:cat>
          <c:val>
            <c:numRef>
              <c:f>Sheet1!$B$2</c:f>
              <c:numCache>
                <c:formatCode>General</c:formatCode>
                <c:ptCount val="1"/>
                <c:pt idx="0">
                  <c:v>17031</c:v>
                </c:pt>
              </c:numCache>
            </c:numRef>
          </c:val>
          <c:extLst xmlns:c16r2="http://schemas.microsoft.com/office/drawing/2015/06/chart">
            <c:ext xmlns:c16="http://schemas.microsoft.com/office/drawing/2014/chart" uri="{C3380CC4-5D6E-409C-BE32-E72D297353CC}">
              <c16:uniqueId val="{00000000-11F9-4DB2-AC09-EF05E05C68DF}"/>
            </c:ext>
          </c:extLst>
        </c:ser>
        <c:ser>
          <c:idx val="1"/>
          <c:order val="1"/>
          <c:tx>
            <c:strRef>
              <c:f>Sheet1!$C$1</c:f>
              <c:strCache>
                <c:ptCount val="1"/>
                <c:pt idx="0">
                  <c:v>2019</c:v>
                </c:pt>
              </c:strCache>
            </c:strRef>
          </c:tx>
          <c:invertIfNegative val="0"/>
          <c:cat>
            <c:strRef>
              <c:f>Sheet1!$A$2</c:f>
              <c:strCache>
                <c:ptCount val="1"/>
                <c:pt idx="0">
                  <c:v>Numar imbolnaviri</c:v>
                </c:pt>
              </c:strCache>
            </c:strRef>
          </c:cat>
          <c:val>
            <c:numRef>
              <c:f>Sheet1!$C$2</c:f>
              <c:numCache>
                <c:formatCode>General</c:formatCode>
                <c:ptCount val="1"/>
                <c:pt idx="0">
                  <c:v>17584</c:v>
                </c:pt>
              </c:numCache>
            </c:numRef>
          </c:val>
          <c:extLst xmlns:c16r2="http://schemas.microsoft.com/office/drawing/2015/06/chart">
            <c:ext xmlns:c16="http://schemas.microsoft.com/office/drawing/2014/chart" uri="{C3380CC4-5D6E-409C-BE32-E72D297353CC}">
              <c16:uniqueId val="{00000001-11F9-4DB2-AC09-EF05E05C68DF}"/>
            </c:ext>
          </c:extLst>
        </c:ser>
        <c:ser>
          <c:idx val="2"/>
          <c:order val="2"/>
          <c:tx>
            <c:strRef>
              <c:f>Sheet1!$D$1</c:f>
              <c:strCache>
                <c:ptCount val="1"/>
                <c:pt idx="0">
                  <c:v>2020</c:v>
                </c:pt>
              </c:strCache>
            </c:strRef>
          </c:tx>
          <c:invertIfNegative val="0"/>
          <c:cat>
            <c:strRef>
              <c:f>Sheet1!$A$2</c:f>
              <c:strCache>
                <c:ptCount val="1"/>
                <c:pt idx="0">
                  <c:v>Numar imbolnaviri</c:v>
                </c:pt>
              </c:strCache>
            </c:strRef>
          </c:cat>
          <c:val>
            <c:numRef>
              <c:f>Sheet1!$D$2</c:f>
              <c:numCache>
                <c:formatCode>General</c:formatCode>
                <c:ptCount val="1"/>
                <c:pt idx="0">
                  <c:v>13494</c:v>
                </c:pt>
              </c:numCache>
            </c:numRef>
          </c:val>
          <c:extLst xmlns:c16r2="http://schemas.microsoft.com/office/drawing/2015/06/chart">
            <c:ext xmlns:c16="http://schemas.microsoft.com/office/drawing/2014/chart" uri="{C3380CC4-5D6E-409C-BE32-E72D297353CC}">
              <c16:uniqueId val="{00000002-11F9-4DB2-AC09-EF05E05C68DF}"/>
            </c:ext>
          </c:extLst>
        </c:ser>
        <c:ser>
          <c:idx val="3"/>
          <c:order val="3"/>
          <c:tx>
            <c:strRef>
              <c:f>Sheet1!$E$1</c:f>
              <c:strCache>
                <c:ptCount val="1"/>
                <c:pt idx="0">
                  <c:v>2021</c:v>
                </c:pt>
              </c:strCache>
            </c:strRef>
          </c:tx>
          <c:invertIfNegative val="0"/>
          <c:cat>
            <c:strRef>
              <c:f>Sheet1!$A$2</c:f>
              <c:strCache>
                <c:ptCount val="1"/>
                <c:pt idx="0">
                  <c:v>Numar imbolnaviri</c:v>
                </c:pt>
              </c:strCache>
            </c:strRef>
          </c:cat>
          <c:val>
            <c:numRef>
              <c:f>Sheet1!$E$2</c:f>
              <c:numCache>
                <c:formatCode>General</c:formatCode>
                <c:ptCount val="1"/>
                <c:pt idx="0">
                  <c:v>17010</c:v>
                </c:pt>
              </c:numCache>
            </c:numRef>
          </c:val>
          <c:extLst xmlns:c16r2="http://schemas.microsoft.com/office/drawing/2015/06/chart">
            <c:ext xmlns:c16="http://schemas.microsoft.com/office/drawing/2014/chart" uri="{C3380CC4-5D6E-409C-BE32-E72D297353CC}">
              <c16:uniqueId val="{00000003-11F9-4DB2-AC09-EF05E05C68DF}"/>
            </c:ext>
          </c:extLst>
        </c:ser>
        <c:ser>
          <c:idx val="4"/>
          <c:order val="4"/>
          <c:tx>
            <c:strRef>
              <c:f>Sheet1!$F$1</c:f>
              <c:strCache>
                <c:ptCount val="1"/>
                <c:pt idx="0">
                  <c:v>2022</c:v>
                </c:pt>
              </c:strCache>
            </c:strRef>
          </c:tx>
          <c:invertIfNegative val="0"/>
          <c:cat>
            <c:strRef>
              <c:f>Sheet1!$A$2</c:f>
              <c:strCache>
                <c:ptCount val="1"/>
                <c:pt idx="0">
                  <c:v>Numar imbolnaviri</c:v>
                </c:pt>
              </c:strCache>
            </c:strRef>
          </c:cat>
          <c:val>
            <c:numRef>
              <c:f>Sheet1!$F$2</c:f>
              <c:numCache>
                <c:formatCode>General</c:formatCode>
                <c:ptCount val="1"/>
                <c:pt idx="0">
                  <c:v>21303</c:v>
                </c:pt>
              </c:numCache>
            </c:numRef>
          </c:val>
          <c:extLst xmlns:c16r2="http://schemas.microsoft.com/office/drawing/2015/06/chart">
            <c:ext xmlns:c16="http://schemas.microsoft.com/office/drawing/2014/chart" uri="{C3380CC4-5D6E-409C-BE32-E72D297353CC}">
              <c16:uniqueId val="{00000004-11F9-4DB2-AC09-EF05E05C68DF}"/>
            </c:ext>
          </c:extLst>
        </c:ser>
        <c:ser>
          <c:idx val="5"/>
          <c:order val="5"/>
          <c:tx>
            <c:strRef>
              <c:f>Sheet1!$G$1</c:f>
              <c:strCache>
                <c:ptCount val="1"/>
                <c:pt idx="0">
                  <c:v>2023</c:v>
                </c:pt>
              </c:strCache>
            </c:strRef>
          </c:tx>
          <c:invertIfNegative val="0"/>
          <c:cat>
            <c:strRef>
              <c:f>Sheet1!$A$2</c:f>
              <c:strCache>
                <c:ptCount val="1"/>
                <c:pt idx="0">
                  <c:v>Numar imbolnaviri</c:v>
                </c:pt>
              </c:strCache>
            </c:strRef>
          </c:cat>
          <c:val>
            <c:numRef>
              <c:f>Sheet1!$G$2</c:f>
              <c:numCache>
                <c:formatCode>General</c:formatCode>
                <c:ptCount val="1"/>
                <c:pt idx="0">
                  <c:v>24973</c:v>
                </c:pt>
              </c:numCache>
            </c:numRef>
          </c:val>
          <c:extLst xmlns:c16r2="http://schemas.microsoft.com/office/drawing/2015/06/chart">
            <c:ext xmlns:c16="http://schemas.microsoft.com/office/drawing/2014/chart" uri="{C3380CC4-5D6E-409C-BE32-E72D297353CC}">
              <c16:uniqueId val="{00000005-11F9-4DB2-AC09-EF05E05C68DF}"/>
            </c:ext>
          </c:extLst>
        </c:ser>
        <c:dLbls>
          <c:showLegendKey val="0"/>
          <c:showVal val="0"/>
          <c:showCatName val="0"/>
          <c:showSerName val="0"/>
          <c:showPercent val="0"/>
          <c:showBubbleSize val="0"/>
        </c:dLbls>
        <c:gapWidth val="150"/>
        <c:axId val="436868992"/>
        <c:axId val="436870528"/>
      </c:barChart>
      <c:catAx>
        <c:axId val="436868992"/>
        <c:scaling>
          <c:orientation val="minMax"/>
        </c:scaling>
        <c:delete val="0"/>
        <c:axPos val="b"/>
        <c:numFmt formatCode="General" sourceLinked="1"/>
        <c:majorTickMark val="out"/>
        <c:minorTickMark val="none"/>
        <c:tickLblPos val="nextTo"/>
        <c:crossAx val="436870528"/>
        <c:crosses val="autoZero"/>
        <c:auto val="1"/>
        <c:lblAlgn val="ctr"/>
        <c:lblOffset val="100"/>
        <c:noMultiLvlLbl val="0"/>
      </c:catAx>
      <c:valAx>
        <c:axId val="436870528"/>
        <c:scaling>
          <c:orientation val="minMax"/>
        </c:scaling>
        <c:delete val="0"/>
        <c:axPos val="l"/>
        <c:majorGridlines/>
        <c:numFmt formatCode="General" sourceLinked="1"/>
        <c:majorTickMark val="out"/>
        <c:minorTickMark val="none"/>
        <c:tickLblPos val="nextTo"/>
        <c:crossAx val="436868992"/>
        <c:crosses val="autoZero"/>
        <c:crossBetween val="between"/>
      </c:valAx>
    </c:plotArea>
    <c:legend>
      <c:legendPos val="r"/>
      <c:overlay val="0"/>
    </c:legend>
    <c:plotVisOnly val="1"/>
    <c:dispBlanksAs val="gap"/>
    <c:showDLblsOverMax val="0"/>
  </c:chart>
  <c:txPr>
    <a:bodyPr/>
    <a:lstStyle/>
    <a:p>
      <a:pPr>
        <a:defRPr baseline="0">
          <a:latin typeface="Trebuchet MS" pitchFamily="34" charset="0"/>
        </a:defRPr>
      </a:pPr>
      <a:endParaRPr lang="en-US"/>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drumuri</c:v>
                </c:pt>
              </c:strCache>
            </c:strRef>
          </c:tx>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Sheet1!$B$2:$B$6</c:f>
              <c:numCache>
                <c:formatCode>General</c:formatCode>
                <c:ptCount val="5"/>
                <c:pt idx="0">
                  <c:v>4950</c:v>
                </c:pt>
                <c:pt idx="1">
                  <c:v>7015</c:v>
                </c:pt>
                <c:pt idx="2">
                  <c:v>4111</c:v>
                </c:pt>
                <c:pt idx="3">
                  <c:v>1315</c:v>
                </c:pt>
                <c:pt idx="4">
                  <c:v>304</c:v>
                </c:pt>
              </c:numCache>
            </c:numRef>
          </c:val>
          <c:extLst xmlns:c16r2="http://schemas.microsoft.com/office/drawing/2015/06/chart">
            <c:ext xmlns:c16="http://schemas.microsoft.com/office/drawing/2014/chart" uri="{C3380CC4-5D6E-409C-BE32-E72D297353CC}">
              <c16:uniqueId val="{00000000-9663-4B22-9B9B-46361BF38330}"/>
            </c:ext>
          </c:extLst>
        </c:ser>
        <c:ser>
          <c:idx val="1"/>
          <c:order val="1"/>
          <c:tx>
            <c:strRef>
              <c:f>Sheet1!$C$1</c:f>
              <c:strCache>
                <c:ptCount val="1"/>
                <c:pt idx="0">
                  <c:v>cai ferate</c:v>
                </c:pt>
              </c:strCache>
            </c:strRef>
          </c:tx>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Sheet1!$C$2:$C$6</c:f>
              <c:numCache>
                <c:formatCode>General</c:formatCode>
                <c:ptCount val="5"/>
                <c:pt idx="0">
                  <c:v>40</c:v>
                </c:pt>
                <c:pt idx="1">
                  <c:v>13</c:v>
                </c:pt>
                <c:pt idx="2">
                  <c:v>1</c:v>
                </c:pt>
                <c:pt idx="3">
                  <c:v>0</c:v>
                </c:pt>
                <c:pt idx="4">
                  <c:v>0</c:v>
                </c:pt>
              </c:numCache>
            </c:numRef>
          </c:val>
          <c:extLst xmlns:c16r2="http://schemas.microsoft.com/office/drawing/2015/06/chart">
            <c:ext xmlns:c16="http://schemas.microsoft.com/office/drawing/2014/chart" uri="{C3380CC4-5D6E-409C-BE32-E72D297353CC}">
              <c16:uniqueId val="{00000001-9663-4B22-9B9B-46361BF38330}"/>
            </c:ext>
          </c:extLst>
        </c:ser>
        <c:ser>
          <c:idx val="2"/>
          <c:order val="2"/>
          <c:tx>
            <c:strRef>
              <c:f>Sheet1!$D$1</c:f>
              <c:strCache>
                <c:ptCount val="1"/>
                <c:pt idx="0">
                  <c:v>tramvai</c:v>
                </c:pt>
              </c:strCache>
            </c:strRef>
          </c:tx>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Sheet1!$D$2:$D$6</c:f>
              <c:numCache>
                <c:formatCode>General</c:formatCode>
                <c:ptCount val="5"/>
                <c:pt idx="0">
                  <c:v>1250</c:v>
                </c:pt>
                <c:pt idx="1">
                  <c:v>225</c:v>
                </c:pt>
                <c:pt idx="2">
                  <c:v>14</c:v>
                </c:pt>
                <c:pt idx="3">
                  <c:v>2</c:v>
                </c:pt>
                <c:pt idx="4">
                  <c:v>0</c:v>
                </c:pt>
              </c:numCache>
            </c:numRef>
          </c:val>
          <c:extLst xmlns:c16r2="http://schemas.microsoft.com/office/drawing/2015/06/chart">
            <c:ext xmlns:c16="http://schemas.microsoft.com/office/drawing/2014/chart" uri="{C3380CC4-5D6E-409C-BE32-E72D297353CC}">
              <c16:uniqueId val="{00000002-9663-4B22-9B9B-46361BF38330}"/>
            </c:ext>
          </c:extLst>
        </c:ser>
        <c:ser>
          <c:idx val="3"/>
          <c:order val="3"/>
          <c:tx>
            <c:strRef>
              <c:f>Sheet1!$E$1</c:f>
              <c:strCache>
                <c:ptCount val="1"/>
                <c:pt idx="0">
                  <c:v>aeroport</c:v>
                </c:pt>
              </c:strCache>
            </c:strRef>
          </c:tx>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Sheet1!$E$2:$E$6</c:f>
              <c:numCache>
                <c:formatCode>General</c:formatCode>
                <c:ptCount val="5"/>
                <c:pt idx="0">
                  <c:v>19</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3-9663-4B22-9B9B-46361BF38330}"/>
            </c:ext>
          </c:extLst>
        </c:ser>
        <c:ser>
          <c:idx val="4"/>
          <c:order val="4"/>
          <c:tx>
            <c:strRef>
              <c:f>Sheet1!$F$1</c:f>
              <c:strCache>
                <c:ptCount val="1"/>
                <c:pt idx="0">
                  <c:v>industrie</c:v>
                </c:pt>
              </c:strCache>
            </c:strRef>
          </c:tx>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Sheet1!$F$2:$F$6</c:f>
              <c:numCache>
                <c:formatCode>General</c:formatCode>
                <c:ptCount val="5"/>
                <c:pt idx="0">
                  <c:v>22</c:v>
                </c:pt>
                <c:pt idx="1">
                  <c:v>10</c:v>
                </c:pt>
                <c:pt idx="2">
                  <c:v>0</c:v>
                </c:pt>
                <c:pt idx="3">
                  <c:v>0</c:v>
                </c:pt>
                <c:pt idx="4">
                  <c:v>0</c:v>
                </c:pt>
              </c:numCache>
            </c:numRef>
          </c:val>
          <c:extLst xmlns:c16r2="http://schemas.microsoft.com/office/drawing/2015/06/chart">
            <c:ext xmlns:c16="http://schemas.microsoft.com/office/drawing/2014/chart" uri="{C3380CC4-5D6E-409C-BE32-E72D297353CC}">
              <c16:uniqueId val="{00000004-9663-4B22-9B9B-46361BF38330}"/>
            </c:ext>
          </c:extLst>
        </c:ser>
        <c:dLbls>
          <c:showLegendKey val="0"/>
          <c:showVal val="0"/>
          <c:showCatName val="0"/>
          <c:showSerName val="0"/>
          <c:showPercent val="0"/>
          <c:showBubbleSize val="0"/>
        </c:dLbls>
        <c:gapWidth val="150"/>
        <c:axId val="436740864"/>
        <c:axId val="436742400"/>
      </c:barChart>
      <c:catAx>
        <c:axId val="436740864"/>
        <c:scaling>
          <c:orientation val="minMax"/>
        </c:scaling>
        <c:delete val="0"/>
        <c:axPos val="b"/>
        <c:numFmt formatCode="General" sourceLinked="1"/>
        <c:majorTickMark val="out"/>
        <c:minorTickMark val="none"/>
        <c:tickLblPos val="nextTo"/>
        <c:crossAx val="436742400"/>
        <c:crosses val="autoZero"/>
        <c:auto val="1"/>
        <c:lblAlgn val="ctr"/>
        <c:lblOffset val="100"/>
        <c:noMultiLvlLbl val="0"/>
      </c:catAx>
      <c:valAx>
        <c:axId val="436742400"/>
        <c:scaling>
          <c:orientation val="minMax"/>
        </c:scaling>
        <c:delete val="0"/>
        <c:axPos val="l"/>
        <c:majorGridlines/>
        <c:numFmt formatCode="General" sourceLinked="1"/>
        <c:majorTickMark val="out"/>
        <c:minorTickMark val="none"/>
        <c:tickLblPos val="nextTo"/>
        <c:crossAx val="43674086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a:t>As</a:t>
            </a:r>
            <a:r>
              <a:rPr lang="en-US"/>
              <a:t> - Concentraţii medii anuale 202</a:t>
            </a:r>
            <a:r>
              <a:rPr lang="ro-RO"/>
              <a:t>3 </a:t>
            </a:r>
            <a:r>
              <a:rPr lang="en-US"/>
              <a:t> înregistrate la staţiile de monitorizare</a:t>
            </a:r>
          </a:p>
        </c:rich>
      </c:tx>
      <c:layout>
        <c:manualLayout>
          <c:xMode val="edge"/>
          <c:yMode val="edge"/>
          <c:x val="0.11257353941868378"/>
          <c:y val="5.8513822135869378E-2"/>
        </c:manualLayout>
      </c:layout>
      <c:overlay val="0"/>
      <c:spPr>
        <a:noFill/>
        <a:ln w="24689">
          <a:noFill/>
        </a:ln>
      </c:spPr>
    </c:title>
    <c:autoTitleDeleted val="0"/>
    <c:plotArea>
      <c:layout>
        <c:manualLayout>
          <c:layoutTarget val="inner"/>
          <c:xMode val="edge"/>
          <c:yMode val="edge"/>
          <c:x val="0.11254612546125585"/>
          <c:y val="0.24022346368715194"/>
          <c:w val="0.87084870848709184"/>
          <c:h val="0.50279329608939161"/>
        </c:manualLayout>
      </c:layout>
      <c:barChart>
        <c:barDir val="col"/>
        <c:grouping val="clustered"/>
        <c:varyColors val="0"/>
        <c:ser>
          <c:idx val="1"/>
          <c:order val="0"/>
          <c:tx>
            <c:strRef>
              <c:f>Sheet1!$A$2</c:f>
              <c:strCache>
                <c:ptCount val="1"/>
                <c:pt idx="0">
                  <c:v>Concentraţii medii anuale</c:v>
                </c:pt>
              </c:strCache>
            </c:strRef>
          </c:tx>
          <c:spPr>
            <a:solidFill>
              <a:srgbClr val="993366"/>
            </a:solidFill>
            <a:ln w="12344">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Sheet1!$B$2:$L$2</c:f>
              <c:numCache>
                <c:formatCode>General</c:formatCode>
                <c:ptCount val="11"/>
                <c:pt idx="0">
                  <c:v>1.64</c:v>
                </c:pt>
                <c:pt idx="6">
                  <c:v>1.03</c:v>
                </c:pt>
              </c:numCache>
            </c:numRef>
          </c:val>
          <c:extLst xmlns:c16r2="http://schemas.microsoft.com/office/drawing/2015/06/chart">
            <c:ext xmlns:c16="http://schemas.microsoft.com/office/drawing/2014/chart" uri="{C3380CC4-5D6E-409C-BE32-E72D297353CC}">
              <c16:uniqueId val="{00000000-64D1-42E6-AFAD-C6D5CC8C6F1F}"/>
            </c:ext>
          </c:extLst>
        </c:ser>
        <c:ser>
          <c:idx val="2"/>
          <c:order val="2"/>
          <c:tx>
            <c:strRef>
              <c:f>Sheet1!$A$4</c:f>
              <c:strCache>
                <c:ptCount val="1"/>
              </c:strCache>
            </c:strRef>
          </c:tx>
          <c:spPr>
            <a:solidFill>
              <a:srgbClr val="FFFFCC"/>
            </a:solidFill>
            <a:ln w="12344">
              <a:solidFill>
                <a:srgbClr val="000000"/>
              </a:solidFill>
              <a:prstDash val="solid"/>
            </a:ln>
          </c:spPr>
          <c:invertIfNegative val="0"/>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Sheet1!$B$4:$L$4</c:f>
              <c:numCache>
                <c:formatCode>General</c:formatCode>
                <c:ptCount val="11"/>
              </c:numCache>
            </c:numRef>
          </c:val>
          <c:extLst xmlns:c16r2="http://schemas.microsoft.com/office/drawing/2015/06/chart">
            <c:ext xmlns:c16="http://schemas.microsoft.com/office/drawing/2014/chart" uri="{C3380CC4-5D6E-409C-BE32-E72D297353CC}">
              <c16:uniqueId val="{00000001-64D1-42E6-AFAD-C6D5CC8C6F1F}"/>
            </c:ext>
          </c:extLst>
        </c:ser>
        <c:dLbls>
          <c:showLegendKey val="0"/>
          <c:showVal val="0"/>
          <c:showCatName val="0"/>
          <c:showSerName val="0"/>
          <c:showPercent val="0"/>
          <c:showBubbleSize val="0"/>
        </c:dLbls>
        <c:gapWidth val="150"/>
        <c:axId val="352232960"/>
        <c:axId val="352234880"/>
      </c:barChart>
      <c:lineChart>
        <c:grouping val="standard"/>
        <c:varyColors val="0"/>
        <c:ser>
          <c:idx val="0"/>
          <c:order val="1"/>
          <c:tx>
            <c:strRef>
              <c:f>Sheet1!$A$3</c:f>
              <c:strCache>
                <c:ptCount val="1"/>
                <c:pt idx="0">
                  <c:v>Valaorea limită</c:v>
                </c:pt>
              </c:strCache>
            </c:strRef>
          </c:tx>
          <c:spPr>
            <a:ln w="27775">
              <a:solidFill>
                <a:srgbClr val="FF0000"/>
              </a:solidFill>
              <a:prstDash val="solid"/>
            </a:ln>
          </c:spPr>
          <c:marker>
            <c:symbol val="none"/>
          </c:marker>
          <c:cat>
            <c:strRef>
              <c:f>Sheet1!$B$1:$L$1</c:f>
              <c:strCache>
                <c:ptCount val="11"/>
                <c:pt idx="0">
                  <c:v>B1</c:v>
                </c:pt>
                <c:pt idx="1">
                  <c:v>B2</c:v>
                </c:pt>
                <c:pt idx="2">
                  <c:v>B3</c:v>
                </c:pt>
                <c:pt idx="3">
                  <c:v>B4</c:v>
                </c:pt>
                <c:pt idx="4">
                  <c:v>B5</c:v>
                </c:pt>
                <c:pt idx="5">
                  <c:v>B6</c:v>
                </c:pt>
                <c:pt idx="6">
                  <c:v>B7</c:v>
                </c:pt>
                <c:pt idx="7">
                  <c:v>B8</c:v>
                </c:pt>
                <c:pt idx="8">
                  <c:v>B9</c:v>
                </c:pt>
                <c:pt idx="9">
                  <c:v>B10</c:v>
                </c:pt>
                <c:pt idx="10">
                  <c:v>B11</c:v>
                </c:pt>
              </c:strCache>
            </c:strRef>
          </c:cat>
          <c:val>
            <c:numRef>
              <c:f>Sheet1!$B$3:$L$3</c:f>
              <c:numCache>
                <c:formatCode>General</c:formatCode>
                <c:ptCount val="11"/>
                <c:pt idx="0">
                  <c:v>6</c:v>
                </c:pt>
                <c:pt idx="1">
                  <c:v>6</c:v>
                </c:pt>
                <c:pt idx="2">
                  <c:v>6</c:v>
                </c:pt>
                <c:pt idx="3">
                  <c:v>6</c:v>
                </c:pt>
                <c:pt idx="4">
                  <c:v>6</c:v>
                </c:pt>
                <c:pt idx="5">
                  <c:v>6</c:v>
                </c:pt>
                <c:pt idx="6">
                  <c:v>6</c:v>
                </c:pt>
                <c:pt idx="7">
                  <c:v>6</c:v>
                </c:pt>
                <c:pt idx="8">
                  <c:v>6</c:v>
                </c:pt>
                <c:pt idx="9">
                  <c:v>6</c:v>
                </c:pt>
                <c:pt idx="10">
                  <c:v>6</c:v>
                </c:pt>
              </c:numCache>
            </c:numRef>
          </c:val>
          <c:smooth val="0"/>
          <c:extLst xmlns:c16r2="http://schemas.microsoft.com/office/drawing/2015/06/chart">
            <c:ext xmlns:c16="http://schemas.microsoft.com/office/drawing/2014/chart" uri="{C3380CC4-5D6E-409C-BE32-E72D297353CC}">
              <c16:uniqueId val="{00000002-64D1-42E6-AFAD-C6D5CC8C6F1F}"/>
            </c:ext>
          </c:extLst>
        </c:ser>
        <c:dLbls>
          <c:showLegendKey val="0"/>
          <c:showVal val="0"/>
          <c:showCatName val="0"/>
          <c:showSerName val="0"/>
          <c:showPercent val="0"/>
          <c:showBubbleSize val="0"/>
        </c:dLbls>
        <c:marker val="1"/>
        <c:smooth val="0"/>
        <c:axId val="352249344"/>
        <c:axId val="352250880"/>
      </c:lineChart>
      <c:catAx>
        <c:axId val="352232960"/>
        <c:scaling>
          <c:orientation val="minMax"/>
        </c:scaling>
        <c:delete val="0"/>
        <c:axPos val="b"/>
        <c:title>
          <c:tx>
            <c:rich>
              <a:bodyPr/>
              <a:lstStyle/>
              <a:p>
                <a:pPr>
                  <a:defRPr/>
                </a:pPr>
                <a:r>
                  <a:rPr lang="en-US"/>
                  <a:t>staţii monitorizare</a:t>
                </a:r>
              </a:p>
            </c:rich>
          </c:tx>
          <c:layout>
            <c:manualLayout>
              <c:xMode val="edge"/>
              <c:yMode val="edge"/>
              <c:x val="0.4372693318945024"/>
              <c:y val="0.82681568343922052"/>
            </c:manualLayout>
          </c:layout>
          <c:overlay val="0"/>
          <c:spPr>
            <a:noFill/>
            <a:ln w="24689">
              <a:noFill/>
            </a:ln>
          </c:spPr>
        </c:title>
        <c:numFmt formatCode="General" sourceLinked="1"/>
        <c:majorTickMark val="cross"/>
        <c:minorTickMark val="none"/>
        <c:tickLblPos val="nextTo"/>
        <c:spPr>
          <a:ln w="3086">
            <a:solidFill>
              <a:srgbClr val="000000"/>
            </a:solidFill>
            <a:prstDash val="solid"/>
          </a:ln>
        </c:spPr>
        <c:txPr>
          <a:bodyPr rot="0" vert="horz"/>
          <a:lstStyle/>
          <a:p>
            <a:pPr>
              <a:defRPr/>
            </a:pPr>
            <a:endParaRPr lang="en-US"/>
          </a:p>
        </c:txPr>
        <c:crossAx val="352234880"/>
        <c:crosses val="autoZero"/>
        <c:auto val="0"/>
        <c:lblAlgn val="ctr"/>
        <c:lblOffset val="100"/>
        <c:tickLblSkip val="1"/>
        <c:tickMarkSkip val="1"/>
        <c:noMultiLvlLbl val="0"/>
      </c:catAx>
      <c:valAx>
        <c:axId val="352234880"/>
        <c:scaling>
          <c:orientation val="minMax"/>
        </c:scaling>
        <c:delete val="0"/>
        <c:axPos val="l"/>
        <c:title>
          <c:tx>
            <c:rich>
              <a:bodyPr/>
              <a:lstStyle/>
              <a:p>
                <a:pPr>
                  <a:defRPr/>
                </a:pPr>
                <a:r>
                  <a:rPr lang="en-US"/>
                  <a:t>concentraţie ng/m3</a:t>
                </a:r>
              </a:p>
            </c:rich>
          </c:tx>
          <c:layout>
            <c:manualLayout>
              <c:xMode val="edge"/>
              <c:yMode val="edge"/>
              <c:x val="2.0295107753839029E-2"/>
              <c:y val="0.31284924889114762"/>
            </c:manualLayout>
          </c:layout>
          <c:overlay val="0"/>
          <c:spPr>
            <a:noFill/>
            <a:ln w="24689">
              <a:noFill/>
            </a:ln>
          </c:spPr>
        </c:title>
        <c:numFmt formatCode="General" sourceLinked="1"/>
        <c:majorTickMark val="cross"/>
        <c:minorTickMark val="none"/>
        <c:tickLblPos val="nextTo"/>
        <c:spPr>
          <a:ln w="3086">
            <a:solidFill>
              <a:srgbClr val="000000"/>
            </a:solidFill>
            <a:prstDash val="solid"/>
          </a:ln>
        </c:spPr>
        <c:txPr>
          <a:bodyPr rot="0" vert="horz"/>
          <a:lstStyle/>
          <a:p>
            <a:pPr>
              <a:defRPr/>
            </a:pPr>
            <a:endParaRPr lang="en-US"/>
          </a:p>
        </c:txPr>
        <c:crossAx val="352232960"/>
        <c:crosses val="autoZero"/>
        <c:crossBetween val="between"/>
      </c:valAx>
      <c:catAx>
        <c:axId val="352249344"/>
        <c:scaling>
          <c:orientation val="minMax"/>
        </c:scaling>
        <c:delete val="1"/>
        <c:axPos val="b"/>
        <c:numFmt formatCode="General" sourceLinked="1"/>
        <c:majorTickMark val="out"/>
        <c:minorTickMark val="none"/>
        <c:tickLblPos val="nextTo"/>
        <c:crossAx val="352250880"/>
        <c:crosses val="autoZero"/>
        <c:auto val="0"/>
        <c:lblAlgn val="ctr"/>
        <c:lblOffset val="100"/>
        <c:noMultiLvlLbl val="0"/>
      </c:catAx>
      <c:valAx>
        <c:axId val="352250880"/>
        <c:scaling>
          <c:orientation val="minMax"/>
        </c:scaling>
        <c:delete val="1"/>
        <c:axPos val="l"/>
        <c:numFmt formatCode="General" sourceLinked="1"/>
        <c:majorTickMark val="out"/>
        <c:minorTickMark val="none"/>
        <c:tickLblPos val="nextTo"/>
        <c:crossAx val="352249344"/>
        <c:crosses val="autoZero"/>
        <c:crossBetween val="between"/>
      </c:valAx>
      <c:spPr>
        <a:solidFill>
          <a:srgbClr val="C0C0C0"/>
        </a:solidFill>
        <a:ln w="12344">
          <a:solidFill>
            <a:srgbClr val="808080"/>
          </a:solidFill>
          <a:prstDash val="solid"/>
        </a:ln>
      </c:spPr>
    </c:plotArea>
    <c:legend>
      <c:legendPos val="b"/>
      <c:layout>
        <c:manualLayout>
          <c:xMode val="edge"/>
          <c:yMode val="edge"/>
          <c:x val="0.22878221982417074"/>
          <c:y val="0.92458101870055065"/>
          <c:w val="0.63468621766592448"/>
          <c:h val="6.7039061885641793E-2"/>
        </c:manualLayout>
      </c:layout>
      <c:overlay val="0"/>
      <c:spPr>
        <a:solidFill>
          <a:srgbClr val="FFFFFF"/>
        </a:solidFill>
        <a:ln w="3086">
          <a:solidFill>
            <a:srgbClr val="000000"/>
          </a:solidFill>
          <a:prstDash val="solid"/>
        </a:ln>
      </c:spPr>
    </c:legend>
    <c:plotVisOnly val="1"/>
    <c:dispBlanksAs val="gap"/>
    <c:showDLblsOverMax val="0"/>
  </c:chart>
  <c:spPr>
    <a:noFill/>
    <a:ln>
      <a:noFill/>
    </a:ln>
  </c:spPr>
  <c:txPr>
    <a:bodyPr/>
    <a:lstStyle/>
    <a:p>
      <a:pPr>
        <a:defRPr sz="972" b="0" i="0" u="none" strike="noStrike" baseline="0">
          <a:solidFill>
            <a:srgbClr val="000000"/>
          </a:solidFill>
          <a:latin typeface="Trebuchet MS" pitchFamily="34" charset="0"/>
          <a:ea typeface="Arial"/>
          <a:cs typeface="Arial"/>
        </a:defRPr>
      </a:pPr>
      <a:endParaRPr lang="en-US"/>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drumuri</c:v>
                </c:pt>
              </c:strCache>
            </c:strRef>
          </c:tx>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Sheet1!$B$2:$B$7</c:f>
              <c:numCache>
                <c:formatCode>General</c:formatCode>
                <c:ptCount val="6"/>
                <c:pt idx="0">
                  <c:v>4039</c:v>
                </c:pt>
                <c:pt idx="1">
                  <c:v>6679</c:v>
                </c:pt>
                <c:pt idx="2">
                  <c:v>5617</c:v>
                </c:pt>
                <c:pt idx="3">
                  <c:v>1966</c:v>
                </c:pt>
                <c:pt idx="4">
                  <c:v>572</c:v>
                </c:pt>
                <c:pt idx="5">
                  <c:v>35</c:v>
                </c:pt>
              </c:numCache>
            </c:numRef>
          </c:val>
          <c:extLst xmlns:c16r2="http://schemas.microsoft.com/office/drawing/2015/06/chart">
            <c:ext xmlns:c16="http://schemas.microsoft.com/office/drawing/2014/chart" uri="{C3380CC4-5D6E-409C-BE32-E72D297353CC}">
              <c16:uniqueId val="{00000000-533C-4FB1-9733-6383B40F530F}"/>
            </c:ext>
          </c:extLst>
        </c:ser>
        <c:ser>
          <c:idx val="1"/>
          <c:order val="1"/>
          <c:tx>
            <c:strRef>
              <c:f>Sheet1!$C$1</c:f>
              <c:strCache>
                <c:ptCount val="1"/>
                <c:pt idx="0">
                  <c:v>cai ferate</c:v>
                </c:pt>
              </c:strCache>
            </c:strRef>
          </c:tx>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Sheet1!$C$2:$C$7</c:f>
              <c:numCache>
                <c:formatCode>General</c:formatCode>
                <c:ptCount val="6"/>
                <c:pt idx="0">
                  <c:v>50</c:v>
                </c:pt>
                <c:pt idx="1">
                  <c:v>25</c:v>
                </c:pt>
                <c:pt idx="2">
                  <c:v>4</c:v>
                </c:pt>
                <c:pt idx="3">
                  <c:v>1</c:v>
                </c:pt>
                <c:pt idx="4">
                  <c:v>0</c:v>
                </c:pt>
                <c:pt idx="5">
                  <c:v>0</c:v>
                </c:pt>
              </c:numCache>
            </c:numRef>
          </c:val>
          <c:extLst xmlns:c16r2="http://schemas.microsoft.com/office/drawing/2015/06/chart">
            <c:ext xmlns:c16="http://schemas.microsoft.com/office/drawing/2014/chart" uri="{C3380CC4-5D6E-409C-BE32-E72D297353CC}">
              <c16:uniqueId val="{00000001-533C-4FB1-9733-6383B40F530F}"/>
            </c:ext>
          </c:extLst>
        </c:ser>
        <c:ser>
          <c:idx val="2"/>
          <c:order val="2"/>
          <c:tx>
            <c:strRef>
              <c:f>Sheet1!$D$1</c:f>
              <c:strCache>
                <c:ptCount val="1"/>
                <c:pt idx="0">
                  <c:v>tramvai</c:v>
                </c:pt>
              </c:strCache>
            </c:strRef>
          </c:tx>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Sheet1!$D$2:$D$7</c:f>
              <c:numCache>
                <c:formatCode>General</c:formatCode>
                <c:ptCount val="6"/>
                <c:pt idx="0">
                  <c:v>1493</c:v>
                </c:pt>
                <c:pt idx="1">
                  <c:v>579</c:v>
                </c:pt>
                <c:pt idx="2">
                  <c:v>40</c:v>
                </c:pt>
                <c:pt idx="3">
                  <c:v>4</c:v>
                </c:pt>
                <c:pt idx="4">
                  <c:v>0</c:v>
                </c:pt>
                <c:pt idx="5">
                  <c:v>0</c:v>
                </c:pt>
              </c:numCache>
            </c:numRef>
          </c:val>
          <c:extLst xmlns:c16r2="http://schemas.microsoft.com/office/drawing/2015/06/chart">
            <c:ext xmlns:c16="http://schemas.microsoft.com/office/drawing/2014/chart" uri="{C3380CC4-5D6E-409C-BE32-E72D297353CC}">
              <c16:uniqueId val="{00000002-533C-4FB1-9733-6383B40F530F}"/>
            </c:ext>
          </c:extLst>
        </c:ser>
        <c:ser>
          <c:idx val="3"/>
          <c:order val="3"/>
          <c:tx>
            <c:strRef>
              <c:f>Sheet1!$E$1</c:f>
              <c:strCache>
                <c:ptCount val="1"/>
                <c:pt idx="0">
                  <c:v>aeroport</c:v>
                </c:pt>
              </c:strCache>
            </c:strRef>
          </c:tx>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Sheet1!$E$2:$E$7</c:f>
              <c:numCache>
                <c:formatCode>General</c:formatCode>
                <c:ptCount val="6"/>
                <c:pt idx="0">
                  <c:v>2</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3-533C-4FB1-9733-6383B40F530F}"/>
            </c:ext>
          </c:extLst>
        </c:ser>
        <c:ser>
          <c:idx val="4"/>
          <c:order val="4"/>
          <c:tx>
            <c:strRef>
              <c:f>Sheet1!$F$1</c:f>
              <c:strCache>
                <c:ptCount val="1"/>
                <c:pt idx="0">
                  <c:v>industrie</c:v>
                </c:pt>
              </c:strCache>
            </c:strRef>
          </c:tx>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Sheet1!$F$2:$F$7</c:f>
              <c:numCache>
                <c:formatCode>General</c:formatCode>
                <c:ptCount val="6"/>
                <c:pt idx="0">
                  <c:v>30</c:v>
                </c:pt>
                <c:pt idx="1">
                  <c:v>18</c:v>
                </c:pt>
                <c:pt idx="2">
                  <c:v>8</c:v>
                </c:pt>
                <c:pt idx="3">
                  <c:v>0</c:v>
                </c:pt>
                <c:pt idx="4">
                  <c:v>0</c:v>
                </c:pt>
                <c:pt idx="5">
                  <c:v>0</c:v>
                </c:pt>
              </c:numCache>
            </c:numRef>
          </c:val>
          <c:extLst xmlns:c16r2="http://schemas.microsoft.com/office/drawing/2015/06/chart">
            <c:ext xmlns:c16="http://schemas.microsoft.com/office/drawing/2014/chart" uri="{C3380CC4-5D6E-409C-BE32-E72D297353CC}">
              <c16:uniqueId val="{00000004-533C-4FB1-9733-6383B40F530F}"/>
            </c:ext>
          </c:extLst>
        </c:ser>
        <c:dLbls>
          <c:showLegendKey val="0"/>
          <c:showVal val="0"/>
          <c:showCatName val="0"/>
          <c:showSerName val="0"/>
          <c:showPercent val="0"/>
          <c:showBubbleSize val="0"/>
        </c:dLbls>
        <c:gapWidth val="150"/>
        <c:axId val="475323392"/>
        <c:axId val="437125888"/>
      </c:barChart>
      <c:catAx>
        <c:axId val="475323392"/>
        <c:scaling>
          <c:orientation val="minMax"/>
        </c:scaling>
        <c:delete val="0"/>
        <c:axPos val="b"/>
        <c:numFmt formatCode="General" sourceLinked="1"/>
        <c:majorTickMark val="out"/>
        <c:minorTickMark val="none"/>
        <c:tickLblPos val="nextTo"/>
        <c:txPr>
          <a:bodyPr rot="0" vert="horz"/>
          <a:lstStyle/>
          <a:p>
            <a:pPr>
              <a:defRPr sz="1002" b="0" i="0" u="none" strike="noStrike" baseline="0">
                <a:solidFill>
                  <a:srgbClr val="000000"/>
                </a:solidFill>
                <a:latin typeface="Calibri"/>
                <a:ea typeface="Calibri"/>
                <a:cs typeface="Calibri"/>
              </a:defRPr>
            </a:pPr>
            <a:endParaRPr lang="en-US"/>
          </a:p>
        </c:txPr>
        <c:crossAx val="437125888"/>
        <c:crosses val="autoZero"/>
        <c:auto val="1"/>
        <c:lblAlgn val="ctr"/>
        <c:lblOffset val="100"/>
        <c:noMultiLvlLbl val="0"/>
      </c:catAx>
      <c:valAx>
        <c:axId val="437125888"/>
        <c:scaling>
          <c:orientation val="minMax"/>
        </c:scaling>
        <c:delete val="0"/>
        <c:axPos val="l"/>
        <c:majorGridlines/>
        <c:numFmt formatCode="General" sourceLinked="1"/>
        <c:majorTickMark val="out"/>
        <c:minorTickMark val="none"/>
        <c:tickLblPos val="nextTo"/>
        <c:txPr>
          <a:bodyPr rot="0" vert="horz"/>
          <a:lstStyle/>
          <a:p>
            <a:pPr>
              <a:defRPr sz="1002" b="0" i="0" u="none" strike="noStrike" baseline="0">
                <a:solidFill>
                  <a:srgbClr val="000000"/>
                </a:solidFill>
                <a:latin typeface="Calibri"/>
                <a:ea typeface="Calibri"/>
                <a:cs typeface="Calibri"/>
              </a:defRPr>
            </a:pPr>
            <a:endParaRPr lang="en-US"/>
          </a:p>
        </c:txPr>
        <c:crossAx val="475323392"/>
        <c:crosses val="autoZero"/>
        <c:crossBetween val="between"/>
      </c:valAx>
    </c:plotArea>
    <c:legend>
      <c:legendPos val="r"/>
      <c:overlay val="0"/>
      <c:txPr>
        <a:bodyPr/>
        <a:lstStyle/>
        <a:p>
          <a:pPr>
            <a:defRPr sz="922"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2"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Sheet1!$B$2</c:f>
              <c:strCache>
                <c:ptCount val="1"/>
                <c:pt idx="0">
                  <c:v>ABA SOMEȘ-TISA</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Sheet1!$C$2:$I$2</c:f>
              <c:numCache>
                <c:formatCode>General</c:formatCode>
                <c:ptCount val="7"/>
                <c:pt idx="0">
                  <c:v>2</c:v>
                </c:pt>
                <c:pt idx="2">
                  <c:v>1</c:v>
                </c:pt>
                <c:pt idx="6">
                  <c:v>1</c:v>
                </c:pt>
              </c:numCache>
            </c:numRef>
          </c:val>
          <c:extLst xmlns:c16r2="http://schemas.microsoft.com/office/drawing/2015/06/chart">
            <c:ext xmlns:c16="http://schemas.microsoft.com/office/drawing/2014/chart" uri="{C3380CC4-5D6E-409C-BE32-E72D297353CC}">
              <c16:uniqueId val="{00000000-5F70-4228-BCCD-68086B54D908}"/>
            </c:ext>
          </c:extLst>
        </c:ser>
        <c:ser>
          <c:idx val="1"/>
          <c:order val="1"/>
          <c:tx>
            <c:strRef>
              <c:f>Sheet1!$B$3</c:f>
              <c:strCache>
                <c:ptCount val="1"/>
                <c:pt idx="0">
                  <c:v>ABA CRIȘURI</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Sheet1!$C$3:$I$3</c:f>
              <c:numCache>
                <c:formatCode>General</c:formatCode>
                <c:ptCount val="7"/>
                <c:pt idx="2">
                  <c:v>1</c:v>
                </c:pt>
                <c:pt idx="3">
                  <c:v>1</c:v>
                </c:pt>
                <c:pt idx="6">
                  <c:v>1</c:v>
                </c:pt>
              </c:numCache>
            </c:numRef>
          </c:val>
          <c:extLst xmlns:c16r2="http://schemas.microsoft.com/office/drawing/2015/06/chart">
            <c:ext xmlns:c16="http://schemas.microsoft.com/office/drawing/2014/chart" uri="{C3380CC4-5D6E-409C-BE32-E72D297353CC}">
              <c16:uniqueId val="{00000001-5F70-4228-BCCD-68086B54D908}"/>
            </c:ext>
          </c:extLst>
        </c:ser>
        <c:ser>
          <c:idx val="2"/>
          <c:order val="2"/>
          <c:tx>
            <c:strRef>
              <c:f>Sheet1!$B$4</c:f>
              <c:strCache>
                <c:ptCount val="1"/>
                <c:pt idx="0">
                  <c:v>ABA MUREȘ</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Sheet1!$C$4:$I$4</c:f>
              <c:numCache>
                <c:formatCode>General</c:formatCode>
                <c:ptCount val="7"/>
                <c:pt idx="2">
                  <c:v>1</c:v>
                </c:pt>
                <c:pt idx="6">
                  <c:v>2</c:v>
                </c:pt>
              </c:numCache>
            </c:numRef>
          </c:val>
          <c:extLst xmlns:c16r2="http://schemas.microsoft.com/office/drawing/2015/06/chart">
            <c:ext xmlns:c16="http://schemas.microsoft.com/office/drawing/2014/chart" uri="{C3380CC4-5D6E-409C-BE32-E72D297353CC}">
              <c16:uniqueId val="{00000002-5F70-4228-BCCD-68086B54D908}"/>
            </c:ext>
          </c:extLst>
        </c:ser>
        <c:ser>
          <c:idx val="3"/>
          <c:order val="3"/>
          <c:tx>
            <c:strRef>
              <c:f>Sheet1!$B$5</c:f>
              <c:strCache>
                <c:ptCount val="1"/>
                <c:pt idx="0">
                  <c:v>ABA BANAT</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Sheet1!$C$5:$I$5</c:f>
              <c:numCache>
                <c:formatCode>General</c:formatCode>
                <c:ptCount val="7"/>
                <c:pt idx="0">
                  <c:v>1</c:v>
                </c:pt>
                <c:pt idx="4">
                  <c:v>4</c:v>
                </c:pt>
                <c:pt idx="6">
                  <c:v>3</c:v>
                </c:pt>
              </c:numCache>
            </c:numRef>
          </c:val>
          <c:extLst xmlns:c16r2="http://schemas.microsoft.com/office/drawing/2015/06/chart">
            <c:ext xmlns:c16="http://schemas.microsoft.com/office/drawing/2014/chart" uri="{C3380CC4-5D6E-409C-BE32-E72D297353CC}">
              <c16:uniqueId val="{00000003-5F70-4228-BCCD-68086B54D908}"/>
            </c:ext>
          </c:extLst>
        </c:ser>
        <c:ser>
          <c:idx val="4"/>
          <c:order val="4"/>
          <c:tx>
            <c:strRef>
              <c:f>Sheet1!$B$6</c:f>
              <c:strCache>
                <c:ptCount val="1"/>
                <c:pt idx="0">
                  <c:v>ABA JIU</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Sheet1!$C$6:$I$6</c:f>
              <c:numCache>
                <c:formatCode>General</c:formatCode>
                <c:ptCount val="7"/>
                <c:pt idx="0">
                  <c:v>1</c:v>
                </c:pt>
                <c:pt idx="2">
                  <c:v>1</c:v>
                </c:pt>
                <c:pt idx="3">
                  <c:v>1</c:v>
                </c:pt>
                <c:pt idx="4">
                  <c:v>2</c:v>
                </c:pt>
                <c:pt idx="6">
                  <c:v>1</c:v>
                </c:pt>
              </c:numCache>
            </c:numRef>
          </c:val>
          <c:extLst xmlns:c16r2="http://schemas.microsoft.com/office/drawing/2015/06/chart">
            <c:ext xmlns:c16="http://schemas.microsoft.com/office/drawing/2014/chart" uri="{C3380CC4-5D6E-409C-BE32-E72D297353CC}">
              <c16:uniqueId val="{00000004-5F70-4228-BCCD-68086B54D908}"/>
            </c:ext>
          </c:extLst>
        </c:ser>
        <c:ser>
          <c:idx val="5"/>
          <c:order val="5"/>
          <c:tx>
            <c:strRef>
              <c:f>Sheet1!$B$7</c:f>
              <c:strCache>
                <c:ptCount val="1"/>
                <c:pt idx="0">
                  <c:v>ABA OLT</c:v>
                </c:pt>
              </c:strCache>
            </c:strRef>
          </c:tx>
          <c:spPr>
            <a:solidFill>
              <a:schemeClr val="accent6">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Sheet1!$C$7:$I$7</c:f>
              <c:numCache>
                <c:formatCode>General</c:formatCode>
                <c:ptCount val="7"/>
                <c:pt idx="0">
                  <c:v>1</c:v>
                </c:pt>
                <c:pt idx="4">
                  <c:v>2</c:v>
                </c:pt>
              </c:numCache>
            </c:numRef>
          </c:val>
          <c:extLst xmlns:c16r2="http://schemas.microsoft.com/office/drawing/2015/06/chart">
            <c:ext xmlns:c16="http://schemas.microsoft.com/office/drawing/2014/chart" uri="{C3380CC4-5D6E-409C-BE32-E72D297353CC}">
              <c16:uniqueId val="{00000005-5F70-4228-BCCD-68086B54D908}"/>
            </c:ext>
          </c:extLst>
        </c:ser>
        <c:ser>
          <c:idx val="6"/>
          <c:order val="6"/>
          <c:tx>
            <c:strRef>
              <c:f>Sheet1!$B$8</c:f>
              <c:strCache>
                <c:ptCount val="1"/>
                <c:pt idx="0">
                  <c:v>ABA ARGEȘ-VEDEA</c:v>
                </c:pt>
              </c:strCache>
            </c:strRef>
          </c:tx>
          <c:spPr>
            <a:solidFill>
              <a:schemeClr val="accent1">
                <a:lumMod val="60000"/>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Sheet1!$C$8:$I$8</c:f>
              <c:numCache>
                <c:formatCode>General</c:formatCode>
                <c:ptCount val="7"/>
                <c:pt idx="4">
                  <c:v>3</c:v>
                </c:pt>
                <c:pt idx="6">
                  <c:v>1</c:v>
                </c:pt>
              </c:numCache>
            </c:numRef>
          </c:val>
          <c:extLst xmlns:c16r2="http://schemas.microsoft.com/office/drawing/2015/06/chart">
            <c:ext xmlns:c16="http://schemas.microsoft.com/office/drawing/2014/chart" uri="{C3380CC4-5D6E-409C-BE32-E72D297353CC}">
              <c16:uniqueId val="{00000006-5F70-4228-BCCD-68086B54D908}"/>
            </c:ext>
          </c:extLst>
        </c:ser>
        <c:ser>
          <c:idx val="7"/>
          <c:order val="7"/>
          <c:tx>
            <c:strRef>
              <c:f>Sheet1!$B$9</c:f>
              <c:strCache>
                <c:ptCount val="1"/>
                <c:pt idx="0">
                  <c:v>ABA BUZĂU-IALOMIȚA</c:v>
                </c:pt>
              </c:strCache>
            </c:strRef>
          </c:tx>
          <c:spPr>
            <a:solidFill>
              <a:schemeClr val="accent2">
                <a:lumMod val="60000"/>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Sheet1!$C$9:$I$9</c:f>
              <c:numCache>
                <c:formatCode>General</c:formatCode>
                <c:ptCount val="7"/>
                <c:pt idx="2">
                  <c:v>1</c:v>
                </c:pt>
                <c:pt idx="4">
                  <c:v>1</c:v>
                </c:pt>
                <c:pt idx="6">
                  <c:v>1</c:v>
                </c:pt>
              </c:numCache>
            </c:numRef>
          </c:val>
          <c:extLst xmlns:c16r2="http://schemas.microsoft.com/office/drawing/2015/06/chart">
            <c:ext xmlns:c16="http://schemas.microsoft.com/office/drawing/2014/chart" uri="{C3380CC4-5D6E-409C-BE32-E72D297353CC}">
              <c16:uniqueId val="{00000007-5F70-4228-BCCD-68086B54D908}"/>
            </c:ext>
          </c:extLst>
        </c:ser>
        <c:ser>
          <c:idx val="8"/>
          <c:order val="8"/>
          <c:tx>
            <c:strRef>
              <c:f>Sheet1!$B$10</c:f>
              <c:strCache>
                <c:ptCount val="1"/>
                <c:pt idx="0">
                  <c:v>ABA SIRET</c:v>
                </c:pt>
              </c:strCache>
            </c:strRef>
          </c:tx>
          <c:spPr>
            <a:solidFill>
              <a:schemeClr val="accent3">
                <a:lumMod val="60000"/>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Sheet1!$C$10:$I$10</c:f>
              <c:numCache>
                <c:formatCode>General</c:formatCode>
                <c:ptCount val="7"/>
                <c:pt idx="0">
                  <c:v>2</c:v>
                </c:pt>
                <c:pt idx="1">
                  <c:v>1</c:v>
                </c:pt>
                <c:pt idx="2">
                  <c:v>1</c:v>
                </c:pt>
                <c:pt idx="3">
                  <c:v>1</c:v>
                </c:pt>
                <c:pt idx="4">
                  <c:v>1</c:v>
                </c:pt>
                <c:pt idx="6">
                  <c:v>4</c:v>
                </c:pt>
              </c:numCache>
            </c:numRef>
          </c:val>
          <c:extLst xmlns:c16r2="http://schemas.microsoft.com/office/drawing/2015/06/chart">
            <c:ext xmlns:c16="http://schemas.microsoft.com/office/drawing/2014/chart" uri="{C3380CC4-5D6E-409C-BE32-E72D297353CC}">
              <c16:uniqueId val="{00000008-5F70-4228-BCCD-68086B54D908}"/>
            </c:ext>
          </c:extLst>
        </c:ser>
        <c:ser>
          <c:idx val="9"/>
          <c:order val="9"/>
          <c:tx>
            <c:strRef>
              <c:f>Sheet1!$B$11</c:f>
              <c:strCache>
                <c:ptCount val="1"/>
                <c:pt idx="0">
                  <c:v>ABA PRUT-BÂRLAD</c:v>
                </c:pt>
              </c:strCache>
            </c:strRef>
          </c:tx>
          <c:spPr>
            <a:solidFill>
              <a:schemeClr val="accent4">
                <a:lumMod val="60000"/>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Sheet1!$C$11:$I$11</c:f>
              <c:numCache>
                <c:formatCode>General</c:formatCode>
                <c:ptCount val="7"/>
                <c:pt idx="3">
                  <c:v>1</c:v>
                </c:pt>
                <c:pt idx="6">
                  <c:v>1</c:v>
                </c:pt>
              </c:numCache>
            </c:numRef>
          </c:val>
          <c:extLst xmlns:c16r2="http://schemas.microsoft.com/office/drawing/2015/06/chart">
            <c:ext xmlns:c16="http://schemas.microsoft.com/office/drawing/2014/chart" uri="{C3380CC4-5D6E-409C-BE32-E72D297353CC}">
              <c16:uniqueId val="{00000009-5F70-4228-BCCD-68086B54D908}"/>
            </c:ext>
          </c:extLst>
        </c:ser>
        <c:ser>
          <c:idx val="10"/>
          <c:order val="10"/>
          <c:tx>
            <c:strRef>
              <c:f>Sheet1!$B$12</c:f>
              <c:strCache>
                <c:ptCount val="1"/>
                <c:pt idx="0">
                  <c:v>ABA DOBROGEA-LITORAL</c:v>
                </c:pt>
              </c:strCache>
            </c:strRef>
          </c:tx>
          <c:spPr>
            <a:solidFill>
              <a:schemeClr val="accent5">
                <a:lumMod val="60000"/>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Sheet1!$C$12:$I$12</c:f>
              <c:numCache>
                <c:formatCode>General</c:formatCode>
                <c:ptCount val="7"/>
                <c:pt idx="0">
                  <c:v>2</c:v>
                </c:pt>
                <c:pt idx="5">
                  <c:v>2</c:v>
                </c:pt>
                <c:pt idx="6">
                  <c:v>3</c:v>
                </c:pt>
              </c:numCache>
            </c:numRef>
          </c:val>
          <c:extLst xmlns:c16r2="http://schemas.microsoft.com/office/drawing/2015/06/chart">
            <c:ext xmlns:c16="http://schemas.microsoft.com/office/drawing/2014/chart" uri="{C3380CC4-5D6E-409C-BE32-E72D297353CC}">
              <c16:uniqueId val="{0000000A-5F70-4228-BCCD-68086B54D908}"/>
            </c:ext>
          </c:extLst>
        </c:ser>
        <c:ser>
          <c:idx val="11"/>
          <c:order val="11"/>
          <c:tx>
            <c:strRef>
              <c:f>Sheet1!$B$13</c:f>
              <c:strCache>
                <c:ptCount val="1"/>
                <c:pt idx="0">
                  <c:v>FLUVIUL DUNĂREA</c:v>
                </c:pt>
              </c:strCache>
            </c:strRef>
          </c:tx>
          <c:spPr>
            <a:solidFill>
              <a:schemeClr val="accent6">
                <a:lumMod val="60000"/>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Sheet1!$C$1:$I$1</c:f>
              <c:numCache>
                <c:formatCode>General</c:formatCode>
                <c:ptCount val="7"/>
                <c:pt idx="0">
                  <c:v>2010</c:v>
                </c:pt>
                <c:pt idx="1">
                  <c:v>2011</c:v>
                </c:pt>
                <c:pt idx="2">
                  <c:v>2012</c:v>
                </c:pt>
                <c:pt idx="3">
                  <c:v>2013</c:v>
                </c:pt>
                <c:pt idx="4">
                  <c:v>2014</c:v>
                </c:pt>
                <c:pt idx="5">
                  <c:v>2015</c:v>
                </c:pt>
                <c:pt idx="6">
                  <c:v>2016</c:v>
                </c:pt>
              </c:numCache>
            </c:numRef>
          </c:cat>
          <c:val>
            <c:numRef>
              <c:f>Sheet1!$C$13:$I$13</c:f>
              <c:numCache>
                <c:formatCode>General</c:formatCode>
                <c:ptCount val="7"/>
                <c:pt idx="4">
                  <c:v>1</c:v>
                </c:pt>
              </c:numCache>
            </c:numRef>
          </c:val>
          <c:extLst xmlns:c16r2="http://schemas.microsoft.com/office/drawing/2015/06/chart">
            <c:ext xmlns:c16="http://schemas.microsoft.com/office/drawing/2014/chart" uri="{C3380CC4-5D6E-409C-BE32-E72D297353CC}">
              <c16:uniqueId val="{0000000B-5F70-4228-BCCD-68086B54D908}"/>
            </c:ext>
          </c:extLst>
        </c:ser>
        <c:dLbls>
          <c:showLegendKey val="0"/>
          <c:showVal val="0"/>
          <c:showCatName val="0"/>
          <c:showSerName val="0"/>
          <c:showPercent val="0"/>
          <c:showBubbleSize val="0"/>
        </c:dLbls>
        <c:gapWidth val="50"/>
        <c:overlap val="100"/>
        <c:axId val="475213184"/>
        <c:axId val="475227264"/>
      </c:barChart>
      <c:catAx>
        <c:axId val="475213184"/>
        <c:scaling>
          <c:orientation val="minMax"/>
        </c:scaling>
        <c:delete val="0"/>
        <c:axPos val="l"/>
        <c:numFmt formatCode="General" sourceLinked="1"/>
        <c:majorTickMark val="none"/>
        <c:minorTickMark val="none"/>
        <c:tickLblPos val="nextTo"/>
        <c:spPr>
          <a:noFill/>
          <a:ln w="9527"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475227264"/>
        <c:crosses val="autoZero"/>
        <c:auto val="1"/>
        <c:lblAlgn val="ctr"/>
        <c:lblOffset val="100"/>
        <c:noMultiLvlLbl val="0"/>
      </c:catAx>
      <c:valAx>
        <c:axId val="475227264"/>
        <c:scaling>
          <c:orientation val="minMax"/>
          <c:max val="18"/>
        </c:scaling>
        <c:delete val="0"/>
        <c:axPos val="b"/>
        <c:majorGridlines>
          <c:spPr>
            <a:ln w="9527"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a:lstStyle/>
              <a:p>
                <a:pPr>
                  <a:defRPr sz="800" b="1" i="0" u="none" strike="noStrike" baseline="0">
                    <a:solidFill>
                      <a:srgbClr val="333333"/>
                    </a:solidFill>
                    <a:latin typeface="Trebuchet MS"/>
                    <a:ea typeface="Trebuchet MS"/>
                    <a:cs typeface="Trebuchet MS"/>
                  </a:defRPr>
                </a:pPr>
                <a:r>
                  <a:rPr lang="ro-RO"/>
                  <a:t>Număr evenimente istorice semnificative</a:t>
                </a:r>
              </a:p>
            </c:rich>
          </c:tx>
          <c:layout>
            <c:manualLayout>
              <c:xMode val="edge"/>
              <c:yMode val="edge"/>
              <c:x val="0.3100707037027538"/>
              <c:y val="0.9118797306300014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475213184"/>
        <c:crosses val="autoZero"/>
        <c:crossBetween val="between"/>
        <c:majorUnit val="2"/>
      </c:valAx>
      <c:spPr>
        <a:noFill/>
        <a:ln w="25406">
          <a:noFill/>
        </a:ln>
      </c:spPr>
    </c:plotArea>
    <c:legend>
      <c:legendPos val="r"/>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sz="800" b="1">
          <a:latin typeface="Trebuchet MS" panose="020B0603020202020204" pitchFamily="34" charset="0"/>
        </a:defRPr>
      </a:pPr>
      <a:endParaRPr lang="en-US"/>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Sheet1!$B$26</c:f>
              <c:strCache>
                <c:ptCount val="1"/>
                <c:pt idx="0">
                  <c:v>sursă fluvială</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799"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Sheet1!$C$25:$O$25</c:f>
              <c:strCache>
                <c:ptCount val="12"/>
                <c:pt idx="0">
                  <c:v>ABA SOMEȘ-TISA</c:v>
                </c:pt>
                <c:pt idx="1">
                  <c:v>ABA CRIȘURI</c:v>
                </c:pt>
                <c:pt idx="2">
                  <c:v>ABA MUREȘ</c:v>
                </c:pt>
                <c:pt idx="3">
                  <c:v>ABA BANAT</c:v>
                </c:pt>
                <c:pt idx="4">
                  <c:v>ABA JIU</c:v>
                </c:pt>
                <c:pt idx="5">
                  <c:v>ABA OLT</c:v>
                </c:pt>
                <c:pt idx="6">
                  <c:v>ABA ARGEȘ-VEDEA</c:v>
                </c:pt>
                <c:pt idx="7">
                  <c:v>ABA BUZĂU-IALOMIȚA</c:v>
                </c:pt>
                <c:pt idx="8">
                  <c:v>ABA SIRET</c:v>
                </c:pt>
                <c:pt idx="9">
                  <c:v>ABA PRUT-BÂRLAD</c:v>
                </c:pt>
                <c:pt idx="10">
                  <c:v>ABA DOBROGEA-LITORAL</c:v>
                </c:pt>
                <c:pt idx="11">
                  <c:v>FLUVIUL DUNĂREA</c:v>
                </c:pt>
              </c:strCache>
            </c:strRef>
          </c:cat>
          <c:val>
            <c:numRef>
              <c:f>Sheet1!$C$26:$O$26</c:f>
              <c:numCache>
                <c:formatCode>General</c:formatCode>
                <c:ptCount val="13"/>
                <c:pt idx="0">
                  <c:v>46</c:v>
                </c:pt>
                <c:pt idx="1">
                  <c:v>38</c:v>
                </c:pt>
                <c:pt idx="2">
                  <c:v>78</c:v>
                </c:pt>
                <c:pt idx="3">
                  <c:v>62</c:v>
                </c:pt>
                <c:pt idx="4">
                  <c:v>28</c:v>
                </c:pt>
                <c:pt idx="5">
                  <c:v>61</c:v>
                </c:pt>
                <c:pt idx="6">
                  <c:v>38</c:v>
                </c:pt>
                <c:pt idx="7">
                  <c:v>27</c:v>
                </c:pt>
                <c:pt idx="8">
                  <c:v>71</c:v>
                </c:pt>
                <c:pt idx="9">
                  <c:v>46</c:v>
                </c:pt>
                <c:pt idx="10">
                  <c:v>12</c:v>
                </c:pt>
                <c:pt idx="11">
                  <c:v>2</c:v>
                </c:pt>
              </c:numCache>
            </c:numRef>
          </c:val>
          <c:extLst xmlns:c16r2="http://schemas.microsoft.com/office/drawing/2015/06/chart">
            <c:ext xmlns:c16="http://schemas.microsoft.com/office/drawing/2014/chart" uri="{C3380CC4-5D6E-409C-BE32-E72D297353CC}">
              <c16:uniqueId val="{00000000-B055-4281-B685-C7498C3F492F}"/>
            </c:ext>
          </c:extLst>
        </c:ser>
        <c:ser>
          <c:idx val="1"/>
          <c:order val="1"/>
          <c:tx>
            <c:strRef>
              <c:f>Sheet1!$B$27</c:f>
              <c:strCache>
                <c:ptCount val="1"/>
                <c:pt idx="0">
                  <c:v>sursă pluvială</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799"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Sheet1!$C$25:$O$25</c:f>
              <c:strCache>
                <c:ptCount val="12"/>
                <c:pt idx="0">
                  <c:v>ABA SOMEȘ-TISA</c:v>
                </c:pt>
                <c:pt idx="1">
                  <c:v>ABA CRIȘURI</c:v>
                </c:pt>
                <c:pt idx="2">
                  <c:v>ABA MUREȘ</c:v>
                </c:pt>
                <c:pt idx="3">
                  <c:v>ABA BANAT</c:v>
                </c:pt>
                <c:pt idx="4">
                  <c:v>ABA JIU</c:v>
                </c:pt>
                <c:pt idx="5">
                  <c:v>ABA OLT</c:v>
                </c:pt>
                <c:pt idx="6">
                  <c:v>ABA ARGEȘ-VEDEA</c:v>
                </c:pt>
                <c:pt idx="7">
                  <c:v>ABA BUZĂU-IALOMIȚA</c:v>
                </c:pt>
                <c:pt idx="8">
                  <c:v>ABA SIRET</c:v>
                </c:pt>
                <c:pt idx="9">
                  <c:v>ABA PRUT-BÂRLAD</c:v>
                </c:pt>
                <c:pt idx="10">
                  <c:v>ABA DOBROGEA-LITORAL</c:v>
                </c:pt>
                <c:pt idx="11">
                  <c:v>FLUVIUL DUNĂREA</c:v>
                </c:pt>
              </c:strCache>
            </c:strRef>
          </c:cat>
          <c:val>
            <c:numRef>
              <c:f>Sheet1!$C$27:$O$27</c:f>
              <c:numCache>
                <c:formatCode>General</c:formatCode>
                <c:ptCount val="13"/>
                <c:pt idx="0">
                  <c:v>2</c:v>
                </c:pt>
                <c:pt idx="3">
                  <c:v>4</c:v>
                </c:pt>
                <c:pt idx="4">
                  <c:v>1</c:v>
                </c:pt>
                <c:pt idx="5">
                  <c:v>1</c:v>
                </c:pt>
                <c:pt idx="6">
                  <c:v>1</c:v>
                </c:pt>
                <c:pt idx="7">
                  <c:v>1</c:v>
                </c:pt>
                <c:pt idx="8">
                  <c:v>3</c:v>
                </c:pt>
                <c:pt idx="10">
                  <c:v>4</c:v>
                </c:pt>
              </c:numCache>
            </c:numRef>
          </c:val>
          <c:extLst xmlns:c16r2="http://schemas.microsoft.com/office/drawing/2015/06/chart">
            <c:ext xmlns:c16="http://schemas.microsoft.com/office/drawing/2014/chart" uri="{C3380CC4-5D6E-409C-BE32-E72D297353CC}">
              <c16:uniqueId val="{00000001-B055-4281-B685-C7498C3F492F}"/>
            </c:ext>
          </c:extLst>
        </c:ser>
        <c:ser>
          <c:idx val="2"/>
          <c:order val="2"/>
          <c:tx>
            <c:strRef>
              <c:f>Sheet1!$B$28</c:f>
              <c:strCache>
                <c:ptCount val="1"/>
                <c:pt idx="0">
                  <c:v>costieră</c:v>
                </c:pt>
              </c:strCache>
            </c:strRef>
          </c:tx>
          <c:spPr>
            <a:solidFill>
              <a:schemeClr val="accent3">
                <a:alpha val="70000"/>
              </a:schemeClr>
            </a:solidFill>
            <a:ln>
              <a:noFill/>
            </a:ln>
            <a:effectLst/>
          </c:spPr>
          <c:invertIfNegative val="0"/>
          <c:dLbls>
            <c:dLbl>
              <c:idx val="11"/>
              <c:layout>
                <c:manualLayout>
                  <c:x val="2.7950341999210936E-2"/>
                  <c:y val="-3.4354221782199643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055-4281-B685-C7498C3F492F}"/>
                </c:ext>
              </c:extLst>
            </c:dLbl>
            <c:spPr>
              <a:noFill/>
              <a:ln>
                <a:noFill/>
              </a:ln>
              <a:effectLst/>
            </c:spPr>
            <c:txPr>
              <a:bodyPr rot="0" spcFirstLastPara="1" vertOverflow="ellipsis" vert="horz" wrap="square" anchor="ctr" anchorCtr="1"/>
              <a:lstStyle/>
              <a:p>
                <a:pPr>
                  <a:defRPr sz="799" b="1"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Sheet1!$C$25:$O$25</c:f>
              <c:strCache>
                <c:ptCount val="12"/>
                <c:pt idx="0">
                  <c:v>ABA SOMEȘ-TISA</c:v>
                </c:pt>
                <c:pt idx="1">
                  <c:v>ABA CRIȘURI</c:v>
                </c:pt>
                <c:pt idx="2">
                  <c:v>ABA MUREȘ</c:v>
                </c:pt>
                <c:pt idx="3">
                  <c:v>ABA BANAT</c:v>
                </c:pt>
                <c:pt idx="4">
                  <c:v>ABA JIU</c:v>
                </c:pt>
                <c:pt idx="5">
                  <c:v>ABA OLT</c:v>
                </c:pt>
                <c:pt idx="6">
                  <c:v>ABA ARGEȘ-VEDEA</c:v>
                </c:pt>
                <c:pt idx="7">
                  <c:v>ABA BUZĂU-IALOMIȚA</c:v>
                </c:pt>
                <c:pt idx="8">
                  <c:v>ABA SIRET</c:v>
                </c:pt>
                <c:pt idx="9">
                  <c:v>ABA PRUT-BÂRLAD</c:v>
                </c:pt>
                <c:pt idx="10">
                  <c:v>ABA DOBROGEA-LITORAL</c:v>
                </c:pt>
                <c:pt idx="11">
                  <c:v>FLUVIUL DUNĂREA</c:v>
                </c:pt>
              </c:strCache>
            </c:strRef>
          </c:cat>
          <c:val>
            <c:numRef>
              <c:f>Sheet1!$C$28:$O$28</c:f>
              <c:numCache>
                <c:formatCode>General</c:formatCode>
                <c:ptCount val="13"/>
                <c:pt idx="10">
                  <c:v>2</c:v>
                </c:pt>
                <c:pt idx="11">
                  <c:v>1</c:v>
                </c:pt>
              </c:numCache>
            </c:numRef>
          </c:val>
          <c:extLst xmlns:c16r2="http://schemas.microsoft.com/office/drawing/2015/06/chart">
            <c:ext xmlns:c16="http://schemas.microsoft.com/office/drawing/2014/chart" uri="{C3380CC4-5D6E-409C-BE32-E72D297353CC}">
              <c16:uniqueId val="{00000003-B055-4281-B685-C7498C3F492F}"/>
            </c:ext>
          </c:extLst>
        </c:ser>
        <c:dLbls>
          <c:showLegendKey val="0"/>
          <c:showVal val="0"/>
          <c:showCatName val="0"/>
          <c:showSerName val="0"/>
          <c:showPercent val="0"/>
          <c:showBubbleSize val="0"/>
        </c:dLbls>
        <c:gapWidth val="50"/>
        <c:overlap val="100"/>
        <c:axId val="475339008"/>
        <c:axId val="475357184"/>
      </c:barChart>
      <c:catAx>
        <c:axId val="475339008"/>
        <c:scaling>
          <c:orientation val="minMax"/>
        </c:scaling>
        <c:delete val="0"/>
        <c:axPos val="b"/>
        <c:numFmt formatCode="General" sourceLinked="1"/>
        <c:majorTickMark val="none"/>
        <c:minorTickMark val="none"/>
        <c:tickLblPos val="nextTo"/>
        <c:spPr>
          <a:noFill/>
          <a:ln w="9513"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799" b="1"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475357184"/>
        <c:crosses val="autoZero"/>
        <c:auto val="1"/>
        <c:lblAlgn val="ctr"/>
        <c:lblOffset val="100"/>
        <c:noMultiLvlLbl val="0"/>
      </c:catAx>
      <c:valAx>
        <c:axId val="475357184"/>
        <c:scaling>
          <c:orientation val="minMax"/>
          <c:max val="75"/>
        </c:scaling>
        <c:delete val="0"/>
        <c:axPos val="l"/>
        <c:majorGridlines>
          <c:spPr>
            <a:ln w="9513"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99" b="1"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475339008"/>
        <c:crosses val="autoZero"/>
        <c:crossBetween val="between"/>
        <c:majorUnit val="15"/>
      </c:valAx>
      <c:spPr>
        <a:noFill/>
        <a:ln w="25368">
          <a:noFill/>
        </a:ln>
      </c:spPr>
    </c:plotArea>
    <c:legend>
      <c:legendPos val="r"/>
      <c:overlay val="0"/>
      <c:spPr>
        <a:noFill/>
        <a:ln>
          <a:noFill/>
        </a:ln>
        <a:effectLst/>
      </c:spPr>
      <c:txPr>
        <a:bodyPr rot="0" spcFirstLastPara="1" vertOverflow="ellipsis" vert="horz" wrap="square" anchor="ctr" anchorCtr="1"/>
        <a:lstStyle/>
        <a:p>
          <a:pPr>
            <a:defRPr sz="799" b="1"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sz="799" b="1">
          <a:latin typeface="Trebuchet MS" panose="020B0603020202020204" pitchFamily="34" charset="0"/>
        </a:defRPr>
      </a:pPr>
      <a:endParaRPr lang="en-US"/>
    </a:p>
  </c:tx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23" b="1" i="0" u="none" strike="noStrike" baseline="0">
                <a:solidFill>
                  <a:srgbClr val="000000"/>
                </a:solidFill>
                <a:latin typeface="Arial"/>
                <a:ea typeface="Arial"/>
                <a:cs typeface="Arial"/>
              </a:defRPr>
            </a:pPr>
            <a:r>
              <a:rPr lang="en-US"/>
              <a:t>Variaţia mediilor şi maximelor anuale ale debitului dozei gama</a:t>
            </a:r>
          </a:p>
        </c:rich>
      </c:tx>
      <c:layout>
        <c:manualLayout>
          <c:xMode val="edge"/>
          <c:yMode val="edge"/>
          <c:x val="0.13166132651869916"/>
          <c:y val="2.0887630738000651E-2"/>
        </c:manualLayout>
      </c:layout>
      <c:overlay val="0"/>
      <c:spPr>
        <a:noFill/>
        <a:ln w="23761">
          <a:noFill/>
        </a:ln>
      </c:spPr>
    </c:title>
    <c:autoTitleDeleted val="0"/>
    <c:plotArea>
      <c:layout>
        <c:manualLayout>
          <c:layoutTarget val="inner"/>
          <c:xMode val="edge"/>
          <c:yMode val="edge"/>
          <c:x val="0.13793103448275978"/>
          <c:y val="0.18015665796344638"/>
          <c:w val="0.84796238244514111"/>
          <c:h val="0.61357702349869925"/>
        </c:manualLayout>
      </c:layout>
      <c:lineChart>
        <c:grouping val="standard"/>
        <c:varyColors val="0"/>
        <c:ser>
          <c:idx val="0"/>
          <c:order val="0"/>
          <c:tx>
            <c:strRef>
              <c:f>Sheet1!$A$2</c:f>
              <c:strCache>
                <c:ptCount val="1"/>
                <c:pt idx="0">
                  <c:v>medie anuală</c:v>
                </c:pt>
              </c:strCache>
            </c:strRef>
          </c:tx>
          <c:spPr>
            <a:ln w="23761">
              <a:solidFill>
                <a:srgbClr val="000080"/>
              </a:solidFill>
              <a:prstDash val="solid"/>
            </a:ln>
          </c:spPr>
          <c:marker>
            <c:symbol val="diamond"/>
            <c:size val="4"/>
            <c:spPr>
              <a:noFill/>
              <a:ln>
                <a:solidFill>
                  <a:srgbClr val="FFFF00"/>
                </a:solidFill>
                <a:prstDash val="solid"/>
              </a:ln>
            </c:spPr>
          </c:marker>
          <c:dLbls>
            <c:spPr>
              <a:noFill/>
              <a:ln w="23761">
                <a:noFill/>
              </a:ln>
            </c:spPr>
            <c:txPr>
              <a:bodyPr/>
              <a:lstStyle/>
              <a:p>
                <a:pPr>
                  <a:defRPr sz="1123"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Sheet1!$B$2:$F$2</c:f>
              <c:numCache>
                <c:formatCode>0.000</c:formatCode>
                <c:ptCount val="5"/>
                <c:pt idx="0">
                  <c:v>7.0000000000000007E-2</c:v>
                </c:pt>
                <c:pt idx="1">
                  <c:v>6.8000000000000005E-2</c:v>
                </c:pt>
                <c:pt idx="2">
                  <c:v>6.6000000000000003E-2</c:v>
                </c:pt>
                <c:pt idx="3">
                  <c:v>6.7000000000000004E-2</c:v>
                </c:pt>
                <c:pt idx="4">
                  <c:v>9.6000000000000002E-2</c:v>
                </c:pt>
              </c:numCache>
            </c:numRef>
          </c:val>
          <c:smooth val="0"/>
          <c:extLst xmlns:c16r2="http://schemas.microsoft.com/office/drawing/2015/06/chart">
            <c:ext xmlns:c16="http://schemas.microsoft.com/office/drawing/2014/chart" uri="{C3380CC4-5D6E-409C-BE32-E72D297353CC}">
              <c16:uniqueId val="{00000000-A113-43BC-9B12-CC6796344B89}"/>
            </c:ext>
          </c:extLst>
        </c:ser>
        <c:ser>
          <c:idx val="1"/>
          <c:order val="1"/>
          <c:tx>
            <c:strRef>
              <c:f>Sheet1!$A$3</c:f>
              <c:strCache>
                <c:ptCount val="1"/>
                <c:pt idx="0">
                  <c:v>maxima anuală</c:v>
                </c:pt>
              </c:strCache>
            </c:strRef>
          </c:tx>
          <c:spPr>
            <a:ln w="23761">
              <a:solidFill>
                <a:srgbClr val="FF00FF"/>
              </a:solidFill>
              <a:prstDash val="solid"/>
            </a:ln>
          </c:spPr>
          <c:marker>
            <c:symbol val="diamond"/>
            <c:size val="4"/>
            <c:spPr>
              <a:noFill/>
              <a:ln>
                <a:solidFill>
                  <a:srgbClr val="FFFF00"/>
                </a:solidFill>
                <a:prstDash val="solid"/>
              </a:ln>
            </c:spPr>
          </c:marker>
          <c:dLbls>
            <c:spPr>
              <a:noFill/>
              <a:ln w="23761">
                <a:noFill/>
              </a:ln>
            </c:spPr>
            <c:txPr>
              <a:bodyPr/>
              <a:lstStyle/>
              <a:p>
                <a:pPr>
                  <a:defRPr sz="1123"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9.1999999999999998E-2</c:v>
                </c:pt>
                <c:pt idx="1">
                  <c:v>0.112</c:v>
                </c:pt>
                <c:pt idx="2">
                  <c:v>0.10100000000000001</c:v>
                </c:pt>
                <c:pt idx="3">
                  <c:v>8.4000000000000005E-2</c:v>
                </c:pt>
                <c:pt idx="4">
                  <c:v>0.16400000000000001</c:v>
                </c:pt>
              </c:numCache>
            </c:numRef>
          </c:val>
          <c:smooth val="0"/>
          <c:extLst xmlns:c16r2="http://schemas.microsoft.com/office/drawing/2015/06/chart">
            <c:ext xmlns:c16="http://schemas.microsoft.com/office/drawing/2014/chart" uri="{C3380CC4-5D6E-409C-BE32-E72D297353CC}">
              <c16:uniqueId val="{00000001-A113-43BC-9B12-CC6796344B89}"/>
            </c:ext>
          </c:extLst>
        </c:ser>
        <c:dLbls>
          <c:showLegendKey val="0"/>
          <c:showVal val="0"/>
          <c:showCatName val="0"/>
          <c:showSerName val="0"/>
          <c:showPercent val="0"/>
          <c:showBubbleSize val="0"/>
        </c:dLbls>
        <c:marker val="1"/>
        <c:smooth val="0"/>
        <c:axId val="432334720"/>
        <c:axId val="432336256"/>
      </c:lineChart>
      <c:catAx>
        <c:axId val="432334720"/>
        <c:scaling>
          <c:orientation val="minMax"/>
        </c:scaling>
        <c:delete val="0"/>
        <c:axPos val="b"/>
        <c:numFmt formatCode="General" sourceLinked="1"/>
        <c:majorTickMark val="out"/>
        <c:minorTickMark val="none"/>
        <c:tickLblPos val="nextTo"/>
        <c:spPr>
          <a:ln w="2970">
            <a:solidFill>
              <a:srgbClr val="000000"/>
            </a:solidFill>
            <a:prstDash val="solid"/>
          </a:ln>
        </c:spPr>
        <c:txPr>
          <a:bodyPr rot="0" vert="horz"/>
          <a:lstStyle/>
          <a:p>
            <a:pPr>
              <a:defRPr sz="1123" b="1" i="0" u="none" strike="noStrike" baseline="0">
                <a:solidFill>
                  <a:srgbClr val="000000"/>
                </a:solidFill>
                <a:latin typeface="Arial"/>
                <a:ea typeface="Arial"/>
                <a:cs typeface="Arial"/>
              </a:defRPr>
            </a:pPr>
            <a:endParaRPr lang="en-US"/>
          </a:p>
        </c:txPr>
        <c:crossAx val="432336256"/>
        <c:crosses val="autoZero"/>
        <c:auto val="1"/>
        <c:lblAlgn val="ctr"/>
        <c:lblOffset val="100"/>
        <c:tickLblSkip val="1"/>
        <c:tickMarkSkip val="1"/>
        <c:noMultiLvlLbl val="0"/>
      </c:catAx>
      <c:valAx>
        <c:axId val="432336256"/>
        <c:scaling>
          <c:orientation val="minMax"/>
        </c:scaling>
        <c:delete val="0"/>
        <c:axPos val="l"/>
        <c:majorGridlines>
          <c:spPr>
            <a:ln w="2970">
              <a:solidFill>
                <a:srgbClr val="000000"/>
              </a:solidFill>
              <a:prstDash val="solid"/>
            </a:ln>
          </c:spPr>
        </c:majorGridlines>
        <c:title>
          <c:tx>
            <c:rich>
              <a:bodyPr/>
              <a:lstStyle/>
              <a:p>
                <a:pPr>
                  <a:defRPr sz="1123" b="1" i="0" u="none" strike="noStrike" baseline="0">
                    <a:solidFill>
                      <a:srgbClr val="000000"/>
                    </a:solidFill>
                    <a:latin typeface="Arial"/>
                    <a:ea typeface="Arial"/>
                    <a:cs typeface="Arial"/>
                  </a:defRPr>
                </a:pPr>
                <a:r>
                  <a:rPr lang="en-US"/>
                  <a:t>µSv/h</a:t>
                </a:r>
              </a:p>
            </c:rich>
          </c:tx>
          <c:layout>
            <c:manualLayout>
              <c:xMode val="edge"/>
              <c:yMode val="edge"/>
              <c:x val="1.7241370364124584E-2"/>
              <c:y val="0.42036555098286432"/>
            </c:manualLayout>
          </c:layout>
          <c:overlay val="0"/>
          <c:spPr>
            <a:noFill/>
            <a:ln w="23761">
              <a:noFill/>
            </a:ln>
          </c:spPr>
        </c:title>
        <c:numFmt formatCode="0.000" sourceLinked="1"/>
        <c:majorTickMark val="out"/>
        <c:minorTickMark val="none"/>
        <c:tickLblPos val="nextTo"/>
        <c:spPr>
          <a:ln w="2970">
            <a:solidFill>
              <a:srgbClr val="000000"/>
            </a:solidFill>
            <a:prstDash val="solid"/>
          </a:ln>
        </c:spPr>
        <c:txPr>
          <a:bodyPr rot="0" vert="horz"/>
          <a:lstStyle/>
          <a:p>
            <a:pPr>
              <a:defRPr sz="1123" b="1" i="0" u="none" strike="noStrike" baseline="0">
                <a:solidFill>
                  <a:srgbClr val="000000"/>
                </a:solidFill>
                <a:latin typeface="Arial"/>
                <a:ea typeface="Arial"/>
                <a:cs typeface="Arial"/>
              </a:defRPr>
            </a:pPr>
            <a:endParaRPr lang="en-US"/>
          </a:p>
        </c:txPr>
        <c:crossAx val="432334720"/>
        <c:crosses val="autoZero"/>
        <c:crossBetween val="between"/>
      </c:valAx>
      <c:spPr>
        <a:solidFill>
          <a:srgbClr val="C0C0C0"/>
        </a:solidFill>
        <a:ln w="11880">
          <a:solidFill>
            <a:srgbClr val="808080"/>
          </a:solidFill>
          <a:prstDash val="solid"/>
        </a:ln>
      </c:spPr>
    </c:plotArea>
    <c:legend>
      <c:legendPos val="b"/>
      <c:layout>
        <c:manualLayout>
          <c:xMode val="edge"/>
          <c:yMode val="edge"/>
          <c:x val="0.32445147816160541"/>
          <c:y val="0.92167122614204944"/>
          <c:w val="0.47021944332740945"/>
          <c:h val="7.0495991626424392E-2"/>
        </c:manualLayout>
      </c:layout>
      <c:overlay val="0"/>
      <c:spPr>
        <a:noFill/>
        <a:ln w="2970">
          <a:solidFill>
            <a:srgbClr val="000000"/>
          </a:solidFill>
          <a:prstDash val="solid"/>
        </a:ln>
      </c:spPr>
      <c:txPr>
        <a:bodyPr/>
        <a:lstStyle/>
        <a:p>
          <a:pPr>
            <a:defRPr sz="945"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123" b="1" i="0" u="none" strike="noStrike" baseline="0">
          <a:solidFill>
            <a:srgbClr val="000000"/>
          </a:solidFill>
          <a:latin typeface="Arial"/>
          <a:ea typeface="Arial"/>
          <a:cs typeface="Arial"/>
        </a:defRPr>
      </a:pPr>
      <a:endParaRPr lang="en-US"/>
    </a:p>
  </c:tx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23" b="1" i="0" u="none" strike="noStrike" baseline="0">
                <a:solidFill>
                  <a:srgbClr val="000000"/>
                </a:solidFill>
                <a:latin typeface="Arial"/>
                <a:ea typeface="Arial"/>
                <a:cs typeface="Arial"/>
              </a:defRPr>
            </a:pPr>
            <a:r>
              <a:rPr lang="vi-VN"/>
              <a:t>Variaţia medie anuală a activităţii beta globală imediată a aerosolilor atmosferici în funcţie de variaţia diurnă şi de altitudine</a:t>
            </a:r>
          </a:p>
        </c:rich>
      </c:tx>
      <c:layout>
        <c:manualLayout>
          <c:xMode val="edge"/>
          <c:yMode val="edge"/>
          <c:x val="0.10687024528025367"/>
          <c:y val="2.0725234119149002E-2"/>
        </c:manualLayout>
      </c:layout>
      <c:overlay val="0"/>
      <c:spPr>
        <a:noFill/>
        <a:ln w="23770">
          <a:noFill/>
        </a:ln>
      </c:spPr>
    </c:title>
    <c:autoTitleDeleted val="0"/>
    <c:plotArea>
      <c:layout>
        <c:manualLayout>
          <c:layoutTarget val="inner"/>
          <c:xMode val="edge"/>
          <c:yMode val="edge"/>
          <c:x val="9.9236641221374045E-2"/>
          <c:y val="0.22538860103626943"/>
          <c:w val="0.81068702290076333"/>
          <c:h val="0.59844559585491752"/>
        </c:manualLayout>
      </c:layout>
      <c:lineChart>
        <c:grouping val="standard"/>
        <c:varyColors val="0"/>
        <c:ser>
          <c:idx val="1"/>
          <c:order val="0"/>
          <c:tx>
            <c:strRef>
              <c:f>Sheet1!$A$3</c:f>
              <c:strCache>
                <c:ptCount val="1"/>
                <c:pt idx="0">
                  <c:v>asp. 02-07</c:v>
                </c:pt>
              </c:strCache>
            </c:strRef>
          </c:tx>
          <c:spPr>
            <a:ln w="11885">
              <a:solidFill>
                <a:srgbClr val="FF00FF"/>
              </a:solidFill>
              <a:prstDash val="solid"/>
            </a:ln>
          </c:spPr>
          <c:marker>
            <c:symbol val="square"/>
            <c:size val="4"/>
            <c:spPr>
              <a:solidFill>
                <a:srgbClr val="FF00FF"/>
              </a:solidFill>
              <a:ln>
                <a:solidFill>
                  <a:srgbClr val="FF00FF"/>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4.08</c:v>
                </c:pt>
                <c:pt idx="1">
                  <c:v>4.68</c:v>
                </c:pt>
                <c:pt idx="2">
                  <c:v>3.71</c:v>
                </c:pt>
                <c:pt idx="3">
                  <c:v>4.95</c:v>
                </c:pt>
                <c:pt idx="4">
                  <c:v>3.99</c:v>
                </c:pt>
              </c:numCache>
            </c:numRef>
          </c:val>
          <c:smooth val="0"/>
          <c:extLst xmlns:c16r2="http://schemas.microsoft.com/office/drawing/2015/06/chart">
            <c:ext xmlns:c16="http://schemas.microsoft.com/office/drawing/2014/chart" uri="{C3380CC4-5D6E-409C-BE32-E72D297353CC}">
              <c16:uniqueId val="{00000000-4EEF-4472-91E3-DD06DD242D4D}"/>
            </c:ext>
          </c:extLst>
        </c:ser>
        <c:ser>
          <c:idx val="0"/>
          <c:order val="1"/>
          <c:tx>
            <c:strRef>
              <c:f>Sheet1!$A$4</c:f>
              <c:strCache>
                <c:ptCount val="1"/>
                <c:pt idx="0">
                  <c:v>asp.8-13</c:v>
                </c:pt>
              </c:strCache>
            </c:strRef>
          </c:tx>
          <c:spPr>
            <a:ln w="11885">
              <a:solidFill>
                <a:srgbClr val="000080"/>
              </a:solidFill>
              <a:prstDash val="solid"/>
            </a:ln>
          </c:spPr>
          <c:marker>
            <c:symbol val="diamond"/>
            <c:size val="4"/>
            <c:spPr>
              <a:solidFill>
                <a:srgbClr val="000080"/>
              </a:solidFill>
              <a:ln>
                <a:solidFill>
                  <a:srgbClr val="000080"/>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Sheet1!$B$4:$F$4</c:f>
              <c:numCache>
                <c:formatCode>General</c:formatCode>
                <c:ptCount val="5"/>
                <c:pt idx="0">
                  <c:v>2.04</c:v>
                </c:pt>
                <c:pt idx="1">
                  <c:v>2.17</c:v>
                </c:pt>
                <c:pt idx="2">
                  <c:v>1.65</c:v>
                </c:pt>
                <c:pt idx="3">
                  <c:v>2.34</c:v>
                </c:pt>
                <c:pt idx="4">
                  <c:v>2.0299999999999998</c:v>
                </c:pt>
              </c:numCache>
            </c:numRef>
          </c:val>
          <c:smooth val="0"/>
          <c:extLst xmlns:c16r2="http://schemas.microsoft.com/office/drawing/2015/06/chart">
            <c:ext xmlns:c16="http://schemas.microsoft.com/office/drawing/2014/chart" uri="{C3380CC4-5D6E-409C-BE32-E72D297353CC}">
              <c16:uniqueId val="{00000001-4EEF-4472-91E3-DD06DD242D4D}"/>
            </c:ext>
          </c:extLst>
        </c:ser>
        <c:dLbls>
          <c:showLegendKey val="0"/>
          <c:showVal val="0"/>
          <c:showCatName val="0"/>
          <c:showSerName val="0"/>
          <c:showPercent val="0"/>
          <c:showBubbleSize val="0"/>
        </c:dLbls>
        <c:marker val="1"/>
        <c:smooth val="0"/>
        <c:axId val="437091712"/>
        <c:axId val="437102080"/>
      </c:lineChart>
      <c:lineChart>
        <c:grouping val="standard"/>
        <c:varyColors val="0"/>
        <c:ser>
          <c:idx val="3"/>
          <c:order val="2"/>
          <c:tx>
            <c:strRef>
              <c:f>Sheet1!$A$2</c:f>
              <c:strCache>
                <c:ptCount val="1"/>
                <c:pt idx="0">
                  <c:v>altitudine</c:v>
                </c:pt>
              </c:strCache>
            </c:strRef>
          </c:tx>
          <c:spPr>
            <a:ln w="11885">
              <a:solidFill>
                <a:srgbClr val="00FFFF"/>
              </a:solidFill>
              <a:prstDash val="solid"/>
            </a:ln>
          </c:spPr>
          <c:marker>
            <c:symbol val="x"/>
            <c:size val="4"/>
            <c:spPr>
              <a:noFill/>
              <a:ln>
                <a:solidFill>
                  <a:srgbClr val="00FFFF"/>
                </a:solidFill>
                <a:prstDash val="solid"/>
              </a:ln>
            </c:spPr>
          </c:marker>
          <c:cat>
            <c:numRef>
              <c:f>Sheet1!$B$1:$E$1</c:f>
              <c:numCache>
                <c:formatCode>General</c:formatCode>
                <c:ptCount val="4"/>
                <c:pt idx="0">
                  <c:v>2019</c:v>
                </c:pt>
                <c:pt idx="1">
                  <c:v>2020</c:v>
                </c:pt>
                <c:pt idx="2">
                  <c:v>2021</c:v>
                </c:pt>
                <c:pt idx="3">
                  <c:v>2022</c:v>
                </c:pt>
              </c:numCache>
            </c:numRef>
          </c:cat>
          <c:val>
            <c:numRef>
              <c:f>Sheet1!$B$2:$F$2</c:f>
              <c:numCache>
                <c:formatCode>General</c:formatCode>
                <c:ptCount val="5"/>
                <c:pt idx="0">
                  <c:v>70</c:v>
                </c:pt>
                <c:pt idx="1">
                  <c:v>70</c:v>
                </c:pt>
                <c:pt idx="2">
                  <c:v>70</c:v>
                </c:pt>
                <c:pt idx="3">
                  <c:v>70</c:v>
                </c:pt>
                <c:pt idx="4">
                  <c:v>70</c:v>
                </c:pt>
              </c:numCache>
            </c:numRef>
          </c:val>
          <c:smooth val="0"/>
          <c:extLst xmlns:c16r2="http://schemas.microsoft.com/office/drawing/2015/06/chart">
            <c:ext xmlns:c16="http://schemas.microsoft.com/office/drawing/2014/chart" uri="{C3380CC4-5D6E-409C-BE32-E72D297353CC}">
              <c16:uniqueId val="{00000002-4EEF-4472-91E3-DD06DD242D4D}"/>
            </c:ext>
          </c:extLst>
        </c:ser>
        <c:dLbls>
          <c:showLegendKey val="0"/>
          <c:showVal val="0"/>
          <c:showCatName val="0"/>
          <c:showSerName val="0"/>
          <c:showPercent val="0"/>
          <c:showBubbleSize val="0"/>
        </c:dLbls>
        <c:marker val="1"/>
        <c:smooth val="0"/>
        <c:axId val="437104000"/>
        <c:axId val="437113984"/>
      </c:lineChart>
      <c:catAx>
        <c:axId val="437091712"/>
        <c:scaling>
          <c:orientation val="minMax"/>
        </c:scaling>
        <c:delete val="0"/>
        <c:axPos val="b"/>
        <c:numFmt formatCode="General" sourceLinked="1"/>
        <c:majorTickMark val="cross"/>
        <c:minorTickMark val="none"/>
        <c:tickLblPos val="nextTo"/>
        <c:spPr>
          <a:ln w="2971">
            <a:solidFill>
              <a:srgbClr val="000000"/>
            </a:solidFill>
            <a:prstDash val="solid"/>
          </a:ln>
        </c:spPr>
        <c:txPr>
          <a:bodyPr rot="0" vert="horz"/>
          <a:lstStyle/>
          <a:p>
            <a:pPr>
              <a:defRPr sz="936" b="0" i="0" u="none" strike="noStrike" baseline="0">
                <a:solidFill>
                  <a:srgbClr val="000000"/>
                </a:solidFill>
                <a:latin typeface="Arial"/>
                <a:ea typeface="Arial"/>
                <a:cs typeface="Arial"/>
              </a:defRPr>
            </a:pPr>
            <a:endParaRPr lang="en-US"/>
          </a:p>
        </c:txPr>
        <c:crossAx val="437102080"/>
        <c:crosses val="autoZero"/>
        <c:auto val="0"/>
        <c:lblAlgn val="ctr"/>
        <c:lblOffset val="100"/>
        <c:tickLblSkip val="1"/>
        <c:tickMarkSkip val="1"/>
        <c:noMultiLvlLbl val="0"/>
      </c:catAx>
      <c:valAx>
        <c:axId val="437102080"/>
        <c:scaling>
          <c:orientation val="minMax"/>
        </c:scaling>
        <c:delete val="0"/>
        <c:axPos val="l"/>
        <c:title>
          <c:tx>
            <c:rich>
              <a:bodyPr/>
              <a:lstStyle/>
              <a:p>
                <a:pPr>
                  <a:defRPr sz="936" b="1" i="0" u="none" strike="noStrike" baseline="0">
                    <a:solidFill>
                      <a:srgbClr val="000000"/>
                    </a:solidFill>
                    <a:latin typeface="Arial"/>
                    <a:ea typeface="Arial"/>
                    <a:cs typeface="Arial"/>
                  </a:defRPr>
                </a:pPr>
                <a:r>
                  <a:rPr lang="en-US"/>
                  <a:t>Bq/m3</a:t>
                </a:r>
              </a:p>
            </c:rich>
          </c:tx>
          <c:layout>
            <c:manualLayout>
              <c:xMode val="edge"/>
              <c:yMode val="edge"/>
              <c:x val="1.6793992121543182E-2"/>
              <c:y val="0.46373052311059304"/>
            </c:manualLayout>
          </c:layout>
          <c:overlay val="0"/>
          <c:spPr>
            <a:noFill/>
            <a:ln w="23770">
              <a:noFill/>
            </a:ln>
          </c:spPr>
        </c:title>
        <c:numFmt formatCode="General" sourceLinked="1"/>
        <c:majorTickMark val="cross"/>
        <c:minorTickMark val="none"/>
        <c:tickLblPos val="nextTo"/>
        <c:spPr>
          <a:ln w="2971">
            <a:solidFill>
              <a:srgbClr val="000000"/>
            </a:solidFill>
            <a:prstDash val="solid"/>
          </a:ln>
        </c:spPr>
        <c:txPr>
          <a:bodyPr rot="0" vert="horz"/>
          <a:lstStyle/>
          <a:p>
            <a:pPr>
              <a:defRPr sz="936" b="0" i="0" u="none" strike="noStrike" baseline="0">
                <a:solidFill>
                  <a:srgbClr val="000000"/>
                </a:solidFill>
                <a:latin typeface="Arial"/>
                <a:ea typeface="Arial"/>
                <a:cs typeface="Arial"/>
              </a:defRPr>
            </a:pPr>
            <a:endParaRPr lang="en-US"/>
          </a:p>
        </c:txPr>
        <c:crossAx val="437091712"/>
        <c:crosses val="autoZero"/>
        <c:crossBetween val="between"/>
      </c:valAx>
      <c:catAx>
        <c:axId val="437104000"/>
        <c:scaling>
          <c:orientation val="minMax"/>
        </c:scaling>
        <c:delete val="1"/>
        <c:axPos val="b"/>
        <c:numFmt formatCode="General" sourceLinked="1"/>
        <c:majorTickMark val="out"/>
        <c:minorTickMark val="none"/>
        <c:tickLblPos val="nextTo"/>
        <c:crossAx val="437113984"/>
        <c:crosses val="autoZero"/>
        <c:auto val="0"/>
        <c:lblAlgn val="ctr"/>
        <c:lblOffset val="100"/>
        <c:noMultiLvlLbl val="0"/>
      </c:catAx>
      <c:valAx>
        <c:axId val="437113984"/>
        <c:scaling>
          <c:orientation val="minMax"/>
        </c:scaling>
        <c:delete val="0"/>
        <c:axPos val="r"/>
        <c:title>
          <c:tx>
            <c:rich>
              <a:bodyPr/>
              <a:lstStyle/>
              <a:p>
                <a:pPr>
                  <a:defRPr sz="936" b="0" i="0" u="none" strike="noStrike" baseline="0">
                    <a:solidFill>
                      <a:srgbClr val="000000"/>
                    </a:solidFill>
                    <a:latin typeface="Arial"/>
                    <a:ea typeface="Arial"/>
                    <a:cs typeface="Arial"/>
                  </a:defRPr>
                </a:pPr>
                <a:r>
                  <a:rPr lang="en-US"/>
                  <a:t>metri</a:t>
                </a:r>
              </a:p>
            </c:rich>
          </c:tx>
          <c:layout>
            <c:manualLayout>
              <c:xMode val="edge"/>
              <c:yMode val="edge"/>
              <c:x val="0.94809153931900647"/>
              <c:y val="0.50000015859044811"/>
            </c:manualLayout>
          </c:layout>
          <c:overlay val="0"/>
        </c:title>
        <c:numFmt formatCode="General" sourceLinked="1"/>
        <c:majorTickMark val="cross"/>
        <c:minorTickMark val="none"/>
        <c:tickLblPos val="nextTo"/>
        <c:spPr>
          <a:ln w="2971">
            <a:solidFill>
              <a:srgbClr val="000000"/>
            </a:solidFill>
            <a:prstDash val="solid"/>
          </a:ln>
        </c:spPr>
        <c:txPr>
          <a:bodyPr rot="0" vert="horz"/>
          <a:lstStyle/>
          <a:p>
            <a:pPr>
              <a:defRPr sz="936" b="0" i="0" u="none" strike="noStrike" baseline="0">
                <a:solidFill>
                  <a:srgbClr val="000000"/>
                </a:solidFill>
                <a:latin typeface="Arial"/>
                <a:ea typeface="Arial"/>
                <a:cs typeface="Arial"/>
              </a:defRPr>
            </a:pPr>
            <a:endParaRPr lang="en-US"/>
          </a:p>
        </c:txPr>
        <c:crossAx val="437104000"/>
        <c:crosses val="max"/>
        <c:crossBetween val="between"/>
      </c:valAx>
      <c:spPr>
        <a:solidFill>
          <a:srgbClr val="C0C0C0"/>
        </a:solidFill>
        <a:ln w="11885">
          <a:solidFill>
            <a:srgbClr val="808080"/>
          </a:solidFill>
          <a:prstDash val="solid"/>
        </a:ln>
      </c:spPr>
    </c:plotArea>
    <c:legend>
      <c:legendPos val="b"/>
      <c:layout>
        <c:manualLayout>
          <c:xMode val="edge"/>
          <c:yMode val="edge"/>
          <c:x val="0.2892516354237446"/>
          <c:y val="0.90666761820935526"/>
          <c:w val="0.42137397799894299"/>
          <c:h val="8.9915391995940119E-2"/>
        </c:manualLayout>
      </c:layout>
      <c:overlay val="0"/>
      <c:spPr>
        <a:solidFill>
          <a:srgbClr val="FFFFFF"/>
        </a:solidFill>
        <a:ln w="2971">
          <a:solidFill>
            <a:srgbClr val="000000"/>
          </a:solidFill>
          <a:prstDash val="solid"/>
        </a:ln>
      </c:spPr>
      <c:txPr>
        <a:bodyPr/>
        <a:lstStyle/>
        <a:p>
          <a:pPr>
            <a:defRPr sz="791" b="0"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936" b="0" i="0" u="none" strike="noStrike" baseline="0">
          <a:solidFill>
            <a:srgbClr val="000000"/>
          </a:solidFill>
          <a:latin typeface="Arial"/>
          <a:ea typeface="Arial"/>
          <a:cs typeface="Arial"/>
        </a:defRPr>
      </a:pPr>
      <a:endParaRPr lang="en-US"/>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Arial"/>
                <a:ea typeface="Arial"/>
                <a:cs typeface="Arial"/>
              </a:defRPr>
            </a:pPr>
            <a:r>
              <a:rPr lang="vi-VN"/>
              <a:t>Variaţia mediilor şi maximelor anuale ale activităţii beta globale imediată a aerosolilor atmosferici</a:t>
            </a:r>
          </a:p>
        </c:rich>
      </c:tx>
      <c:layout>
        <c:manualLayout>
          <c:xMode val="edge"/>
          <c:yMode val="edge"/>
          <c:x val="0.13250878122993245"/>
          <c:y val="1.8716521691333088E-2"/>
        </c:manualLayout>
      </c:layout>
      <c:overlay val="0"/>
      <c:spPr>
        <a:noFill/>
        <a:ln w="22867">
          <a:noFill/>
        </a:ln>
      </c:spPr>
    </c:title>
    <c:autoTitleDeleted val="0"/>
    <c:plotArea>
      <c:layout>
        <c:manualLayout>
          <c:layoutTarget val="inner"/>
          <c:xMode val="edge"/>
          <c:yMode val="edge"/>
          <c:x val="0.10777385159010602"/>
          <c:y val="0.20588235294117646"/>
          <c:w val="0.87632508833922262"/>
          <c:h val="0.61229946524064172"/>
        </c:manualLayout>
      </c:layout>
      <c:lineChart>
        <c:grouping val="standard"/>
        <c:varyColors val="0"/>
        <c:ser>
          <c:idx val="0"/>
          <c:order val="0"/>
          <c:tx>
            <c:strRef>
              <c:f>Sheet1!$A$2</c:f>
              <c:strCache>
                <c:ptCount val="1"/>
                <c:pt idx="0">
                  <c:v>media anuală</c:v>
                </c:pt>
              </c:strCache>
            </c:strRef>
          </c:tx>
          <c:spPr>
            <a:ln w="11433">
              <a:solidFill>
                <a:srgbClr val="000080"/>
              </a:solidFill>
              <a:prstDash val="solid"/>
            </a:ln>
          </c:spPr>
          <c:marker>
            <c:symbol val="diamond"/>
            <c:size val="4"/>
            <c:spPr>
              <a:solidFill>
                <a:srgbClr val="000080"/>
              </a:solidFill>
              <a:ln>
                <a:solidFill>
                  <a:srgbClr val="000080"/>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3.06</c:v>
                </c:pt>
                <c:pt idx="1">
                  <c:v>3.43</c:v>
                </c:pt>
                <c:pt idx="2">
                  <c:v>2.68</c:v>
                </c:pt>
                <c:pt idx="3">
                  <c:v>3.65</c:v>
                </c:pt>
                <c:pt idx="4">
                  <c:v>3.01</c:v>
                </c:pt>
              </c:numCache>
            </c:numRef>
          </c:val>
          <c:smooth val="0"/>
          <c:extLst xmlns:c16r2="http://schemas.microsoft.com/office/drawing/2015/06/chart">
            <c:ext xmlns:c16="http://schemas.microsoft.com/office/drawing/2014/chart" uri="{C3380CC4-5D6E-409C-BE32-E72D297353CC}">
              <c16:uniqueId val="{00000000-AC57-4A7D-BE94-184E66BB58F9}"/>
            </c:ext>
          </c:extLst>
        </c:ser>
        <c:ser>
          <c:idx val="1"/>
          <c:order val="1"/>
          <c:tx>
            <c:strRef>
              <c:f>Sheet1!$A$3</c:f>
              <c:strCache>
                <c:ptCount val="1"/>
                <c:pt idx="0">
                  <c:v>maxima anuală</c:v>
                </c:pt>
              </c:strCache>
            </c:strRef>
          </c:tx>
          <c:spPr>
            <a:ln w="11433">
              <a:solidFill>
                <a:srgbClr val="FF00FF"/>
              </a:solidFill>
              <a:prstDash val="solid"/>
            </a:ln>
          </c:spPr>
          <c:marker>
            <c:symbol val="square"/>
            <c:size val="4"/>
            <c:spPr>
              <a:solidFill>
                <a:srgbClr val="FF00FF"/>
              </a:solidFill>
              <a:ln>
                <a:solidFill>
                  <a:srgbClr val="FF00FF"/>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9.8000000000000007</c:v>
                </c:pt>
                <c:pt idx="1">
                  <c:v>9.8000000000000007</c:v>
                </c:pt>
                <c:pt idx="2">
                  <c:v>9.6999999999999993</c:v>
                </c:pt>
                <c:pt idx="3">
                  <c:v>9.9</c:v>
                </c:pt>
                <c:pt idx="4">
                  <c:v>9.8000000000000007</c:v>
                </c:pt>
              </c:numCache>
            </c:numRef>
          </c:val>
          <c:smooth val="0"/>
          <c:extLst xmlns:c16r2="http://schemas.microsoft.com/office/drawing/2015/06/chart">
            <c:ext xmlns:c16="http://schemas.microsoft.com/office/drawing/2014/chart" uri="{C3380CC4-5D6E-409C-BE32-E72D297353CC}">
              <c16:uniqueId val="{00000001-AC57-4A7D-BE94-184E66BB58F9}"/>
            </c:ext>
          </c:extLst>
        </c:ser>
        <c:dLbls>
          <c:showLegendKey val="0"/>
          <c:showVal val="0"/>
          <c:showCatName val="0"/>
          <c:showSerName val="0"/>
          <c:showPercent val="0"/>
          <c:showBubbleSize val="0"/>
        </c:dLbls>
        <c:marker val="1"/>
        <c:smooth val="0"/>
        <c:axId val="475445888"/>
        <c:axId val="475452160"/>
      </c:lineChart>
      <c:catAx>
        <c:axId val="475445888"/>
        <c:scaling>
          <c:orientation val="minMax"/>
        </c:scaling>
        <c:delete val="0"/>
        <c:axPos val="b"/>
        <c:numFmt formatCode="General" sourceLinked="1"/>
        <c:majorTickMark val="out"/>
        <c:minorTickMark val="none"/>
        <c:tickLblPos val="nextTo"/>
        <c:spPr>
          <a:ln w="2858">
            <a:solidFill>
              <a:srgbClr val="000000"/>
            </a:solidFill>
            <a:prstDash val="solid"/>
          </a:ln>
        </c:spPr>
        <c:txPr>
          <a:bodyPr rot="0" vert="horz"/>
          <a:lstStyle/>
          <a:p>
            <a:pPr>
              <a:defRPr sz="900" b="1" i="0" u="none" strike="noStrike" baseline="0">
                <a:solidFill>
                  <a:srgbClr val="000000"/>
                </a:solidFill>
                <a:latin typeface="Arial"/>
                <a:ea typeface="Arial"/>
                <a:cs typeface="Arial"/>
              </a:defRPr>
            </a:pPr>
            <a:endParaRPr lang="en-US"/>
          </a:p>
        </c:txPr>
        <c:crossAx val="475452160"/>
        <c:crosses val="autoZero"/>
        <c:auto val="1"/>
        <c:lblAlgn val="ctr"/>
        <c:lblOffset val="100"/>
        <c:tickLblSkip val="1"/>
        <c:tickMarkSkip val="1"/>
        <c:noMultiLvlLbl val="0"/>
      </c:catAx>
      <c:valAx>
        <c:axId val="475452160"/>
        <c:scaling>
          <c:orientation val="minMax"/>
        </c:scaling>
        <c:delete val="0"/>
        <c:axPos val="l"/>
        <c:majorGridlines>
          <c:spPr>
            <a:ln w="2858">
              <a:solidFill>
                <a:srgbClr val="000000"/>
              </a:solidFill>
              <a:prstDash val="solid"/>
            </a:ln>
          </c:spPr>
        </c:majorGridlines>
        <c:title>
          <c:tx>
            <c:rich>
              <a:bodyPr/>
              <a:lstStyle/>
              <a:p>
                <a:pPr>
                  <a:defRPr sz="900" b="1" i="0" u="none" strike="noStrike" baseline="0">
                    <a:solidFill>
                      <a:srgbClr val="000000"/>
                    </a:solidFill>
                    <a:latin typeface="Arial"/>
                    <a:ea typeface="Arial"/>
                    <a:cs typeface="Arial"/>
                  </a:defRPr>
                </a:pPr>
                <a:r>
                  <a:rPr lang="en-US"/>
                  <a:t>Bq/mc</a:t>
                </a:r>
              </a:p>
            </c:rich>
          </c:tx>
          <c:layout>
            <c:manualLayout>
              <c:xMode val="edge"/>
              <c:yMode val="edge"/>
              <c:x val="1.9434639635562793E-2"/>
              <c:y val="0.4491978947657721"/>
            </c:manualLayout>
          </c:layout>
          <c:overlay val="0"/>
          <c:spPr>
            <a:noFill/>
            <a:ln w="22867">
              <a:noFill/>
            </a:ln>
          </c:spPr>
        </c:title>
        <c:numFmt formatCode="General" sourceLinked="1"/>
        <c:majorTickMark val="out"/>
        <c:minorTickMark val="none"/>
        <c:tickLblPos val="nextTo"/>
        <c:spPr>
          <a:ln w="2858">
            <a:solidFill>
              <a:srgbClr val="000000"/>
            </a:solidFill>
            <a:prstDash val="solid"/>
          </a:ln>
        </c:spPr>
        <c:txPr>
          <a:bodyPr rot="0" vert="horz"/>
          <a:lstStyle/>
          <a:p>
            <a:pPr>
              <a:defRPr sz="900" b="1" i="0" u="none" strike="noStrike" baseline="0">
                <a:solidFill>
                  <a:srgbClr val="000000"/>
                </a:solidFill>
                <a:latin typeface="Arial"/>
                <a:ea typeface="Arial"/>
                <a:cs typeface="Arial"/>
              </a:defRPr>
            </a:pPr>
            <a:endParaRPr lang="en-US"/>
          </a:p>
        </c:txPr>
        <c:crossAx val="475445888"/>
        <c:crosses val="autoZero"/>
        <c:crossBetween val="between"/>
      </c:valAx>
      <c:spPr>
        <a:solidFill>
          <a:srgbClr val="C0C0C0"/>
        </a:solidFill>
        <a:ln w="11433">
          <a:solidFill>
            <a:srgbClr val="808080"/>
          </a:solidFill>
          <a:prstDash val="solid"/>
        </a:ln>
      </c:spPr>
    </c:plotArea>
    <c:legend>
      <c:legendPos val="b"/>
      <c:layout>
        <c:manualLayout>
          <c:xMode val="edge"/>
          <c:yMode val="edge"/>
          <c:x val="0.3091872136672571"/>
          <c:y val="0.92780750573717563"/>
          <c:w val="0.46819802697076651"/>
          <c:h val="6.4171167085789627E-2"/>
        </c:manualLayout>
      </c:layout>
      <c:overlay val="0"/>
      <c:spPr>
        <a:noFill/>
        <a:ln w="2858">
          <a:solidFill>
            <a:srgbClr val="000000"/>
          </a:solidFill>
          <a:prstDash val="solid"/>
        </a:ln>
      </c:spPr>
      <c:txPr>
        <a:bodyPr/>
        <a:lstStyle/>
        <a:p>
          <a:pPr>
            <a:defRPr sz="761"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900" b="1" i="0" u="none" strike="noStrike" baseline="0">
          <a:solidFill>
            <a:srgbClr val="000000"/>
          </a:solidFill>
          <a:latin typeface="Arial"/>
          <a:ea typeface="Arial"/>
          <a:cs typeface="Arial"/>
        </a:defRPr>
      </a:pPr>
      <a:endParaRPr lang="en-US"/>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18" b="1" i="0" u="none" strike="noStrike" baseline="0">
                <a:solidFill>
                  <a:srgbClr val="000000"/>
                </a:solidFill>
                <a:latin typeface="Arial"/>
                <a:ea typeface="Arial"/>
                <a:cs typeface="Arial"/>
              </a:defRPr>
            </a:pPr>
            <a:r>
              <a:rPr lang="vi-VN"/>
              <a:t>Variaţia activităţii specifice medie anuală a radonului din atmosferă în funcţie de variaţia diurnă</a:t>
            </a:r>
          </a:p>
        </c:rich>
      </c:tx>
      <c:layout>
        <c:manualLayout>
          <c:xMode val="edge"/>
          <c:yMode val="edge"/>
          <c:x val="0.1264150529891517"/>
          <c:y val="1.9942981265272875E-2"/>
        </c:manualLayout>
      </c:layout>
      <c:overlay val="0"/>
      <c:spPr>
        <a:noFill/>
        <a:ln w="20853">
          <a:noFill/>
        </a:ln>
      </c:spPr>
    </c:title>
    <c:autoTitleDeleted val="0"/>
    <c:plotArea>
      <c:layout>
        <c:manualLayout>
          <c:layoutTarget val="inner"/>
          <c:xMode val="edge"/>
          <c:yMode val="edge"/>
          <c:x val="0.11320754716981132"/>
          <c:y val="0.21082621082621184"/>
          <c:w val="0.86981132075471701"/>
          <c:h val="0.60113960113960163"/>
        </c:manualLayout>
      </c:layout>
      <c:lineChart>
        <c:grouping val="standard"/>
        <c:varyColors val="0"/>
        <c:ser>
          <c:idx val="0"/>
          <c:order val="0"/>
          <c:tx>
            <c:strRef>
              <c:f>Sheet1!$A$2</c:f>
              <c:strCache>
                <c:ptCount val="1"/>
                <c:pt idx="0">
                  <c:v>asp. 2-7</c:v>
                </c:pt>
              </c:strCache>
            </c:strRef>
          </c:tx>
          <c:spPr>
            <a:ln w="10426">
              <a:solidFill>
                <a:srgbClr val="000080"/>
              </a:solidFill>
              <a:prstDash val="solid"/>
            </a:ln>
          </c:spPr>
          <c:marker>
            <c:symbol val="diamond"/>
            <c:size val="4"/>
            <c:spPr>
              <a:solidFill>
                <a:srgbClr val="000080"/>
              </a:solidFill>
              <a:ln>
                <a:solidFill>
                  <a:srgbClr val="000080"/>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13.535</c:v>
                </c:pt>
                <c:pt idx="1">
                  <c:v>14.938000000000001</c:v>
                </c:pt>
                <c:pt idx="2">
                  <c:v>11.49</c:v>
                </c:pt>
                <c:pt idx="3">
                  <c:v>16.039000000000001</c:v>
                </c:pt>
                <c:pt idx="4">
                  <c:v>12.366</c:v>
                </c:pt>
              </c:numCache>
            </c:numRef>
          </c:val>
          <c:smooth val="0"/>
          <c:extLst xmlns:c16r2="http://schemas.microsoft.com/office/drawing/2015/06/chart">
            <c:ext xmlns:c16="http://schemas.microsoft.com/office/drawing/2014/chart" uri="{C3380CC4-5D6E-409C-BE32-E72D297353CC}">
              <c16:uniqueId val="{00000000-D35F-4054-9BD8-D683337A0927}"/>
            </c:ext>
          </c:extLst>
        </c:ser>
        <c:ser>
          <c:idx val="1"/>
          <c:order val="1"/>
          <c:tx>
            <c:strRef>
              <c:f>Sheet1!$A$3</c:f>
              <c:strCache>
                <c:ptCount val="1"/>
                <c:pt idx="0">
                  <c:v>asp.8-13</c:v>
                </c:pt>
              </c:strCache>
            </c:strRef>
          </c:tx>
          <c:spPr>
            <a:ln w="10426">
              <a:solidFill>
                <a:srgbClr val="FF00FF"/>
              </a:solidFill>
              <a:prstDash val="solid"/>
            </a:ln>
          </c:spPr>
          <c:marker>
            <c:symbol val="square"/>
            <c:size val="4"/>
            <c:spPr>
              <a:solidFill>
                <a:srgbClr val="FF00FF"/>
              </a:solidFill>
              <a:ln>
                <a:solidFill>
                  <a:srgbClr val="FF00FF"/>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5.79</c:v>
                </c:pt>
                <c:pt idx="1">
                  <c:v>6.13</c:v>
                </c:pt>
                <c:pt idx="2">
                  <c:v>4.5410000000000004</c:v>
                </c:pt>
                <c:pt idx="3">
                  <c:v>6.1210000000000004</c:v>
                </c:pt>
                <c:pt idx="4">
                  <c:v>5.2919999999999998</c:v>
                </c:pt>
              </c:numCache>
            </c:numRef>
          </c:val>
          <c:smooth val="0"/>
          <c:extLst xmlns:c16r2="http://schemas.microsoft.com/office/drawing/2015/06/chart">
            <c:ext xmlns:c16="http://schemas.microsoft.com/office/drawing/2014/chart" uri="{C3380CC4-5D6E-409C-BE32-E72D297353CC}">
              <c16:uniqueId val="{00000001-D35F-4054-9BD8-D683337A0927}"/>
            </c:ext>
          </c:extLst>
        </c:ser>
        <c:dLbls>
          <c:showLegendKey val="0"/>
          <c:showVal val="0"/>
          <c:showCatName val="0"/>
          <c:showSerName val="0"/>
          <c:showPercent val="0"/>
          <c:showBubbleSize val="0"/>
        </c:dLbls>
        <c:marker val="1"/>
        <c:smooth val="0"/>
        <c:axId val="475621632"/>
        <c:axId val="475632000"/>
      </c:lineChart>
      <c:catAx>
        <c:axId val="475621632"/>
        <c:scaling>
          <c:orientation val="minMax"/>
        </c:scaling>
        <c:delete val="0"/>
        <c:axPos val="b"/>
        <c:numFmt formatCode="General" sourceLinked="1"/>
        <c:majorTickMark val="out"/>
        <c:minorTickMark val="none"/>
        <c:tickLblPos val="nextTo"/>
        <c:spPr>
          <a:ln w="2606">
            <a:solidFill>
              <a:srgbClr val="000000"/>
            </a:solidFill>
            <a:prstDash val="solid"/>
          </a:ln>
        </c:spPr>
        <c:txPr>
          <a:bodyPr rot="0" vert="horz"/>
          <a:lstStyle/>
          <a:p>
            <a:pPr>
              <a:defRPr sz="718" b="1" i="0" u="none" strike="noStrike" baseline="0">
                <a:solidFill>
                  <a:srgbClr val="000000"/>
                </a:solidFill>
                <a:latin typeface="Arial"/>
                <a:ea typeface="Arial"/>
                <a:cs typeface="Arial"/>
              </a:defRPr>
            </a:pPr>
            <a:endParaRPr lang="en-US"/>
          </a:p>
        </c:txPr>
        <c:crossAx val="475632000"/>
        <c:crosses val="autoZero"/>
        <c:auto val="1"/>
        <c:lblAlgn val="ctr"/>
        <c:lblOffset val="100"/>
        <c:tickLblSkip val="1"/>
        <c:tickMarkSkip val="1"/>
        <c:noMultiLvlLbl val="0"/>
      </c:catAx>
      <c:valAx>
        <c:axId val="475632000"/>
        <c:scaling>
          <c:orientation val="minMax"/>
        </c:scaling>
        <c:delete val="0"/>
        <c:axPos val="l"/>
        <c:majorGridlines>
          <c:spPr>
            <a:ln w="2606">
              <a:solidFill>
                <a:srgbClr val="000000"/>
              </a:solidFill>
              <a:prstDash val="solid"/>
            </a:ln>
          </c:spPr>
        </c:majorGridlines>
        <c:title>
          <c:tx>
            <c:rich>
              <a:bodyPr/>
              <a:lstStyle/>
              <a:p>
                <a:pPr>
                  <a:defRPr sz="718" b="1" i="0" u="none" strike="noStrike" baseline="0">
                    <a:solidFill>
                      <a:srgbClr val="000000"/>
                    </a:solidFill>
                    <a:latin typeface="Arial"/>
                    <a:ea typeface="Arial"/>
                    <a:cs typeface="Arial"/>
                  </a:defRPr>
                </a:pPr>
                <a:r>
                  <a:rPr lang="en-US"/>
                  <a:t>Bq/mc</a:t>
                </a:r>
              </a:p>
            </c:rich>
          </c:tx>
          <c:layout>
            <c:manualLayout>
              <c:xMode val="edge"/>
              <c:yMode val="edge"/>
              <c:x val="2.0754841032544886E-2"/>
              <c:y val="0.45014239599360428"/>
            </c:manualLayout>
          </c:layout>
          <c:overlay val="0"/>
          <c:spPr>
            <a:noFill/>
            <a:ln w="20853">
              <a:noFill/>
            </a:ln>
          </c:spPr>
        </c:title>
        <c:numFmt formatCode="General" sourceLinked="1"/>
        <c:majorTickMark val="out"/>
        <c:minorTickMark val="none"/>
        <c:tickLblPos val="nextTo"/>
        <c:spPr>
          <a:ln w="2606">
            <a:solidFill>
              <a:srgbClr val="000000"/>
            </a:solidFill>
            <a:prstDash val="solid"/>
          </a:ln>
        </c:spPr>
        <c:txPr>
          <a:bodyPr rot="0" vert="horz"/>
          <a:lstStyle/>
          <a:p>
            <a:pPr>
              <a:defRPr sz="718" b="1" i="0" u="none" strike="noStrike" baseline="0">
                <a:solidFill>
                  <a:srgbClr val="000000"/>
                </a:solidFill>
                <a:latin typeface="Arial"/>
                <a:ea typeface="Arial"/>
                <a:cs typeface="Arial"/>
              </a:defRPr>
            </a:pPr>
            <a:endParaRPr lang="en-US"/>
          </a:p>
        </c:txPr>
        <c:crossAx val="475621632"/>
        <c:crosses val="autoZero"/>
        <c:crossBetween val="between"/>
      </c:valAx>
      <c:spPr>
        <a:solidFill>
          <a:srgbClr val="C0C0C0"/>
        </a:solidFill>
        <a:ln w="10426">
          <a:solidFill>
            <a:srgbClr val="808080"/>
          </a:solidFill>
          <a:prstDash val="solid"/>
        </a:ln>
      </c:spPr>
    </c:plotArea>
    <c:legend>
      <c:legendPos val="b"/>
      <c:layout>
        <c:manualLayout>
          <c:xMode val="edge"/>
          <c:yMode val="edge"/>
          <c:x val="0.38490568400619901"/>
          <c:y val="0.92592602648806821"/>
          <c:w val="0.32264157835141377"/>
          <c:h val="6.5527197031405526E-2"/>
        </c:manualLayout>
      </c:layout>
      <c:overlay val="0"/>
      <c:spPr>
        <a:noFill/>
        <a:ln w="2606">
          <a:solidFill>
            <a:srgbClr val="000000"/>
          </a:solidFill>
          <a:prstDash val="solid"/>
        </a:ln>
      </c:spPr>
      <c:txPr>
        <a:bodyPr/>
        <a:lstStyle/>
        <a:p>
          <a:pPr>
            <a:defRPr sz="661"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718" b="1" i="0" u="none" strike="noStrike" baseline="0">
          <a:solidFill>
            <a:srgbClr val="000000"/>
          </a:solidFill>
          <a:latin typeface="Arial"/>
          <a:ea typeface="Arial"/>
          <a:cs typeface="Arial"/>
        </a:defRPr>
      </a:pPr>
      <a:endParaRPr lang="en-US"/>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85" b="1" i="0" u="none" strike="noStrike" baseline="0">
                <a:solidFill>
                  <a:srgbClr val="000000"/>
                </a:solidFill>
                <a:latin typeface="Arial"/>
                <a:ea typeface="Arial"/>
                <a:cs typeface="Arial"/>
              </a:defRPr>
            </a:pPr>
            <a:r>
              <a:rPr lang="vi-VN"/>
              <a:t>Variaţia activităţii specifice medie anuală a toronului din atmosferă în funcţie de variaţia diurnă</a:t>
            </a:r>
          </a:p>
        </c:rich>
      </c:tx>
      <c:layout>
        <c:manualLayout>
          <c:xMode val="edge"/>
          <c:yMode val="edge"/>
          <c:x val="0.12830189466873301"/>
          <c:y val="1.9942981265272875E-2"/>
        </c:manualLayout>
      </c:layout>
      <c:overlay val="0"/>
      <c:spPr>
        <a:noFill/>
        <a:ln w="22777">
          <a:noFill/>
        </a:ln>
      </c:spPr>
    </c:title>
    <c:autoTitleDeleted val="0"/>
    <c:plotArea>
      <c:layout>
        <c:manualLayout>
          <c:layoutTarget val="inner"/>
          <c:xMode val="edge"/>
          <c:yMode val="edge"/>
          <c:x val="0.13207547169811318"/>
          <c:y val="0.21082621082621184"/>
          <c:w val="0.85094339622641935"/>
          <c:h val="0.60113960113960163"/>
        </c:manualLayout>
      </c:layout>
      <c:lineChart>
        <c:grouping val="standard"/>
        <c:varyColors val="0"/>
        <c:ser>
          <c:idx val="0"/>
          <c:order val="0"/>
          <c:tx>
            <c:strRef>
              <c:f>Sheet1!$A$2</c:f>
              <c:strCache>
                <c:ptCount val="1"/>
                <c:pt idx="0">
                  <c:v>asp. 2-7</c:v>
                </c:pt>
              </c:strCache>
            </c:strRef>
          </c:tx>
          <c:spPr>
            <a:ln w="11388">
              <a:solidFill>
                <a:srgbClr val="000080"/>
              </a:solidFill>
              <a:prstDash val="solid"/>
            </a:ln>
          </c:spPr>
          <c:marker>
            <c:symbol val="diamond"/>
            <c:size val="4"/>
            <c:spPr>
              <a:solidFill>
                <a:srgbClr val="000080"/>
              </a:solidFill>
              <a:ln>
                <a:solidFill>
                  <a:srgbClr val="000080"/>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0.41399999999999998</c:v>
                </c:pt>
                <c:pt idx="1">
                  <c:v>0.44400000000000001</c:v>
                </c:pt>
                <c:pt idx="2">
                  <c:v>0.371</c:v>
                </c:pt>
                <c:pt idx="3">
                  <c:v>0.69799999999999995</c:v>
                </c:pt>
                <c:pt idx="4">
                  <c:v>0.41399999999999998</c:v>
                </c:pt>
              </c:numCache>
            </c:numRef>
          </c:val>
          <c:smooth val="0"/>
          <c:extLst xmlns:c16r2="http://schemas.microsoft.com/office/drawing/2015/06/chart">
            <c:ext xmlns:c16="http://schemas.microsoft.com/office/drawing/2014/chart" uri="{C3380CC4-5D6E-409C-BE32-E72D297353CC}">
              <c16:uniqueId val="{00000000-6178-42DD-BCE9-BAE3B7BE5F4E}"/>
            </c:ext>
          </c:extLst>
        </c:ser>
        <c:ser>
          <c:idx val="1"/>
          <c:order val="1"/>
          <c:tx>
            <c:strRef>
              <c:f>Sheet1!$A$3</c:f>
              <c:strCache>
                <c:ptCount val="1"/>
                <c:pt idx="0">
                  <c:v>asp.8-13</c:v>
                </c:pt>
              </c:strCache>
            </c:strRef>
          </c:tx>
          <c:spPr>
            <a:ln w="11388">
              <a:solidFill>
                <a:srgbClr val="FF00FF"/>
              </a:solidFill>
              <a:prstDash val="solid"/>
            </a:ln>
          </c:spPr>
          <c:marker>
            <c:symbol val="square"/>
            <c:size val="4"/>
            <c:spPr>
              <a:solidFill>
                <a:srgbClr val="FF00FF"/>
              </a:solidFill>
              <a:ln>
                <a:solidFill>
                  <a:srgbClr val="FF00FF"/>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0.157</c:v>
                </c:pt>
                <c:pt idx="1">
                  <c:v>0.16800000000000001</c:v>
                </c:pt>
                <c:pt idx="2">
                  <c:v>0.13100000000000001</c:v>
                </c:pt>
                <c:pt idx="3">
                  <c:v>0.251</c:v>
                </c:pt>
                <c:pt idx="4">
                  <c:v>0.222</c:v>
                </c:pt>
              </c:numCache>
            </c:numRef>
          </c:val>
          <c:smooth val="0"/>
          <c:extLst xmlns:c16r2="http://schemas.microsoft.com/office/drawing/2015/06/chart">
            <c:ext xmlns:c16="http://schemas.microsoft.com/office/drawing/2014/chart" uri="{C3380CC4-5D6E-409C-BE32-E72D297353CC}">
              <c16:uniqueId val="{00000001-6178-42DD-BCE9-BAE3B7BE5F4E}"/>
            </c:ext>
          </c:extLst>
        </c:ser>
        <c:dLbls>
          <c:showLegendKey val="0"/>
          <c:showVal val="0"/>
          <c:showCatName val="0"/>
          <c:showSerName val="0"/>
          <c:showPercent val="0"/>
          <c:showBubbleSize val="0"/>
        </c:dLbls>
        <c:marker val="1"/>
        <c:smooth val="0"/>
        <c:axId val="436963200"/>
        <c:axId val="436973568"/>
      </c:lineChart>
      <c:catAx>
        <c:axId val="436963200"/>
        <c:scaling>
          <c:orientation val="minMax"/>
        </c:scaling>
        <c:delete val="0"/>
        <c:axPos val="b"/>
        <c:numFmt formatCode="General" sourceLinked="1"/>
        <c:majorTickMark val="out"/>
        <c:minorTickMark val="none"/>
        <c:tickLblPos val="nextTo"/>
        <c:spPr>
          <a:ln w="2847">
            <a:solidFill>
              <a:srgbClr val="000000"/>
            </a:solidFill>
            <a:prstDash val="solid"/>
          </a:ln>
        </c:spPr>
        <c:txPr>
          <a:bodyPr rot="0" vert="horz"/>
          <a:lstStyle/>
          <a:p>
            <a:pPr>
              <a:defRPr sz="785" b="1" i="0" u="none" strike="noStrike" baseline="0">
                <a:solidFill>
                  <a:srgbClr val="000000"/>
                </a:solidFill>
                <a:latin typeface="Arial"/>
                <a:ea typeface="Arial"/>
                <a:cs typeface="Arial"/>
              </a:defRPr>
            </a:pPr>
            <a:endParaRPr lang="en-US"/>
          </a:p>
        </c:txPr>
        <c:crossAx val="436973568"/>
        <c:crosses val="autoZero"/>
        <c:auto val="1"/>
        <c:lblAlgn val="ctr"/>
        <c:lblOffset val="100"/>
        <c:tickLblSkip val="1"/>
        <c:tickMarkSkip val="1"/>
        <c:noMultiLvlLbl val="0"/>
      </c:catAx>
      <c:valAx>
        <c:axId val="436973568"/>
        <c:scaling>
          <c:orientation val="minMax"/>
        </c:scaling>
        <c:delete val="0"/>
        <c:axPos val="l"/>
        <c:majorGridlines>
          <c:spPr>
            <a:ln w="2847">
              <a:solidFill>
                <a:srgbClr val="000000"/>
              </a:solidFill>
              <a:prstDash val="solid"/>
            </a:ln>
          </c:spPr>
        </c:majorGridlines>
        <c:title>
          <c:tx>
            <c:rich>
              <a:bodyPr/>
              <a:lstStyle/>
              <a:p>
                <a:pPr>
                  <a:defRPr sz="785" b="1" i="0" u="none" strike="noStrike" baseline="0">
                    <a:solidFill>
                      <a:srgbClr val="000000"/>
                    </a:solidFill>
                    <a:latin typeface="Arial"/>
                    <a:ea typeface="Arial"/>
                    <a:cs typeface="Arial"/>
                  </a:defRPr>
                </a:pPr>
                <a:r>
                  <a:rPr lang="en-US"/>
                  <a:t>Bq/mc</a:t>
                </a:r>
              </a:p>
            </c:rich>
          </c:tx>
          <c:layout>
            <c:manualLayout>
              <c:xMode val="edge"/>
              <c:yMode val="edge"/>
              <c:x val="2.0754841032544886E-2"/>
              <c:y val="0.45014239599360428"/>
            </c:manualLayout>
          </c:layout>
          <c:overlay val="0"/>
          <c:spPr>
            <a:noFill/>
            <a:ln w="22777">
              <a:noFill/>
            </a:ln>
          </c:spPr>
        </c:title>
        <c:numFmt formatCode="General" sourceLinked="1"/>
        <c:majorTickMark val="out"/>
        <c:minorTickMark val="none"/>
        <c:tickLblPos val="nextTo"/>
        <c:spPr>
          <a:ln w="2847">
            <a:solidFill>
              <a:srgbClr val="000000"/>
            </a:solidFill>
            <a:prstDash val="solid"/>
          </a:ln>
        </c:spPr>
        <c:txPr>
          <a:bodyPr rot="0" vert="horz"/>
          <a:lstStyle/>
          <a:p>
            <a:pPr>
              <a:defRPr sz="785" b="1" i="0" u="none" strike="noStrike" baseline="0">
                <a:solidFill>
                  <a:srgbClr val="000000"/>
                </a:solidFill>
                <a:latin typeface="Arial"/>
                <a:ea typeface="Arial"/>
                <a:cs typeface="Arial"/>
              </a:defRPr>
            </a:pPr>
            <a:endParaRPr lang="en-US"/>
          </a:p>
        </c:txPr>
        <c:crossAx val="436963200"/>
        <c:crosses val="autoZero"/>
        <c:crossBetween val="between"/>
      </c:valAx>
      <c:spPr>
        <a:solidFill>
          <a:srgbClr val="C0C0C0"/>
        </a:solidFill>
        <a:ln w="11388">
          <a:solidFill>
            <a:srgbClr val="808080"/>
          </a:solidFill>
          <a:prstDash val="solid"/>
        </a:ln>
      </c:spPr>
    </c:plotArea>
    <c:legend>
      <c:legendPos val="b"/>
      <c:layout>
        <c:manualLayout>
          <c:xMode val="edge"/>
          <c:yMode val="edge"/>
          <c:x val="0.3943396836826808"/>
          <c:y val="0.92592602648806821"/>
          <c:w val="0.32264157835141383"/>
          <c:h val="6.5527197031405526E-2"/>
        </c:manualLayout>
      </c:layout>
      <c:overlay val="0"/>
      <c:spPr>
        <a:noFill/>
        <a:ln w="2847">
          <a:solidFill>
            <a:srgbClr val="000000"/>
          </a:solidFill>
          <a:prstDash val="solid"/>
        </a:ln>
      </c:spPr>
      <c:txPr>
        <a:bodyPr/>
        <a:lstStyle/>
        <a:p>
          <a:pPr>
            <a:defRPr sz="722"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785" b="1" i="0" u="none" strike="noStrike" baseline="0">
          <a:solidFill>
            <a:srgbClr val="000000"/>
          </a:solidFill>
          <a:latin typeface="Arial"/>
          <a:ea typeface="Arial"/>
          <a:cs typeface="Arial"/>
        </a:defRPr>
      </a:pPr>
      <a:endParaRPr lang="en-US"/>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30" b="1" i="0" u="none" strike="noStrike" baseline="0">
                <a:solidFill>
                  <a:srgbClr val="000000"/>
                </a:solidFill>
                <a:latin typeface="Arial"/>
                <a:ea typeface="Arial"/>
                <a:cs typeface="Arial"/>
              </a:defRPr>
            </a:pPr>
            <a:r>
              <a:rPr lang="vi-VN"/>
              <a:t>Variaţia medie anuală a activităţii beta globale a aerosolilor atmosferici – măsurare la 5 zile</a:t>
            </a:r>
          </a:p>
        </c:rich>
      </c:tx>
      <c:layout>
        <c:manualLayout>
          <c:xMode val="edge"/>
          <c:yMode val="edge"/>
          <c:x val="0.10943389531576943"/>
          <c:y val="1.9942981265272875E-2"/>
        </c:manualLayout>
      </c:layout>
      <c:overlay val="0"/>
      <c:spPr>
        <a:noFill/>
        <a:ln w="21192">
          <a:noFill/>
        </a:ln>
      </c:spPr>
    </c:title>
    <c:autoTitleDeleted val="0"/>
    <c:plotArea>
      <c:layout>
        <c:manualLayout>
          <c:layoutTarget val="inner"/>
          <c:xMode val="edge"/>
          <c:yMode val="edge"/>
          <c:x val="0.15849056603773698"/>
          <c:y val="0.21082621082621184"/>
          <c:w val="0.82452830188679249"/>
          <c:h val="0.6467236467236509"/>
        </c:manualLayout>
      </c:layout>
      <c:lineChart>
        <c:grouping val="standard"/>
        <c:varyColors val="0"/>
        <c:ser>
          <c:idx val="0"/>
          <c:order val="0"/>
          <c:tx>
            <c:strRef>
              <c:f>Sheet1!$A$2</c:f>
              <c:strCache>
                <c:ptCount val="1"/>
                <c:pt idx="0">
                  <c:v>Bucureşti</c:v>
                </c:pt>
              </c:strCache>
            </c:strRef>
          </c:tx>
          <c:spPr>
            <a:ln w="10596">
              <a:solidFill>
                <a:srgbClr val="000080"/>
              </a:solidFill>
              <a:prstDash val="solid"/>
            </a:ln>
          </c:spPr>
          <c:marker>
            <c:symbol val="diamond"/>
            <c:size val="4"/>
            <c:spPr>
              <a:solidFill>
                <a:srgbClr val="000080"/>
              </a:solidFill>
              <a:ln>
                <a:solidFill>
                  <a:srgbClr val="000080"/>
                </a:solidFill>
                <a:prstDash val="solid"/>
              </a:ln>
            </c:spPr>
          </c:marker>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3.0300000000000001E-3</c:v>
                </c:pt>
                <c:pt idx="1">
                  <c:v>3.1199999999999999E-3</c:v>
                </c:pt>
                <c:pt idx="2">
                  <c:v>4.64E-3</c:v>
                </c:pt>
                <c:pt idx="3">
                  <c:v>1.179E-2</c:v>
                </c:pt>
                <c:pt idx="4">
                  <c:v>1.2200000000000001E-2</c:v>
                </c:pt>
              </c:numCache>
            </c:numRef>
          </c:val>
          <c:smooth val="0"/>
          <c:extLst xmlns:c16r2="http://schemas.microsoft.com/office/drawing/2015/06/chart">
            <c:ext xmlns:c16="http://schemas.microsoft.com/office/drawing/2014/chart" uri="{C3380CC4-5D6E-409C-BE32-E72D297353CC}">
              <c16:uniqueId val="{00000000-0439-4A5E-8623-672BCA7CDBEE}"/>
            </c:ext>
          </c:extLst>
        </c:ser>
        <c:dLbls>
          <c:showLegendKey val="0"/>
          <c:showVal val="0"/>
          <c:showCatName val="0"/>
          <c:showSerName val="0"/>
          <c:showPercent val="0"/>
          <c:showBubbleSize val="0"/>
        </c:dLbls>
        <c:marker val="1"/>
        <c:smooth val="0"/>
        <c:axId val="475742592"/>
        <c:axId val="475744512"/>
      </c:lineChart>
      <c:catAx>
        <c:axId val="475742592"/>
        <c:scaling>
          <c:orientation val="minMax"/>
        </c:scaling>
        <c:delete val="0"/>
        <c:axPos val="b"/>
        <c:numFmt formatCode="General" sourceLinked="1"/>
        <c:majorTickMark val="out"/>
        <c:minorTickMark val="none"/>
        <c:tickLblPos val="nextTo"/>
        <c:spPr>
          <a:ln w="2649">
            <a:solidFill>
              <a:srgbClr val="000000"/>
            </a:solidFill>
            <a:prstDash val="solid"/>
          </a:ln>
        </c:spPr>
        <c:txPr>
          <a:bodyPr rot="0" vert="horz"/>
          <a:lstStyle/>
          <a:p>
            <a:pPr>
              <a:defRPr sz="730" b="1" i="0" u="none" strike="noStrike" baseline="0">
                <a:solidFill>
                  <a:srgbClr val="000000"/>
                </a:solidFill>
                <a:latin typeface="Arial"/>
                <a:ea typeface="Arial"/>
                <a:cs typeface="Arial"/>
              </a:defRPr>
            </a:pPr>
            <a:endParaRPr lang="en-US"/>
          </a:p>
        </c:txPr>
        <c:crossAx val="475744512"/>
        <c:crosses val="autoZero"/>
        <c:auto val="1"/>
        <c:lblAlgn val="ctr"/>
        <c:lblOffset val="100"/>
        <c:tickLblSkip val="1"/>
        <c:tickMarkSkip val="1"/>
        <c:noMultiLvlLbl val="0"/>
      </c:catAx>
      <c:valAx>
        <c:axId val="475744512"/>
        <c:scaling>
          <c:orientation val="minMax"/>
        </c:scaling>
        <c:delete val="0"/>
        <c:axPos val="l"/>
        <c:majorGridlines>
          <c:spPr>
            <a:ln w="2649">
              <a:solidFill>
                <a:srgbClr val="000000"/>
              </a:solidFill>
              <a:prstDash val="solid"/>
            </a:ln>
          </c:spPr>
        </c:majorGridlines>
        <c:title>
          <c:tx>
            <c:rich>
              <a:bodyPr/>
              <a:lstStyle/>
              <a:p>
                <a:pPr>
                  <a:defRPr sz="730" b="1" i="0" u="none" strike="noStrike" baseline="0">
                    <a:solidFill>
                      <a:srgbClr val="000000"/>
                    </a:solidFill>
                    <a:latin typeface="Arial"/>
                    <a:ea typeface="Arial"/>
                    <a:cs typeface="Arial"/>
                  </a:defRPr>
                </a:pPr>
                <a:r>
                  <a:rPr lang="en-US"/>
                  <a:t>Bq/mc</a:t>
                </a:r>
              </a:p>
            </c:rich>
          </c:tx>
          <c:layout>
            <c:manualLayout>
              <c:xMode val="edge"/>
              <c:yMode val="edge"/>
              <c:x val="2.0754632311120156E-2"/>
              <c:y val="0.47293450387667063"/>
            </c:manualLayout>
          </c:layout>
          <c:overlay val="0"/>
          <c:spPr>
            <a:noFill/>
            <a:ln w="21192">
              <a:noFill/>
            </a:ln>
          </c:spPr>
        </c:title>
        <c:numFmt formatCode="General" sourceLinked="1"/>
        <c:majorTickMark val="out"/>
        <c:minorTickMark val="none"/>
        <c:tickLblPos val="nextTo"/>
        <c:spPr>
          <a:ln w="2649">
            <a:solidFill>
              <a:srgbClr val="000000"/>
            </a:solidFill>
            <a:prstDash val="solid"/>
          </a:ln>
        </c:spPr>
        <c:txPr>
          <a:bodyPr rot="0" vert="horz"/>
          <a:lstStyle/>
          <a:p>
            <a:pPr>
              <a:defRPr sz="730" b="1" i="0" u="none" strike="noStrike" baseline="0">
                <a:solidFill>
                  <a:srgbClr val="000000"/>
                </a:solidFill>
                <a:latin typeface="Arial"/>
                <a:ea typeface="Arial"/>
                <a:cs typeface="Arial"/>
              </a:defRPr>
            </a:pPr>
            <a:endParaRPr lang="en-US"/>
          </a:p>
        </c:txPr>
        <c:crossAx val="475742592"/>
        <c:crosses val="autoZero"/>
        <c:crossBetween val="between"/>
      </c:valAx>
      <c:spPr>
        <a:solidFill>
          <a:srgbClr val="C0C0C0"/>
        </a:solidFill>
        <a:ln w="10596">
          <a:solidFill>
            <a:srgbClr val="808080"/>
          </a:solidFill>
          <a:prstDash val="solid"/>
        </a:ln>
      </c:spPr>
    </c:plotArea>
    <c:legend>
      <c:legendPos val="b"/>
      <c:layout>
        <c:manualLayout>
          <c:xMode val="edge"/>
          <c:yMode val="edge"/>
          <c:x val="0.47735842164858616"/>
          <c:y val="0.92592602648806821"/>
          <c:w val="0.18113200064703644"/>
          <c:h val="6.5527197031405526E-2"/>
        </c:manualLayout>
      </c:layout>
      <c:overlay val="0"/>
      <c:spPr>
        <a:noFill/>
        <a:ln w="2649">
          <a:solidFill>
            <a:srgbClr val="000000"/>
          </a:solidFill>
          <a:prstDash val="solid"/>
        </a:ln>
      </c:spPr>
      <c:txPr>
        <a:bodyPr/>
        <a:lstStyle/>
        <a:p>
          <a:pPr>
            <a:defRPr sz="617"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730" b="1" i="0" u="none" strike="noStrike" baseline="0">
          <a:solidFill>
            <a:srgbClr val="000000"/>
          </a:solidFill>
          <a:latin typeface="Arial"/>
          <a:ea typeface="Arial"/>
          <a:cs typeface="Arial"/>
        </a:defRPr>
      </a:pPr>
      <a:endParaRPr lang="en-US"/>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19" b="1" i="0" u="none" strike="noStrike" baseline="0">
                <a:solidFill>
                  <a:srgbClr val="000000"/>
                </a:solidFill>
                <a:latin typeface="Arial"/>
                <a:ea typeface="Arial"/>
                <a:cs typeface="Arial"/>
              </a:defRPr>
            </a:pPr>
            <a:r>
              <a:rPr lang="vi-VN"/>
              <a:t>Variaţia mediilor şi maximelor anuale ale activităţii beta globale a
depunerilor atmosferice totale</a:t>
            </a:r>
          </a:p>
        </c:rich>
      </c:tx>
      <c:layout>
        <c:manualLayout>
          <c:xMode val="edge"/>
          <c:yMode val="edge"/>
          <c:x val="0.15094336865943447"/>
          <c:y val="1.9942981265272875E-2"/>
        </c:manualLayout>
      </c:layout>
      <c:overlay val="0"/>
      <c:spPr>
        <a:noFill/>
        <a:ln w="23768">
          <a:noFill/>
        </a:ln>
      </c:spPr>
    </c:title>
    <c:autoTitleDeleted val="0"/>
    <c:plotArea>
      <c:layout>
        <c:manualLayout>
          <c:layoutTarget val="inner"/>
          <c:xMode val="edge"/>
          <c:yMode val="edge"/>
          <c:x val="0.12641509433962364"/>
          <c:y val="0.21082621082621184"/>
          <c:w val="0.85660377358491036"/>
          <c:h val="0.60113960113960163"/>
        </c:manualLayout>
      </c:layout>
      <c:lineChart>
        <c:grouping val="standard"/>
        <c:varyColors val="0"/>
        <c:ser>
          <c:idx val="0"/>
          <c:order val="0"/>
          <c:tx>
            <c:strRef>
              <c:f>Sheet1!$A$2</c:f>
              <c:strCache>
                <c:ptCount val="1"/>
                <c:pt idx="0">
                  <c:v>medie anuală</c:v>
                </c:pt>
              </c:strCache>
            </c:strRef>
          </c:tx>
          <c:spPr>
            <a:ln w="11883">
              <a:solidFill>
                <a:srgbClr val="000080"/>
              </a:solidFill>
              <a:prstDash val="solid"/>
            </a:ln>
          </c:spPr>
          <c:marker>
            <c:symbol val="diamond"/>
            <c:size val="4"/>
            <c:spPr>
              <a:solidFill>
                <a:srgbClr val="000080"/>
              </a:solidFill>
              <a:ln>
                <a:solidFill>
                  <a:srgbClr val="000080"/>
                </a:solidFill>
                <a:prstDash val="solid"/>
              </a:ln>
            </c:spPr>
          </c:marker>
          <c:dLbls>
            <c:spPr>
              <a:noFill/>
              <a:ln w="23768">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1.72</c:v>
                </c:pt>
                <c:pt idx="1">
                  <c:v>2.1800000000000002</c:v>
                </c:pt>
                <c:pt idx="2">
                  <c:v>2.0099999999999998</c:v>
                </c:pt>
                <c:pt idx="3">
                  <c:v>5.36</c:v>
                </c:pt>
                <c:pt idx="4">
                  <c:v>5.26</c:v>
                </c:pt>
              </c:numCache>
            </c:numRef>
          </c:val>
          <c:smooth val="0"/>
          <c:extLst xmlns:c16r2="http://schemas.microsoft.com/office/drawing/2015/06/chart">
            <c:ext xmlns:c16="http://schemas.microsoft.com/office/drawing/2014/chart" uri="{C3380CC4-5D6E-409C-BE32-E72D297353CC}">
              <c16:uniqueId val="{00000000-1CF2-49F3-B199-FA57FA87B32C}"/>
            </c:ext>
          </c:extLst>
        </c:ser>
        <c:ser>
          <c:idx val="1"/>
          <c:order val="1"/>
          <c:tx>
            <c:strRef>
              <c:f>Sheet1!$A$3</c:f>
              <c:strCache>
                <c:ptCount val="1"/>
                <c:pt idx="0">
                  <c:v>maxima anuală</c:v>
                </c:pt>
              </c:strCache>
            </c:strRef>
          </c:tx>
          <c:spPr>
            <a:ln w="11883">
              <a:solidFill>
                <a:srgbClr val="FF00FF"/>
              </a:solidFill>
              <a:prstDash val="solid"/>
            </a:ln>
          </c:spPr>
          <c:marker>
            <c:symbol val="square"/>
            <c:size val="4"/>
            <c:spPr>
              <a:solidFill>
                <a:srgbClr val="FF00FF"/>
              </a:solidFill>
              <a:ln>
                <a:solidFill>
                  <a:srgbClr val="FF00FF"/>
                </a:solidFill>
                <a:prstDash val="solid"/>
              </a:ln>
            </c:spPr>
          </c:marker>
          <c:dLbls>
            <c:spPr>
              <a:noFill/>
              <a:ln w="23768">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42.1</c:v>
                </c:pt>
                <c:pt idx="1">
                  <c:v>74.099999999999994</c:v>
                </c:pt>
                <c:pt idx="2">
                  <c:v>23.2</c:v>
                </c:pt>
                <c:pt idx="3">
                  <c:v>25.5</c:v>
                </c:pt>
                <c:pt idx="4">
                  <c:v>39.9</c:v>
                </c:pt>
              </c:numCache>
            </c:numRef>
          </c:val>
          <c:smooth val="0"/>
          <c:extLst xmlns:c16r2="http://schemas.microsoft.com/office/drawing/2015/06/chart">
            <c:ext xmlns:c16="http://schemas.microsoft.com/office/drawing/2014/chart" uri="{C3380CC4-5D6E-409C-BE32-E72D297353CC}">
              <c16:uniqueId val="{00000001-1CF2-49F3-B199-FA57FA87B32C}"/>
            </c:ext>
          </c:extLst>
        </c:ser>
        <c:dLbls>
          <c:showLegendKey val="0"/>
          <c:showVal val="0"/>
          <c:showCatName val="0"/>
          <c:showSerName val="0"/>
          <c:showPercent val="0"/>
          <c:showBubbleSize val="0"/>
        </c:dLbls>
        <c:marker val="1"/>
        <c:smooth val="0"/>
        <c:axId val="475784320"/>
        <c:axId val="475785856"/>
      </c:lineChart>
      <c:catAx>
        <c:axId val="475784320"/>
        <c:scaling>
          <c:orientation val="minMax"/>
        </c:scaling>
        <c:delete val="0"/>
        <c:axPos val="b"/>
        <c:numFmt formatCode="General" sourceLinked="1"/>
        <c:majorTickMark val="out"/>
        <c:minorTickMark val="none"/>
        <c:tickLblPos val="nextTo"/>
        <c:spPr>
          <a:ln w="2971">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75785856"/>
        <c:crosses val="autoZero"/>
        <c:auto val="1"/>
        <c:lblAlgn val="ctr"/>
        <c:lblOffset val="100"/>
        <c:tickLblSkip val="1"/>
        <c:tickMarkSkip val="1"/>
        <c:noMultiLvlLbl val="0"/>
      </c:catAx>
      <c:valAx>
        <c:axId val="475785856"/>
        <c:scaling>
          <c:orientation val="minMax"/>
        </c:scaling>
        <c:delete val="0"/>
        <c:axPos val="l"/>
        <c:majorGridlines>
          <c:spPr>
            <a:ln w="2971">
              <a:solidFill>
                <a:srgbClr val="000000"/>
              </a:solidFill>
              <a:prstDash val="solid"/>
            </a:ln>
          </c:spPr>
        </c:majorGridlines>
        <c:title>
          <c:tx>
            <c:rich>
              <a:bodyPr/>
              <a:lstStyle/>
              <a:p>
                <a:pPr>
                  <a:defRPr sz="819" b="1" i="0" u="none" strike="noStrike" baseline="0">
                    <a:solidFill>
                      <a:srgbClr val="000000"/>
                    </a:solidFill>
                    <a:latin typeface="Arial"/>
                    <a:ea typeface="Arial"/>
                    <a:cs typeface="Arial"/>
                  </a:defRPr>
                </a:pPr>
                <a:r>
                  <a:rPr lang="en-US"/>
                  <a:t>Bq/m2 zi</a:t>
                </a:r>
              </a:p>
            </c:rich>
          </c:tx>
          <c:layout>
            <c:manualLayout>
              <c:xMode val="edge"/>
              <c:yMode val="edge"/>
              <c:x val="2.0754841032544886E-2"/>
              <c:y val="0.43304854134612486"/>
            </c:manualLayout>
          </c:layout>
          <c:overlay val="0"/>
          <c:spPr>
            <a:noFill/>
            <a:ln w="23768">
              <a:noFill/>
            </a:ln>
          </c:spPr>
        </c:title>
        <c:numFmt formatCode="General" sourceLinked="1"/>
        <c:majorTickMark val="out"/>
        <c:minorTickMark val="none"/>
        <c:tickLblPos val="nextTo"/>
        <c:spPr>
          <a:ln w="2971">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75784320"/>
        <c:crosses val="autoZero"/>
        <c:crossBetween val="between"/>
      </c:valAx>
      <c:spPr>
        <a:solidFill>
          <a:srgbClr val="C0C0C0"/>
        </a:solidFill>
        <a:ln w="11883">
          <a:solidFill>
            <a:srgbClr val="808080"/>
          </a:solidFill>
          <a:prstDash val="solid"/>
        </a:ln>
      </c:spPr>
    </c:plotArea>
    <c:legend>
      <c:legendPos val="b"/>
      <c:layout>
        <c:manualLayout>
          <c:xMode val="edge"/>
          <c:yMode val="edge"/>
          <c:x val="0.32641505298915169"/>
          <c:y val="0.92592602648806821"/>
          <c:w val="0.45283010597830348"/>
          <c:h val="6.5527197031405526E-2"/>
        </c:manualLayout>
      </c:layout>
      <c:overlay val="0"/>
      <c:spPr>
        <a:noFill/>
        <a:ln w="2971">
          <a:solidFill>
            <a:srgbClr val="000000"/>
          </a:solidFill>
          <a:prstDash val="solid"/>
        </a:ln>
      </c:spPr>
      <c:txPr>
        <a:bodyPr/>
        <a:lstStyle/>
        <a:p>
          <a:pPr>
            <a:defRPr sz="753"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819" b="1" i="0" u="none" strike="noStrike" baseline="0">
          <a:solidFill>
            <a:srgbClr val="000000"/>
          </a:solidFill>
          <a:latin typeface="Arial"/>
          <a:ea typeface="Arial"/>
          <a:cs typeface="Arial"/>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200"/>
              <a:t>Pb - Evoluţia concentraţiilor medii anuale înregistrate la staţiile de monitorizare în raport cu valoarea limită</a:t>
            </a:r>
          </a:p>
        </c:rich>
      </c:tx>
      <c:overlay val="0"/>
      <c:spPr>
        <a:noFill/>
        <a:ln w="21710">
          <a:noFill/>
        </a:ln>
      </c:spPr>
    </c:title>
    <c:autoTitleDeleted val="0"/>
    <c:plotArea>
      <c:layout/>
      <c:barChart>
        <c:barDir val="col"/>
        <c:grouping val="clustered"/>
        <c:varyColors val="0"/>
        <c:ser>
          <c:idx val="0"/>
          <c:order val="0"/>
          <c:tx>
            <c:strRef>
              <c:f>Sheet1!$B$1</c:f>
              <c:strCache>
                <c:ptCount val="1"/>
                <c:pt idx="0">
                  <c:v>B1</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Sheet1!$B$2:$B$6</c:f>
              <c:numCache>
                <c:formatCode>General</c:formatCode>
                <c:ptCount val="5"/>
                <c:pt idx="0">
                  <c:v>7.0468749999999828E-3</c:v>
                </c:pt>
                <c:pt idx="1">
                  <c:v>2.3824104234527674E-2</c:v>
                </c:pt>
                <c:pt idx="2">
                  <c:v>1.1201785714285718E-2</c:v>
                </c:pt>
                <c:pt idx="3">
                  <c:v>9.2999999999999992E-3</c:v>
                </c:pt>
                <c:pt idx="4">
                  <c:v>1.0862500000000001E-2</c:v>
                </c:pt>
              </c:numCache>
            </c:numRef>
          </c:val>
          <c:extLst xmlns:c16r2="http://schemas.microsoft.com/office/drawing/2015/06/chart">
            <c:ext xmlns:c16="http://schemas.microsoft.com/office/drawing/2014/chart" uri="{C3380CC4-5D6E-409C-BE32-E72D297353CC}">
              <c16:uniqueId val="{00000000-DC46-4BEB-8350-8051BC41AD9E}"/>
            </c:ext>
          </c:extLst>
        </c:ser>
        <c:ser>
          <c:idx val="1"/>
          <c:order val="1"/>
          <c:tx>
            <c:strRef>
              <c:f>Sheet1!$C$1</c:f>
              <c:strCache>
                <c:ptCount val="1"/>
                <c:pt idx="0">
                  <c:v>B2</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Sheet1!$C$2:$C$6</c:f>
              <c:numCache>
                <c:formatCode>General</c:formatCode>
                <c:ptCount val="5"/>
                <c:pt idx="0">
                  <c:v>9.2523076923076743E-3</c:v>
                </c:pt>
                <c:pt idx="1">
                  <c:v>2.5419243986254288E-2</c:v>
                </c:pt>
                <c:pt idx="2">
                  <c:v>1.0666071428571431E-2</c:v>
                </c:pt>
              </c:numCache>
            </c:numRef>
          </c:val>
          <c:extLst xmlns:c16r2="http://schemas.microsoft.com/office/drawing/2015/06/chart">
            <c:ext xmlns:c16="http://schemas.microsoft.com/office/drawing/2014/chart" uri="{C3380CC4-5D6E-409C-BE32-E72D297353CC}">
              <c16:uniqueId val="{00000001-DC46-4BEB-8350-8051BC41AD9E}"/>
            </c:ext>
          </c:extLst>
        </c:ser>
        <c:ser>
          <c:idx val="2"/>
          <c:order val="2"/>
          <c:tx>
            <c:strRef>
              <c:f>Sheet1!$D$1</c:f>
              <c:strCache>
                <c:ptCount val="1"/>
                <c:pt idx="0">
                  <c:v>B3</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Sheet1!$D$2:$D$6</c:f>
              <c:numCache>
                <c:formatCode>General</c:formatCode>
                <c:ptCount val="5"/>
                <c:pt idx="0">
                  <c:v>8.5621118012422053E-3</c:v>
                </c:pt>
                <c:pt idx="1">
                  <c:v>2.5930769230769198E-2</c:v>
                </c:pt>
                <c:pt idx="2">
                  <c:v>8.0563636363636358E-3</c:v>
                </c:pt>
              </c:numCache>
            </c:numRef>
          </c:val>
          <c:extLst xmlns:c16r2="http://schemas.microsoft.com/office/drawing/2015/06/chart">
            <c:ext xmlns:c16="http://schemas.microsoft.com/office/drawing/2014/chart" uri="{C3380CC4-5D6E-409C-BE32-E72D297353CC}">
              <c16:uniqueId val="{00000002-DC46-4BEB-8350-8051BC41AD9E}"/>
            </c:ext>
          </c:extLst>
        </c:ser>
        <c:ser>
          <c:idx val="3"/>
          <c:order val="3"/>
          <c:tx>
            <c:strRef>
              <c:f>Sheet1!$E$1</c:f>
              <c:strCache>
                <c:ptCount val="1"/>
                <c:pt idx="0">
                  <c:v>B4</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Sheet1!$E$2:$E$6</c:f>
              <c:numCache>
                <c:formatCode>General</c:formatCode>
                <c:ptCount val="5"/>
                <c:pt idx="0">
                  <c:v>8.3986486486486364E-3</c:v>
                </c:pt>
                <c:pt idx="1">
                  <c:v>2.6236842105263121E-2</c:v>
                </c:pt>
                <c:pt idx="2">
                  <c:v>1.2455357142857146E-2</c:v>
                </c:pt>
              </c:numCache>
            </c:numRef>
          </c:val>
          <c:extLst xmlns:c16r2="http://schemas.microsoft.com/office/drawing/2015/06/chart">
            <c:ext xmlns:c16="http://schemas.microsoft.com/office/drawing/2014/chart" uri="{C3380CC4-5D6E-409C-BE32-E72D297353CC}">
              <c16:uniqueId val="{00000003-DC46-4BEB-8350-8051BC41AD9E}"/>
            </c:ext>
          </c:extLst>
        </c:ser>
        <c:ser>
          <c:idx val="4"/>
          <c:order val="4"/>
          <c:tx>
            <c:strRef>
              <c:f>Sheet1!$F$1</c:f>
              <c:strCache>
                <c:ptCount val="1"/>
                <c:pt idx="0">
                  <c:v>B5</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Sheet1!$F$2:$F$6</c:f>
              <c:numCache>
                <c:formatCode>General</c:formatCode>
                <c:ptCount val="5"/>
                <c:pt idx="0">
                  <c:v>8.1690647482014263E-3</c:v>
                </c:pt>
                <c:pt idx="1">
                  <c:v>2.5996466431095423E-2</c:v>
                </c:pt>
                <c:pt idx="2">
                  <c:v>1.2048214285714292E-2</c:v>
                </c:pt>
              </c:numCache>
            </c:numRef>
          </c:val>
          <c:extLst xmlns:c16r2="http://schemas.microsoft.com/office/drawing/2015/06/chart">
            <c:ext xmlns:c16="http://schemas.microsoft.com/office/drawing/2014/chart" uri="{C3380CC4-5D6E-409C-BE32-E72D297353CC}">
              <c16:uniqueId val="{00000004-DC46-4BEB-8350-8051BC41AD9E}"/>
            </c:ext>
          </c:extLst>
        </c:ser>
        <c:ser>
          <c:idx val="5"/>
          <c:order val="5"/>
          <c:tx>
            <c:strRef>
              <c:f>Sheet1!$G$1</c:f>
              <c:strCache>
                <c:ptCount val="1"/>
                <c:pt idx="0">
                  <c:v>B6</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Sheet1!$G$2:$G$6</c:f>
              <c:numCache>
                <c:formatCode>General</c:formatCode>
                <c:ptCount val="5"/>
                <c:pt idx="0">
                  <c:v>8.816770186335374E-3</c:v>
                </c:pt>
                <c:pt idx="1">
                  <c:v>2.0738738738738719E-2</c:v>
                </c:pt>
                <c:pt idx="2">
                  <c:v>1.2237500000000002E-2</c:v>
                </c:pt>
              </c:numCache>
            </c:numRef>
          </c:val>
          <c:extLst xmlns:c16r2="http://schemas.microsoft.com/office/drawing/2015/06/chart">
            <c:ext xmlns:c16="http://schemas.microsoft.com/office/drawing/2014/chart" uri="{C3380CC4-5D6E-409C-BE32-E72D297353CC}">
              <c16:uniqueId val="{00000005-DC46-4BEB-8350-8051BC41AD9E}"/>
            </c:ext>
          </c:extLst>
        </c:ser>
        <c:ser>
          <c:idx val="6"/>
          <c:order val="6"/>
          <c:tx>
            <c:strRef>
              <c:f>Sheet1!$H$1</c:f>
              <c:strCache>
                <c:ptCount val="1"/>
                <c:pt idx="0">
                  <c:v>B7</c:v>
                </c:pt>
              </c:strCache>
            </c:strRef>
          </c:tx>
          <c:invertIfNegative val="0"/>
          <c:cat>
            <c:numRef>
              <c:f>Sheet1!$A$2:$A$6</c:f>
              <c:numCache>
                <c:formatCode>General</c:formatCode>
                <c:ptCount val="5"/>
                <c:pt idx="0">
                  <c:v>2019</c:v>
                </c:pt>
                <c:pt idx="1">
                  <c:v>2020</c:v>
                </c:pt>
                <c:pt idx="2">
                  <c:v>2021</c:v>
                </c:pt>
                <c:pt idx="3">
                  <c:v>2022</c:v>
                </c:pt>
                <c:pt idx="4">
                  <c:v>2023</c:v>
                </c:pt>
              </c:numCache>
            </c:numRef>
          </c:cat>
          <c:val>
            <c:numRef>
              <c:f>Sheet1!$H$2:$H$6</c:f>
              <c:numCache>
                <c:formatCode>General</c:formatCode>
                <c:ptCount val="5"/>
                <c:pt idx="1">
                  <c:v>1.868211920529797E-2</c:v>
                </c:pt>
                <c:pt idx="2">
                  <c:v>1.1080357142857147E-2</c:v>
                </c:pt>
                <c:pt idx="3">
                  <c:v>1.55E-2</c:v>
                </c:pt>
                <c:pt idx="4">
                  <c:v>1.20166666666667E-2</c:v>
                </c:pt>
              </c:numCache>
            </c:numRef>
          </c:val>
          <c:extLst xmlns:c16r2="http://schemas.microsoft.com/office/drawing/2015/06/chart">
            <c:ext xmlns:c16="http://schemas.microsoft.com/office/drawing/2014/chart" uri="{C3380CC4-5D6E-409C-BE32-E72D297353CC}">
              <c16:uniqueId val="{00000006-DC46-4BEB-8350-8051BC41AD9E}"/>
            </c:ext>
          </c:extLst>
        </c:ser>
        <c:ser>
          <c:idx val="7"/>
          <c:order val="7"/>
          <c:tx>
            <c:v>B8</c:v>
          </c:tx>
          <c:invertIfNegative val="0"/>
          <c:val>
            <c:numRef>
              <c:f>Sheet1!$I$2:$I$6</c:f>
              <c:numCache>
                <c:formatCode>General</c:formatCode>
                <c:ptCount val="5"/>
                <c:pt idx="0">
                  <c:v>6.0764119601328772E-3</c:v>
                </c:pt>
                <c:pt idx="1">
                  <c:v>2.117717717717715E-2</c:v>
                </c:pt>
                <c:pt idx="2">
                  <c:v>8.6696428571428584E-3</c:v>
                </c:pt>
              </c:numCache>
            </c:numRef>
          </c:val>
          <c:extLst xmlns:c16r2="http://schemas.microsoft.com/office/drawing/2015/06/chart">
            <c:ext xmlns:c16="http://schemas.microsoft.com/office/drawing/2014/chart" uri="{C3380CC4-5D6E-409C-BE32-E72D297353CC}">
              <c16:uniqueId val="{00000007-DC46-4BEB-8350-8051BC41AD9E}"/>
            </c:ext>
          </c:extLst>
        </c:ser>
        <c:dLbls>
          <c:showLegendKey val="0"/>
          <c:showVal val="0"/>
          <c:showCatName val="0"/>
          <c:showSerName val="0"/>
          <c:showPercent val="0"/>
          <c:showBubbleSize val="0"/>
        </c:dLbls>
        <c:gapWidth val="150"/>
        <c:axId val="352088064"/>
        <c:axId val="352089600"/>
      </c:barChart>
      <c:catAx>
        <c:axId val="352088064"/>
        <c:scaling>
          <c:orientation val="minMax"/>
        </c:scaling>
        <c:delete val="0"/>
        <c:axPos val="b"/>
        <c:numFmt formatCode="General" sourceLinked="0"/>
        <c:majorTickMark val="out"/>
        <c:minorTickMark val="none"/>
        <c:tickLblPos val="nextTo"/>
        <c:crossAx val="352089600"/>
        <c:crosses val="autoZero"/>
        <c:auto val="1"/>
        <c:lblAlgn val="ctr"/>
        <c:lblOffset val="100"/>
        <c:noMultiLvlLbl val="0"/>
      </c:catAx>
      <c:valAx>
        <c:axId val="352089600"/>
        <c:scaling>
          <c:orientation val="minMax"/>
          <c:max val="0.60000000000000064"/>
          <c:min val="0"/>
        </c:scaling>
        <c:delete val="0"/>
        <c:axPos val="l"/>
        <c:majorGridlines/>
        <c:minorGridlines/>
        <c:title>
          <c:tx>
            <c:rich>
              <a:bodyPr/>
              <a:lstStyle/>
              <a:p>
                <a:pPr>
                  <a:defRPr/>
                </a:pPr>
                <a:r>
                  <a:rPr lang="en-US"/>
                  <a:t>Concentraţie g</a:t>
                </a:r>
                <a:r>
                  <a:rPr lang="el-GR"/>
                  <a:t>μ/</a:t>
                </a:r>
                <a:r>
                  <a:rPr lang="en-US"/>
                  <a:t>m3</a:t>
                </a:r>
              </a:p>
            </c:rich>
          </c:tx>
          <c:layout>
            <c:manualLayout>
              <c:xMode val="edge"/>
              <c:yMode val="edge"/>
              <c:x val="2.7777877765279339E-2"/>
              <c:y val="0.36662867300650431"/>
            </c:manualLayout>
          </c:layout>
          <c:overlay val="0"/>
          <c:spPr>
            <a:noFill/>
            <a:ln w="21710">
              <a:noFill/>
            </a:ln>
          </c:spPr>
        </c:title>
        <c:numFmt formatCode="General" sourceLinked="1"/>
        <c:majorTickMark val="out"/>
        <c:minorTickMark val="none"/>
        <c:tickLblPos val="nextTo"/>
        <c:crossAx val="352088064"/>
        <c:crossesAt val="1"/>
        <c:crossBetween val="between"/>
        <c:majorUnit val="0.1"/>
        <c:minorUnit val="0.1"/>
      </c:valAx>
    </c:plotArea>
    <c:legend>
      <c:legendPos val="r"/>
      <c:layout>
        <c:manualLayout>
          <c:xMode val="edge"/>
          <c:yMode val="edge"/>
          <c:x val="0.92796895388076484"/>
          <c:y val="0.32815539138394523"/>
          <c:w val="5.9127859017622741E-2"/>
          <c:h val="0.53102571839504997"/>
        </c:manualLayout>
      </c:layout>
      <c:overlay val="0"/>
    </c:legend>
    <c:plotVisOnly val="1"/>
    <c:dispBlanksAs val="gap"/>
    <c:showDLblsOverMax val="0"/>
  </c:chart>
  <c:txPr>
    <a:bodyPr/>
    <a:lstStyle/>
    <a:p>
      <a:pPr>
        <a:defRPr baseline="0">
          <a:latin typeface="Trebuchet MS" pitchFamily="34" charset="0"/>
        </a:defRPr>
      </a:pPr>
      <a:endParaRPr lang="en-US"/>
    </a:p>
  </c:txPr>
  <c:externalData r:id="rId1">
    <c:autoUpdate val="0"/>
  </c:externalData>
  <c:userShapes r:id="rId2"/>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19" b="1" i="0" u="none" strike="noStrike" baseline="0">
                <a:solidFill>
                  <a:srgbClr val="000000"/>
                </a:solidFill>
                <a:latin typeface="Arial"/>
                <a:ea typeface="Arial"/>
                <a:cs typeface="Arial"/>
              </a:defRPr>
            </a:pPr>
            <a:r>
              <a:rPr lang="vi-VN"/>
              <a:t>Variaţia mediilor şi maximelor anuale ale activităţii beta globale a râurilor</a:t>
            </a:r>
          </a:p>
        </c:rich>
      </c:tx>
      <c:layout>
        <c:manualLayout>
          <c:xMode val="edge"/>
          <c:yMode val="edge"/>
          <c:x val="0.10754714832243602"/>
          <c:y val="1.9942981265272875E-2"/>
        </c:manualLayout>
      </c:layout>
      <c:overlay val="0"/>
      <c:spPr>
        <a:noFill/>
        <a:ln w="23774">
          <a:noFill/>
        </a:ln>
      </c:spPr>
    </c:title>
    <c:autoTitleDeleted val="0"/>
    <c:plotArea>
      <c:layout>
        <c:manualLayout>
          <c:layoutTarget val="inner"/>
          <c:xMode val="edge"/>
          <c:yMode val="edge"/>
          <c:x val="0.11886792452830189"/>
          <c:y val="0.16524216524216634"/>
          <c:w val="0.86415094339622645"/>
          <c:h val="0.6467236467236509"/>
        </c:manualLayout>
      </c:layout>
      <c:lineChart>
        <c:grouping val="standard"/>
        <c:varyColors val="0"/>
        <c:ser>
          <c:idx val="0"/>
          <c:order val="0"/>
          <c:tx>
            <c:strRef>
              <c:f>Sheet1!$A$2</c:f>
              <c:strCache>
                <c:ptCount val="1"/>
                <c:pt idx="0">
                  <c:v>medie anuală</c:v>
                </c:pt>
              </c:strCache>
            </c:strRef>
          </c:tx>
          <c:spPr>
            <a:ln w="11887">
              <a:solidFill>
                <a:srgbClr val="000080"/>
              </a:solidFill>
              <a:prstDash val="solid"/>
            </a:ln>
          </c:spPr>
          <c:marker>
            <c:symbol val="diamond"/>
            <c:size val="4"/>
            <c:spPr>
              <a:solidFill>
                <a:srgbClr val="000080"/>
              </a:solidFill>
              <a:ln>
                <a:solidFill>
                  <a:srgbClr val="000080"/>
                </a:solidFill>
                <a:prstDash val="solid"/>
              </a:ln>
            </c:spPr>
          </c:marker>
          <c:dLbls>
            <c:spPr>
              <a:noFill/>
              <a:ln w="23774">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0.16500000000000001</c:v>
                </c:pt>
                <c:pt idx="1">
                  <c:v>0.14960000000000001</c:v>
                </c:pt>
                <c:pt idx="2">
                  <c:v>0.1855</c:v>
                </c:pt>
                <c:pt idx="3">
                  <c:v>0.38679999999999998</c:v>
                </c:pt>
                <c:pt idx="4" formatCode="0.0000">
                  <c:v>0.46789999999999998</c:v>
                </c:pt>
              </c:numCache>
            </c:numRef>
          </c:val>
          <c:smooth val="0"/>
          <c:extLst xmlns:c16r2="http://schemas.microsoft.com/office/drawing/2015/06/chart">
            <c:ext xmlns:c16="http://schemas.microsoft.com/office/drawing/2014/chart" uri="{C3380CC4-5D6E-409C-BE32-E72D297353CC}">
              <c16:uniqueId val="{00000000-9E0F-4975-BE8D-D01D2571E499}"/>
            </c:ext>
          </c:extLst>
        </c:ser>
        <c:ser>
          <c:idx val="1"/>
          <c:order val="1"/>
          <c:tx>
            <c:strRef>
              <c:f>Sheet1!$A$3</c:f>
              <c:strCache>
                <c:ptCount val="1"/>
                <c:pt idx="0">
                  <c:v>maxima anuală</c:v>
                </c:pt>
              </c:strCache>
            </c:strRef>
          </c:tx>
          <c:spPr>
            <a:ln w="11887">
              <a:solidFill>
                <a:srgbClr val="FF00FF"/>
              </a:solidFill>
              <a:prstDash val="solid"/>
            </a:ln>
          </c:spPr>
          <c:marker>
            <c:symbol val="square"/>
            <c:size val="4"/>
            <c:spPr>
              <a:solidFill>
                <a:srgbClr val="FF00FF"/>
              </a:solidFill>
              <a:ln>
                <a:solidFill>
                  <a:srgbClr val="FF00FF"/>
                </a:solidFill>
                <a:prstDash val="solid"/>
              </a:ln>
            </c:spPr>
          </c:marker>
          <c:dLbls>
            <c:spPr>
              <a:noFill/>
              <a:ln w="23774">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Sheet1!$B$3:$F$3</c:f>
              <c:numCache>
                <c:formatCode>0.000</c:formatCode>
                <c:ptCount val="5"/>
                <c:pt idx="0" formatCode="General">
                  <c:v>0.376</c:v>
                </c:pt>
                <c:pt idx="1">
                  <c:v>0.35439999999999999</c:v>
                </c:pt>
                <c:pt idx="2">
                  <c:v>0.49559999999999998</c:v>
                </c:pt>
                <c:pt idx="3">
                  <c:v>0.44240000000000002</c:v>
                </c:pt>
                <c:pt idx="4" formatCode="0.0000">
                  <c:v>1.2641</c:v>
                </c:pt>
              </c:numCache>
            </c:numRef>
          </c:val>
          <c:smooth val="0"/>
          <c:extLst xmlns:c16r2="http://schemas.microsoft.com/office/drawing/2015/06/chart">
            <c:ext xmlns:c16="http://schemas.microsoft.com/office/drawing/2014/chart" uri="{C3380CC4-5D6E-409C-BE32-E72D297353CC}">
              <c16:uniqueId val="{00000001-9E0F-4975-BE8D-D01D2571E499}"/>
            </c:ext>
          </c:extLst>
        </c:ser>
        <c:dLbls>
          <c:showLegendKey val="0"/>
          <c:showVal val="0"/>
          <c:showCatName val="0"/>
          <c:showSerName val="0"/>
          <c:showPercent val="0"/>
          <c:showBubbleSize val="0"/>
        </c:dLbls>
        <c:marker val="1"/>
        <c:smooth val="0"/>
        <c:axId val="475547136"/>
        <c:axId val="475548672"/>
      </c:lineChart>
      <c:catAx>
        <c:axId val="475547136"/>
        <c:scaling>
          <c:orientation val="minMax"/>
        </c:scaling>
        <c:delete val="0"/>
        <c:axPos val="b"/>
        <c:numFmt formatCode="General" sourceLinked="1"/>
        <c:majorTickMark val="out"/>
        <c:minorTickMark val="none"/>
        <c:tickLblPos val="nextTo"/>
        <c:spPr>
          <a:ln w="2972">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75548672"/>
        <c:crosses val="autoZero"/>
        <c:auto val="1"/>
        <c:lblAlgn val="ctr"/>
        <c:lblOffset val="100"/>
        <c:tickLblSkip val="1"/>
        <c:tickMarkSkip val="1"/>
        <c:noMultiLvlLbl val="0"/>
      </c:catAx>
      <c:valAx>
        <c:axId val="475548672"/>
        <c:scaling>
          <c:orientation val="minMax"/>
        </c:scaling>
        <c:delete val="0"/>
        <c:axPos val="l"/>
        <c:majorGridlines>
          <c:spPr>
            <a:ln w="2972">
              <a:solidFill>
                <a:srgbClr val="000000"/>
              </a:solidFill>
              <a:prstDash val="solid"/>
            </a:ln>
          </c:spPr>
        </c:majorGridlines>
        <c:title>
          <c:tx>
            <c:rich>
              <a:bodyPr/>
              <a:lstStyle/>
              <a:p>
                <a:pPr>
                  <a:defRPr sz="819" b="1" i="0" u="none" strike="noStrike" baseline="0">
                    <a:solidFill>
                      <a:srgbClr val="000000"/>
                    </a:solidFill>
                    <a:latin typeface="Arial"/>
                    <a:ea typeface="Arial"/>
                    <a:cs typeface="Arial"/>
                  </a:defRPr>
                </a:pPr>
                <a:r>
                  <a:rPr lang="en-US"/>
                  <a:t>[Bq/L]</a:t>
                </a:r>
              </a:p>
            </c:rich>
          </c:tx>
          <c:layout>
            <c:manualLayout>
              <c:xMode val="edge"/>
              <c:yMode val="edge"/>
              <c:x val="2.0754683771037497E-2"/>
              <c:y val="0.43304854134612486"/>
            </c:manualLayout>
          </c:layout>
          <c:overlay val="0"/>
          <c:spPr>
            <a:noFill/>
            <a:ln w="23774">
              <a:noFill/>
            </a:ln>
          </c:spPr>
        </c:title>
        <c:numFmt formatCode="General" sourceLinked="1"/>
        <c:majorTickMark val="out"/>
        <c:minorTickMark val="none"/>
        <c:tickLblPos val="nextTo"/>
        <c:spPr>
          <a:ln w="2972">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75547136"/>
        <c:crosses val="autoZero"/>
        <c:crossBetween val="between"/>
      </c:valAx>
      <c:spPr>
        <a:solidFill>
          <a:srgbClr val="C0C0C0"/>
        </a:solidFill>
        <a:ln w="11887">
          <a:solidFill>
            <a:srgbClr val="808080"/>
          </a:solidFill>
          <a:prstDash val="solid"/>
        </a:ln>
      </c:spPr>
    </c:plotArea>
    <c:legend>
      <c:legendPos val="b"/>
      <c:layout>
        <c:manualLayout>
          <c:xMode val="edge"/>
          <c:yMode val="edge"/>
          <c:x val="0.32264144496730807"/>
          <c:y val="0.92592602648806821"/>
          <c:w val="0.45283014179440584"/>
          <c:h val="6.5527197031405526E-2"/>
        </c:manualLayout>
      </c:layout>
      <c:overlay val="0"/>
      <c:spPr>
        <a:noFill/>
        <a:ln w="2972">
          <a:solidFill>
            <a:srgbClr val="000000"/>
          </a:solidFill>
          <a:prstDash val="solid"/>
        </a:ln>
      </c:spPr>
      <c:txPr>
        <a:bodyPr/>
        <a:lstStyle/>
        <a:p>
          <a:pPr>
            <a:defRPr sz="753"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819" b="1" i="0" u="none" strike="noStrike" baseline="0">
          <a:solidFill>
            <a:srgbClr val="000000"/>
          </a:solidFill>
          <a:latin typeface="Arial"/>
          <a:ea typeface="Arial"/>
          <a:cs typeface="Arial"/>
        </a:defRPr>
      </a:pPr>
      <a:endParaRPr lang="en-US"/>
    </a:p>
  </c:tx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19" b="1" i="0" u="none" strike="noStrike" baseline="0">
                <a:solidFill>
                  <a:srgbClr val="000000"/>
                </a:solidFill>
                <a:latin typeface="Arial"/>
                <a:ea typeface="Arial"/>
                <a:cs typeface="Arial"/>
              </a:defRPr>
            </a:pPr>
            <a:r>
              <a:rPr lang="vi-VN"/>
              <a:t>Variaţia medie anuală a activităţii beta globale a solului</a:t>
            </a:r>
          </a:p>
        </c:rich>
      </c:tx>
      <c:layout>
        <c:manualLayout>
          <c:xMode val="edge"/>
          <c:yMode val="edge"/>
          <c:x val="0.20566031631731921"/>
          <c:y val="1.9942981265272875E-2"/>
        </c:manualLayout>
      </c:layout>
      <c:overlay val="0"/>
      <c:spPr>
        <a:noFill/>
        <a:ln w="23774">
          <a:noFill/>
        </a:ln>
      </c:spPr>
    </c:title>
    <c:autoTitleDeleted val="0"/>
    <c:plotArea>
      <c:layout>
        <c:manualLayout>
          <c:layoutTarget val="inner"/>
          <c:xMode val="edge"/>
          <c:yMode val="edge"/>
          <c:x val="0.12641509433962364"/>
          <c:y val="0.16524216524216634"/>
          <c:w val="0.85660377358491036"/>
          <c:h val="0.6467236467236509"/>
        </c:manualLayout>
      </c:layout>
      <c:lineChart>
        <c:grouping val="standard"/>
        <c:varyColors val="0"/>
        <c:ser>
          <c:idx val="0"/>
          <c:order val="0"/>
          <c:tx>
            <c:strRef>
              <c:f>Sheet1!$A$2</c:f>
              <c:strCache>
                <c:ptCount val="1"/>
                <c:pt idx="0">
                  <c:v>medie anuală</c:v>
                </c:pt>
              </c:strCache>
            </c:strRef>
          </c:tx>
          <c:spPr>
            <a:ln w="11887">
              <a:solidFill>
                <a:srgbClr val="000080"/>
              </a:solidFill>
              <a:prstDash val="solid"/>
            </a:ln>
          </c:spPr>
          <c:marker>
            <c:symbol val="diamond"/>
            <c:size val="4"/>
            <c:spPr>
              <a:solidFill>
                <a:srgbClr val="000080"/>
              </a:solidFill>
              <a:ln>
                <a:solidFill>
                  <a:srgbClr val="000080"/>
                </a:solidFill>
                <a:prstDash val="solid"/>
              </a:ln>
            </c:spPr>
          </c:marker>
          <c:dLbls>
            <c:spPr>
              <a:noFill/>
              <a:ln w="23774">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503.71</c:v>
                </c:pt>
                <c:pt idx="1">
                  <c:v>676.53</c:v>
                </c:pt>
                <c:pt idx="2">
                  <c:v>592.54</c:v>
                </c:pt>
                <c:pt idx="3">
                  <c:v>637.41</c:v>
                </c:pt>
                <c:pt idx="4">
                  <c:v>641.53</c:v>
                </c:pt>
              </c:numCache>
            </c:numRef>
          </c:val>
          <c:smooth val="0"/>
          <c:extLst xmlns:c16r2="http://schemas.microsoft.com/office/drawing/2015/06/chart">
            <c:ext xmlns:c16="http://schemas.microsoft.com/office/drawing/2014/chart" uri="{C3380CC4-5D6E-409C-BE32-E72D297353CC}">
              <c16:uniqueId val="{00000000-9025-43F0-AAA2-3DA09A7D0720}"/>
            </c:ext>
          </c:extLst>
        </c:ser>
        <c:ser>
          <c:idx val="1"/>
          <c:order val="1"/>
          <c:tx>
            <c:strRef>
              <c:f>Sheet1!$A$3</c:f>
              <c:strCache>
                <c:ptCount val="1"/>
                <c:pt idx="0">
                  <c:v>maxima anuală</c:v>
                </c:pt>
              </c:strCache>
            </c:strRef>
          </c:tx>
          <c:spPr>
            <a:ln w="11887">
              <a:solidFill>
                <a:srgbClr val="FF00FF"/>
              </a:solidFill>
              <a:prstDash val="solid"/>
            </a:ln>
          </c:spPr>
          <c:marker>
            <c:symbol val="square"/>
            <c:size val="4"/>
            <c:spPr>
              <a:solidFill>
                <a:srgbClr val="FF00FF"/>
              </a:solidFill>
              <a:ln>
                <a:solidFill>
                  <a:srgbClr val="FF00FF"/>
                </a:solidFill>
                <a:prstDash val="solid"/>
              </a:ln>
            </c:spPr>
          </c:marker>
          <c:dLbls>
            <c:spPr>
              <a:noFill/>
              <a:ln w="23774">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821.7</c:v>
                </c:pt>
                <c:pt idx="1">
                  <c:v>1051.4000000000001</c:v>
                </c:pt>
                <c:pt idx="2">
                  <c:v>828.6</c:v>
                </c:pt>
                <c:pt idx="3">
                  <c:v>879.1</c:v>
                </c:pt>
                <c:pt idx="4">
                  <c:v>907.8</c:v>
                </c:pt>
              </c:numCache>
            </c:numRef>
          </c:val>
          <c:smooth val="0"/>
          <c:extLst xmlns:c16r2="http://schemas.microsoft.com/office/drawing/2015/06/chart">
            <c:ext xmlns:c16="http://schemas.microsoft.com/office/drawing/2014/chart" uri="{C3380CC4-5D6E-409C-BE32-E72D297353CC}">
              <c16:uniqueId val="{00000001-9025-43F0-AAA2-3DA09A7D0720}"/>
            </c:ext>
          </c:extLst>
        </c:ser>
        <c:dLbls>
          <c:showLegendKey val="0"/>
          <c:showVal val="0"/>
          <c:showCatName val="0"/>
          <c:showSerName val="0"/>
          <c:showPercent val="0"/>
          <c:showBubbleSize val="0"/>
        </c:dLbls>
        <c:marker val="1"/>
        <c:smooth val="0"/>
        <c:axId val="475674496"/>
        <c:axId val="475676032"/>
      </c:lineChart>
      <c:catAx>
        <c:axId val="475674496"/>
        <c:scaling>
          <c:orientation val="minMax"/>
        </c:scaling>
        <c:delete val="0"/>
        <c:axPos val="b"/>
        <c:numFmt formatCode="General" sourceLinked="1"/>
        <c:majorTickMark val="out"/>
        <c:minorTickMark val="none"/>
        <c:tickLblPos val="nextTo"/>
        <c:spPr>
          <a:ln w="2972">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75676032"/>
        <c:crosses val="autoZero"/>
        <c:auto val="1"/>
        <c:lblAlgn val="ctr"/>
        <c:lblOffset val="100"/>
        <c:tickLblSkip val="1"/>
        <c:tickMarkSkip val="1"/>
        <c:noMultiLvlLbl val="0"/>
      </c:catAx>
      <c:valAx>
        <c:axId val="475676032"/>
        <c:scaling>
          <c:orientation val="minMax"/>
        </c:scaling>
        <c:delete val="0"/>
        <c:axPos val="l"/>
        <c:majorGridlines>
          <c:spPr>
            <a:ln w="2972">
              <a:solidFill>
                <a:srgbClr val="000000"/>
              </a:solidFill>
              <a:prstDash val="solid"/>
            </a:ln>
          </c:spPr>
        </c:majorGridlines>
        <c:title>
          <c:tx>
            <c:rich>
              <a:bodyPr/>
              <a:lstStyle/>
              <a:p>
                <a:pPr>
                  <a:defRPr sz="819" b="1" i="0" u="none" strike="noStrike" baseline="0">
                    <a:solidFill>
                      <a:srgbClr val="000000"/>
                    </a:solidFill>
                    <a:latin typeface="Arial"/>
                    <a:ea typeface="Arial"/>
                    <a:cs typeface="Arial"/>
                  </a:defRPr>
                </a:pPr>
                <a:r>
                  <a:rPr lang="en-US"/>
                  <a:t>[Bq/kg m.u.]</a:t>
                </a:r>
              </a:p>
            </c:rich>
          </c:tx>
          <c:layout>
            <c:manualLayout>
              <c:xMode val="edge"/>
              <c:yMode val="edge"/>
              <c:x val="2.0754841032544886E-2"/>
              <c:y val="0.38461550064862582"/>
            </c:manualLayout>
          </c:layout>
          <c:overlay val="0"/>
          <c:spPr>
            <a:noFill/>
            <a:ln w="23774">
              <a:noFill/>
            </a:ln>
          </c:spPr>
        </c:title>
        <c:numFmt formatCode="General" sourceLinked="1"/>
        <c:majorTickMark val="out"/>
        <c:minorTickMark val="none"/>
        <c:tickLblPos val="nextTo"/>
        <c:spPr>
          <a:ln w="2972">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75674496"/>
        <c:crosses val="autoZero"/>
        <c:crossBetween val="between"/>
      </c:valAx>
      <c:spPr>
        <a:solidFill>
          <a:srgbClr val="C0C0C0"/>
        </a:solidFill>
        <a:ln w="11887">
          <a:solidFill>
            <a:srgbClr val="808080"/>
          </a:solidFill>
          <a:prstDash val="solid"/>
        </a:ln>
      </c:spPr>
    </c:plotArea>
    <c:legend>
      <c:legendPos val="b"/>
      <c:layout>
        <c:manualLayout>
          <c:xMode val="edge"/>
          <c:yMode val="edge"/>
          <c:x val="0.32641505298915169"/>
          <c:y val="0.92592602648806821"/>
          <c:w val="0.45283010597830348"/>
          <c:h val="6.5527197031405526E-2"/>
        </c:manualLayout>
      </c:layout>
      <c:overlay val="0"/>
      <c:spPr>
        <a:noFill/>
        <a:ln w="2972">
          <a:solidFill>
            <a:srgbClr val="000000"/>
          </a:solidFill>
          <a:prstDash val="solid"/>
        </a:ln>
      </c:spPr>
      <c:txPr>
        <a:bodyPr/>
        <a:lstStyle/>
        <a:p>
          <a:pPr>
            <a:defRPr sz="753"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819" b="1" i="0" u="none" strike="noStrike" baseline="0">
          <a:solidFill>
            <a:srgbClr val="000000"/>
          </a:solidFill>
          <a:latin typeface="Arial"/>
          <a:ea typeface="Arial"/>
          <a:cs typeface="Arial"/>
        </a:defRPr>
      </a:pPr>
      <a:endParaRPr lang="en-US"/>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19" b="1" i="0" u="none" strike="noStrike" baseline="0">
                <a:solidFill>
                  <a:srgbClr val="000000"/>
                </a:solidFill>
                <a:latin typeface="Arial"/>
                <a:ea typeface="Arial"/>
                <a:cs typeface="Arial"/>
              </a:defRPr>
            </a:pPr>
            <a:r>
              <a:rPr lang="vi-VN"/>
              <a:t>Variaţia medie anuală a activităţii beta globale a vegetaţiei spontane</a:t>
            </a:r>
          </a:p>
        </c:rich>
      </c:tx>
      <c:layout>
        <c:manualLayout>
          <c:xMode val="edge"/>
          <c:yMode val="edge"/>
          <c:x val="0.13584905266563349"/>
          <c:y val="1.9942981265272875E-2"/>
        </c:manualLayout>
      </c:layout>
      <c:overlay val="0"/>
      <c:spPr>
        <a:noFill/>
        <a:ln w="23774">
          <a:noFill/>
        </a:ln>
      </c:spPr>
    </c:title>
    <c:autoTitleDeleted val="0"/>
    <c:plotArea>
      <c:layout>
        <c:manualLayout>
          <c:layoutTarget val="inner"/>
          <c:xMode val="edge"/>
          <c:yMode val="edge"/>
          <c:x val="0.119021351536234"/>
          <c:y val="0.19109618222929894"/>
          <c:w val="0.85660377358491036"/>
          <c:h val="0.6467236467236509"/>
        </c:manualLayout>
      </c:layout>
      <c:lineChart>
        <c:grouping val="standard"/>
        <c:varyColors val="0"/>
        <c:ser>
          <c:idx val="0"/>
          <c:order val="0"/>
          <c:tx>
            <c:strRef>
              <c:f>Sheet1!$A$2</c:f>
              <c:strCache>
                <c:ptCount val="1"/>
                <c:pt idx="0">
                  <c:v>medie anuală</c:v>
                </c:pt>
              </c:strCache>
            </c:strRef>
          </c:tx>
          <c:spPr>
            <a:ln w="11887">
              <a:solidFill>
                <a:srgbClr val="000080"/>
              </a:solidFill>
              <a:prstDash val="solid"/>
            </a:ln>
          </c:spPr>
          <c:marker>
            <c:symbol val="diamond"/>
            <c:size val="4"/>
            <c:spPr>
              <a:solidFill>
                <a:srgbClr val="000080"/>
              </a:solidFill>
              <a:ln>
                <a:solidFill>
                  <a:srgbClr val="000080"/>
                </a:solidFill>
                <a:prstDash val="solid"/>
              </a:ln>
            </c:spPr>
          </c:marker>
          <c:dLbls>
            <c:spPr>
              <a:noFill/>
              <a:ln w="23774">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196.89</c:v>
                </c:pt>
                <c:pt idx="1">
                  <c:v>261.11</c:v>
                </c:pt>
                <c:pt idx="2">
                  <c:v>238.67</c:v>
                </c:pt>
                <c:pt idx="3">
                  <c:v>257.91000000000003</c:v>
                </c:pt>
                <c:pt idx="4">
                  <c:v>240.27</c:v>
                </c:pt>
              </c:numCache>
            </c:numRef>
          </c:val>
          <c:smooth val="0"/>
          <c:extLst xmlns:c16r2="http://schemas.microsoft.com/office/drawing/2015/06/chart">
            <c:ext xmlns:c16="http://schemas.microsoft.com/office/drawing/2014/chart" uri="{C3380CC4-5D6E-409C-BE32-E72D297353CC}">
              <c16:uniqueId val="{00000000-E47B-42A7-91ED-5DAEB3FFF0A6}"/>
            </c:ext>
          </c:extLst>
        </c:ser>
        <c:ser>
          <c:idx val="1"/>
          <c:order val="1"/>
          <c:tx>
            <c:strRef>
              <c:f>Sheet1!$A$3</c:f>
              <c:strCache>
                <c:ptCount val="1"/>
                <c:pt idx="0">
                  <c:v>maxima anuală</c:v>
                </c:pt>
              </c:strCache>
            </c:strRef>
          </c:tx>
          <c:spPr>
            <a:ln w="11887">
              <a:solidFill>
                <a:srgbClr val="FF00FF"/>
              </a:solidFill>
              <a:prstDash val="solid"/>
            </a:ln>
          </c:spPr>
          <c:marker>
            <c:symbol val="square"/>
            <c:size val="4"/>
            <c:spPr>
              <a:solidFill>
                <a:srgbClr val="FF00FF"/>
              </a:solidFill>
              <a:ln>
                <a:solidFill>
                  <a:srgbClr val="FF00FF"/>
                </a:solidFill>
                <a:prstDash val="solid"/>
              </a:ln>
            </c:spPr>
          </c:marker>
          <c:dLbls>
            <c:spPr>
              <a:noFill/>
              <a:ln w="23774">
                <a:noFill/>
              </a:ln>
            </c:spPr>
            <c:txPr>
              <a:bodyPr/>
              <a:lstStyle/>
              <a:p>
                <a:pPr>
                  <a:defRPr sz="8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Sheet1!$B$1:$F$1</c:f>
              <c:numCache>
                <c:formatCode>General</c:formatCode>
                <c:ptCount val="5"/>
                <c:pt idx="0">
                  <c:v>2019</c:v>
                </c:pt>
                <c:pt idx="1">
                  <c:v>2020</c:v>
                </c:pt>
                <c:pt idx="2">
                  <c:v>2021</c:v>
                </c:pt>
                <c:pt idx="3">
                  <c:v>2022</c:v>
                </c:pt>
                <c:pt idx="4">
                  <c:v>2023</c:v>
                </c:pt>
              </c:numCache>
            </c:numRef>
          </c:cat>
          <c:val>
            <c:numRef>
              <c:f>Sheet1!$B$3:$F$3</c:f>
              <c:numCache>
                <c:formatCode>General</c:formatCode>
                <c:ptCount val="5"/>
                <c:pt idx="0">
                  <c:v>325.7</c:v>
                </c:pt>
                <c:pt idx="1">
                  <c:v>425.2</c:v>
                </c:pt>
                <c:pt idx="2" formatCode="0.0">
                  <c:v>357.3</c:v>
                </c:pt>
                <c:pt idx="3">
                  <c:v>445.3</c:v>
                </c:pt>
                <c:pt idx="4">
                  <c:v>539.9</c:v>
                </c:pt>
              </c:numCache>
            </c:numRef>
          </c:val>
          <c:smooth val="0"/>
          <c:extLst xmlns:c16r2="http://schemas.microsoft.com/office/drawing/2015/06/chart">
            <c:ext xmlns:c16="http://schemas.microsoft.com/office/drawing/2014/chart" uri="{C3380CC4-5D6E-409C-BE32-E72D297353CC}">
              <c16:uniqueId val="{00000001-E47B-42A7-91ED-5DAEB3FFF0A6}"/>
            </c:ext>
          </c:extLst>
        </c:ser>
        <c:dLbls>
          <c:showLegendKey val="0"/>
          <c:showVal val="0"/>
          <c:showCatName val="0"/>
          <c:showSerName val="0"/>
          <c:showPercent val="0"/>
          <c:showBubbleSize val="0"/>
        </c:dLbls>
        <c:marker val="1"/>
        <c:smooth val="0"/>
        <c:axId val="432212224"/>
        <c:axId val="432226304"/>
      </c:lineChart>
      <c:catAx>
        <c:axId val="432212224"/>
        <c:scaling>
          <c:orientation val="minMax"/>
        </c:scaling>
        <c:delete val="0"/>
        <c:axPos val="b"/>
        <c:numFmt formatCode="General" sourceLinked="1"/>
        <c:majorTickMark val="out"/>
        <c:minorTickMark val="none"/>
        <c:tickLblPos val="nextTo"/>
        <c:spPr>
          <a:ln w="2972">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32226304"/>
        <c:crosses val="autoZero"/>
        <c:auto val="1"/>
        <c:lblAlgn val="ctr"/>
        <c:lblOffset val="100"/>
        <c:tickLblSkip val="1"/>
        <c:tickMarkSkip val="1"/>
        <c:noMultiLvlLbl val="0"/>
      </c:catAx>
      <c:valAx>
        <c:axId val="432226304"/>
        <c:scaling>
          <c:orientation val="minMax"/>
        </c:scaling>
        <c:delete val="0"/>
        <c:axPos val="l"/>
        <c:majorGridlines>
          <c:spPr>
            <a:ln w="2972">
              <a:solidFill>
                <a:srgbClr val="000000"/>
              </a:solidFill>
              <a:prstDash val="solid"/>
            </a:ln>
          </c:spPr>
        </c:majorGridlines>
        <c:title>
          <c:tx>
            <c:rich>
              <a:bodyPr/>
              <a:lstStyle/>
              <a:p>
                <a:pPr>
                  <a:defRPr sz="819" b="1" i="0" u="none" strike="noStrike" baseline="0">
                    <a:solidFill>
                      <a:srgbClr val="000000"/>
                    </a:solidFill>
                    <a:latin typeface="Arial"/>
                    <a:ea typeface="Arial"/>
                    <a:cs typeface="Arial"/>
                  </a:defRPr>
                </a:pPr>
                <a:r>
                  <a:rPr lang="en-US"/>
                  <a:t>[Bq/kg m.u.]</a:t>
                </a:r>
              </a:p>
            </c:rich>
          </c:tx>
          <c:layout>
            <c:manualLayout>
              <c:xMode val="edge"/>
              <c:yMode val="edge"/>
              <c:x val="2.0754841032544886E-2"/>
              <c:y val="0.38461550064862582"/>
            </c:manualLayout>
          </c:layout>
          <c:overlay val="0"/>
          <c:spPr>
            <a:noFill/>
            <a:ln w="23774">
              <a:noFill/>
            </a:ln>
          </c:spPr>
        </c:title>
        <c:numFmt formatCode="General" sourceLinked="1"/>
        <c:majorTickMark val="out"/>
        <c:minorTickMark val="none"/>
        <c:tickLblPos val="nextTo"/>
        <c:spPr>
          <a:ln w="2972">
            <a:solidFill>
              <a:srgbClr val="000000"/>
            </a:solidFill>
            <a:prstDash val="solid"/>
          </a:ln>
        </c:spPr>
        <c:txPr>
          <a:bodyPr rot="0" vert="horz"/>
          <a:lstStyle/>
          <a:p>
            <a:pPr>
              <a:defRPr sz="819" b="1" i="0" u="none" strike="noStrike" baseline="0">
                <a:solidFill>
                  <a:srgbClr val="000000"/>
                </a:solidFill>
                <a:latin typeface="Arial"/>
                <a:ea typeface="Arial"/>
                <a:cs typeface="Arial"/>
              </a:defRPr>
            </a:pPr>
            <a:endParaRPr lang="en-US"/>
          </a:p>
        </c:txPr>
        <c:crossAx val="432212224"/>
        <c:crosses val="autoZero"/>
        <c:crossBetween val="between"/>
      </c:valAx>
      <c:spPr>
        <a:solidFill>
          <a:srgbClr val="C0C0C0"/>
        </a:solidFill>
        <a:ln w="11887">
          <a:solidFill>
            <a:srgbClr val="808080"/>
          </a:solidFill>
          <a:prstDash val="solid"/>
        </a:ln>
      </c:spPr>
    </c:plotArea>
    <c:legend>
      <c:legendPos val="b"/>
      <c:layout>
        <c:manualLayout>
          <c:xMode val="edge"/>
          <c:yMode val="edge"/>
          <c:x val="0.32641505298915169"/>
          <c:y val="0.92592602648806821"/>
          <c:w val="0.45283010597830348"/>
          <c:h val="6.5527197031405526E-2"/>
        </c:manualLayout>
      </c:layout>
      <c:overlay val="0"/>
      <c:spPr>
        <a:noFill/>
        <a:ln w="2972">
          <a:solidFill>
            <a:srgbClr val="000000"/>
          </a:solidFill>
          <a:prstDash val="solid"/>
        </a:ln>
      </c:spPr>
      <c:txPr>
        <a:bodyPr/>
        <a:lstStyle/>
        <a:p>
          <a:pPr>
            <a:defRPr sz="753"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819" b="1" i="0" u="none" strike="noStrike" baseline="0">
          <a:solidFill>
            <a:srgbClr val="000000"/>
          </a:solidFill>
          <a:latin typeface="Arial"/>
          <a:ea typeface="Arial"/>
          <a:cs typeface="Arial"/>
        </a:defRPr>
      </a:pPr>
      <a:endParaRPr lang="en-US"/>
    </a:p>
  </c:tx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ro-RO"/>
              <a:t>Numărul mediu de persoane pe locuinţă</a:t>
            </a:r>
          </a:p>
        </c:rich>
      </c:tx>
      <c:overlay val="0"/>
      <c:spPr>
        <a:noFill/>
        <a:ln w="25450">
          <a:noFill/>
        </a:ln>
      </c:spPr>
    </c:title>
    <c:autoTitleDeleted val="0"/>
    <c:view3D>
      <c:rotX val="15"/>
      <c:rotY val="20"/>
      <c:depthPercent val="100"/>
      <c:rAngAx val="0"/>
      <c:perspective val="30"/>
    </c:view3D>
    <c:floor>
      <c:thickness val="0"/>
    </c:floor>
    <c:sideWall>
      <c:thickness val="0"/>
    </c:sideWall>
    <c:backWall>
      <c:thickness val="0"/>
    </c:backWall>
    <c:plotArea>
      <c:layout>
        <c:manualLayout>
          <c:layoutTarget val="inner"/>
          <c:xMode val="edge"/>
          <c:yMode val="edge"/>
          <c:x val="0.10215614255371581"/>
          <c:y val="0.15982684291160437"/>
          <c:w val="0.84200221494724259"/>
          <c:h val="0.27276467416742289"/>
        </c:manualLayout>
      </c:layout>
      <c:bar3DChart>
        <c:barDir val="col"/>
        <c:grouping val="standard"/>
        <c:varyColors val="0"/>
        <c:ser>
          <c:idx val="0"/>
          <c:order val="0"/>
          <c:tx>
            <c:strRef>
              <c:f>Sheet1!$B$1</c:f>
              <c:strCache>
                <c:ptCount val="1"/>
                <c:pt idx="0">
                  <c:v>2019</c:v>
                </c:pt>
              </c:strCache>
            </c:strRef>
          </c:tx>
          <c:invertIfNegative val="0"/>
          <c:cat>
            <c:strRef>
              <c:f>Sheet1!$A$2:$A$4</c:f>
              <c:strCache>
                <c:ptCount val="3"/>
                <c:pt idx="0">
                  <c:v>Total gospodării</c:v>
                </c:pt>
                <c:pt idx="1">
                  <c:v>urban</c:v>
                </c:pt>
                <c:pt idx="2">
                  <c:v>rural</c:v>
                </c:pt>
              </c:strCache>
            </c:strRef>
          </c:cat>
          <c:val>
            <c:numRef>
              <c:f>Sheet1!$B$2:$B$4</c:f>
              <c:numCache>
                <c:formatCode>0.000</c:formatCode>
                <c:ptCount val="3"/>
                <c:pt idx="0">
                  <c:v>2.585</c:v>
                </c:pt>
                <c:pt idx="1">
                  <c:v>2.4569999999999999</c:v>
                </c:pt>
                <c:pt idx="2">
                  <c:v>2.7530000000000001</c:v>
                </c:pt>
              </c:numCache>
            </c:numRef>
          </c:val>
          <c:extLst xmlns:c16r2="http://schemas.microsoft.com/office/drawing/2015/06/chart">
            <c:ext xmlns:c16="http://schemas.microsoft.com/office/drawing/2014/chart" uri="{C3380CC4-5D6E-409C-BE32-E72D297353CC}">
              <c16:uniqueId val="{00000000-AA42-4EF4-81FB-58E0332E639C}"/>
            </c:ext>
          </c:extLst>
        </c:ser>
        <c:ser>
          <c:idx val="1"/>
          <c:order val="1"/>
          <c:tx>
            <c:strRef>
              <c:f>Sheet1!$C$1</c:f>
              <c:strCache>
                <c:ptCount val="1"/>
                <c:pt idx="0">
                  <c:v>2020</c:v>
                </c:pt>
              </c:strCache>
            </c:strRef>
          </c:tx>
          <c:invertIfNegative val="0"/>
          <c:cat>
            <c:strRef>
              <c:f>Sheet1!$A$2:$A$4</c:f>
              <c:strCache>
                <c:ptCount val="3"/>
                <c:pt idx="0">
                  <c:v>Total gospodării</c:v>
                </c:pt>
                <c:pt idx="1">
                  <c:v>urban</c:v>
                </c:pt>
                <c:pt idx="2">
                  <c:v>rural</c:v>
                </c:pt>
              </c:strCache>
            </c:strRef>
          </c:cat>
          <c:val>
            <c:numRef>
              <c:f>Sheet1!$C$2:$C$4</c:f>
              <c:numCache>
                <c:formatCode>0.000</c:formatCode>
                <c:ptCount val="3"/>
                <c:pt idx="0">
                  <c:v>2.569</c:v>
                </c:pt>
                <c:pt idx="1">
                  <c:v>2.4630000000000001</c:v>
                </c:pt>
                <c:pt idx="2">
                  <c:v>2.7050000000000001</c:v>
                </c:pt>
              </c:numCache>
            </c:numRef>
          </c:val>
          <c:extLst xmlns:c16r2="http://schemas.microsoft.com/office/drawing/2015/06/chart">
            <c:ext xmlns:c16="http://schemas.microsoft.com/office/drawing/2014/chart" uri="{C3380CC4-5D6E-409C-BE32-E72D297353CC}">
              <c16:uniqueId val="{00000001-AA42-4EF4-81FB-58E0332E639C}"/>
            </c:ext>
          </c:extLst>
        </c:ser>
        <c:ser>
          <c:idx val="2"/>
          <c:order val="2"/>
          <c:tx>
            <c:strRef>
              <c:f>Sheet1!$D$1</c:f>
              <c:strCache>
                <c:ptCount val="1"/>
                <c:pt idx="0">
                  <c:v>2021</c:v>
                </c:pt>
              </c:strCache>
            </c:strRef>
          </c:tx>
          <c:invertIfNegative val="0"/>
          <c:cat>
            <c:strRef>
              <c:f>Sheet1!$A$2:$A$4</c:f>
              <c:strCache>
                <c:ptCount val="3"/>
                <c:pt idx="0">
                  <c:v>Total gospodării</c:v>
                </c:pt>
                <c:pt idx="1">
                  <c:v>urban</c:v>
                </c:pt>
                <c:pt idx="2">
                  <c:v>rural</c:v>
                </c:pt>
              </c:strCache>
            </c:strRef>
          </c:cat>
          <c:val>
            <c:numRef>
              <c:f>Sheet1!$D$2:$D$4</c:f>
              <c:numCache>
                <c:formatCode>0.000</c:formatCode>
                <c:ptCount val="3"/>
                <c:pt idx="0">
                  <c:v>2.5329999999999999</c:v>
                </c:pt>
                <c:pt idx="1">
                  <c:v>2.4249999999999998</c:v>
                </c:pt>
                <c:pt idx="2">
                  <c:v>2.6709999999999998</c:v>
                </c:pt>
              </c:numCache>
            </c:numRef>
          </c:val>
          <c:extLst xmlns:c16r2="http://schemas.microsoft.com/office/drawing/2015/06/chart">
            <c:ext xmlns:c16="http://schemas.microsoft.com/office/drawing/2014/chart" uri="{C3380CC4-5D6E-409C-BE32-E72D297353CC}">
              <c16:uniqueId val="{00000002-AA42-4EF4-81FB-58E0332E639C}"/>
            </c:ext>
          </c:extLst>
        </c:ser>
        <c:ser>
          <c:idx val="3"/>
          <c:order val="3"/>
          <c:tx>
            <c:strRef>
              <c:f>Sheet1!$E$1</c:f>
              <c:strCache>
                <c:ptCount val="1"/>
                <c:pt idx="0">
                  <c:v>2022</c:v>
                </c:pt>
              </c:strCache>
            </c:strRef>
          </c:tx>
          <c:invertIfNegative val="0"/>
          <c:cat>
            <c:strRef>
              <c:f>Sheet1!$A$2:$A$4</c:f>
              <c:strCache>
                <c:ptCount val="3"/>
                <c:pt idx="0">
                  <c:v>Total gospodării</c:v>
                </c:pt>
                <c:pt idx="1">
                  <c:v>urban</c:v>
                </c:pt>
                <c:pt idx="2">
                  <c:v>rural</c:v>
                </c:pt>
              </c:strCache>
            </c:strRef>
          </c:cat>
          <c:val>
            <c:numRef>
              <c:f>Sheet1!$E$2:$E$4</c:f>
              <c:numCache>
                <c:formatCode>0.000</c:formatCode>
                <c:ptCount val="3"/>
                <c:pt idx="0">
                  <c:v>2.5099999999999998</c:v>
                </c:pt>
                <c:pt idx="1">
                  <c:v>2.3919999999999999</c:v>
                </c:pt>
                <c:pt idx="2">
                  <c:v>2.6640000000000001</c:v>
                </c:pt>
              </c:numCache>
            </c:numRef>
          </c:val>
          <c:extLst xmlns:c16r2="http://schemas.microsoft.com/office/drawing/2015/06/chart">
            <c:ext xmlns:c16="http://schemas.microsoft.com/office/drawing/2014/chart" uri="{C3380CC4-5D6E-409C-BE32-E72D297353CC}">
              <c16:uniqueId val="{00000003-AA42-4EF4-81FB-58E0332E639C}"/>
            </c:ext>
          </c:extLst>
        </c:ser>
        <c:ser>
          <c:idx val="4"/>
          <c:order val="4"/>
          <c:tx>
            <c:strRef>
              <c:f>Sheet1!$F$1</c:f>
              <c:strCache>
                <c:ptCount val="1"/>
                <c:pt idx="0">
                  <c:v>2023</c:v>
                </c:pt>
              </c:strCache>
            </c:strRef>
          </c:tx>
          <c:invertIfNegative val="0"/>
          <c:cat>
            <c:strRef>
              <c:f>Sheet1!$A$2:$A$4</c:f>
              <c:strCache>
                <c:ptCount val="3"/>
                <c:pt idx="0">
                  <c:v>Total gospodării</c:v>
                </c:pt>
                <c:pt idx="1">
                  <c:v>urban</c:v>
                </c:pt>
                <c:pt idx="2">
                  <c:v>rural</c:v>
                </c:pt>
              </c:strCache>
            </c:strRef>
          </c:cat>
          <c:val>
            <c:numRef>
              <c:f>Sheet1!$F$2:$F$4</c:f>
              <c:numCache>
                <c:formatCode>0.000</c:formatCode>
                <c:ptCount val="3"/>
                <c:pt idx="0">
                  <c:v>2.4990000000000001</c:v>
                </c:pt>
                <c:pt idx="1">
                  <c:v>2.3279999999999998</c:v>
                </c:pt>
                <c:pt idx="2">
                  <c:v>2.714</c:v>
                </c:pt>
              </c:numCache>
            </c:numRef>
          </c:val>
          <c:extLst xmlns:c16r2="http://schemas.microsoft.com/office/drawing/2015/06/chart">
            <c:ext xmlns:c16="http://schemas.microsoft.com/office/drawing/2014/chart" uri="{C3380CC4-5D6E-409C-BE32-E72D297353CC}">
              <c16:uniqueId val="{00000004-AA42-4EF4-81FB-58E0332E639C}"/>
            </c:ext>
          </c:extLst>
        </c:ser>
        <c:dLbls>
          <c:showLegendKey val="0"/>
          <c:showVal val="0"/>
          <c:showCatName val="0"/>
          <c:showSerName val="0"/>
          <c:showPercent val="0"/>
          <c:showBubbleSize val="0"/>
        </c:dLbls>
        <c:gapWidth val="150"/>
        <c:shape val="box"/>
        <c:axId val="475498752"/>
        <c:axId val="475500544"/>
        <c:axId val="475533312"/>
      </c:bar3DChart>
      <c:catAx>
        <c:axId val="475498752"/>
        <c:scaling>
          <c:orientation val="minMax"/>
        </c:scaling>
        <c:delete val="0"/>
        <c:axPos val="b"/>
        <c:numFmt formatCode="General" sourceLinked="1"/>
        <c:majorTickMark val="none"/>
        <c:minorTickMark val="none"/>
        <c:tickLblPos val="nextTo"/>
        <c:crossAx val="475500544"/>
        <c:crosses val="autoZero"/>
        <c:auto val="1"/>
        <c:lblAlgn val="ctr"/>
        <c:lblOffset val="100"/>
        <c:noMultiLvlLbl val="0"/>
      </c:catAx>
      <c:valAx>
        <c:axId val="475500544"/>
        <c:scaling>
          <c:orientation val="minMax"/>
        </c:scaling>
        <c:delete val="0"/>
        <c:axPos val="l"/>
        <c:majorGridlines/>
        <c:title>
          <c:tx>
            <c:rich>
              <a:bodyPr/>
              <a:lstStyle/>
              <a:p>
                <a:pPr>
                  <a:defRPr sz="1002" b="1" i="0" u="none" strike="noStrike" baseline="0">
                    <a:solidFill>
                      <a:srgbClr val="000000"/>
                    </a:solidFill>
                    <a:latin typeface="Calibri"/>
                    <a:ea typeface="Calibri"/>
                    <a:cs typeface="Calibri"/>
                  </a:defRPr>
                </a:pPr>
                <a:r>
                  <a:rPr lang="vi-VN"/>
                  <a:t>Persoane/gospodărie</a:t>
                </a:r>
              </a:p>
            </c:rich>
          </c:tx>
          <c:overlay val="0"/>
          <c:spPr>
            <a:noFill/>
            <a:ln w="25450">
              <a:noFill/>
            </a:ln>
          </c:spPr>
        </c:title>
        <c:numFmt formatCode="0" sourceLinked="0"/>
        <c:majorTickMark val="none"/>
        <c:minorTickMark val="none"/>
        <c:tickLblPos val="nextTo"/>
        <c:crossAx val="475498752"/>
        <c:crosses val="autoZero"/>
        <c:crossBetween val="between"/>
      </c:valAx>
      <c:serAx>
        <c:axId val="475533312"/>
        <c:scaling>
          <c:orientation val="minMax"/>
        </c:scaling>
        <c:delete val="0"/>
        <c:axPos val="b"/>
        <c:numFmt formatCode="General" sourceLinked="1"/>
        <c:majorTickMark val="none"/>
        <c:minorTickMark val="none"/>
        <c:tickLblPos val="nextTo"/>
        <c:spPr>
          <a:ln w="3181">
            <a:solidFill>
              <a:srgbClr val="808080"/>
            </a:solidFill>
            <a:prstDash val="solid"/>
          </a:ln>
        </c:spPr>
        <c:txPr>
          <a:bodyPr rot="0" vert="horz"/>
          <a:lstStyle/>
          <a:p>
            <a:pPr>
              <a:defRPr sz="1002" b="0" i="0" u="none" strike="noStrike" baseline="0">
                <a:solidFill>
                  <a:srgbClr val="000000"/>
                </a:solidFill>
                <a:latin typeface="Calibri"/>
                <a:ea typeface="Calibri"/>
                <a:cs typeface="Calibri"/>
              </a:defRPr>
            </a:pPr>
            <a:endParaRPr lang="en-US"/>
          </a:p>
        </c:txPr>
        <c:crossAx val="475500544"/>
        <c:crosses val="autoZero"/>
        <c:tickLblSkip val="3"/>
        <c:tickMarkSkip val="1"/>
      </c:serAx>
      <c:dTable>
        <c:showHorzBorder val="1"/>
        <c:showVertBorder val="1"/>
        <c:showOutline val="1"/>
        <c:showKeys val="0"/>
      </c:dTable>
      <c:spPr>
        <a:noFill/>
        <a:ln w="25450">
          <a:noFill/>
        </a:ln>
      </c:spPr>
    </c:plotArea>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invertIfNegative val="0"/>
          <c:cat>
            <c:numRef>
              <c:f>Sheet1!$A$2:$A$6</c:f>
              <c:numCache>
                <c:formatCode>General</c:formatCode>
                <c:ptCount val="5"/>
                <c:pt idx="0">
                  <c:v>2018</c:v>
                </c:pt>
                <c:pt idx="1">
                  <c:v>2019</c:v>
                </c:pt>
                <c:pt idx="2">
                  <c:v>2020</c:v>
                </c:pt>
                <c:pt idx="3">
                  <c:v>2021</c:v>
                </c:pt>
                <c:pt idx="4">
                  <c:v>2022</c:v>
                </c:pt>
              </c:numCache>
            </c:numRef>
          </c:cat>
          <c:val>
            <c:numRef>
              <c:f>Sheet1!$B$2:$B$6</c:f>
              <c:numCache>
                <c:formatCode>General</c:formatCode>
                <c:ptCount val="5"/>
                <c:pt idx="0">
                  <c:v>12780</c:v>
                </c:pt>
                <c:pt idx="1">
                  <c:v>12984</c:v>
                </c:pt>
                <c:pt idx="2">
                  <c:v>13620</c:v>
                </c:pt>
                <c:pt idx="3">
                  <c:v>14244</c:v>
                </c:pt>
                <c:pt idx="4">
                  <c:v>13497</c:v>
                </c:pt>
              </c:numCache>
            </c:numRef>
          </c:val>
          <c:extLst xmlns:c16r2="http://schemas.microsoft.com/office/drawing/2015/06/chart">
            <c:ext xmlns:c16="http://schemas.microsoft.com/office/drawing/2014/chart" uri="{C3380CC4-5D6E-409C-BE32-E72D297353CC}">
              <c16:uniqueId val="{00000000-76AD-4ADE-B641-1826C049FFA3}"/>
            </c:ext>
          </c:extLst>
        </c:ser>
        <c:dLbls>
          <c:showLegendKey val="0"/>
          <c:showVal val="0"/>
          <c:showCatName val="0"/>
          <c:showSerName val="0"/>
          <c:showPercent val="0"/>
          <c:showBubbleSize val="0"/>
        </c:dLbls>
        <c:gapWidth val="150"/>
        <c:axId val="475527424"/>
        <c:axId val="475803648"/>
      </c:barChart>
      <c:catAx>
        <c:axId val="475527424"/>
        <c:scaling>
          <c:orientation val="minMax"/>
        </c:scaling>
        <c:delete val="0"/>
        <c:axPos val="b"/>
        <c:numFmt formatCode="General" sourceLinked="1"/>
        <c:majorTickMark val="out"/>
        <c:minorTickMark val="none"/>
        <c:tickLblPos val="nextTo"/>
        <c:txPr>
          <a:bodyPr rot="0" vert="horz"/>
          <a:lstStyle/>
          <a:p>
            <a:pPr>
              <a:defRPr sz="1003" b="0" i="0" u="none" strike="noStrike" baseline="0">
                <a:solidFill>
                  <a:srgbClr val="000000"/>
                </a:solidFill>
                <a:latin typeface="Calibri"/>
                <a:ea typeface="Calibri"/>
                <a:cs typeface="Calibri"/>
              </a:defRPr>
            </a:pPr>
            <a:endParaRPr lang="en-US"/>
          </a:p>
        </c:txPr>
        <c:crossAx val="475803648"/>
        <c:crosses val="autoZero"/>
        <c:auto val="1"/>
        <c:lblAlgn val="ctr"/>
        <c:lblOffset val="100"/>
        <c:noMultiLvlLbl val="0"/>
      </c:catAx>
      <c:valAx>
        <c:axId val="475803648"/>
        <c:scaling>
          <c:orientation val="minMax"/>
        </c:scaling>
        <c:delete val="0"/>
        <c:axPos val="l"/>
        <c:majorGridlines/>
        <c:title>
          <c:tx>
            <c:rich>
              <a:bodyPr/>
              <a:lstStyle/>
              <a:p>
                <a:pPr>
                  <a:defRPr sz="1003" b="1" i="0" u="none" strike="noStrike" baseline="0">
                    <a:solidFill>
                      <a:srgbClr val="000000"/>
                    </a:solidFill>
                    <a:latin typeface="Calibri"/>
                    <a:ea typeface="Calibri"/>
                    <a:cs typeface="Calibri"/>
                  </a:defRPr>
                </a:pPr>
                <a:r>
                  <a:rPr lang="en-US"/>
                  <a:t>milioane kilowati ora</a:t>
                </a:r>
              </a:p>
            </c:rich>
          </c:tx>
          <c:overlay val="0"/>
          <c:spPr>
            <a:noFill/>
            <a:ln w="25473">
              <a:noFill/>
            </a:ln>
          </c:spPr>
        </c:title>
        <c:numFmt formatCode="General" sourceLinked="1"/>
        <c:majorTickMark val="out"/>
        <c:minorTickMark val="none"/>
        <c:tickLblPos val="nextTo"/>
        <c:txPr>
          <a:bodyPr rot="0" vert="horz"/>
          <a:lstStyle/>
          <a:p>
            <a:pPr>
              <a:defRPr sz="1003" b="0" i="0" u="none" strike="noStrike" baseline="0">
                <a:solidFill>
                  <a:srgbClr val="000000"/>
                </a:solidFill>
                <a:latin typeface="Calibri"/>
                <a:ea typeface="Calibri"/>
                <a:cs typeface="Calibri"/>
              </a:defRPr>
            </a:pPr>
            <a:endParaRPr lang="en-US"/>
          </a:p>
        </c:txPr>
        <c:crossAx val="475527424"/>
        <c:crosses val="autoZero"/>
        <c:crossBetween val="between"/>
      </c:valAx>
    </c:plotArea>
    <c:plotVisOnly val="1"/>
    <c:dispBlanksAs val="gap"/>
    <c:showDLblsOverMax val="0"/>
  </c:chart>
  <c:txPr>
    <a:bodyPr/>
    <a:lstStyle/>
    <a:p>
      <a:pPr>
        <a:defRPr sz="1003" b="0" i="0" u="none" strike="noStrike" baseline="0">
          <a:solidFill>
            <a:srgbClr val="000000"/>
          </a:solidFill>
          <a:latin typeface="Calibri"/>
          <a:ea typeface="Calibri"/>
          <a:cs typeface="Calibri"/>
        </a:defRPr>
      </a:pPr>
      <a:endParaRPr lang="en-US"/>
    </a:p>
  </c:tx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a:t>Cheltuieli de consum medii pe o persoană</a:t>
            </a:r>
          </a:p>
        </c:rich>
      </c:tx>
      <c:layout>
        <c:manualLayout>
          <c:xMode val="edge"/>
          <c:yMode val="edge"/>
          <c:x val="0.20853001217985009"/>
          <c:y val="2.3809389095824099E-2"/>
        </c:manualLayout>
      </c:layout>
      <c:overlay val="0"/>
      <c:spPr>
        <a:noFill/>
        <a:ln w="25441">
          <a:noFill/>
        </a:ln>
      </c:sp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2019</c:v>
                </c:pt>
              </c:strCache>
            </c:strRef>
          </c:tx>
          <c:invertIfNegative val="0"/>
          <c:cat>
            <c:strRef>
              <c:f>Sheet1!$A$2:$A$4</c:f>
              <c:strCache>
                <c:ptCount val="3"/>
                <c:pt idx="0">
                  <c:v>Total </c:v>
                </c:pt>
                <c:pt idx="1">
                  <c:v>urban</c:v>
                </c:pt>
                <c:pt idx="2">
                  <c:v>rural</c:v>
                </c:pt>
              </c:strCache>
            </c:strRef>
          </c:cat>
          <c:val>
            <c:numRef>
              <c:f>Sheet1!$B$2:$B$4</c:f>
              <c:numCache>
                <c:formatCode>General</c:formatCode>
                <c:ptCount val="3"/>
                <c:pt idx="0">
                  <c:v>884.52</c:v>
                </c:pt>
                <c:pt idx="1">
                  <c:v>1062.72</c:v>
                </c:pt>
                <c:pt idx="2">
                  <c:v>676.77</c:v>
                </c:pt>
              </c:numCache>
            </c:numRef>
          </c:val>
          <c:extLst xmlns:c16r2="http://schemas.microsoft.com/office/drawing/2015/06/chart">
            <c:ext xmlns:c16="http://schemas.microsoft.com/office/drawing/2014/chart" uri="{C3380CC4-5D6E-409C-BE32-E72D297353CC}">
              <c16:uniqueId val="{00000000-45E1-47F2-9CA7-8BADEC1BE682}"/>
            </c:ext>
          </c:extLst>
        </c:ser>
        <c:ser>
          <c:idx val="1"/>
          <c:order val="1"/>
          <c:tx>
            <c:strRef>
              <c:f>Sheet1!$C$1</c:f>
              <c:strCache>
                <c:ptCount val="1"/>
                <c:pt idx="0">
                  <c:v>2020</c:v>
                </c:pt>
              </c:strCache>
            </c:strRef>
          </c:tx>
          <c:invertIfNegative val="0"/>
          <c:cat>
            <c:strRef>
              <c:f>Sheet1!$A$2:$A$4</c:f>
              <c:strCache>
                <c:ptCount val="3"/>
                <c:pt idx="0">
                  <c:v>Total </c:v>
                </c:pt>
                <c:pt idx="1">
                  <c:v>urban</c:v>
                </c:pt>
                <c:pt idx="2">
                  <c:v>rural</c:v>
                </c:pt>
              </c:strCache>
            </c:strRef>
          </c:cat>
          <c:val>
            <c:numRef>
              <c:f>Sheet1!$C$2:$C$4</c:f>
              <c:numCache>
                <c:formatCode>General</c:formatCode>
                <c:ptCount val="3"/>
                <c:pt idx="0">
                  <c:v>931.93</c:v>
                </c:pt>
                <c:pt idx="1">
                  <c:v>1109.8599999999999</c:v>
                </c:pt>
                <c:pt idx="2">
                  <c:v>724.2</c:v>
                </c:pt>
              </c:numCache>
            </c:numRef>
          </c:val>
          <c:extLst xmlns:c16r2="http://schemas.microsoft.com/office/drawing/2015/06/chart">
            <c:ext xmlns:c16="http://schemas.microsoft.com/office/drawing/2014/chart" uri="{C3380CC4-5D6E-409C-BE32-E72D297353CC}">
              <c16:uniqueId val="{00000001-45E1-47F2-9CA7-8BADEC1BE682}"/>
            </c:ext>
          </c:extLst>
        </c:ser>
        <c:ser>
          <c:idx val="2"/>
          <c:order val="2"/>
          <c:tx>
            <c:strRef>
              <c:f>Sheet1!$D$1</c:f>
              <c:strCache>
                <c:ptCount val="1"/>
                <c:pt idx="0">
                  <c:v>2021</c:v>
                </c:pt>
              </c:strCache>
            </c:strRef>
          </c:tx>
          <c:invertIfNegative val="0"/>
          <c:cat>
            <c:strRef>
              <c:f>Sheet1!$A$2:$A$4</c:f>
              <c:strCache>
                <c:ptCount val="3"/>
                <c:pt idx="0">
                  <c:v>Total </c:v>
                </c:pt>
                <c:pt idx="1">
                  <c:v>urban</c:v>
                </c:pt>
                <c:pt idx="2">
                  <c:v>rural</c:v>
                </c:pt>
              </c:strCache>
            </c:strRef>
          </c:cat>
          <c:val>
            <c:numRef>
              <c:f>Sheet1!$D$2:$D$4</c:f>
              <c:numCache>
                <c:formatCode>General</c:formatCode>
                <c:ptCount val="3"/>
                <c:pt idx="0">
                  <c:v>1083.94</c:v>
                </c:pt>
                <c:pt idx="1">
                  <c:v>1302.94</c:v>
                </c:pt>
                <c:pt idx="2">
                  <c:v>828.57</c:v>
                </c:pt>
              </c:numCache>
            </c:numRef>
          </c:val>
          <c:extLst xmlns:c16r2="http://schemas.microsoft.com/office/drawing/2015/06/chart">
            <c:ext xmlns:c16="http://schemas.microsoft.com/office/drawing/2014/chart" uri="{C3380CC4-5D6E-409C-BE32-E72D297353CC}">
              <c16:uniqueId val="{00000002-45E1-47F2-9CA7-8BADEC1BE682}"/>
            </c:ext>
          </c:extLst>
        </c:ser>
        <c:ser>
          <c:idx val="3"/>
          <c:order val="3"/>
          <c:tx>
            <c:strRef>
              <c:f>Sheet1!$E$1</c:f>
              <c:strCache>
                <c:ptCount val="1"/>
                <c:pt idx="0">
                  <c:v>2022</c:v>
                </c:pt>
              </c:strCache>
            </c:strRef>
          </c:tx>
          <c:invertIfNegative val="0"/>
          <c:cat>
            <c:strRef>
              <c:f>Sheet1!$A$2:$A$4</c:f>
              <c:strCache>
                <c:ptCount val="3"/>
                <c:pt idx="0">
                  <c:v>Total </c:v>
                </c:pt>
                <c:pt idx="1">
                  <c:v>urban</c:v>
                </c:pt>
                <c:pt idx="2">
                  <c:v>rural</c:v>
                </c:pt>
              </c:strCache>
            </c:strRef>
          </c:cat>
          <c:val>
            <c:numRef>
              <c:f>Sheet1!$E$2:$E$4</c:f>
              <c:numCache>
                <c:formatCode>General</c:formatCode>
                <c:ptCount val="3"/>
                <c:pt idx="0">
                  <c:v>1265.71</c:v>
                </c:pt>
                <c:pt idx="1">
                  <c:v>1492.16</c:v>
                </c:pt>
                <c:pt idx="2">
                  <c:v>1000.16</c:v>
                </c:pt>
              </c:numCache>
            </c:numRef>
          </c:val>
          <c:extLst xmlns:c16r2="http://schemas.microsoft.com/office/drawing/2015/06/chart">
            <c:ext xmlns:c16="http://schemas.microsoft.com/office/drawing/2014/chart" uri="{C3380CC4-5D6E-409C-BE32-E72D297353CC}">
              <c16:uniqueId val="{00000003-45E1-47F2-9CA7-8BADEC1BE682}"/>
            </c:ext>
          </c:extLst>
        </c:ser>
        <c:ser>
          <c:idx val="4"/>
          <c:order val="4"/>
          <c:tx>
            <c:strRef>
              <c:f>Sheet1!$F$1</c:f>
              <c:strCache>
                <c:ptCount val="1"/>
                <c:pt idx="0">
                  <c:v>2023</c:v>
                </c:pt>
              </c:strCache>
            </c:strRef>
          </c:tx>
          <c:invertIfNegative val="0"/>
          <c:cat>
            <c:strRef>
              <c:f>Sheet1!$A$2:$A$4</c:f>
              <c:strCache>
                <c:ptCount val="3"/>
                <c:pt idx="0">
                  <c:v>Total </c:v>
                </c:pt>
                <c:pt idx="1">
                  <c:v>urban</c:v>
                </c:pt>
                <c:pt idx="2">
                  <c:v>rural</c:v>
                </c:pt>
              </c:strCache>
            </c:strRef>
          </c:cat>
          <c:val>
            <c:numRef>
              <c:f>Sheet1!$F$2:$F$4</c:f>
              <c:numCache>
                <c:formatCode>General</c:formatCode>
                <c:ptCount val="3"/>
                <c:pt idx="0">
                  <c:v>1419.29</c:v>
                </c:pt>
                <c:pt idx="1">
                  <c:v>1682.12</c:v>
                </c:pt>
                <c:pt idx="2">
                  <c:v>1134.7</c:v>
                </c:pt>
              </c:numCache>
            </c:numRef>
          </c:val>
          <c:extLst xmlns:c16r2="http://schemas.microsoft.com/office/drawing/2015/06/chart">
            <c:ext xmlns:c16="http://schemas.microsoft.com/office/drawing/2014/chart" uri="{C3380CC4-5D6E-409C-BE32-E72D297353CC}">
              <c16:uniqueId val="{00000004-45E1-47F2-9CA7-8BADEC1BE682}"/>
            </c:ext>
          </c:extLst>
        </c:ser>
        <c:dLbls>
          <c:showLegendKey val="0"/>
          <c:showVal val="0"/>
          <c:showCatName val="0"/>
          <c:showSerName val="0"/>
          <c:showPercent val="0"/>
          <c:showBubbleSize val="0"/>
        </c:dLbls>
        <c:gapWidth val="150"/>
        <c:shape val="box"/>
        <c:axId val="476132480"/>
        <c:axId val="476134016"/>
        <c:axId val="0"/>
      </c:bar3DChart>
      <c:catAx>
        <c:axId val="476132480"/>
        <c:scaling>
          <c:orientation val="minMax"/>
        </c:scaling>
        <c:delete val="0"/>
        <c:axPos val="b"/>
        <c:numFmt formatCode="General" sourceLinked="1"/>
        <c:majorTickMark val="out"/>
        <c:minorTickMark val="none"/>
        <c:tickLblPos val="nextTo"/>
        <c:crossAx val="476134016"/>
        <c:crosses val="autoZero"/>
        <c:auto val="1"/>
        <c:lblAlgn val="ctr"/>
        <c:lblOffset val="100"/>
        <c:noMultiLvlLbl val="0"/>
      </c:catAx>
      <c:valAx>
        <c:axId val="476134016"/>
        <c:scaling>
          <c:orientation val="minMax"/>
        </c:scaling>
        <c:delete val="0"/>
        <c:axPos val="l"/>
        <c:majorGridlines/>
        <c:numFmt formatCode="General" sourceLinked="1"/>
        <c:majorTickMark val="out"/>
        <c:minorTickMark val="none"/>
        <c:tickLblPos val="nextTo"/>
        <c:crossAx val="476132480"/>
        <c:crosses val="autoZero"/>
        <c:crossBetween val="between"/>
      </c:valAx>
      <c:dTable>
        <c:showHorzBorder val="1"/>
        <c:showVertBorder val="1"/>
        <c:showOutline val="1"/>
        <c:showKeys val="0"/>
      </c:dTable>
      <c:spPr>
        <a:noFill/>
        <a:ln w="25441">
          <a:noFill/>
        </a:ln>
      </c:spPr>
    </c:plotArea>
    <c:legend>
      <c:legendPos val="r"/>
      <c:overlay val="0"/>
    </c:legend>
    <c:plotVisOnly val="1"/>
    <c:dispBlanksAs val="gap"/>
    <c:showDLblsOverMax val="0"/>
  </c:chart>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invertIfNegative val="0"/>
          <c:trendline>
            <c:trendlineType val="linear"/>
            <c:dispRSqr val="0"/>
            <c:dispEq val="0"/>
          </c:trendline>
          <c:cat>
            <c:numRef>
              <c:f>Sheet1!$A$2:$A$6</c:f>
              <c:numCache>
                <c:formatCode>General</c:formatCode>
                <c:ptCount val="5"/>
                <c:pt idx="0">
                  <c:v>2017</c:v>
                </c:pt>
                <c:pt idx="1">
                  <c:v>2018</c:v>
                </c:pt>
                <c:pt idx="2">
                  <c:v>2019</c:v>
                </c:pt>
                <c:pt idx="3">
                  <c:v>2020</c:v>
                </c:pt>
                <c:pt idx="4">
                  <c:v>2021</c:v>
                </c:pt>
              </c:numCache>
            </c:numRef>
          </c:cat>
          <c:val>
            <c:numRef>
              <c:f>Sheet1!$B$2:$B$6</c:f>
              <c:numCache>
                <c:formatCode>General</c:formatCode>
                <c:ptCount val="5"/>
                <c:pt idx="0">
                  <c:v>97.5</c:v>
                </c:pt>
                <c:pt idx="1">
                  <c:v>96.8</c:v>
                </c:pt>
                <c:pt idx="2">
                  <c:v>99.1</c:v>
                </c:pt>
                <c:pt idx="3">
                  <c:v>88.2</c:v>
                </c:pt>
                <c:pt idx="4">
                  <c:v>91.2</c:v>
                </c:pt>
              </c:numCache>
            </c:numRef>
          </c:val>
          <c:extLst xmlns:c16r2="http://schemas.microsoft.com/office/drawing/2015/06/chart">
            <c:ext xmlns:c16="http://schemas.microsoft.com/office/drawing/2014/chart" uri="{C3380CC4-5D6E-409C-BE32-E72D297353CC}">
              <c16:uniqueId val="{00000001-CEB1-410C-A619-B8510BA58E5C}"/>
            </c:ext>
          </c:extLst>
        </c:ser>
        <c:dLbls>
          <c:showLegendKey val="0"/>
          <c:showVal val="0"/>
          <c:showCatName val="0"/>
          <c:showSerName val="0"/>
          <c:showPercent val="0"/>
          <c:showBubbleSize val="0"/>
        </c:dLbls>
        <c:gapWidth val="150"/>
        <c:axId val="476157440"/>
        <c:axId val="476158976"/>
      </c:barChart>
      <c:catAx>
        <c:axId val="476157440"/>
        <c:scaling>
          <c:orientation val="minMax"/>
        </c:scaling>
        <c:delete val="0"/>
        <c:axPos val="b"/>
        <c:numFmt formatCode="General" sourceLinked="1"/>
        <c:majorTickMark val="out"/>
        <c:minorTickMark val="none"/>
        <c:tickLblPos val="nextTo"/>
        <c:crossAx val="476158976"/>
        <c:crosses val="autoZero"/>
        <c:auto val="1"/>
        <c:lblAlgn val="ctr"/>
        <c:lblOffset val="100"/>
        <c:noMultiLvlLbl val="0"/>
      </c:catAx>
      <c:valAx>
        <c:axId val="476158976"/>
        <c:scaling>
          <c:orientation val="minMax"/>
        </c:scaling>
        <c:delete val="0"/>
        <c:axPos val="l"/>
        <c:majorGridlines/>
        <c:numFmt formatCode="General" sourceLinked="1"/>
        <c:majorTickMark val="out"/>
        <c:minorTickMark val="none"/>
        <c:tickLblPos val="nextTo"/>
        <c:crossAx val="476157440"/>
        <c:crosses val="autoZero"/>
        <c:crossBetween val="between"/>
      </c:valAx>
    </c:plotArea>
    <c:plotVisOnly val="1"/>
    <c:dispBlanksAs val="gap"/>
    <c:showDLblsOverMax val="0"/>
  </c:chart>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feroviar</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Sheet1!$B$2:$B$6</c:f>
              <c:numCache>
                <c:formatCode>0.0</c:formatCode>
                <c:ptCount val="5"/>
                <c:pt idx="0">
                  <c:v>4.5</c:v>
                </c:pt>
                <c:pt idx="1">
                  <c:v>4.2</c:v>
                </c:pt>
                <c:pt idx="2">
                  <c:v>4.2</c:v>
                </c:pt>
                <c:pt idx="3">
                  <c:v>3.1</c:v>
                </c:pt>
                <c:pt idx="4">
                  <c:v>3.3</c:v>
                </c:pt>
              </c:numCache>
            </c:numRef>
          </c:val>
          <c:extLst xmlns:c16r2="http://schemas.microsoft.com/office/drawing/2015/06/chart">
            <c:ext xmlns:c16="http://schemas.microsoft.com/office/drawing/2014/chart" uri="{C3380CC4-5D6E-409C-BE32-E72D297353CC}">
              <c16:uniqueId val="{00000000-BF79-4347-A61F-B1E271D7B37D}"/>
            </c:ext>
          </c:extLst>
        </c:ser>
        <c:ser>
          <c:idx val="1"/>
          <c:order val="1"/>
          <c:tx>
            <c:strRef>
              <c:f>Sheet1!$C$1</c:f>
              <c:strCache>
                <c:ptCount val="1"/>
                <c:pt idx="0">
                  <c:v>autoturisme</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Sheet1!$C$2:$C$6</c:f>
              <c:numCache>
                <c:formatCode>0.0</c:formatCode>
                <c:ptCount val="5"/>
                <c:pt idx="0">
                  <c:v>77.8</c:v>
                </c:pt>
                <c:pt idx="1">
                  <c:v>78.8</c:v>
                </c:pt>
                <c:pt idx="2">
                  <c:v>78.900000000000006</c:v>
                </c:pt>
                <c:pt idx="3">
                  <c:v>82.6</c:v>
                </c:pt>
                <c:pt idx="4">
                  <c:v>83</c:v>
                </c:pt>
              </c:numCache>
            </c:numRef>
          </c:val>
          <c:extLst xmlns:c16r2="http://schemas.microsoft.com/office/drawing/2015/06/chart">
            <c:ext xmlns:c16="http://schemas.microsoft.com/office/drawing/2014/chart" uri="{C3380CC4-5D6E-409C-BE32-E72D297353CC}">
              <c16:uniqueId val="{00000001-BF79-4347-A61F-B1E271D7B37D}"/>
            </c:ext>
          </c:extLst>
        </c:ser>
        <c:ser>
          <c:idx val="2"/>
          <c:order val="2"/>
          <c:tx>
            <c:strRef>
              <c:f>Sheet1!$D$1</c:f>
              <c:strCache>
                <c:ptCount val="1"/>
                <c:pt idx="0">
                  <c:v>autobuze</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Sheet1!$D$2:$D$6</c:f>
              <c:numCache>
                <c:formatCode>0.0</c:formatCode>
                <c:ptCount val="5"/>
                <c:pt idx="0">
                  <c:v>17.7</c:v>
                </c:pt>
                <c:pt idx="1">
                  <c:v>17</c:v>
                </c:pt>
                <c:pt idx="2">
                  <c:v>16.899999999999999</c:v>
                </c:pt>
                <c:pt idx="3">
                  <c:v>14.3</c:v>
                </c:pt>
                <c:pt idx="4">
                  <c:v>13.7</c:v>
                </c:pt>
              </c:numCache>
            </c:numRef>
          </c:val>
          <c:extLst xmlns:c16r2="http://schemas.microsoft.com/office/drawing/2015/06/chart">
            <c:ext xmlns:c16="http://schemas.microsoft.com/office/drawing/2014/chart" uri="{C3380CC4-5D6E-409C-BE32-E72D297353CC}">
              <c16:uniqueId val="{00000002-BF79-4347-A61F-B1E271D7B37D}"/>
            </c:ext>
          </c:extLst>
        </c:ser>
        <c:dLbls>
          <c:showLegendKey val="0"/>
          <c:showVal val="0"/>
          <c:showCatName val="0"/>
          <c:showSerName val="0"/>
          <c:showPercent val="0"/>
          <c:showBubbleSize val="0"/>
        </c:dLbls>
        <c:gapWidth val="150"/>
        <c:overlap val="100"/>
        <c:axId val="487756928"/>
        <c:axId val="487758464"/>
      </c:barChart>
      <c:catAx>
        <c:axId val="487756928"/>
        <c:scaling>
          <c:orientation val="minMax"/>
        </c:scaling>
        <c:delete val="0"/>
        <c:axPos val="b"/>
        <c:numFmt formatCode="General" sourceLinked="1"/>
        <c:majorTickMark val="out"/>
        <c:minorTickMark val="none"/>
        <c:tickLblPos val="nextTo"/>
        <c:crossAx val="487758464"/>
        <c:crosses val="autoZero"/>
        <c:auto val="1"/>
        <c:lblAlgn val="ctr"/>
        <c:lblOffset val="100"/>
        <c:noMultiLvlLbl val="0"/>
      </c:catAx>
      <c:valAx>
        <c:axId val="487758464"/>
        <c:scaling>
          <c:orientation val="minMax"/>
        </c:scaling>
        <c:delete val="0"/>
        <c:axPos val="l"/>
        <c:majorGridlines/>
        <c:numFmt formatCode="0.0" sourceLinked="1"/>
        <c:majorTickMark val="out"/>
        <c:minorTickMark val="none"/>
        <c:tickLblPos val="nextTo"/>
        <c:crossAx val="487756928"/>
        <c:crosses val="autoZero"/>
        <c:crossBetween val="between"/>
      </c:valAx>
    </c:plotArea>
    <c:legend>
      <c:legendPos val="r"/>
      <c:overlay val="0"/>
    </c:legend>
    <c:plotVisOnly val="1"/>
    <c:dispBlanksAs val="gap"/>
    <c:showDLblsOverMax val="0"/>
  </c:chart>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594945200540245E-2"/>
          <c:y val="4.4057617797775381E-2"/>
          <c:w val="0.6991366254936987"/>
          <c:h val="0.85653105861767365"/>
        </c:manualLayout>
      </c:layout>
      <c:barChart>
        <c:barDir val="col"/>
        <c:grouping val="clustered"/>
        <c:varyColors val="0"/>
        <c:ser>
          <c:idx val="1"/>
          <c:order val="0"/>
          <c:tx>
            <c:strRef>
              <c:f>Sheet1!$B$1</c:f>
              <c:strCache>
                <c:ptCount val="1"/>
                <c:pt idx="0">
                  <c:v>Total</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Sheet1!$B$2:$B$6</c:f>
              <c:numCache>
                <c:formatCode>General</c:formatCode>
                <c:ptCount val="5"/>
                <c:pt idx="0">
                  <c:v>13738.7</c:v>
                </c:pt>
                <c:pt idx="1">
                  <c:v>14519.8</c:v>
                </c:pt>
                <c:pt idx="2">
                  <c:v>20148.900000000001</c:v>
                </c:pt>
                <c:pt idx="3">
                  <c:v>26550.6</c:v>
                </c:pt>
                <c:pt idx="4">
                  <c:v>27823</c:v>
                </c:pt>
              </c:numCache>
            </c:numRef>
          </c:val>
          <c:extLst xmlns:c16r2="http://schemas.microsoft.com/office/drawing/2015/06/chart">
            <c:ext xmlns:c16="http://schemas.microsoft.com/office/drawing/2014/chart" uri="{C3380CC4-5D6E-409C-BE32-E72D297353CC}">
              <c16:uniqueId val="{00000000-B3AF-4EA4-B4E4-429F374C2B73}"/>
            </c:ext>
          </c:extLst>
        </c:ser>
        <c:ser>
          <c:idx val="2"/>
          <c:order val="1"/>
          <c:tx>
            <c:strRef>
              <c:f>Sheet1!$C$1</c:f>
              <c:strCache>
                <c:ptCount val="1"/>
                <c:pt idx="0">
                  <c:v>Şosele, străzi şi drumuri</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Sheet1!$C$2:$C$6</c:f>
              <c:numCache>
                <c:formatCode>General</c:formatCode>
                <c:ptCount val="5"/>
                <c:pt idx="0">
                  <c:v>9747.9</c:v>
                </c:pt>
                <c:pt idx="1">
                  <c:v>9899.6</c:v>
                </c:pt>
                <c:pt idx="2">
                  <c:v>14616.3</c:v>
                </c:pt>
                <c:pt idx="3">
                  <c:v>18970.2</c:v>
                </c:pt>
                <c:pt idx="4">
                  <c:v>19349.5</c:v>
                </c:pt>
              </c:numCache>
            </c:numRef>
          </c:val>
          <c:extLst xmlns:c16r2="http://schemas.microsoft.com/office/drawing/2015/06/chart">
            <c:ext xmlns:c16="http://schemas.microsoft.com/office/drawing/2014/chart" uri="{C3380CC4-5D6E-409C-BE32-E72D297353CC}">
              <c16:uniqueId val="{00000001-B3AF-4EA4-B4E4-429F374C2B73}"/>
            </c:ext>
          </c:extLst>
        </c:ser>
        <c:ser>
          <c:idx val="3"/>
          <c:order val="2"/>
          <c:tx>
            <c:strRef>
              <c:f>Sheet1!$D$1</c:f>
              <c:strCache>
                <c:ptCount val="1"/>
                <c:pt idx="0">
                  <c:v>Căi ferate</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Sheet1!$D$2:$D$6</c:f>
              <c:numCache>
                <c:formatCode>General</c:formatCode>
                <c:ptCount val="5"/>
                <c:pt idx="0">
                  <c:v>979.9</c:v>
                </c:pt>
                <c:pt idx="1">
                  <c:v>838.1</c:v>
                </c:pt>
                <c:pt idx="2">
                  <c:v>881.6</c:v>
                </c:pt>
                <c:pt idx="3">
                  <c:v>1807.7</c:v>
                </c:pt>
                <c:pt idx="4">
                  <c:v>1529.3</c:v>
                </c:pt>
              </c:numCache>
            </c:numRef>
          </c:val>
          <c:extLst xmlns:c16r2="http://schemas.microsoft.com/office/drawing/2015/06/chart">
            <c:ext xmlns:c16="http://schemas.microsoft.com/office/drawing/2014/chart" uri="{C3380CC4-5D6E-409C-BE32-E72D297353CC}">
              <c16:uniqueId val="{00000002-B3AF-4EA4-B4E4-429F374C2B73}"/>
            </c:ext>
          </c:extLst>
        </c:ser>
        <c:ser>
          <c:idx val="4"/>
          <c:order val="3"/>
          <c:tx>
            <c:strRef>
              <c:f>Sheet1!$E$1</c:f>
              <c:strCache>
                <c:ptCount val="1"/>
                <c:pt idx="0">
                  <c:v>Piste pentru aeroporturi</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Sheet1!$E$2:$E$6</c:f>
              <c:numCache>
                <c:formatCode>General</c:formatCode>
                <c:ptCount val="5"/>
                <c:pt idx="0">
                  <c:v>80.8</c:v>
                </c:pt>
                <c:pt idx="1">
                  <c:v>9.1</c:v>
                </c:pt>
                <c:pt idx="2">
                  <c:v>13.3</c:v>
                </c:pt>
                <c:pt idx="3">
                  <c:v>84.6</c:v>
                </c:pt>
                <c:pt idx="4">
                  <c:v>25.5</c:v>
                </c:pt>
              </c:numCache>
            </c:numRef>
          </c:val>
          <c:extLst xmlns:c16r2="http://schemas.microsoft.com/office/drawing/2015/06/chart">
            <c:ext xmlns:c16="http://schemas.microsoft.com/office/drawing/2014/chart" uri="{C3380CC4-5D6E-409C-BE32-E72D297353CC}">
              <c16:uniqueId val="{00000003-B3AF-4EA4-B4E4-429F374C2B73}"/>
            </c:ext>
          </c:extLst>
        </c:ser>
        <c:ser>
          <c:idx val="5"/>
          <c:order val="4"/>
          <c:tx>
            <c:strRef>
              <c:f>Sheet1!$F$1</c:f>
              <c:strCache>
                <c:ptCount val="1"/>
                <c:pt idx="0">
                  <c:v>Poduri, şosele suspendate, tunele şi subterane</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Sheet1!$F$2:$F$6</c:f>
              <c:numCache>
                <c:formatCode>General</c:formatCode>
                <c:ptCount val="5"/>
                <c:pt idx="0">
                  <c:v>2450.6</c:v>
                </c:pt>
                <c:pt idx="1">
                  <c:v>2912.5</c:v>
                </c:pt>
                <c:pt idx="2">
                  <c:v>3841.7</c:v>
                </c:pt>
                <c:pt idx="3">
                  <c:v>4929.1000000000004</c:v>
                </c:pt>
                <c:pt idx="4">
                  <c:v>5908.7</c:v>
                </c:pt>
              </c:numCache>
            </c:numRef>
          </c:val>
          <c:extLst xmlns:c16r2="http://schemas.microsoft.com/office/drawing/2015/06/chart">
            <c:ext xmlns:c16="http://schemas.microsoft.com/office/drawing/2014/chart" uri="{C3380CC4-5D6E-409C-BE32-E72D297353CC}">
              <c16:uniqueId val="{00000004-B3AF-4EA4-B4E4-429F374C2B73}"/>
            </c:ext>
          </c:extLst>
        </c:ser>
        <c:ser>
          <c:idx val="6"/>
          <c:order val="5"/>
          <c:tx>
            <c:strRef>
              <c:f>Sheet1!$G$1</c:f>
              <c:strCache>
                <c:ptCount val="1"/>
                <c:pt idx="0">
                  <c:v>Canale navigabile, construcţii portuare şi  alte construcţii hidrotehnice</c:v>
                </c:pt>
              </c:strCache>
            </c:strRef>
          </c:tx>
          <c:invertIfNegative val="0"/>
          <c:cat>
            <c:numRef>
              <c:f>Sheet1!$A$2:$A$6</c:f>
              <c:numCache>
                <c:formatCode>General</c:formatCode>
                <c:ptCount val="5"/>
                <c:pt idx="0">
                  <c:v>2017</c:v>
                </c:pt>
                <c:pt idx="1">
                  <c:v>2018</c:v>
                </c:pt>
                <c:pt idx="2">
                  <c:v>2019</c:v>
                </c:pt>
                <c:pt idx="3">
                  <c:v>2020</c:v>
                </c:pt>
                <c:pt idx="4">
                  <c:v>2021</c:v>
                </c:pt>
              </c:numCache>
            </c:numRef>
          </c:cat>
          <c:val>
            <c:numRef>
              <c:f>Sheet1!$G$2:$G$6</c:f>
              <c:numCache>
                <c:formatCode>General</c:formatCode>
                <c:ptCount val="5"/>
                <c:pt idx="0">
                  <c:v>479.5</c:v>
                </c:pt>
                <c:pt idx="1">
                  <c:v>860.5</c:v>
                </c:pt>
                <c:pt idx="2">
                  <c:v>796</c:v>
                </c:pt>
                <c:pt idx="3">
                  <c:v>759</c:v>
                </c:pt>
                <c:pt idx="4">
                  <c:v>1010</c:v>
                </c:pt>
              </c:numCache>
            </c:numRef>
          </c:val>
          <c:extLst xmlns:c16r2="http://schemas.microsoft.com/office/drawing/2015/06/chart">
            <c:ext xmlns:c16="http://schemas.microsoft.com/office/drawing/2014/chart" uri="{C3380CC4-5D6E-409C-BE32-E72D297353CC}">
              <c16:uniqueId val="{00000005-B3AF-4EA4-B4E4-429F374C2B73}"/>
            </c:ext>
          </c:extLst>
        </c:ser>
        <c:dLbls>
          <c:showLegendKey val="0"/>
          <c:showVal val="0"/>
          <c:showCatName val="0"/>
          <c:showSerName val="0"/>
          <c:showPercent val="0"/>
          <c:showBubbleSize val="0"/>
        </c:dLbls>
        <c:gapWidth val="150"/>
        <c:axId val="476291840"/>
        <c:axId val="476293376"/>
      </c:barChart>
      <c:catAx>
        <c:axId val="476291840"/>
        <c:scaling>
          <c:orientation val="minMax"/>
        </c:scaling>
        <c:delete val="0"/>
        <c:axPos val="b"/>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en-US"/>
          </a:p>
        </c:txPr>
        <c:crossAx val="476293376"/>
        <c:crosses val="autoZero"/>
        <c:auto val="1"/>
        <c:lblAlgn val="ctr"/>
        <c:lblOffset val="100"/>
        <c:noMultiLvlLbl val="0"/>
      </c:catAx>
      <c:valAx>
        <c:axId val="476293376"/>
        <c:scaling>
          <c:orientation val="minMax"/>
        </c:scaling>
        <c:delete val="0"/>
        <c:axPos val="l"/>
        <c:majorGridlines/>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en-US"/>
          </a:p>
        </c:txPr>
        <c:crossAx val="476291840"/>
        <c:crosses val="autoZero"/>
        <c:crossBetween val="between"/>
      </c:valAx>
    </c:plotArea>
    <c:legend>
      <c:legendPos val="r"/>
      <c:layout>
        <c:manualLayout>
          <c:xMode val="edge"/>
          <c:yMode val="edge"/>
          <c:x val="0.78517666060973146"/>
          <c:y val="2.0267981653808425E-2"/>
          <c:w val="0.21482333939026854"/>
          <c:h val="0.68280792173705562"/>
        </c:manualLayout>
      </c:layout>
      <c:overlay val="0"/>
      <c:txPr>
        <a:bodyPr/>
        <a:lstStyle/>
        <a:p>
          <a:pPr>
            <a:defRPr sz="918"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998" b="0" i="0" u="none" strike="noStrike" baseline="0">
          <a:solidFill>
            <a:srgbClr val="000000"/>
          </a:solidFill>
          <a:latin typeface="Calibri"/>
          <a:ea typeface="Calibri"/>
          <a:cs typeface="Calibri"/>
        </a:defRPr>
      </a:pPr>
      <a:endParaRPr lang="en-US"/>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Column3</c:v>
                </c:pt>
              </c:strCache>
            </c:strRef>
          </c:tx>
          <c:invertIfNegative val="0"/>
          <c:trendline>
            <c:trendlineType val="linear"/>
            <c:dispRSqr val="0"/>
            <c:dispEq val="0"/>
          </c:trendline>
          <c:cat>
            <c:numRef>
              <c:f>Sheet1!$A$2:$A$6</c:f>
              <c:numCache>
                <c:formatCode>General</c:formatCode>
                <c:ptCount val="5"/>
                <c:pt idx="0">
                  <c:v>2017</c:v>
                </c:pt>
                <c:pt idx="1">
                  <c:v>2018</c:v>
                </c:pt>
                <c:pt idx="2">
                  <c:v>2019</c:v>
                </c:pt>
                <c:pt idx="3">
                  <c:v>2020</c:v>
                </c:pt>
                <c:pt idx="4">
                  <c:v>2021</c:v>
                </c:pt>
              </c:numCache>
            </c:numRef>
          </c:cat>
          <c:val>
            <c:numRef>
              <c:f>Sheet1!$B$2:$B$6</c:f>
              <c:numCache>
                <c:formatCode>General</c:formatCode>
                <c:ptCount val="5"/>
                <c:pt idx="0">
                  <c:v>94.8</c:v>
                </c:pt>
                <c:pt idx="1">
                  <c:v>88.6</c:v>
                </c:pt>
                <c:pt idx="2">
                  <c:v>93.4</c:v>
                </c:pt>
                <c:pt idx="3">
                  <c:v>93.1</c:v>
                </c:pt>
                <c:pt idx="4">
                  <c:v>99.7</c:v>
                </c:pt>
              </c:numCache>
            </c:numRef>
          </c:val>
          <c:extLst xmlns:c16r2="http://schemas.microsoft.com/office/drawing/2015/06/chart">
            <c:ext xmlns:c16="http://schemas.microsoft.com/office/drawing/2014/chart" uri="{C3380CC4-5D6E-409C-BE32-E72D297353CC}">
              <c16:uniqueId val="{00000001-4584-404A-9EF4-BC3B69B18504}"/>
            </c:ext>
          </c:extLst>
        </c:ser>
        <c:dLbls>
          <c:showLegendKey val="0"/>
          <c:showVal val="0"/>
          <c:showCatName val="0"/>
          <c:showSerName val="0"/>
          <c:showPercent val="0"/>
          <c:showBubbleSize val="0"/>
        </c:dLbls>
        <c:gapWidth val="150"/>
        <c:axId val="476306432"/>
        <c:axId val="487871232"/>
      </c:barChart>
      <c:catAx>
        <c:axId val="476306432"/>
        <c:scaling>
          <c:orientation val="minMax"/>
        </c:scaling>
        <c:delete val="0"/>
        <c:axPos val="b"/>
        <c:numFmt formatCode="General" sourceLinked="1"/>
        <c:majorTickMark val="out"/>
        <c:minorTickMark val="none"/>
        <c:tickLblPos val="nextTo"/>
        <c:txPr>
          <a:bodyPr rot="0" vert="horz"/>
          <a:lstStyle/>
          <a:p>
            <a:pPr>
              <a:defRPr sz="1003" b="0" i="0" u="none" strike="noStrike" baseline="0">
                <a:solidFill>
                  <a:srgbClr val="000000"/>
                </a:solidFill>
                <a:latin typeface="Calibri"/>
                <a:ea typeface="Calibri"/>
                <a:cs typeface="Calibri"/>
              </a:defRPr>
            </a:pPr>
            <a:endParaRPr lang="en-US"/>
          </a:p>
        </c:txPr>
        <c:crossAx val="487871232"/>
        <c:crosses val="autoZero"/>
        <c:auto val="1"/>
        <c:lblAlgn val="ctr"/>
        <c:lblOffset val="100"/>
        <c:noMultiLvlLbl val="0"/>
      </c:catAx>
      <c:valAx>
        <c:axId val="487871232"/>
        <c:scaling>
          <c:orientation val="minMax"/>
        </c:scaling>
        <c:delete val="0"/>
        <c:axPos val="l"/>
        <c:majorGridlines/>
        <c:numFmt formatCode="General" sourceLinked="1"/>
        <c:majorTickMark val="out"/>
        <c:minorTickMark val="none"/>
        <c:tickLblPos val="nextTo"/>
        <c:txPr>
          <a:bodyPr rot="0" vert="horz"/>
          <a:lstStyle/>
          <a:p>
            <a:pPr>
              <a:defRPr sz="1003" b="0" i="0" u="none" strike="noStrike" baseline="0">
                <a:solidFill>
                  <a:srgbClr val="000000"/>
                </a:solidFill>
                <a:latin typeface="Calibri"/>
                <a:ea typeface="Calibri"/>
                <a:cs typeface="Calibri"/>
              </a:defRPr>
            </a:pPr>
            <a:endParaRPr lang="en-US"/>
          </a:p>
        </c:txPr>
        <c:crossAx val="476306432"/>
        <c:crosses val="autoZero"/>
        <c:crossBetween val="between"/>
      </c:valAx>
    </c:plotArea>
    <c:plotVisOnly val="1"/>
    <c:dispBlanksAs val="gap"/>
    <c:showDLblsOverMax val="0"/>
  </c:chart>
  <c:txPr>
    <a:bodyPr/>
    <a:lstStyle/>
    <a:p>
      <a:pPr>
        <a:defRPr sz="1003" b="0" i="0" u="none" strike="noStrike" baseline="0">
          <a:solidFill>
            <a:srgbClr val="000000"/>
          </a:solidFill>
          <a:latin typeface="Calibri"/>
          <a:ea typeface="Calibri"/>
          <a:cs typeface="Calibri"/>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0.12876</cdr:x>
      <cdr:y>0.30476</cdr:y>
    </cdr:from>
    <cdr:to>
      <cdr:x>0.90782</cdr:x>
      <cdr:y>0.30724</cdr:y>
    </cdr:to>
    <cdr:sp macro="" textlink="">
      <cdr:nvSpPr>
        <cdr:cNvPr id="3" name="Straight Connector 2"/>
        <cdr:cNvSpPr/>
      </cdr:nvSpPr>
      <cdr:spPr>
        <a:xfrm xmlns:a="http://schemas.openxmlformats.org/drawingml/2006/main">
          <a:off x="743233" y="960830"/>
          <a:ext cx="4496852" cy="7819"/>
        </a:xfrm>
        <a:prstGeom xmlns:a="http://schemas.openxmlformats.org/drawingml/2006/main" prst="line">
          <a:avLst/>
        </a:prstGeom>
        <a:ln xmlns:a="http://schemas.openxmlformats.org/drawingml/2006/main" w="38100">
          <a:solidFill>
            <a:srgbClr val="FFFF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0.08783</cdr:x>
      <cdr:y>0.29814</cdr:y>
    </cdr:from>
    <cdr:to>
      <cdr:x>0.89363</cdr:x>
      <cdr:y>0.29814</cdr:y>
    </cdr:to>
    <cdr:sp macro="" textlink="">
      <cdr:nvSpPr>
        <cdr:cNvPr id="3" name="Straight Connector 2"/>
        <cdr:cNvSpPr/>
      </cdr:nvSpPr>
      <cdr:spPr>
        <a:xfrm xmlns:a="http://schemas.openxmlformats.org/drawingml/2006/main">
          <a:off x="481882" y="954157"/>
          <a:ext cx="4420925" cy="0"/>
        </a:xfrm>
        <a:prstGeom xmlns:a="http://schemas.openxmlformats.org/drawingml/2006/main" prst="line">
          <a:avLst/>
        </a:prstGeom>
        <a:ln xmlns:a="http://schemas.openxmlformats.org/drawingml/2006/main" w="38100">
          <a:solidFill>
            <a:srgbClr val="FFFF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0.09943</cdr:x>
      <cdr:y>0.17888</cdr:y>
    </cdr:from>
    <cdr:to>
      <cdr:x>0.89798</cdr:x>
      <cdr:y>0.17888</cdr:y>
    </cdr:to>
    <cdr:sp macro="" textlink="">
      <cdr:nvSpPr>
        <cdr:cNvPr id="3" name="Straight Connector 2"/>
        <cdr:cNvSpPr/>
      </cdr:nvSpPr>
      <cdr:spPr>
        <a:xfrm xmlns:a="http://schemas.openxmlformats.org/drawingml/2006/main">
          <a:off x="545493" y="572494"/>
          <a:ext cx="4381168" cy="0"/>
        </a:xfrm>
        <a:prstGeom xmlns:a="http://schemas.openxmlformats.org/drawingml/2006/main" prst="line">
          <a:avLst/>
        </a:prstGeom>
        <a:ln xmlns:a="http://schemas.openxmlformats.org/drawingml/2006/main" w="38100">
          <a:solidFill>
            <a:srgbClr val="FFFF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0.00278</cdr:x>
      <cdr:y>0.13049</cdr:y>
    </cdr:from>
    <cdr:to>
      <cdr:x>0.10104</cdr:x>
      <cdr:y>0.86678</cdr:y>
    </cdr:to>
    <cdr:sp macro="" textlink="">
      <cdr:nvSpPr>
        <cdr:cNvPr id="2" name="TextBox 1">
          <a:extLst xmlns:a="http://schemas.openxmlformats.org/drawingml/2006/main">
            <a:ext uri="{FF2B5EF4-FFF2-40B4-BE49-F238E27FC236}">
              <a16:creationId xmlns="" xmlns:a16="http://schemas.microsoft.com/office/drawing/2014/main" id="{098BB825-10DB-E72E-5CD9-09D8D3FF0A7A}"/>
            </a:ext>
          </a:extLst>
        </cdr:cNvPr>
        <cdr:cNvSpPr txBox="1"/>
      </cdr:nvSpPr>
      <cdr:spPr>
        <a:xfrm xmlns:a="http://schemas.openxmlformats.org/drawingml/2006/main">
          <a:off x="22225" y="669925"/>
          <a:ext cx="786215" cy="3780108"/>
        </a:xfrm>
        <a:prstGeom xmlns:a="http://schemas.openxmlformats.org/drawingml/2006/main" prst="rect">
          <a:avLst/>
        </a:prstGeom>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o-RO" sz="1200" b="1">
              <a:latin typeface="Arial" panose="020B0604020202020204" pitchFamily="34" charset="0"/>
              <a:cs typeface="Arial" panose="020B0604020202020204" pitchFamily="34" charset="0"/>
            </a:rPr>
            <a:t>Populația conectată la sisteme de colectare si epurare a apelor uzate (%) </a:t>
          </a:r>
        </a:p>
      </cdr:txBody>
    </cdr:sp>
  </cdr:relSizeAnchor>
</c:userShapes>
</file>

<file path=word/drawings/drawing5.xml><?xml version="1.0" encoding="utf-8"?>
<c:userShapes xmlns:c="http://schemas.openxmlformats.org/drawingml/2006/chart">
  <cdr:relSizeAnchor xmlns:cdr="http://schemas.openxmlformats.org/drawingml/2006/chartDrawing">
    <cdr:from>
      <cdr:x>0.35079</cdr:x>
      <cdr:y>0</cdr:y>
    </cdr:from>
    <cdr:to>
      <cdr:x>0.94241</cdr:x>
      <cdr:y>0.092</cdr:y>
    </cdr:to>
    <cdr:sp macro="" textlink="">
      <cdr:nvSpPr>
        <cdr:cNvPr id="2" name="TextBox 1"/>
        <cdr:cNvSpPr txBox="1"/>
      </cdr:nvSpPr>
      <cdr:spPr>
        <a:xfrm xmlns:a="http://schemas.openxmlformats.org/drawingml/2006/main">
          <a:off x="1276349" y="0"/>
          <a:ext cx="2152650" cy="21907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100" b="1"/>
            <a:t>Numar VSU COLECTATE si</a:t>
          </a:r>
          <a:r>
            <a:rPr lang="en-US" sz="1100" b="1" baseline="0"/>
            <a:t> TRATATE</a:t>
          </a:r>
        </a:p>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8D37A7D-7850-408F-AAC7-49407FFF0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210</TotalTime>
  <Pages>1</Pages>
  <Words>70387</Words>
  <Characters>401208</Characters>
  <Application>Microsoft Office Word</Application>
  <DocSecurity>0</DocSecurity>
  <Lines>3343</Lines>
  <Paragraphs>941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ARPMB</Company>
  <LinksUpToDate>false</LinksUpToDate>
  <CharactersWithSpaces>470654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Gabriel Ciuiu</dc:creator>
  <cp:lastModifiedBy>dfff</cp:lastModifiedBy>
  <cp:revision>37</cp:revision>
  <cp:lastPrinted>2024-08-14T13:25:00Z</cp:lastPrinted>
  <dcterms:created xsi:type="dcterms:W3CDTF">2024-08-14T09:55:00Z</dcterms:created>
  <dcterms:modified xsi:type="dcterms:W3CDTF">2024-08-14T13:26:00Z</dcterms:modified>
</cp:coreProperties>
</file>